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F1" w:rsidRPr="00E52906" w:rsidRDefault="00F33BF1" w:rsidP="00721082">
      <w:pPr>
        <w:spacing w:before="120" w:after="120"/>
        <w:rPr>
          <w:b/>
          <w:caps/>
          <w:color w:val="215868"/>
          <w:szCs w:val="24"/>
        </w:rPr>
      </w:pPr>
      <w:bookmarkStart w:id="0" w:name="_Toc388000070"/>
      <w:bookmarkStart w:id="1" w:name="_Toc367447748"/>
      <w:bookmarkStart w:id="2" w:name="_Toc374964663"/>
      <w:bookmarkStart w:id="3" w:name="_Toc393455493"/>
      <w:bookmarkStart w:id="4" w:name="_GoBack"/>
      <w:bookmarkEnd w:id="4"/>
      <w:r w:rsidRPr="00E52906">
        <w:rPr>
          <w:b/>
          <w:caps/>
          <w:color w:val="215868"/>
          <w:szCs w:val="24"/>
        </w:rPr>
        <w:t>analiza zgodności z dokumentami strategicznymi globalnymi, ue oraz polski</w:t>
      </w:r>
    </w:p>
    <w:bookmarkEnd w:id="0"/>
    <w:bookmarkEnd w:id="1"/>
    <w:bookmarkEnd w:id="2"/>
    <w:p w:rsidR="00F33BF1" w:rsidRPr="004F46AC" w:rsidRDefault="00F33BF1" w:rsidP="004F46AC">
      <w:pPr>
        <w:pStyle w:val="standard"/>
        <w:spacing w:line="360" w:lineRule="auto"/>
        <w:rPr>
          <w:sz w:val="22"/>
          <w:szCs w:val="22"/>
        </w:rPr>
      </w:pPr>
      <w:r w:rsidRPr="004F46AC">
        <w:rPr>
          <w:sz w:val="22"/>
          <w:szCs w:val="22"/>
        </w:rPr>
        <w:t xml:space="preserve">Celem analizy jest przedstawienie podstawowych dokumentów strategicznych globalnych, regionalnych oraz Unii Europejskiej związanych z zakresem </w:t>
      </w:r>
      <w:r>
        <w:rPr>
          <w:sz w:val="22"/>
          <w:szCs w:val="22"/>
        </w:rPr>
        <w:t xml:space="preserve">dokumentu </w:t>
      </w:r>
      <w:r w:rsidRPr="00783EB4">
        <w:rPr>
          <w:i/>
          <w:sz w:val="22"/>
          <w:szCs w:val="22"/>
        </w:rPr>
        <w:t>Project pipeline</w:t>
      </w:r>
      <w:r w:rsidRPr="004F46AC">
        <w:rPr>
          <w:sz w:val="22"/>
          <w:szCs w:val="22"/>
        </w:rPr>
        <w:t xml:space="preserve">, a szczególnie z punktu widzenia opracowania Prognozy jej oddziaływania na środowisko oraz przeprowadzenie analizy zgodności </w:t>
      </w:r>
      <w:r>
        <w:rPr>
          <w:sz w:val="22"/>
          <w:szCs w:val="22"/>
        </w:rPr>
        <w:t xml:space="preserve">dokumentu </w:t>
      </w:r>
      <w:r w:rsidRPr="00783EB4">
        <w:rPr>
          <w:i/>
          <w:sz w:val="22"/>
          <w:szCs w:val="22"/>
        </w:rPr>
        <w:t>Project pipeline</w:t>
      </w:r>
      <w:r w:rsidRPr="004F46AC">
        <w:rPr>
          <w:sz w:val="22"/>
          <w:szCs w:val="22"/>
        </w:rPr>
        <w:t xml:space="preserve"> z celami tych dokumentów. Punktem wyjścia do analizy dokumentów strategicznych są przyjęte ustalenia </w:t>
      </w:r>
      <w:r w:rsidRPr="004F46AC">
        <w:rPr>
          <w:b/>
          <w:sz w:val="22"/>
          <w:szCs w:val="22"/>
        </w:rPr>
        <w:t>na poziomie globalnym</w:t>
      </w:r>
      <w:r w:rsidRPr="004F46AC">
        <w:rPr>
          <w:sz w:val="22"/>
          <w:szCs w:val="22"/>
        </w:rPr>
        <w:t>, które w odniesieniu do poszczególnych dokumentów przedstawione są niżej.</w:t>
      </w:r>
    </w:p>
    <w:p w:rsidR="00F33BF1" w:rsidRPr="004F46AC" w:rsidRDefault="00F33BF1" w:rsidP="004F46AC">
      <w:pPr>
        <w:pStyle w:val="standard"/>
        <w:spacing w:line="360" w:lineRule="auto"/>
        <w:rPr>
          <w:b/>
          <w:i/>
          <w:color w:val="215868"/>
          <w:sz w:val="22"/>
          <w:szCs w:val="22"/>
        </w:rPr>
      </w:pPr>
      <w:r w:rsidRPr="004F46AC">
        <w:rPr>
          <w:b/>
          <w:i/>
          <w:color w:val="215868"/>
          <w:sz w:val="22"/>
          <w:szCs w:val="22"/>
        </w:rPr>
        <w:t>Dokumenty globalne</w:t>
      </w:r>
    </w:p>
    <w:p w:rsidR="00F33BF1" w:rsidRPr="004F46AC" w:rsidRDefault="00F33BF1" w:rsidP="004F46AC">
      <w:pPr>
        <w:pStyle w:val="standard"/>
        <w:spacing w:line="360" w:lineRule="auto"/>
        <w:rPr>
          <w:sz w:val="22"/>
          <w:szCs w:val="22"/>
        </w:rPr>
      </w:pPr>
      <w:bookmarkStart w:id="5" w:name="OLE_LINK1"/>
      <w:bookmarkStart w:id="6" w:name="OLE_LINK2"/>
      <w:r w:rsidRPr="004F46AC">
        <w:rPr>
          <w:sz w:val="22"/>
          <w:szCs w:val="22"/>
        </w:rPr>
        <w:t xml:space="preserve">Konferencja Narodów Zjednoczonych w sprawie zrównoważonego rozwoju Rio+20 przyjęła </w:t>
      </w:r>
      <w:r w:rsidRPr="004F46AC">
        <w:rPr>
          <w:b/>
          <w:sz w:val="22"/>
          <w:szCs w:val="22"/>
        </w:rPr>
        <w:t>dokument końcowy</w:t>
      </w:r>
      <w:r w:rsidRPr="004F46AC">
        <w:rPr>
          <w:b/>
          <w:sz w:val="22"/>
          <w:szCs w:val="22"/>
          <w:vertAlign w:val="superscript"/>
        </w:rPr>
        <w:footnoteReference w:id="1"/>
      </w:r>
      <w:r w:rsidRPr="004F46AC">
        <w:rPr>
          <w:b/>
          <w:sz w:val="22"/>
          <w:szCs w:val="22"/>
        </w:rPr>
        <w:t xml:space="preserve"> pn. </w:t>
      </w:r>
      <w:r w:rsidRPr="004F46AC">
        <w:rPr>
          <w:b/>
          <w:i/>
          <w:sz w:val="22"/>
          <w:szCs w:val="22"/>
        </w:rPr>
        <w:t>Przyszłość jaką chcemy mieć</w:t>
      </w:r>
      <w:r w:rsidRPr="004F46AC">
        <w:rPr>
          <w:sz w:val="22"/>
          <w:szCs w:val="22"/>
        </w:rPr>
        <w:t xml:space="preserve">. Dokument ten zawiera deklaracje krajów uczestniczących w Konferencji do: </w:t>
      </w:r>
    </w:p>
    <w:p w:rsidR="00F33BF1" w:rsidRPr="004F46AC" w:rsidRDefault="00F33BF1" w:rsidP="004F46AC">
      <w:pPr>
        <w:pStyle w:val="PUNKTORx"/>
        <w:numPr>
          <w:ilvl w:val="0"/>
          <w:numId w:val="18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t>kontynuowania procesu realizacji celów zrównoważonego rozwoju, zapoczątkowanych na poprzednich konferencjach, wykorzystania koncepcji zielonej gospodarki jako narzędzia do osiągania zrównoważonego rozwoju, uwzględniając ważność przeciwdziałania zmianom klimatu i adaptacji do tych zmian,</w:t>
      </w:r>
    </w:p>
    <w:p w:rsidR="00F33BF1" w:rsidRPr="004F46AC" w:rsidRDefault="00F33BF1" w:rsidP="004F46AC">
      <w:pPr>
        <w:pStyle w:val="PUNKTORx"/>
        <w:numPr>
          <w:ilvl w:val="0"/>
          <w:numId w:val="18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t>opracowania strategii finansowania zrównoważonego rozwoju,</w:t>
      </w:r>
    </w:p>
    <w:p w:rsidR="00F33BF1" w:rsidRPr="004F46AC" w:rsidRDefault="00F33BF1" w:rsidP="004F46AC">
      <w:pPr>
        <w:pStyle w:val="PUNKTORx"/>
        <w:numPr>
          <w:ilvl w:val="0"/>
          <w:numId w:val="18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t>ustanowienia struktur służących sprostaniu wyzwaniom zrównoważonej konsumpcji i produkcji, stosowania zasady równości płci, zaakcentowania potrzeby zaangażowania się społeczeństwa obywatelskiego, włączenia nauki w politykę oraz uwzględniania wagi dobrowolnych zobowiązań w obszarze zrównoważonego rozwoju.</w:t>
      </w:r>
    </w:p>
    <w:p w:rsidR="00F33BF1" w:rsidRPr="004F46AC" w:rsidRDefault="00F33BF1" w:rsidP="004F46AC">
      <w:pPr>
        <w:pStyle w:val="standard"/>
        <w:spacing w:line="360" w:lineRule="auto"/>
        <w:rPr>
          <w:sz w:val="22"/>
          <w:szCs w:val="22"/>
        </w:rPr>
      </w:pPr>
      <w:r w:rsidRPr="004F46AC">
        <w:rPr>
          <w:b/>
          <w:i/>
          <w:sz w:val="22"/>
          <w:szCs w:val="22"/>
        </w:rPr>
        <w:t>Ramowa konwencja Narodów Zjednoczonych w sprawie zmian klimatu</w:t>
      </w:r>
      <w:r w:rsidRPr="004F46AC">
        <w:rPr>
          <w:sz w:val="22"/>
          <w:szCs w:val="22"/>
          <w:vertAlign w:val="superscript"/>
        </w:rPr>
        <w:footnoteReference w:id="2"/>
      </w:r>
      <w:r w:rsidRPr="004F46AC">
        <w:rPr>
          <w:sz w:val="22"/>
          <w:szCs w:val="22"/>
        </w:rPr>
        <w:t>. W ramach Konwencji, wszystkie jej strony, m.in. Polska i Wspólnota Europejska (obecnie Unia Europejska), zobowiązują się, biorąc pod uwagę swe wspólne, lecz zróżnicowane zasady odpowiedzialności oraz swe specyficzne priorytety rozwoju narodowego i regionalnego, cele i okoliczności, do realizacji głównego celu Konwencji, którym jest doprowadzenie, do ustabilizowania koncen</w:t>
      </w:r>
      <w:r w:rsidRPr="004F46AC">
        <w:rPr>
          <w:sz w:val="22"/>
          <w:szCs w:val="22"/>
        </w:rPr>
        <w:lastRenderedPageBreak/>
        <w:t>tracji gazów cieplarnianych w atmosferze na poziomie, który zapobiegłby niebezpiecznej, antropogenicznej ingerencji w system klimatyczny. Dla uniknięcia zagrożenia produkcji żywności i dla umożliwienia zrównoważonego rozwoju ekonomicznego, poziom taki powinien być osiągnięty w okresie wystarczającym do naturalnej adaptacji ekosystemów do zmian klimatu.</w:t>
      </w:r>
    </w:p>
    <w:p w:rsidR="00F33BF1" w:rsidRPr="004F46AC" w:rsidRDefault="00F33BF1" w:rsidP="004F46AC">
      <w:pPr>
        <w:pStyle w:val="standard"/>
        <w:spacing w:line="360" w:lineRule="auto"/>
        <w:rPr>
          <w:sz w:val="22"/>
          <w:szCs w:val="22"/>
        </w:rPr>
      </w:pPr>
      <w:r w:rsidRPr="004F46AC">
        <w:rPr>
          <w:sz w:val="22"/>
          <w:szCs w:val="22"/>
        </w:rPr>
        <w:t xml:space="preserve">Do Konwencji przyjęty został t.zw. </w:t>
      </w:r>
      <w:r w:rsidRPr="004F46AC">
        <w:rPr>
          <w:b/>
          <w:i/>
          <w:sz w:val="22"/>
          <w:szCs w:val="22"/>
        </w:rPr>
        <w:t>Protokół z Kioto</w:t>
      </w:r>
      <w:r w:rsidRPr="004F46AC">
        <w:rPr>
          <w:rStyle w:val="Odwoanieprzypisudolnego"/>
          <w:b/>
          <w:i/>
          <w:sz w:val="22"/>
          <w:szCs w:val="22"/>
        </w:rPr>
        <w:footnoteReference w:id="3"/>
      </w:r>
      <w:r w:rsidRPr="004F46AC">
        <w:rPr>
          <w:sz w:val="22"/>
          <w:szCs w:val="22"/>
        </w:rPr>
        <w:t>, w którym strony Protokółu zobowiązały się do ograniczenia emisji gazów cieplarnianych do 2012 r. o wynegocjowane wielkości, nie mniej niż 5% w stosunku do roku bazowego 1990 (UE o 8%, Polska o 6% w stosunku do 1989r.).  Aktualnie trwają negocjację nowego protokółu do Konwencji albo zawarcia nowego porozumienia dotyczącego dalszej redukcji emisji gazów cieplarnianych.</w:t>
      </w:r>
    </w:p>
    <w:p w:rsidR="00F33BF1" w:rsidRPr="004F46AC" w:rsidRDefault="00F33BF1" w:rsidP="004F46AC">
      <w:pPr>
        <w:pStyle w:val="standard"/>
        <w:spacing w:line="360" w:lineRule="auto"/>
        <w:rPr>
          <w:rFonts w:eastAsia="Univers-PL"/>
          <w:sz w:val="22"/>
          <w:szCs w:val="22"/>
        </w:rPr>
      </w:pPr>
      <w:r w:rsidRPr="004F46AC">
        <w:rPr>
          <w:b/>
          <w:i/>
          <w:sz w:val="22"/>
          <w:szCs w:val="22"/>
        </w:rPr>
        <w:t>Konwencja o różnorodności biologicznej</w:t>
      </w:r>
      <w:r w:rsidRPr="004F46AC">
        <w:rPr>
          <w:sz w:val="22"/>
          <w:szCs w:val="22"/>
          <w:vertAlign w:val="superscript"/>
        </w:rPr>
        <w:footnoteReference w:id="4"/>
      </w:r>
      <w:r w:rsidRPr="004F46AC">
        <w:rPr>
          <w:sz w:val="22"/>
          <w:szCs w:val="22"/>
        </w:rPr>
        <w:t xml:space="preserve">. </w:t>
      </w:r>
      <w:r w:rsidRPr="004F46AC">
        <w:rPr>
          <w:rFonts w:eastAsia="Univers-PL"/>
          <w:sz w:val="22"/>
          <w:szCs w:val="22"/>
        </w:rPr>
        <w:t xml:space="preserve">Celami konwencji są: ochrona różnorodności biologicznej, zrównoważone użytkowanie jej elementów oraz uczciwy i sprawiedliwy podział korzyści, wynikających z wykorzystywania zasobów genetycznych, w tym przez odpowiedni dostęp do zasobów genetycznych i transfer właściwych technologii, </w:t>
      </w:r>
      <w:r w:rsidRPr="004F46AC">
        <w:rPr>
          <w:sz w:val="22"/>
          <w:szCs w:val="22"/>
        </w:rPr>
        <w:t>z uwzględnieniem</w:t>
      </w:r>
      <w:r w:rsidRPr="004F46AC">
        <w:rPr>
          <w:rFonts w:eastAsia="Univers-PL"/>
          <w:sz w:val="22"/>
          <w:szCs w:val="22"/>
        </w:rPr>
        <w:t xml:space="preserve"> wszystkich praw do tych zasobów i technologii, a także odpowiednie finansowanie ochrony różnorodności biologicznej.</w:t>
      </w:r>
    </w:p>
    <w:p w:rsidR="00F33BF1" w:rsidRPr="004F46AC" w:rsidRDefault="00F33BF1" w:rsidP="004F46AC">
      <w:pPr>
        <w:pStyle w:val="standard"/>
        <w:spacing w:line="360" w:lineRule="auto"/>
        <w:rPr>
          <w:rFonts w:eastAsia="Univers-PL"/>
          <w:sz w:val="22"/>
          <w:szCs w:val="22"/>
        </w:rPr>
      </w:pPr>
      <w:r w:rsidRPr="004F46AC">
        <w:rPr>
          <w:rFonts w:eastAsia="Univers-PL"/>
          <w:sz w:val="22"/>
          <w:szCs w:val="22"/>
        </w:rPr>
        <w:t>Zgodnie z ustaleniami konwencji, każda z jej stron zobowiązała się, zgodnie ze swoimi szczególnymi warunkami i możliwościami, opracować krajowe strategie, plany lub programy dotyczące ochrony i zrównoważonego użytkowania różnorodności biologicznej, bądź dostosować istniejące strategie, plany lub programy, które odzwierciedlą realizacje działań przewidzianych w niniejszej konwencji oraz włączyć, w miarę możliwości i potrzeby, ochronę i zrównoważone użytkowanie różnorodności biologicznej do odpowiednich sektorowych i międzysektorowych planów, programów i polityk. W konwencji przewidziano działania w zakresie współpracy, monitoringu, ochrony gatunków, wykorzystania różnorodności biologicznej.</w:t>
      </w:r>
    </w:p>
    <w:p w:rsidR="00F33BF1" w:rsidRPr="004F46AC" w:rsidRDefault="00F33BF1" w:rsidP="004F46AC">
      <w:pPr>
        <w:pStyle w:val="standard"/>
        <w:spacing w:line="360" w:lineRule="auto"/>
        <w:rPr>
          <w:rFonts w:eastAsia="Univers-PL"/>
          <w:sz w:val="22"/>
          <w:szCs w:val="22"/>
        </w:rPr>
      </w:pPr>
      <w:r w:rsidRPr="004F46AC">
        <w:rPr>
          <w:b/>
          <w:i/>
          <w:sz w:val="22"/>
          <w:szCs w:val="22"/>
        </w:rPr>
        <w:lastRenderedPageBreak/>
        <w:t>Europejska Konwencja Krajobrazowa</w:t>
      </w:r>
      <w:r w:rsidRPr="004F46AC">
        <w:rPr>
          <w:sz w:val="22"/>
          <w:szCs w:val="22"/>
          <w:vertAlign w:val="superscript"/>
        </w:rPr>
        <w:footnoteReference w:id="5"/>
      </w:r>
      <w:r w:rsidRPr="004F46AC">
        <w:rPr>
          <w:sz w:val="22"/>
          <w:szCs w:val="22"/>
        </w:rPr>
        <w:t xml:space="preserve">. </w:t>
      </w:r>
      <w:r w:rsidRPr="004F46AC">
        <w:rPr>
          <w:rFonts w:eastAsia="Univers-PL"/>
          <w:sz w:val="22"/>
          <w:szCs w:val="22"/>
        </w:rPr>
        <w:t>Celami konwencji są: promowanie ochrony, gospodarki i planowania krajobrazu, a także organizowanie współpracy europejskiej w zakresie zagadnień dotyczących krajobrazu. Strony konwencji zobowiązały się wdrożyć jej postanowienia zgodnie z ich zasadami konstytucyjnymi i organizacją administracyjną oraz poszanowaniem zasady subsydiarności, przy uwzględnieniu Europejskiej Karty Samorządu Lokalnego oraz zharmonizować jej wdrażanie z polityką. Konwencja określa zasady ochrony krajobrazu, daje wytyczne odnośnie edukacji w zakresie ochrony krajobrazu oraz zakreśla ramy współpracy międzynarodowej dla jej realizacji.</w:t>
      </w:r>
    </w:p>
    <w:p w:rsidR="00F33BF1" w:rsidRPr="004F46AC" w:rsidRDefault="00F33BF1" w:rsidP="004F46AC">
      <w:pPr>
        <w:pStyle w:val="standard"/>
        <w:spacing w:line="360" w:lineRule="auto"/>
        <w:rPr>
          <w:sz w:val="22"/>
          <w:szCs w:val="22"/>
        </w:rPr>
      </w:pPr>
      <w:r w:rsidRPr="004F46AC">
        <w:rPr>
          <w:rFonts w:eastAsia="EUAlbertina-Bold-Identity-H"/>
          <w:b/>
          <w:i/>
          <w:sz w:val="22"/>
          <w:szCs w:val="22"/>
        </w:rPr>
        <w:t xml:space="preserve">Konwencja w sprawie transgranicznego zanieczyszczania powietrza na dalekie odległości </w:t>
      </w:r>
      <w:r w:rsidRPr="004F46AC">
        <w:rPr>
          <w:rFonts w:eastAsia="EUAlbertina-Bold-Identity-H"/>
          <w:sz w:val="22"/>
          <w:szCs w:val="22"/>
        </w:rPr>
        <w:t>(LRTAP</w:t>
      </w:r>
      <w:r w:rsidRPr="004F46AC">
        <w:rPr>
          <w:rFonts w:eastAsia="EUAlbertina-Bold-Identity-H"/>
          <w:b/>
          <w:i/>
          <w:sz w:val="22"/>
          <w:szCs w:val="22"/>
        </w:rPr>
        <w:t>)</w:t>
      </w:r>
      <w:r w:rsidRPr="004F46AC">
        <w:rPr>
          <w:rFonts w:eastAsia="EUAlbertina-Bold-Identity-H"/>
          <w:b/>
          <w:sz w:val="22"/>
          <w:szCs w:val="22"/>
          <w:vertAlign w:val="superscript"/>
        </w:rPr>
        <w:footnoteReference w:id="6"/>
      </w:r>
      <w:r w:rsidRPr="004F46AC">
        <w:rPr>
          <w:rFonts w:eastAsia="EUAlbertina-Bold-Identity-H"/>
          <w:b/>
          <w:sz w:val="22"/>
          <w:szCs w:val="22"/>
        </w:rPr>
        <w:t>.</w:t>
      </w:r>
      <w:r w:rsidRPr="004F46AC">
        <w:rPr>
          <w:rFonts w:eastAsia="EUAlbertina-Bold-Identity-H"/>
          <w:sz w:val="22"/>
          <w:szCs w:val="22"/>
        </w:rPr>
        <w:t xml:space="preserve"> Strony Konwencji postanawiają </w:t>
      </w:r>
      <w:r w:rsidRPr="004F46AC">
        <w:rPr>
          <w:sz w:val="22"/>
          <w:szCs w:val="22"/>
        </w:rPr>
        <w:t xml:space="preserve">chronić człowieka i jego </w:t>
      </w:r>
      <w:r w:rsidRPr="004F46AC">
        <w:rPr>
          <w:rFonts w:eastAsia="Univers-PL"/>
          <w:sz w:val="22"/>
          <w:szCs w:val="22"/>
        </w:rPr>
        <w:t>środowisko przed zanieczyszczaniem powietrza oraz dążyć do ograniczenia i tak dalece, jak to jest możliwe do stopniowego zmniejszania i zapobiegania zanieczyszczeniu powietrza, włączając w to transgraniczne zanieczyszczanie powietrza na dalekie odległości. Służyć temu mają ustalone zasady wymiany informacji, konsultacji, prowadzenia badań i monitoringu. Ponadto zobowiązują się rozwijać politykę i strategię, które będą służyć jako środki do zwalczania emisji zanieczyszczeń powietrza, biorąc pod uwagę podjęte już wysiłki w skali krajowej i międzynarodowej. Priorytetami konwencji do 2020r. są: ograniczenia emisji zanieczyszczeń powietrza z punktu widzenia wpływu na zdrowie (szczególnie w zakresie pyłów PM</w:t>
      </w:r>
      <w:r w:rsidRPr="004F46AC">
        <w:rPr>
          <w:rFonts w:eastAsia="Univers-PL"/>
          <w:sz w:val="22"/>
          <w:szCs w:val="22"/>
          <w:vertAlign w:val="subscript"/>
        </w:rPr>
        <w:t>2,5</w:t>
      </w:r>
      <w:r w:rsidRPr="004F46AC">
        <w:rPr>
          <w:rFonts w:eastAsia="Univers-PL"/>
          <w:sz w:val="22"/>
          <w:szCs w:val="22"/>
        </w:rPr>
        <w:t>), zwiększenia znaczenia monitoringu przy ocenie wywiązywania się państw z przyjętych zobowiązań w zakresie redukcji emisji zanieczyszczeń i poprawy jakości powietrza oraz zwiększenie znaczenia ocen zintegrowanych z punktu widzenia wpływu na ekosystemy.</w:t>
      </w:r>
      <w:r w:rsidRPr="004F46AC">
        <w:rPr>
          <w:sz w:val="22"/>
          <w:szCs w:val="22"/>
        </w:rPr>
        <w:t xml:space="preserve"> Do konwencji podpisano szereg protokołów:</w:t>
      </w:r>
    </w:p>
    <w:p w:rsidR="00F33BF1" w:rsidRPr="004F46AC" w:rsidRDefault="00F33BF1" w:rsidP="004F46AC">
      <w:pPr>
        <w:pStyle w:val="PUNKTORx"/>
        <w:numPr>
          <w:ilvl w:val="0"/>
          <w:numId w:val="19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t>Protokół w sprawie długofalowego finansowania wspólnego programu monitoringu i oceny przenoszenia zanieczyszczeń powietrza na dalekie odległości w Europie,</w:t>
      </w:r>
    </w:p>
    <w:p w:rsidR="00F33BF1" w:rsidRPr="004F46AC" w:rsidRDefault="00F33BF1" w:rsidP="004F46AC">
      <w:pPr>
        <w:pStyle w:val="PUNKTORx"/>
        <w:numPr>
          <w:ilvl w:val="0"/>
          <w:numId w:val="19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t>Protokół dotyczący ograniczenia emisji siarki lub jej przepływów transgranicznych,</w:t>
      </w:r>
    </w:p>
    <w:p w:rsidR="00F33BF1" w:rsidRPr="004F46AC" w:rsidRDefault="00F33BF1" w:rsidP="004F46AC">
      <w:pPr>
        <w:pStyle w:val="PUNKTORx"/>
        <w:numPr>
          <w:ilvl w:val="0"/>
          <w:numId w:val="19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t>Protokół dotyczący kontroli emisji tlenków azotu lub ich transgranicznego przemieszczania,</w:t>
      </w:r>
    </w:p>
    <w:p w:rsidR="00F33BF1" w:rsidRPr="004F46AC" w:rsidRDefault="00F33BF1" w:rsidP="004F46AC">
      <w:pPr>
        <w:pStyle w:val="PUNKTORx"/>
        <w:numPr>
          <w:ilvl w:val="0"/>
          <w:numId w:val="19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t>Protokół w sprawie dalszego ograniczania emisji siarki,</w:t>
      </w:r>
    </w:p>
    <w:p w:rsidR="00F33BF1" w:rsidRPr="004F46AC" w:rsidRDefault="00F33BF1" w:rsidP="004F46AC">
      <w:pPr>
        <w:pStyle w:val="PUNKTORx"/>
        <w:numPr>
          <w:ilvl w:val="0"/>
          <w:numId w:val="19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lastRenderedPageBreak/>
        <w:t>Protokół dotyczący metali ciężkich,</w:t>
      </w:r>
    </w:p>
    <w:p w:rsidR="00F33BF1" w:rsidRPr="004F46AC" w:rsidRDefault="00F33BF1" w:rsidP="004F46AC">
      <w:pPr>
        <w:pStyle w:val="PUNKTORx"/>
        <w:numPr>
          <w:ilvl w:val="0"/>
          <w:numId w:val="19"/>
        </w:numPr>
        <w:spacing w:before="0" w:line="360" w:lineRule="auto"/>
        <w:ind w:left="567" w:hanging="567"/>
        <w:jc w:val="both"/>
        <w:rPr>
          <w:sz w:val="22"/>
          <w:szCs w:val="22"/>
        </w:rPr>
      </w:pPr>
      <w:r w:rsidRPr="004F46AC">
        <w:rPr>
          <w:sz w:val="22"/>
          <w:szCs w:val="22"/>
        </w:rPr>
        <w:t>Protokół w sprawie przeciwdziałania zakwaszaniu, eutrofizacji i ozonowi przyziemnemu (tzw. Protokół z Göteborga).</w:t>
      </w:r>
    </w:p>
    <w:p w:rsidR="00F33BF1" w:rsidRPr="004F46AC" w:rsidRDefault="00F33BF1" w:rsidP="004F46AC">
      <w:pPr>
        <w:pStyle w:val="PUNKTORx"/>
        <w:spacing w:before="0" w:line="360" w:lineRule="auto"/>
        <w:jc w:val="both"/>
        <w:rPr>
          <w:b/>
          <w:sz w:val="22"/>
          <w:szCs w:val="22"/>
        </w:rPr>
      </w:pPr>
      <w:r w:rsidRPr="004F46AC">
        <w:rPr>
          <w:b/>
          <w:i/>
          <w:sz w:val="22"/>
          <w:szCs w:val="22"/>
        </w:rPr>
        <w:t>Konwencja z Minamaty w sprawie rtęci</w:t>
      </w:r>
      <w:r w:rsidRPr="004F46AC">
        <w:rPr>
          <w:b/>
          <w:sz w:val="22"/>
          <w:szCs w:val="22"/>
        </w:rPr>
        <w:t xml:space="preserve"> (Project)</w:t>
      </w:r>
      <w:r w:rsidRPr="004F46AC">
        <w:rPr>
          <w:rStyle w:val="Odwoanieprzypisudolnego"/>
          <w:b/>
          <w:sz w:val="22"/>
          <w:szCs w:val="22"/>
        </w:rPr>
        <w:footnoteReference w:id="7"/>
      </w:r>
      <w:r w:rsidRPr="004F46AC">
        <w:rPr>
          <w:b/>
          <w:sz w:val="22"/>
          <w:szCs w:val="22"/>
        </w:rPr>
        <w:t>.</w:t>
      </w:r>
    </w:p>
    <w:p w:rsidR="00F33BF1" w:rsidRPr="004F46AC" w:rsidRDefault="00F33BF1" w:rsidP="004F46AC">
      <w:pPr>
        <w:pStyle w:val="PUNKTORx"/>
        <w:spacing w:before="0" w:line="360" w:lineRule="auto"/>
        <w:jc w:val="both"/>
        <w:rPr>
          <w:sz w:val="22"/>
          <w:szCs w:val="22"/>
        </w:rPr>
      </w:pPr>
      <w:r w:rsidRPr="004F46AC">
        <w:rPr>
          <w:sz w:val="22"/>
          <w:szCs w:val="22"/>
        </w:rPr>
        <w:t xml:space="preserve"> Konwencja jest aktualnie w trakcie ratyfikacji. Przewiduje m. in. </w:t>
      </w:r>
    </w:p>
    <w:p w:rsidR="00F33BF1" w:rsidRPr="004F46AC" w:rsidRDefault="00F33BF1" w:rsidP="004F46AC">
      <w:pPr>
        <w:pStyle w:val="a3520normalp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567" w:right="57" w:hanging="567"/>
        <w:jc w:val="both"/>
        <w:rPr>
          <w:rFonts w:ascii="Calibri" w:hAnsi="Calibri"/>
          <w:color w:val="000000"/>
          <w:sz w:val="22"/>
          <w:szCs w:val="22"/>
        </w:rPr>
      </w:pPr>
      <w:r w:rsidRPr="004F46AC">
        <w:rPr>
          <w:rFonts w:ascii="Calibri" w:hAnsi="Calibri"/>
          <w:color w:val="000000"/>
          <w:sz w:val="22"/>
          <w:szCs w:val="22"/>
        </w:rPr>
        <w:t>ograniczenia przywozowe dotyczące rtęci metalicznej z krajów niebędących stronami konwencji,</w:t>
      </w:r>
    </w:p>
    <w:p w:rsidR="00F33BF1" w:rsidRPr="004F46AC" w:rsidRDefault="00F33BF1" w:rsidP="004F46AC">
      <w:pPr>
        <w:pStyle w:val="a3520normalp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567" w:right="57" w:hanging="567"/>
        <w:jc w:val="both"/>
        <w:rPr>
          <w:rFonts w:ascii="Calibri" w:hAnsi="Calibri"/>
          <w:color w:val="000000"/>
          <w:sz w:val="22"/>
          <w:szCs w:val="22"/>
        </w:rPr>
      </w:pPr>
      <w:r w:rsidRPr="004F46AC">
        <w:rPr>
          <w:rFonts w:ascii="Calibri" w:hAnsi="Calibri"/>
          <w:color w:val="000000"/>
          <w:sz w:val="22"/>
          <w:szCs w:val="22"/>
        </w:rPr>
        <w:t>zakaz wywozu niektórych produktów zawierających rtęć,</w:t>
      </w:r>
    </w:p>
    <w:p w:rsidR="00F33BF1" w:rsidRPr="004F46AC" w:rsidRDefault="00F33BF1" w:rsidP="004F46AC">
      <w:pPr>
        <w:pStyle w:val="a3520normalp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567" w:right="57" w:hanging="567"/>
        <w:jc w:val="both"/>
        <w:rPr>
          <w:rFonts w:ascii="Calibri" w:hAnsi="Calibri"/>
          <w:color w:val="000000"/>
          <w:sz w:val="22"/>
          <w:szCs w:val="22"/>
        </w:rPr>
      </w:pPr>
      <w:r w:rsidRPr="004F46AC">
        <w:rPr>
          <w:rFonts w:ascii="Calibri" w:hAnsi="Calibri"/>
          <w:color w:val="000000"/>
          <w:sz w:val="22"/>
          <w:szCs w:val="22"/>
        </w:rPr>
        <w:t>stosowanie rtęci w produktach i procesach, które nie zostały jeszcze wprowadzone do obrotu,</w:t>
      </w:r>
    </w:p>
    <w:p w:rsidR="00F33BF1" w:rsidRPr="004F46AC" w:rsidRDefault="00F33BF1" w:rsidP="004F46AC">
      <w:pPr>
        <w:pStyle w:val="a3520normalp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567" w:right="57" w:hanging="567"/>
        <w:jc w:val="both"/>
        <w:rPr>
          <w:rFonts w:ascii="Calibri" w:hAnsi="Calibri"/>
          <w:color w:val="000000"/>
          <w:sz w:val="22"/>
          <w:szCs w:val="22"/>
        </w:rPr>
      </w:pPr>
      <w:r w:rsidRPr="004F46AC">
        <w:rPr>
          <w:rFonts w:ascii="Calibri" w:hAnsi="Calibri"/>
          <w:color w:val="000000"/>
          <w:sz w:val="22"/>
          <w:szCs w:val="22"/>
        </w:rPr>
        <w:t>ograniczenia w zakresie niektórych procesów, w których używa się rtęci,</w:t>
      </w:r>
    </w:p>
    <w:p w:rsidR="00F33BF1" w:rsidRPr="004F46AC" w:rsidRDefault="00F33BF1" w:rsidP="004F46AC">
      <w:pPr>
        <w:pStyle w:val="a3520normalp3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567" w:right="57" w:hanging="567"/>
        <w:jc w:val="both"/>
        <w:rPr>
          <w:rFonts w:ascii="Calibri" w:hAnsi="Calibri"/>
          <w:color w:val="000000"/>
          <w:sz w:val="22"/>
          <w:szCs w:val="22"/>
        </w:rPr>
      </w:pPr>
      <w:r w:rsidRPr="004F46AC">
        <w:rPr>
          <w:rFonts w:ascii="Calibri" w:hAnsi="Calibri"/>
          <w:color w:val="000000"/>
          <w:sz w:val="22"/>
          <w:szCs w:val="22"/>
        </w:rPr>
        <w:t>ograniczenie wykorzystania rtęci przy wydobywaniu złota na małą skalę.</w:t>
      </w:r>
    </w:p>
    <w:p w:rsidR="00F33BF1" w:rsidRPr="004F46AC" w:rsidRDefault="00F33BF1" w:rsidP="004F46AC">
      <w:pPr>
        <w:pStyle w:val="a3520normalp3"/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Calibri" w:hAnsi="Calibri"/>
          <w:color w:val="000000"/>
          <w:sz w:val="22"/>
          <w:szCs w:val="22"/>
        </w:rPr>
      </w:pPr>
      <w:r w:rsidRPr="004F46AC">
        <w:rPr>
          <w:rFonts w:ascii="Calibri" w:hAnsi="Calibri"/>
          <w:color w:val="000000"/>
          <w:sz w:val="22"/>
          <w:szCs w:val="22"/>
        </w:rPr>
        <w:t>Istotne znaczenie będzie miała konwencja w zakresie ograniczenia emisji rtęci w procesach spalania węgla.</w:t>
      </w:r>
    </w:p>
    <w:p w:rsidR="00F33BF1" w:rsidRDefault="00F33BF1" w:rsidP="004F46AC">
      <w:pPr>
        <w:pStyle w:val="a3520normalp3"/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Calibri" w:hAnsi="Calibri"/>
          <w:color w:val="000000"/>
          <w:sz w:val="22"/>
          <w:szCs w:val="22"/>
        </w:rPr>
      </w:pPr>
    </w:p>
    <w:p w:rsidR="00F33BF1" w:rsidRDefault="00F33BF1" w:rsidP="004F46AC">
      <w:pPr>
        <w:pStyle w:val="a3520normalp3"/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Calibri" w:hAnsi="Calibri"/>
          <w:color w:val="000000"/>
          <w:sz w:val="22"/>
          <w:szCs w:val="22"/>
        </w:rPr>
      </w:pPr>
    </w:p>
    <w:p w:rsidR="00F33BF1" w:rsidRDefault="00F33BF1" w:rsidP="004F46AC">
      <w:pPr>
        <w:pStyle w:val="a3520normalp3"/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Calibri" w:hAnsi="Calibri"/>
          <w:color w:val="000000"/>
          <w:sz w:val="22"/>
          <w:szCs w:val="22"/>
        </w:rPr>
      </w:pPr>
    </w:p>
    <w:p w:rsidR="00F33BF1" w:rsidRDefault="00F33BF1" w:rsidP="004F46AC">
      <w:pPr>
        <w:pStyle w:val="a3520normalp3"/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Calibri" w:hAnsi="Calibri"/>
          <w:color w:val="000000"/>
          <w:sz w:val="22"/>
          <w:szCs w:val="22"/>
        </w:rPr>
      </w:pPr>
    </w:p>
    <w:p w:rsidR="00F33BF1" w:rsidRDefault="00F33BF1" w:rsidP="004F46AC">
      <w:pPr>
        <w:pStyle w:val="a3520normalp3"/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Calibri" w:hAnsi="Calibri"/>
          <w:color w:val="000000"/>
          <w:sz w:val="22"/>
          <w:szCs w:val="22"/>
        </w:rPr>
      </w:pPr>
    </w:p>
    <w:p w:rsidR="00F33BF1" w:rsidRDefault="00F33BF1" w:rsidP="004F46AC">
      <w:pPr>
        <w:pStyle w:val="a3520normalp3"/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Calibri" w:hAnsi="Calibri"/>
          <w:color w:val="000000"/>
          <w:sz w:val="22"/>
          <w:szCs w:val="22"/>
        </w:rPr>
      </w:pPr>
    </w:p>
    <w:p w:rsidR="00F33BF1" w:rsidRPr="004F46AC" w:rsidRDefault="00F33BF1" w:rsidP="004F46AC">
      <w:pPr>
        <w:pStyle w:val="a3520normalp3"/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Calibri" w:hAnsi="Calibri"/>
          <w:b/>
          <w:sz w:val="22"/>
          <w:szCs w:val="22"/>
        </w:rPr>
      </w:pPr>
    </w:p>
    <w:p w:rsidR="00F33BF1" w:rsidRPr="00E2124E" w:rsidRDefault="00F33BF1" w:rsidP="004F46AC">
      <w:pPr>
        <w:pStyle w:val="standard"/>
        <w:spacing w:line="360" w:lineRule="auto"/>
        <w:rPr>
          <w:b/>
          <w:i/>
          <w:color w:val="215868"/>
          <w:sz w:val="22"/>
          <w:szCs w:val="22"/>
        </w:rPr>
      </w:pPr>
      <w:r w:rsidRPr="00E2124E">
        <w:rPr>
          <w:b/>
          <w:i/>
          <w:color w:val="215868"/>
          <w:sz w:val="22"/>
          <w:szCs w:val="22"/>
        </w:rPr>
        <w:t>Podstawowe dokumenty strategiczne Unii Europejskiej</w:t>
      </w:r>
    </w:p>
    <w:p w:rsidR="00F33BF1" w:rsidRPr="004F46AC" w:rsidRDefault="00F33BF1" w:rsidP="004F46AC">
      <w:pPr>
        <w:pStyle w:val="standard"/>
        <w:spacing w:line="360" w:lineRule="auto"/>
        <w:rPr>
          <w:sz w:val="22"/>
          <w:szCs w:val="22"/>
        </w:rPr>
      </w:pPr>
      <w:r w:rsidRPr="004F46AC">
        <w:rPr>
          <w:sz w:val="22"/>
          <w:szCs w:val="22"/>
        </w:rPr>
        <w:t>Powiązanie podstawowych dokumentów strategicznych UE przedstawiono na niżej załączonym schemacie.</w:t>
      </w:r>
    </w:p>
    <w:p w:rsidR="00F33BF1" w:rsidRPr="004F46AC" w:rsidRDefault="00282CF8" w:rsidP="004F46AC">
      <w:pPr>
        <w:keepNext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>
            <wp:extent cx="5629275" cy="4324350"/>
            <wp:effectExtent l="0" t="0" r="0" b="0"/>
            <wp:docPr id="9" name="Obraz 7" descr="schemat 2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schemat 2 p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F1" w:rsidRPr="004F46AC" w:rsidRDefault="00F33BF1" w:rsidP="004F46AC">
      <w:pPr>
        <w:pStyle w:val="Legenda"/>
        <w:spacing w:after="0" w:line="360" w:lineRule="auto"/>
        <w:rPr>
          <w:b w:val="0"/>
          <w:caps/>
          <w:color w:val="auto"/>
          <w:sz w:val="22"/>
          <w:szCs w:val="22"/>
        </w:rPr>
      </w:pPr>
      <w:r w:rsidRPr="004F46AC">
        <w:rPr>
          <w:b w:val="0"/>
          <w:caps/>
          <w:color w:val="auto"/>
          <w:sz w:val="22"/>
          <w:szCs w:val="22"/>
        </w:rPr>
        <w:t xml:space="preserve">Rysunek </w:t>
      </w:r>
      <w:r w:rsidRPr="004F46AC">
        <w:rPr>
          <w:b w:val="0"/>
          <w:caps/>
          <w:color w:val="auto"/>
          <w:sz w:val="22"/>
          <w:szCs w:val="22"/>
        </w:rPr>
        <w:fldChar w:fldCharType="begin"/>
      </w:r>
      <w:r w:rsidRPr="004F46AC">
        <w:rPr>
          <w:b w:val="0"/>
          <w:caps/>
          <w:color w:val="auto"/>
          <w:sz w:val="22"/>
          <w:szCs w:val="22"/>
        </w:rPr>
        <w:instrText xml:space="preserve"> SEQ Rysunek \* ARABIC </w:instrText>
      </w:r>
      <w:r w:rsidRPr="004F46AC">
        <w:rPr>
          <w:b w:val="0"/>
          <w:caps/>
          <w:color w:val="auto"/>
          <w:sz w:val="22"/>
          <w:szCs w:val="22"/>
        </w:rPr>
        <w:fldChar w:fldCharType="separate"/>
      </w:r>
      <w:r>
        <w:rPr>
          <w:b w:val="0"/>
          <w:caps/>
          <w:noProof/>
          <w:color w:val="auto"/>
          <w:sz w:val="22"/>
          <w:szCs w:val="22"/>
        </w:rPr>
        <w:t>1</w:t>
      </w:r>
      <w:r w:rsidRPr="004F46AC">
        <w:rPr>
          <w:b w:val="0"/>
          <w:caps/>
          <w:color w:val="auto"/>
          <w:sz w:val="22"/>
          <w:szCs w:val="22"/>
        </w:rPr>
        <w:fldChar w:fldCharType="end"/>
      </w:r>
      <w:r w:rsidRPr="004F46AC">
        <w:rPr>
          <w:b w:val="0"/>
          <w:caps/>
          <w:color w:val="auto"/>
          <w:sz w:val="22"/>
          <w:szCs w:val="22"/>
        </w:rPr>
        <w:t xml:space="preserve"> </w:t>
      </w:r>
      <w:bookmarkStart w:id="7" w:name="_Toc374964626"/>
      <w:bookmarkStart w:id="8" w:name="_Toc388002562"/>
      <w:bookmarkStart w:id="9" w:name="_Toc363783503"/>
      <w:r w:rsidRPr="004F46AC">
        <w:rPr>
          <w:b w:val="0"/>
          <w:caps/>
          <w:color w:val="auto"/>
          <w:sz w:val="22"/>
          <w:szCs w:val="22"/>
        </w:rPr>
        <w:t>Powiązanie strategii Europa 2020 z innymi dokumentami (Źródło: EEA, Environment and human health 2012 za Rappolder, 2012</w:t>
      </w:r>
      <w:bookmarkEnd w:id="7"/>
      <w:bookmarkEnd w:id="8"/>
      <w:bookmarkEnd w:id="9"/>
      <w:r w:rsidRPr="004F46AC">
        <w:rPr>
          <w:b w:val="0"/>
          <w:caps/>
          <w:color w:val="auto"/>
          <w:sz w:val="22"/>
          <w:szCs w:val="22"/>
        </w:rPr>
        <w:t>)</w:t>
      </w:r>
    </w:p>
    <w:p w:rsidR="00F33BF1" w:rsidRPr="004F46AC" w:rsidRDefault="00F33BF1" w:rsidP="004F46AC">
      <w:pPr>
        <w:rPr>
          <w:sz w:val="22"/>
        </w:rPr>
      </w:pP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Analizę podstawowych dokumentów UE odnoszących się do zagadnień objętych </w:t>
      </w:r>
      <w:r>
        <w:rPr>
          <w:sz w:val="22"/>
        </w:rPr>
        <w:t xml:space="preserve">projektem dokumentu </w:t>
      </w:r>
      <w:r w:rsidRPr="004F46AC">
        <w:rPr>
          <w:i/>
          <w:sz w:val="22"/>
        </w:rPr>
        <w:t>Project pipeline</w:t>
      </w:r>
      <w:r w:rsidRPr="004F46AC">
        <w:rPr>
          <w:sz w:val="22"/>
        </w:rPr>
        <w:t xml:space="preserve"> przeprowadzono głównie z punktu widzenia potrzeb Prognozy oddziaływania na środowisko. Przeprowadzono ją według niżej zamieszczonego schematu.</w:t>
      </w:r>
    </w:p>
    <w:p w:rsidR="00F33BF1" w:rsidRPr="004F46AC" w:rsidRDefault="00F33BF1" w:rsidP="00E2124E">
      <w:pPr>
        <w:keepNext/>
        <w:jc w:val="center"/>
        <w:rPr>
          <w:sz w:val="22"/>
        </w:rPr>
      </w:pPr>
      <w:r w:rsidRPr="004F46AC">
        <w:rPr>
          <w:sz w:val="22"/>
        </w:rPr>
        <w:object w:dxaOrig="583" w:dyaOrig="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4pt;height:262.5pt" o:ole="">
            <v:imagedata r:id="rId8" o:title=""/>
          </v:shape>
          <o:OLEObject Type="Embed" ProgID="PowerPoint.Slide.12" ShapeID="_x0000_i1026" DrawAspect="Content" ObjectID="_1643713512" r:id="rId9"/>
        </w:object>
      </w:r>
    </w:p>
    <w:p w:rsidR="00F33BF1" w:rsidRPr="00E2124E" w:rsidRDefault="00F33BF1" w:rsidP="004F46AC">
      <w:pPr>
        <w:pStyle w:val="Legenda"/>
        <w:spacing w:after="0" w:line="360" w:lineRule="auto"/>
        <w:rPr>
          <w:b w:val="0"/>
          <w:smallCaps/>
          <w:color w:val="auto"/>
          <w:sz w:val="22"/>
          <w:szCs w:val="22"/>
        </w:rPr>
      </w:pPr>
      <w:r w:rsidRPr="00E2124E">
        <w:rPr>
          <w:b w:val="0"/>
          <w:smallCaps/>
          <w:color w:val="auto"/>
          <w:sz w:val="22"/>
          <w:szCs w:val="22"/>
        </w:rPr>
        <w:t xml:space="preserve">Rysunek </w:t>
      </w:r>
      <w:r w:rsidRPr="00E2124E">
        <w:rPr>
          <w:b w:val="0"/>
          <w:smallCaps/>
          <w:color w:val="auto"/>
          <w:sz w:val="22"/>
          <w:szCs w:val="22"/>
        </w:rPr>
        <w:fldChar w:fldCharType="begin"/>
      </w:r>
      <w:r w:rsidRPr="00E2124E">
        <w:rPr>
          <w:b w:val="0"/>
          <w:smallCaps/>
          <w:color w:val="auto"/>
          <w:sz w:val="22"/>
          <w:szCs w:val="22"/>
        </w:rPr>
        <w:instrText xml:space="preserve"> SEQ Rysunek \* ARABIC </w:instrText>
      </w:r>
      <w:r w:rsidRPr="00E2124E">
        <w:rPr>
          <w:b w:val="0"/>
          <w:smallCaps/>
          <w:color w:val="auto"/>
          <w:sz w:val="22"/>
          <w:szCs w:val="22"/>
        </w:rPr>
        <w:fldChar w:fldCharType="separate"/>
      </w:r>
      <w:r w:rsidRPr="00E2124E">
        <w:rPr>
          <w:b w:val="0"/>
          <w:smallCaps/>
          <w:noProof/>
          <w:color w:val="auto"/>
          <w:sz w:val="22"/>
          <w:szCs w:val="22"/>
        </w:rPr>
        <w:t>2</w:t>
      </w:r>
      <w:r w:rsidRPr="00E2124E">
        <w:rPr>
          <w:b w:val="0"/>
          <w:smallCaps/>
          <w:color w:val="auto"/>
          <w:sz w:val="22"/>
          <w:szCs w:val="22"/>
        </w:rPr>
        <w:fldChar w:fldCharType="end"/>
      </w:r>
      <w:bookmarkStart w:id="10" w:name="_Toc374964627"/>
      <w:bookmarkStart w:id="11" w:name="_Toc388002563"/>
      <w:r w:rsidRPr="00E2124E">
        <w:rPr>
          <w:b w:val="0"/>
          <w:smallCaps/>
          <w:color w:val="auto"/>
          <w:sz w:val="22"/>
          <w:szCs w:val="22"/>
        </w:rPr>
        <w:t xml:space="preserve"> Schemat analiz problemów badawczych (Źródło: Opracowanie własne).</w:t>
      </w:r>
      <w:bookmarkEnd w:id="10"/>
      <w:bookmarkEnd w:id="11"/>
    </w:p>
    <w:p w:rsidR="00F33BF1" w:rsidRPr="004F46AC" w:rsidRDefault="00F33BF1" w:rsidP="004F46AC">
      <w:pPr>
        <w:rPr>
          <w:sz w:val="22"/>
        </w:rPr>
      </w:pP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Wybrane, z punktu widzenia </w:t>
      </w:r>
      <w:r>
        <w:rPr>
          <w:sz w:val="22"/>
        </w:rPr>
        <w:t xml:space="preserve">dokumentu </w:t>
      </w:r>
      <w:r w:rsidRPr="004F46AC">
        <w:rPr>
          <w:sz w:val="22"/>
        </w:rPr>
        <w:t>Project pipeline</w:t>
      </w:r>
      <w:r w:rsidRPr="004F46AC">
        <w:rPr>
          <w:i/>
          <w:sz w:val="22"/>
        </w:rPr>
        <w:t xml:space="preserve"> </w:t>
      </w:r>
      <w:r w:rsidRPr="004F46AC">
        <w:rPr>
          <w:sz w:val="22"/>
        </w:rPr>
        <w:t>dokumenty strategiczne UE przedstawione zostały niżej.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Europa 2020 – Strategia na rzecz inteligentnego i zrównoważonego rozwoju sprzyjającego włączeniu społecznemu</w:t>
      </w:r>
      <w:r w:rsidRPr="004F46AC">
        <w:rPr>
          <w:sz w:val="22"/>
        </w:rPr>
        <w:t xml:space="preserve">  (KOM(2010)2020 wersja ostateczna)</w:t>
      </w:r>
      <w:r w:rsidRPr="004F46AC">
        <w:rPr>
          <w:rStyle w:val="Odwoanieprzypisudolnego"/>
          <w:sz w:val="22"/>
        </w:rPr>
        <w:footnoteReference w:id="8"/>
      </w:r>
      <w:r w:rsidRPr="004F46AC">
        <w:rPr>
          <w:sz w:val="22"/>
        </w:rPr>
        <w:t>. Strategia  obejmuje trzy wzajemnie ze sobą powiązane priorytety:</w:t>
      </w:r>
    </w:p>
    <w:p w:rsidR="00F33BF1" w:rsidRPr="004F46AC" w:rsidRDefault="00F33BF1" w:rsidP="004F46AC">
      <w:pPr>
        <w:shd w:val="clear" w:color="auto" w:fill="FFFFFF"/>
        <w:rPr>
          <w:sz w:val="22"/>
        </w:rPr>
      </w:pPr>
      <w:r w:rsidRPr="004F46AC">
        <w:rPr>
          <w:sz w:val="22"/>
        </w:rPr>
        <w:t>– rozwój inteligentny: rozwój gospodarki opartej na wiedzy i innowacji;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– rozwój zrównoważony: wspieranie gospodarki efektywniej korzystającej z zasobów, bardziej przyjaznej środowisku i bardziej konkurencyjnej;</w:t>
      </w:r>
    </w:p>
    <w:p w:rsidR="00F33BF1" w:rsidRPr="004F46AC" w:rsidRDefault="00F33BF1" w:rsidP="004F46AC">
      <w:pPr>
        <w:rPr>
          <w:sz w:val="22"/>
          <w:shd w:val="clear" w:color="auto" w:fill="FFFFFF"/>
        </w:rPr>
      </w:pPr>
      <w:r w:rsidRPr="004F46AC">
        <w:rPr>
          <w:sz w:val="22"/>
        </w:rPr>
        <w:t>– rozwój sprzyjający włączeniu społecznemu: wspieranie gospodarki o wysokim poziomie zatrudnienia, zapewniającej spójność społeczną i terytorialn</w:t>
      </w:r>
      <w:r w:rsidRPr="004F46AC">
        <w:rPr>
          <w:sz w:val="22"/>
          <w:shd w:val="clear" w:color="auto" w:fill="FFFFFF"/>
        </w:rPr>
        <w:t>ą.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lastRenderedPageBreak/>
        <w:t>Wśród celów nadrzędnych Strategii jest osiągnięcie celów „20/20/20” (ograniczenie emisji gazów cieplarnianych o 20%, a jeżeli warunki na to pozwolą o 30%, uzyskanie 20% udziału odnawialnych źródeł energii, uzyskanie 20% oszczędności energii do 2020r. w stosunku do 1990r.).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Jednym z siedmiu najważniejszych projektów wiodących jest </w:t>
      </w:r>
      <w:r w:rsidRPr="004F46AC">
        <w:rPr>
          <w:b/>
          <w:i/>
          <w:sz w:val="22"/>
        </w:rPr>
        <w:t>Projekt przewodni: Europa efektywnie korzystająca z zasobów</w:t>
      </w:r>
      <w:r w:rsidRPr="004F46AC">
        <w:rPr>
          <w:sz w:val="22"/>
        </w:rPr>
        <w:t>. Celem projektu jest wsparcie zmian w kierunku niskoemisyjnej i efektywniej korzystającej z zasobów gospodarki, uniezależnienia wzrostu gospodarczego od wykorzystania zasobów i energii, ograniczenia emisji CO</w:t>
      </w:r>
      <w:r w:rsidRPr="004F46AC">
        <w:rPr>
          <w:sz w:val="22"/>
          <w:vertAlign w:val="subscript"/>
        </w:rPr>
        <w:t>2</w:t>
      </w:r>
      <w:r w:rsidRPr="004F46AC">
        <w:rPr>
          <w:sz w:val="22"/>
        </w:rPr>
        <w:t>, zwiększenia konkurencyjności zwiększenia bezpieczeństwa energetycznego.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Państwa członkowskie mają w zakresie tego projektu:</w:t>
      </w:r>
    </w:p>
    <w:p w:rsidR="00F33BF1" w:rsidRPr="004F46AC" w:rsidRDefault="00F33BF1" w:rsidP="004F46AC">
      <w:pPr>
        <w:numPr>
          <w:ilvl w:val="0"/>
          <w:numId w:val="23"/>
        </w:numPr>
        <w:ind w:left="567" w:hanging="567"/>
        <w:rPr>
          <w:sz w:val="22"/>
        </w:rPr>
      </w:pPr>
      <w:r w:rsidRPr="004F46AC">
        <w:rPr>
          <w:sz w:val="22"/>
        </w:rPr>
        <w:t>stopniowo wycofywać dotacje szkodliwe dla środowiska, stosując wyjątki jedynie w przypadku osób w trudnej sytuacji społecznej;</w:t>
      </w:r>
    </w:p>
    <w:p w:rsidR="00F33BF1" w:rsidRPr="004F46AC" w:rsidRDefault="00F33BF1" w:rsidP="004F46AC">
      <w:pPr>
        <w:numPr>
          <w:ilvl w:val="0"/>
          <w:numId w:val="20"/>
        </w:numPr>
        <w:ind w:left="567" w:hanging="567"/>
        <w:rPr>
          <w:sz w:val="22"/>
        </w:rPr>
      </w:pPr>
      <w:r w:rsidRPr="004F46AC">
        <w:rPr>
          <w:sz w:val="22"/>
        </w:rPr>
        <w:t>stosować instrumenty rynkowe, takie jak zachęty fiskalne i zamówienia publiczne, w celu zmiany metod produkcji i konsumpcji;</w:t>
      </w:r>
    </w:p>
    <w:p w:rsidR="00F33BF1" w:rsidRPr="004F46AC" w:rsidRDefault="00F33BF1" w:rsidP="004F46AC">
      <w:pPr>
        <w:numPr>
          <w:ilvl w:val="0"/>
          <w:numId w:val="20"/>
        </w:numPr>
        <w:ind w:left="567" w:hanging="567"/>
        <w:rPr>
          <w:sz w:val="22"/>
        </w:rPr>
      </w:pPr>
      <w:r w:rsidRPr="004F46AC">
        <w:rPr>
          <w:sz w:val="22"/>
        </w:rPr>
        <w:t>stworzyć inteligentne, zmodernizowane i w pełni wzajemnie połączone infrastruktury transportowe i energetyczne oraz korzystać w pełni z potencjału technologii ICT,</w:t>
      </w:r>
    </w:p>
    <w:p w:rsidR="00F33BF1" w:rsidRPr="004F46AC" w:rsidRDefault="00F33BF1" w:rsidP="004F46AC">
      <w:pPr>
        <w:numPr>
          <w:ilvl w:val="0"/>
          <w:numId w:val="20"/>
        </w:numPr>
        <w:ind w:left="567" w:hanging="567"/>
        <w:rPr>
          <w:sz w:val="22"/>
        </w:rPr>
      </w:pPr>
      <w:r w:rsidRPr="004F46AC">
        <w:rPr>
          <w:sz w:val="22"/>
        </w:rPr>
        <w:t>zapewnić skoordynowaną realizację projektów infrastrukturalnych w ramach sieci bazowej UE, które będą miały ogromne znaczenie dla efektywności całego systemu transportowego UE,</w:t>
      </w:r>
    </w:p>
    <w:p w:rsidR="00F33BF1" w:rsidRPr="004F46AC" w:rsidRDefault="00F33BF1" w:rsidP="004F46AC">
      <w:pPr>
        <w:numPr>
          <w:ilvl w:val="0"/>
          <w:numId w:val="20"/>
        </w:numPr>
        <w:ind w:left="567" w:hanging="567"/>
        <w:rPr>
          <w:sz w:val="22"/>
        </w:rPr>
      </w:pPr>
      <w:r w:rsidRPr="004F46AC">
        <w:rPr>
          <w:sz w:val="22"/>
        </w:rPr>
        <w:t>skierować uwagę na transport w miastach, które są źródłem dużego zagęszczenia ruchu i emisji zanieczyszczeń,</w:t>
      </w:r>
    </w:p>
    <w:p w:rsidR="00F33BF1" w:rsidRPr="004F46AC" w:rsidRDefault="00F33BF1" w:rsidP="004F46AC">
      <w:pPr>
        <w:numPr>
          <w:ilvl w:val="0"/>
          <w:numId w:val="20"/>
        </w:numPr>
        <w:ind w:left="567" w:hanging="567"/>
        <w:rPr>
          <w:sz w:val="22"/>
        </w:rPr>
      </w:pPr>
      <w:r w:rsidRPr="004F46AC">
        <w:rPr>
          <w:sz w:val="22"/>
        </w:rPr>
        <w:t>wykorzystywać przepisy, normy w zakresie efektywności energetycznej budynków i instrumenty rynkowe takie jak podatki, dotacje i zamówienia publiczne w celu ograniczenia zużycia energii i zasobów, a także stosować fundusze strukturalne na potrzeby inwestycji w efektywność energetyczną w budynkach użyteczności publicznej i bardziej skuteczny recykling,</w:t>
      </w:r>
    </w:p>
    <w:p w:rsidR="00F33BF1" w:rsidRPr="004F46AC" w:rsidRDefault="00F33BF1" w:rsidP="004F46AC">
      <w:pPr>
        <w:numPr>
          <w:ilvl w:val="0"/>
          <w:numId w:val="20"/>
        </w:numPr>
        <w:rPr>
          <w:sz w:val="22"/>
        </w:rPr>
      </w:pPr>
      <w:r w:rsidRPr="004F46AC">
        <w:rPr>
          <w:sz w:val="22"/>
        </w:rPr>
        <w:t>propagować instrumenty służące oszczędzaniu energii, które mogłyby podnieść efektywność sektorów energochłonnych.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rFonts w:cs="Tahoma"/>
          <w:b/>
          <w:bCs/>
          <w:i/>
          <w:color w:val="000000"/>
          <w:sz w:val="22"/>
        </w:rPr>
        <w:lastRenderedPageBreak/>
        <w:t>Rezolucja Parlamentu Europejskiego z dnia 24 maja 2012r. w sprawie Europy efektywnie korzystającej z zasobów</w:t>
      </w:r>
      <w:r w:rsidRPr="004F46AC">
        <w:rPr>
          <w:rFonts w:cs="Tahoma"/>
          <w:b/>
          <w:bCs/>
          <w:color w:val="000000"/>
          <w:sz w:val="22"/>
        </w:rPr>
        <w:t xml:space="preserve"> </w:t>
      </w:r>
      <w:r w:rsidRPr="004F46AC">
        <w:rPr>
          <w:rFonts w:cs="Tahoma"/>
          <w:bCs/>
          <w:color w:val="000000"/>
          <w:sz w:val="22"/>
        </w:rPr>
        <w:t>(2011/2068(INI))</w:t>
      </w:r>
      <w:r w:rsidRPr="004F46AC">
        <w:rPr>
          <w:rStyle w:val="Odwoanieprzypisudolnego"/>
          <w:rFonts w:cs="Tahoma"/>
          <w:bCs/>
          <w:color w:val="000000"/>
          <w:sz w:val="22"/>
        </w:rPr>
        <w:footnoteReference w:id="9"/>
      </w:r>
      <w:r w:rsidRPr="004F46AC">
        <w:rPr>
          <w:rFonts w:cs="Tahoma"/>
          <w:bCs/>
          <w:color w:val="000000"/>
          <w:sz w:val="22"/>
        </w:rPr>
        <w:t xml:space="preserve"> wzywa do realizacji działań w zakresie efektywności zasobowej Europy, zgodnie z ustaleniami Strategii Europa 2020, oraz jej projektu wiodącego (przedstawionego wyżej), jak również opracowanego na tej podstawie </w:t>
      </w:r>
      <w:r w:rsidRPr="004F46AC">
        <w:rPr>
          <w:rFonts w:cs="Tahoma"/>
          <w:b/>
          <w:i/>
          <w:color w:val="000000"/>
          <w:sz w:val="22"/>
        </w:rPr>
        <w:t>Planu działań na rzecz zasobooszczędnej Europy</w:t>
      </w:r>
      <w:r w:rsidRPr="004F46AC">
        <w:rPr>
          <w:rFonts w:cs="Tahoma"/>
          <w:b/>
          <w:color w:val="000000"/>
          <w:sz w:val="22"/>
        </w:rPr>
        <w:t xml:space="preserve"> zawartego</w:t>
      </w:r>
      <w:r w:rsidRPr="004F46AC">
        <w:rPr>
          <w:rFonts w:cs="Tahoma"/>
          <w:color w:val="000000"/>
          <w:sz w:val="22"/>
        </w:rPr>
        <w:t xml:space="preserve"> w komunikacie Komisji" (COM(2011)0571)</w:t>
      </w:r>
      <w:r w:rsidRPr="004F46AC">
        <w:rPr>
          <w:rStyle w:val="Odwoanieprzypisudolnego"/>
          <w:rFonts w:cs="Tahoma"/>
          <w:color w:val="000000"/>
          <w:sz w:val="22"/>
        </w:rPr>
        <w:footnoteReference w:id="10"/>
      </w:r>
      <w:r w:rsidRPr="004F46AC">
        <w:rPr>
          <w:rFonts w:cs="Tahoma"/>
          <w:color w:val="000000"/>
          <w:sz w:val="22"/>
        </w:rPr>
        <w:t>.</w:t>
      </w:r>
    </w:p>
    <w:p w:rsidR="00F33BF1" w:rsidRPr="004F46AC" w:rsidRDefault="00F33BF1" w:rsidP="004F46AC">
      <w:pPr>
        <w:rPr>
          <w:rStyle w:val="apple-converted-space"/>
          <w:rFonts w:cs="Arial"/>
          <w:sz w:val="22"/>
          <w:shd w:val="clear" w:color="auto" w:fill="FFFFFF"/>
        </w:rPr>
      </w:pPr>
      <w:r w:rsidRPr="004F46AC">
        <w:rPr>
          <w:rFonts w:cs="Arial"/>
          <w:b/>
          <w:bCs/>
          <w:i/>
          <w:sz w:val="22"/>
          <w:shd w:val="clear" w:color="auto" w:fill="FFFFFF"/>
        </w:rPr>
        <w:t>Rezolucja Parlamentu Europejskiego z dnia 15 marca 2012 r. w sprawie planu działania prowadzącego do przejścia na konkurencyjną gospodarkę niskoemisyjną do 2050</w:t>
      </w:r>
      <w:r w:rsidRPr="004F46AC">
        <w:rPr>
          <w:rFonts w:cs="Arial"/>
          <w:b/>
          <w:bCs/>
          <w:sz w:val="22"/>
          <w:shd w:val="clear" w:color="auto" w:fill="FFFFFF"/>
        </w:rPr>
        <w:t xml:space="preserve">r. </w:t>
      </w:r>
      <w:r w:rsidRPr="004F46AC">
        <w:rPr>
          <w:rFonts w:cs="Arial"/>
          <w:bCs/>
          <w:sz w:val="22"/>
          <w:shd w:val="clear" w:color="auto" w:fill="FFFFFF"/>
        </w:rPr>
        <w:t>(2011/2095(INI))</w:t>
      </w:r>
      <w:r w:rsidRPr="004F46AC">
        <w:rPr>
          <w:rStyle w:val="Odwoanieprzypisudolnego"/>
          <w:rFonts w:cs="Arial"/>
          <w:bCs/>
          <w:sz w:val="22"/>
          <w:shd w:val="clear" w:color="auto" w:fill="FFFFFF"/>
        </w:rPr>
        <w:footnoteReference w:id="11"/>
      </w:r>
      <w:r w:rsidRPr="004F46AC">
        <w:rPr>
          <w:rFonts w:cs="Arial"/>
          <w:bCs/>
          <w:sz w:val="22"/>
          <w:shd w:val="clear" w:color="auto" w:fill="FFFFFF"/>
        </w:rPr>
        <w:t xml:space="preserve"> wzywa do realizacji działań na rzecz ograniczenia emisji gazów cieplarnianych określonych w Strategii Europa 2020, jak również w </w:t>
      </w:r>
      <w:r w:rsidRPr="004F46AC">
        <w:rPr>
          <w:rFonts w:cs="Arial"/>
          <w:b/>
          <w:bCs/>
          <w:i/>
          <w:sz w:val="22"/>
          <w:shd w:val="clear" w:color="auto" w:fill="FFFFFF"/>
        </w:rPr>
        <w:t>Mapie drogowej do niskoemisyjnej gospodarki do 2050r</w:t>
      </w:r>
      <w:r w:rsidRPr="004F46AC">
        <w:rPr>
          <w:rFonts w:cs="Arial"/>
          <w:bCs/>
          <w:sz w:val="22"/>
          <w:shd w:val="clear" w:color="auto" w:fill="FFFFFF"/>
        </w:rPr>
        <w:t xml:space="preserve">. przedstawionej w Komunikacie Komisji Europejskiej </w:t>
      </w:r>
      <w:r w:rsidRPr="004F46AC">
        <w:rPr>
          <w:rFonts w:cs="Arial"/>
          <w:sz w:val="22"/>
          <w:shd w:val="clear" w:color="auto" w:fill="FFFFFF"/>
        </w:rPr>
        <w:t>(</w:t>
      </w:r>
      <w:r w:rsidRPr="004F46AC">
        <w:rPr>
          <w:rFonts w:cs="Arial"/>
          <w:bCs/>
          <w:sz w:val="22"/>
          <w:shd w:val="clear" w:color="auto" w:fill="FFFFFF"/>
        </w:rPr>
        <w:t>COM(2011)0112</w:t>
      </w:r>
      <w:r w:rsidRPr="004F46AC">
        <w:rPr>
          <w:rFonts w:cs="Arial"/>
          <w:sz w:val="22"/>
          <w:shd w:val="clear" w:color="auto" w:fill="FFFFFF"/>
        </w:rPr>
        <w:t>)</w:t>
      </w:r>
      <w:r w:rsidRPr="004F46AC">
        <w:rPr>
          <w:rStyle w:val="Odwoanieprzypisudolnego"/>
          <w:rFonts w:cs="Arial"/>
          <w:sz w:val="22"/>
          <w:shd w:val="clear" w:color="auto" w:fill="FFFFFF"/>
        </w:rPr>
        <w:footnoteReference w:id="12"/>
      </w:r>
      <w:r w:rsidRPr="004F46AC">
        <w:rPr>
          <w:rStyle w:val="apple-converted-space"/>
          <w:rFonts w:cs="Arial"/>
          <w:sz w:val="22"/>
          <w:shd w:val="clear" w:color="auto" w:fill="FFFFFF"/>
        </w:rPr>
        <w:t xml:space="preserve">, zgodnie z przyjętymi przez Radę Europejską celami redukcji emisji gazów cieplarnianych o 80 do 95% do 2050r. w stosunku do 1990r. Należy zaznaczyć, że zarówno </w:t>
      </w:r>
      <w:r w:rsidRPr="004F46AC">
        <w:rPr>
          <w:rStyle w:val="apple-converted-space"/>
          <w:rFonts w:cs="Arial"/>
          <w:i/>
          <w:sz w:val="22"/>
          <w:shd w:val="clear" w:color="auto" w:fill="FFFFFF"/>
        </w:rPr>
        <w:t>Mapa drogowa</w:t>
      </w:r>
      <w:r w:rsidRPr="004F46AC">
        <w:rPr>
          <w:rStyle w:val="apple-converted-space"/>
          <w:rFonts w:cs="Arial"/>
          <w:sz w:val="22"/>
          <w:shd w:val="clear" w:color="auto" w:fill="FFFFFF"/>
        </w:rPr>
        <w:t xml:space="preserve">, która nie została przyjęta przez Radę Europejską, jak i rezolucja PE nie są obowiązujące. Przewidywane w </w:t>
      </w:r>
      <w:r w:rsidRPr="004F46AC">
        <w:rPr>
          <w:rStyle w:val="apple-converted-space"/>
          <w:rFonts w:cs="Arial"/>
          <w:i/>
          <w:sz w:val="22"/>
          <w:shd w:val="clear" w:color="auto" w:fill="FFFFFF"/>
        </w:rPr>
        <w:t>Mapie drogowej</w:t>
      </w:r>
      <w:r w:rsidRPr="004F46AC">
        <w:rPr>
          <w:rStyle w:val="apple-converted-space"/>
          <w:rFonts w:cs="Arial"/>
          <w:sz w:val="22"/>
          <w:shd w:val="clear" w:color="auto" w:fill="FFFFFF"/>
        </w:rPr>
        <w:t xml:space="preserve"> redukcje emisji gazów cieplarnianych w poszczególnych sektorach przedstawione są na niżej zamieszczonym wykresie.</w:t>
      </w:r>
    </w:p>
    <w:p w:rsidR="00F33BF1" w:rsidRPr="004F46AC" w:rsidRDefault="00F33BF1" w:rsidP="004F46AC">
      <w:pPr>
        <w:rPr>
          <w:rStyle w:val="apple-converted-space"/>
          <w:rFonts w:cs="Arial"/>
          <w:sz w:val="22"/>
          <w:shd w:val="clear" w:color="auto" w:fill="FFFFFF"/>
        </w:rPr>
      </w:pPr>
    </w:p>
    <w:p w:rsidR="00F33BF1" w:rsidRPr="004F46AC" w:rsidRDefault="00282CF8" w:rsidP="004F46AC">
      <w:pPr>
        <w:keepNext/>
        <w:rPr>
          <w:sz w:val="22"/>
        </w:rPr>
      </w:pPr>
      <w:r>
        <w:rPr>
          <w:noProof/>
          <w:sz w:val="22"/>
        </w:rPr>
        <w:lastRenderedPageBreak/>
        <w:drawing>
          <wp:inline distT="0" distB="0" distL="0" distR="0">
            <wp:extent cx="5753100" cy="3495675"/>
            <wp:effectExtent l="0" t="0" r="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F1" w:rsidRPr="00E2124E" w:rsidRDefault="00F33BF1" w:rsidP="004F46AC">
      <w:pPr>
        <w:pStyle w:val="Legenda"/>
        <w:spacing w:after="0" w:line="360" w:lineRule="auto"/>
        <w:rPr>
          <w:b w:val="0"/>
          <w:smallCaps/>
          <w:color w:val="auto"/>
          <w:sz w:val="22"/>
          <w:szCs w:val="22"/>
        </w:rPr>
      </w:pPr>
      <w:r w:rsidRPr="00E2124E">
        <w:rPr>
          <w:b w:val="0"/>
          <w:smallCaps/>
          <w:color w:val="auto"/>
          <w:sz w:val="22"/>
          <w:szCs w:val="22"/>
        </w:rPr>
        <w:t xml:space="preserve">Rysunek </w:t>
      </w:r>
      <w:r w:rsidRPr="00E2124E">
        <w:rPr>
          <w:b w:val="0"/>
          <w:smallCaps/>
          <w:color w:val="auto"/>
          <w:sz w:val="22"/>
          <w:szCs w:val="22"/>
        </w:rPr>
        <w:fldChar w:fldCharType="begin"/>
      </w:r>
      <w:r w:rsidRPr="00E2124E">
        <w:rPr>
          <w:b w:val="0"/>
          <w:smallCaps/>
          <w:color w:val="auto"/>
          <w:sz w:val="22"/>
          <w:szCs w:val="22"/>
        </w:rPr>
        <w:instrText xml:space="preserve"> SEQ Rysunek \* ARABIC </w:instrText>
      </w:r>
      <w:r w:rsidRPr="00E2124E">
        <w:rPr>
          <w:b w:val="0"/>
          <w:smallCaps/>
          <w:color w:val="auto"/>
          <w:sz w:val="22"/>
          <w:szCs w:val="22"/>
        </w:rPr>
        <w:fldChar w:fldCharType="separate"/>
      </w:r>
      <w:r w:rsidRPr="00E2124E">
        <w:rPr>
          <w:b w:val="0"/>
          <w:smallCaps/>
          <w:noProof/>
          <w:color w:val="auto"/>
          <w:sz w:val="22"/>
          <w:szCs w:val="22"/>
        </w:rPr>
        <w:t>3</w:t>
      </w:r>
      <w:r w:rsidRPr="00E2124E">
        <w:rPr>
          <w:b w:val="0"/>
          <w:smallCaps/>
          <w:color w:val="auto"/>
          <w:sz w:val="22"/>
          <w:szCs w:val="22"/>
        </w:rPr>
        <w:fldChar w:fldCharType="end"/>
      </w:r>
      <w:r w:rsidRPr="00E2124E">
        <w:rPr>
          <w:b w:val="0"/>
          <w:smallCaps/>
          <w:color w:val="auto"/>
          <w:sz w:val="22"/>
          <w:szCs w:val="22"/>
        </w:rPr>
        <w:t xml:space="preserve"> Mapa drogowa do niskoemisyjnej gospodarki. Redukcje emisji gazów cieplarnianych w poszczególnych sektorach (Źródło: KOM (2011) 112)</w:t>
      </w:r>
    </w:p>
    <w:p w:rsidR="00F33BF1" w:rsidRPr="004F46AC" w:rsidRDefault="00F33BF1" w:rsidP="004F46AC">
      <w:pPr>
        <w:rPr>
          <w:sz w:val="22"/>
        </w:rPr>
      </w:pPr>
    </w:p>
    <w:p w:rsidR="00F33BF1" w:rsidRPr="004F46AC" w:rsidRDefault="00F33BF1" w:rsidP="004F46AC">
      <w:pPr>
        <w:rPr>
          <w:rFonts w:cs="Calibri"/>
          <w:sz w:val="22"/>
        </w:rPr>
      </w:pPr>
      <w:r w:rsidRPr="004F46AC">
        <w:rPr>
          <w:rFonts w:cs="Calibri"/>
          <w:b/>
          <w:i/>
          <w:sz w:val="22"/>
        </w:rPr>
        <w:t>Mapa drogowa w zakresie energetyki do 2050</w:t>
      </w:r>
      <w:r w:rsidRPr="004F46AC">
        <w:rPr>
          <w:rFonts w:cs="Calibri"/>
          <w:b/>
          <w:sz w:val="22"/>
        </w:rPr>
        <w:t xml:space="preserve"> </w:t>
      </w:r>
      <w:r w:rsidRPr="004F46AC">
        <w:rPr>
          <w:rFonts w:cs="Calibri"/>
          <w:sz w:val="22"/>
        </w:rPr>
        <w:t>(COM(2011) 885 final)</w:t>
      </w:r>
      <w:r w:rsidRPr="004F46AC">
        <w:rPr>
          <w:rStyle w:val="Odwoanieprzypisudolnego"/>
          <w:rFonts w:cs="Calibri"/>
          <w:sz w:val="22"/>
        </w:rPr>
        <w:footnoteReference w:id="13"/>
      </w:r>
      <w:r w:rsidRPr="004F46AC">
        <w:rPr>
          <w:rFonts w:cs="Calibri"/>
          <w:sz w:val="22"/>
        </w:rPr>
        <w:t>. Dokument nie został przyjęty przez Radę Europejską, ale, ze względu na jego specyfikę warto przytoczyć jego podstawowe wnioski. Rozpatrywane scenariusze zakładają w każdym przypadku podejście długoterminowe, z zachowaniem bezpieczeństwa dostaw energii oraz konkurencyjności gospodarki.</w:t>
      </w:r>
    </w:p>
    <w:p w:rsidR="00F33BF1" w:rsidRPr="004F46AC" w:rsidRDefault="00F33BF1" w:rsidP="004F46AC">
      <w:pPr>
        <w:rPr>
          <w:rFonts w:cs="Calibri"/>
          <w:sz w:val="22"/>
          <w:u w:val="single"/>
        </w:rPr>
      </w:pPr>
      <w:r w:rsidRPr="004F46AC">
        <w:rPr>
          <w:rFonts w:cs="Calibri"/>
          <w:sz w:val="22"/>
          <w:u w:val="single"/>
        </w:rPr>
        <w:t>Konkluzje z porównania rozpatrywanych scenariuszy w skali UE: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dekarbonizacja energetyki jest możliwa i będzie mniej kosztowna niż realizacja obecnej polityki (w długiej perspektywie),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lastRenderedPageBreak/>
        <w:t>realizacja wymagać będzie większych kosztów kapitałowych, ale będą niższe koszty paliwa,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energia elektryczna odgrywać będzie większą rolę niż obecnie,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ceny energii elektrycznej będą rosły do 2030 r., a potem będą malały,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wydatki gospodarstw domowych na energię będą rosły (+16% w 2030 i +15% w 2050). Dotyczyć to będzie również przedsiębiorstw,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oszczędzanie energii będzie podstawowym kierunkiem działań (16-20% do 2030, 32-41% do 2050),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udział odnawialnych źródeł energii będzie znacząco wzrastał wg wszystkich scenariuszy (55% finalnego zużycia w 2050 r.),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jeżeli technologia CCS (podziemnego składowania CO</w:t>
      </w:r>
      <w:r w:rsidRPr="004F46AC">
        <w:rPr>
          <w:rFonts w:cs="Calibri"/>
          <w:sz w:val="22"/>
          <w:vertAlign w:val="subscript"/>
        </w:rPr>
        <w:t>2</w:t>
      </w:r>
      <w:r w:rsidRPr="004F46AC">
        <w:rPr>
          <w:rFonts w:cs="Calibri"/>
          <w:sz w:val="22"/>
        </w:rPr>
        <w:t>) zostanie praktycznie zastosowana będzie wykorzystana do 32% przy scenariuszu bez energetyki jądrowej do 24 % z energetyką jądrową, chyba, że zrealizowany zostanie scenariusz z większym wykorzystaniem OZE,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energetyka jądrowa nadal będzie miała istotny udział (do 15% wykorzystywanych paliw) szczególnie w przypadku opóźnień z CCS (wg tego scenariusza ceny energii będą najniższe),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następować będzie decentralizacja systemów energetycznych, choć będą one musiały współpracować,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węgiel może nadal odgrywać ważną rolę w zakresie bezpieczeństwa energetycznego, jeżeli rozwinięta będzie technologia CCS lub inne - niskoemisyjne,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rFonts w:cs="Calibri"/>
          <w:sz w:val="22"/>
        </w:rPr>
      </w:pPr>
      <w:r w:rsidRPr="004F46AC">
        <w:rPr>
          <w:rFonts w:cs="Calibri"/>
          <w:sz w:val="22"/>
        </w:rPr>
        <w:t>istotny dla przyszłej struktury energetycznej będzie rozwój innowacyjnych, niskoemisyjnych technologii oraz inteligentnych systemów optymalizujących produkcję i wykorzystanie energii,</w:t>
      </w:r>
    </w:p>
    <w:p w:rsidR="00F33BF1" w:rsidRPr="004F46AC" w:rsidRDefault="00F33BF1" w:rsidP="004F46AC">
      <w:pPr>
        <w:pStyle w:val="Akapitzlist"/>
        <w:numPr>
          <w:ilvl w:val="0"/>
          <w:numId w:val="25"/>
        </w:numPr>
        <w:ind w:left="567" w:hanging="567"/>
        <w:rPr>
          <w:sz w:val="22"/>
        </w:rPr>
      </w:pPr>
      <w:r w:rsidRPr="004F46AC">
        <w:rPr>
          <w:rFonts w:cs="Calibri"/>
          <w:sz w:val="22"/>
        </w:rPr>
        <w:t>ceny energii powinny uwzględniać wszystkie koszty (internalizacja kosztów), ale uwaga powinna być zwrócona na wyeliminowanie ubóstwa energetycznego.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S</w:t>
      </w:r>
      <w:r w:rsidRPr="004F46AC">
        <w:rPr>
          <w:b/>
          <w:i/>
          <w:sz w:val="22"/>
        </w:rPr>
        <w:t>trategia UE adaptacji do zmiany klimatu</w:t>
      </w:r>
      <w:r w:rsidRPr="004F46AC">
        <w:rPr>
          <w:sz w:val="22"/>
        </w:rPr>
        <w:t xml:space="preserve"> (COM(2013)216 wersja ostateczna)</w:t>
      </w:r>
      <w:r w:rsidRPr="004F46AC">
        <w:rPr>
          <w:rStyle w:val="Odwoanieprzypisudolnego"/>
          <w:sz w:val="22"/>
        </w:rPr>
        <w:footnoteReference w:id="14"/>
      </w:r>
      <w:r w:rsidRPr="004F46AC">
        <w:rPr>
          <w:sz w:val="22"/>
        </w:rPr>
        <w:t xml:space="preserve">.  Strategia określa działania w celu poprawy odporności Europy na zmiany klimatu. Zwiększenie gotowości i zdolności do reagowania na skutki zmian </w:t>
      </w:r>
      <w:r w:rsidRPr="004F46AC">
        <w:rPr>
          <w:sz w:val="22"/>
        </w:rPr>
        <w:lastRenderedPageBreak/>
        <w:t>klimatu na szczeblu lokalnym, regionalnym, krajowym i unijnym, opracowanie spójnego podejścia i poprawa koordynacji działań.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Biała Księga. Adaptacja do zmian klimatu: europejskie ramy działania</w:t>
      </w:r>
      <w:r w:rsidRPr="004F46AC">
        <w:rPr>
          <w:sz w:val="22"/>
        </w:rPr>
        <w:t xml:space="preserve"> (KOM(2009) 147 wersja ostateczna)</w:t>
      </w:r>
      <w:r w:rsidRPr="004F46AC">
        <w:rPr>
          <w:rStyle w:val="Odwoanieprzypisudolnego"/>
          <w:sz w:val="22"/>
        </w:rPr>
        <w:footnoteReference w:id="15"/>
      </w:r>
      <w:r w:rsidRPr="004F46AC">
        <w:rPr>
          <w:sz w:val="22"/>
        </w:rPr>
        <w:t xml:space="preserve"> przewiduje włączenie kwestii adaptacji do zmian klimatu do polityki UE w poszczególnych dziedzinach, w tym w zakresie Project pipeline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sz w:val="22"/>
        </w:rPr>
        <w:t xml:space="preserve">VII Ogólny unijny program działań w zakresie środowiska do 2020r. </w:t>
      </w:r>
      <w:r w:rsidRPr="004F46AC">
        <w:rPr>
          <w:b/>
          <w:i/>
          <w:sz w:val="22"/>
        </w:rPr>
        <w:t>Dobra jakość życia z uwzględnieniem ograniczeń naszej planety”</w:t>
      </w:r>
      <w:r w:rsidRPr="004F46AC">
        <w:rPr>
          <w:sz w:val="22"/>
        </w:rPr>
        <w:t>.</w:t>
      </w:r>
      <w:r w:rsidRPr="004F46AC">
        <w:rPr>
          <w:rStyle w:val="Odwoanieprzypisudolnego"/>
          <w:sz w:val="22"/>
        </w:rPr>
        <w:footnoteReference w:id="16"/>
      </w:r>
      <w:r w:rsidRPr="004F46AC">
        <w:rPr>
          <w:sz w:val="22"/>
        </w:rPr>
        <w:t xml:space="preserve"> (7 EAP). Celami priorytetowymi Programu są:</w:t>
      </w:r>
    </w:p>
    <w:p w:rsidR="00F33BF1" w:rsidRPr="004F46AC" w:rsidRDefault="00F33BF1" w:rsidP="004F46AC">
      <w:pPr>
        <w:numPr>
          <w:ilvl w:val="0"/>
          <w:numId w:val="24"/>
        </w:numPr>
        <w:shd w:val="clear" w:color="auto" w:fill="FFFFFF"/>
        <w:ind w:left="567" w:hanging="567"/>
        <w:rPr>
          <w:sz w:val="22"/>
        </w:rPr>
      </w:pPr>
      <w:r w:rsidRPr="004F46AC">
        <w:rPr>
          <w:sz w:val="22"/>
        </w:rPr>
        <w:t>ochrona, zachowanie i poprawa kapitału naturalnego Unii,</w:t>
      </w:r>
    </w:p>
    <w:p w:rsidR="00F33BF1" w:rsidRPr="004F46AC" w:rsidRDefault="00F33BF1" w:rsidP="004F46AC">
      <w:pPr>
        <w:numPr>
          <w:ilvl w:val="0"/>
          <w:numId w:val="24"/>
        </w:numPr>
        <w:shd w:val="clear" w:color="auto" w:fill="FFFFFF"/>
        <w:ind w:left="567" w:hanging="567"/>
        <w:rPr>
          <w:sz w:val="22"/>
        </w:rPr>
      </w:pPr>
      <w:r w:rsidRPr="004F46AC">
        <w:rPr>
          <w:sz w:val="22"/>
        </w:rPr>
        <w:t>przekształcenie Unii w zasobooszczędną, zieloną i konkurencyjną gospodarkę niskoemisyjną,</w:t>
      </w:r>
    </w:p>
    <w:p w:rsidR="00F33BF1" w:rsidRPr="004F46AC" w:rsidRDefault="00F33BF1" w:rsidP="004F46AC">
      <w:pPr>
        <w:numPr>
          <w:ilvl w:val="0"/>
          <w:numId w:val="24"/>
        </w:numPr>
        <w:shd w:val="clear" w:color="auto" w:fill="FFFFFF"/>
        <w:ind w:left="567" w:hanging="567"/>
        <w:rPr>
          <w:sz w:val="22"/>
        </w:rPr>
      </w:pPr>
      <w:r w:rsidRPr="004F46AC">
        <w:rPr>
          <w:sz w:val="22"/>
        </w:rPr>
        <w:t>ochrona obywateli Unii przed związanymi ze środowiskiem presjami i zagrożeniami dla zdrowia i dobrostanu,</w:t>
      </w:r>
    </w:p>
    <w:p w:rsidR="00F33BF1" w:rsidRPr="004F46AC" w:rsidRDefault="00F33BF1" w:rsidP="004F46AC">
      <w:pPr>
        <w:numPr>
          <w:ilvl w:val="0"/>
          <w:numId w:val="24"/>
        </w:numPr>
        <w:shd w:val="clear" w:color="auto" w:fill="FFFFFF"/>
        <w:ind w:left="567" w:hanging="567"/>
        <w:rPr>
          <w:sz w:val="22"/>
        </w:rPr>
      </w:pPr>
      <w:r w:rsidRPr="004F46AC">
        <w:rPr>
          <w:sz w:val="22"/>
        </w:rPr>
        <w:t>maksymalizacja korzyści płynących z prawodawstwa Unii w zakresie środowiska poprzez lepsze wdrażanie tego prawodawstwa,</w:t>
      </w:r>
    </w:p>
    <w:p w:rsidR="00F33BF1" w:rsidRPr="004F46AC" w:rsidRDefault="00F33BF1" w:rsidP="004F46AC">
      <w:pPr>
        <w:numPr>
          <w:ilvl w:val="0"/>
          <w:numId w:val="24"/>
        </w:numPr>
        <w:ind w:left="567" w:hanging="567"/>
        <w:rPr>
          <w:sz w:val="22"/>
        </w:rPr>
      </w:pPr>
      <w:r w:rsidRPr="004F46AC">
        <w:rPr>
          <w:sz w:val="22"/>
        </w:rPr>
        <w:t>doskonalenie bazy wiedzy i bazy dowodowej unijnej polityki w zakresie środowiska,</w:t>
      </w:r>
    </w:p>
    <w:p w:rsidR="00F33BF1" w:rsidRPr="004F46AC" w:rsidRDefault="00F33BF1" w:rsidP="004F46AC">
      <w:pPr>
        <w:numPr>
          <w:ilvl w:val="0"/>
          <w:numId w:val="24"/>
        </w:numPr>
        <w:ind w:left="567" w:hanging="567"/>
        <w:rPr>
          <w:sz w:val="22"/>
        </w:rPr>
      </w:pPr>
      <w:r w:rsidRPr="004F46AC">
        <w:rPr>
          <w:sz w:val="22"/>
        </w:rPr>
        <w:t>zabezpieczenie inwestycji na rzecz polityki w zakresie środowiska i klimatu oraz podjęcie kwestii ekologicznych efektów zewnętrznych,</w:t>
      </w:r>
    </w:p>
    <w:p w:rsidR="00F33BF1" w:rsidRPr="004F46AC" w:rsidRDefault="00F33BF1" w:rsidP="004F46AC">
      <w:pPr>
        <w:numPr>
          <w:ilvl w:val="0"/>
          <w:numId w:val="24"/>
        </w:numPr>
        <w:ind w:left="567" w:hanging="567"/>
        <w:rPr>
          <w:sz w:val="22"/>
        </w:rPr>
      </w:pPr>
      <w:r w:rsidRPr="004F46AC">
        <w:rPr>
          <w:sz w:val="22"/>
        </w:rPr>
        <w:t>lepsze uwzględnianie problematyki środowiska i większa spójność polityki,</w:t>
      </w:r>
    </w:p>
    <w:p w:rsidR="00F33BF1" w:rsidRPr="004F46AC" w:rsidRDefault="00F33BF1" w:rsidP="004F46AC">
      <w:pPr>
        <w:numPr>
          <w:ilvl w:val="0"/>
          <w:numId w:val="24"/>
        </w:numPr>
        <w:ind w:left="567" w:hanging="567"/>
        <w:rPr>
          <w:sz w:val="22"/>
        </w:rPr>
      </w:pPr>
      <w:r w:rsidRPr="004F46AC">
        <w:rPr>
          <w:sz w:val="22"/>
        </w:rPr>
        <w:t>wspieranie zrównoważonego charakteru miast Unii,</w:t>
      </w:r>
    </w:p>
    <w:p w:rsidR="00F33BF1" w:rsidRPr="004F46AC" w:rsidRDefault="00F33BF1" w:rsidP="004F46AC">
      <w:pPr>
        <w:numPr>
          <w:ilvl w:val="0"/>
          <w:numId w:val="24"/>
        </w:numPr>
        <w:ind w:left="567" w:hanging="567"/>
        <w:rPr>
          <w:sz w:val="22"/>
        </w:rPr>
      </w:pPr>
      <w:r w:rsidRPr="004F46AC">
        <w:rPr>
          <w:sz w:val="22"/>
        </w:rPr>
        <w:t>zwiększenie efektywności Unii w podejmowaniu międzynarodowych wyzwań związanych ze środowiskiem i klimatem.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lastRenderedPageBreak/>
        <w:t>Nasze ubezpieczenie na życie i nasz kapitał naturalny</w:t>
      </w:r>
      <w:r w:rsidRPr="004F46AC">
        <w:rPr>
          <w:sz w:val="22"/>
        </w:rPr>
        <w:t xml:space="preserve"> </w:t>
      </w:r>
      <w:r w:rsidRPr="004F46AC">
        <w:rPr>
          <w:b/>
          <w:sz w:val="22"/>
        </w:rPr>
        <w:t>– unijna strategia ochrony różnorodności biologicznej na okres do 2020r</w:t>
      </w:r>
      <w:r w:rsidRPr="004F46AC">
        <w:rPr>
          <w:sz w:val="22"/>
        </w:rPr>
        <w:t>. (KOM(2011) 244 wersja ostateczna)</w:t>
      </w:r>
      <w:r w:rsidRPr="004F46AC">
        <w:rPr>
          <w:rStyle w:val="Odwoanieprzypisudolnego"/>
          <w:sz w:val="22"/>
        </w:rPr>
        <w:footnoteReference w:id="17"/>
      </w:r>
      <w:r w:rsidRPr="004F46AC">
        <w:rPr>
          <w:sz w:val="22"/>
        </w:rPr>
        <w:t>.  Celem głównym strategii jest powstrzymanie utraty różnorodności biologicznej i degradacji funkcji ekosystemów w UE do 2020 r. oraz przywrócenie ich w możliwie największym stopniu biorąc pod uwagę zmiany klimatu, a także zwiększenie wkładu UE w zapobieganie ubożeniu różnorodności biologicznej na świecie.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sz w:val="22"/>
        </w:rPr>
        <w:t>Pakiet czyste powietrze</w:t>
      </w:r>
      <w:r w:rsidRPr="004F46AC">
        <w:rPr>
          <w:rStyle w:val="Odwoanieprzypisudolnego"/>
          <w:b/>
          <w:sz w:val="22"/>
        </w:rPr>
        <w:footnoteReference w:id="18"/>
      </w:r>
      <w:r w:rsidRPr="004F46AC">
        <w:rPr>
          <w:b/>
          <w:sz w:val="22"/>
        </w:rPr>
        <w:t xml:space="preserve">. </w:t>
      </w:r>
      <w:r w:rsidRPr="004F46AC">
        <w:rPr>
          <w:sz w:val="22"/>
        </w:rPr>
        <w:t>W pakiecie Komisja Europejska zaproponowała:</w:t>
      </w:r>
    </w:p>
    <w:p w:rsidR="00F33BF1" w:rsidRPr="004F46AC" w:rsidRDefault="00F33BF1" w:rsidP="004F46AC">
      <w:pPr>
        <w:numPr>
          <w:ilvl w:val="0"/>
          <w:numId w:val="27"/>
        </w:numPr>
        <w:ind w:left="567" w:hanging="567"/>
        <w:rPr>
          <w:sz w:val="22"/>
        </w:rPr>
      </w:pPr>
      <w:r w:rsidRPr="004F46AC">
        <w:rPr>
          <w:bCs/>
          <w:sz w:val="22"/>
        </w:rPr>
        <w:t xml:space="preserve">nowy Program czystego powietrza dla Europy </w:t>
      </w:r>
      <w:r w:rsidRPr="004F46AC">
        <w:rPr>
          <w:sz w:val="22"/>
        </w:rPr>
        <w:t>z propozycją środków dla poprawy jakości powietrza  w krótkim terminie oraz cele do 2030 r.,</w:t>
      </w:r>
    </w:p>
    <w:p w:rsidR="00F33BF1" w:rsidRPr="004F46AC" w:rsidRDefault="00F33BF1" w:rsidP="004F46AC">
      <w:pPr>
        <w:numPr>
          <w:ilvl w:val="0"/>
          <w:numId w:val="27"/>
        </w:numPr>
        <w:ind w:left="567" w:hanging="567"/>
        <w:rPr>
          <w:sz w:val="22"/>
        </w:rPr>
      </w:pPr>
      <w:r w:rsidRPr="004F46AC">
        <w:rPr>
          <w:bCs/>
          <w:sz w:val="22"/>
        </w:rPr>
        <w:t xml:space="preserve">rewizje Dyrektywy pułapowej </w:t>
      </w:r>
      <w:r w:rsidRPr="004F46AC">
        <w:rPr>
          <w:sz w:val="22"/>
        </w:rPr>
        <w:t>(zmiana protokółu z Goeteborga do Konwencji LRTAP), ograniczającą poważnie krajowe pułapy emisji zanieczyszczeń powietrza,</w:t>
      </w:r>
    </w:p>
    <w:p w:rsidR="00F33BF1" w:rsidRPr="004F46AC" w:rsidRDefault="00F33BF1" w:rsidP="004F46AC">
      <w:pPr>
        <w:numPr>
          <w:ilvl w:val="0"/>
          <w:numId w:val="27"/>
        </w:numPr>
        <w:ind w:left="567" w:hanging="567"/>
        <w:rPr>
          <w:sz w:val="22"/>
        </w:rPr>
      </w:pPr>
      <w:r w:rsidRPr="004F46AC">
        <w:rPr>
          <w:bCs/>
          <w:sz w:val="22"/>
        </w:rPr>
        <w:t>Propozycję nowej dyrektywy na temat redukcji emisji zanieczyszczeń ze średniej wielkości instalacji o mocy 1-50 MW.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Cs/>
          <w:sz w:val="22"/>
        </w:rPr>
        <w:t>Aktualnie (</w:t>
      </w:r>
      <w:r>
        <w:rPr>
          <w:bCs/>
          <w:sz w:val="22"/>
        </w:rPr>
        <w:t>grudzień</w:t>
      </w:r>
      <w:r w:rsidRPr="004F46AC">
        <w:rPr>
          <w:bCs/>
          <w:sz w:val="22"/>
        </w:rPr>
        <w:t xml:space="preserve"> 2014 r.) trwają negocjację wyżej wymienionych propozycji.</w:t>
      </w:r>
    </w:p>
    <w:p w:rsidR="00F33BF1" w:rsidRPr="004F46AC" w:rsidRDefault="00F33BF1" w:rsidP="004F46AC">
      <w:pPr>
        <w:rPr>
          <w:b/>
          <w:sz w:val="22"/>
        </w:rPr>
      </w:pPr>
      <w:r w:rsidRPr="004F46AC">
        <w:rPr>
          <w:b/>
          <w:sz w:val="22"/>
        </w:rPr>
        <w:t>Ramy polityczne na okres 2020 – 2030 dotyczące klimatu i energii  (</w:t>
      </w:r>
      <w:r w:rsidRPr="004F46AC">
        <w:rPr>
          <w:sz w:val="22"/>
        </w:rPr>
        <w:t>COM(2014)15 final)</w:t>
      </w:r>
      <w:r w:rsidRPr="004F46AC">
        <w:rPr>
          <w:rStyle w:val="Odwoanieprzypisudolnego"/>
          <w:sz w:val="22"/>
        </w:rPr>
        <w:footnoteReference w:id="19"/>
      </w:r>
      <w:r w:rsidRPr="004F46AC">
        <w:rPr>
          <w:sz w:val="22"/>
        </w:rPr>
        <w:t xml:space="preserve"> zaproponowane w Komunikacie Komisji Europejskiej w styczniu 2014r. przewidują m. in.:</w:t>
      </w:r>
    </w:p>
    <w:p w:rsidR="00F33BF1" w:rsidRPr="004F46AC" w:rsidRDefault="00F33BF1" w:rsidP="004F46AC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outlineLvl w:val="0"/>
        <w:rPr>
          <w:sz w:val="22"/>
        </w:rPr>
      </w:pPr>
      <w:r w:rsidRPr="004F46AC">
        <w:rPr>
          <w:sz w:val="22"/>
        </w:rPr>
        <w:t>redukcję emisji gazów cieplarnianych o 40% przy pomocy ETS i non-ETS. Zobowiązania dla krajów będą rozdzielone „równomiernie”,</w:t>
      </w:r>
    </w:p>
    <w:p w:rsidR="00F33BF1" w:rsidRPr="004F46AC" w:rsidRDefault="00F33BF1" w:rsidP="004F46AC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outlineLvl w:val="0"/>
        <w:rPr>
          <w:sz w:val="22"/>
        </w:rPr>
      </w:pPr>
      <w:r w:rsidRPr="004F46AC">
        <w:rPr>
          <w:sz w:val="22"/>
        </w:rPr>
        <w:t>udział OZE na poziomie 27%, bez narzucenie obowiązków państwom członkowskim,</w:t>
      </w:r>
    </w:p>
    <w:p w:rsidR="00F33BF1" w:rsidRPr="004F46AC" w:rsidRDefault="00F33BF1" w:rsidP="004F46AC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outlineLvl w:val="0"/>
        <w:rPr>
          <w:sz w:val="22"/>
        </w:rPr>
      </w:pPr>
      <w:r w:rsidRPr="004F46AC">
        <w:rPr>
          <w:sz w:val="22"/>
        </w:rPr>
        <w:t>efektywność energetyczną – instrumenty realizacji i cele będą rozpatrzone w ramach przeglądu dyrektywy o efektywności energetycznej,</w:t>
      </w:r>
    </w:p>
    <w:p w:rsidR="00F33BF1" w:rsidRPr="004F46AC" w:rsidRDefault="00F33BF1" w:rsidP="004F46AC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outlineLvl w:val="0"/>
        <w:rPr>
          <w:sz w:val="22"/>
        </w:rPr>
      </w:pPr>
      <w:r w:rsidRPr="004F46AC">
        <w:rPr>
          <w:sz w:val="22"/>
        </w:rPr>
        <w:lastRenderedPageBreak/>
        <w:t>reformę ETS – wprowadzenie od 2021 r. rezerwy stabilności, opóźnienie sprzedaży 900 mln uprawnień (back loading),</w:t>
      </w:r>
    </w:p>
    <w:p w:rsidR="00F33BF1" w:rsidRPr="004F46AC" w:rsidRDefault="00F33BF1" w:rsidP="004F46AC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outlineLvl w:val="0"/>
        <w:rPr>
          <w:sz w:val="22"/>
        </w:rPr>
      </w:pPr>
      <w:r w:rsidRPr="004F46AC">
        <w:rPr>
          <w:sz w:val="22"/>
        </w:rPr>
        <w:t>konkurencyjną, bezpieczną energię po przystępnych cenach,</w:t>
      </w:r>
    </w:p>
    <w:p w:rsidR="00F33BF1" w:rsidRPr="004F46AC" w:rsidRDefault="00F33BF1" w:rsidP="004F46AC">
      <w:pPr>
        <w:numPr>
          <w:ilvl w:val="0"/>
          <w:numId w:val="26"/>
        </w:numPr>
        <w:tabs>
          <w:tab w:val="clear" w:pos="720"/>
          <w:tab w:val="num" w:pos="567"/>
        </w:tabs>
        <w:ind w:left="567" w:hanging="567"/>
        <w:outlineLvl w:val="0"/>
        <w:rPr>
          <w:sz w:val="22"/>
        </w:rPr>
      </w:pPr>
      <w:r w:rsidRPr="004F46AC">
        <w:rPr>
          <w:sz w:val="22"/>
        </w:rPr>
        <w:t>nowy system zarządzania od 2030 r., oparty o</w:t>
      </w:r>
      <w:r w:rsidRPr="004F46AC">
        <w:rPr>
          <w:b/>
          <w:bCs/>
          <w:sz w:val="22"/>
        </w:rPr>
        <w:t xml:space="preserve"> </w:t>
      </w:r>
      <w:r w:rsidRPr="004F46AC">
        <w:rPr>
          <w:sz w:val="22"/>
        </w:rPr>
        <w:t>krajowe plany na rzecz konkurencyjnej, bezpiecznej i trwałej energii – opracowane w uzgodnieniu z Komisją Europejską,</w:t>
      </w:r>
    </w:p>
    <w:p w:rsidR="00F33BF1" w:rsidRPr="004F46AC" w:rsidRDefault="00F33BF1" w:rsidP="004F46AC">
      <w:pPr>
        <w:outlineLvl w:val="0"/>
        <w:rPr>
          <w:sz w:val="22"/>
        </w:rPr>
      </w:pPr>
      <w:r w:rsidRPr="004F46AC">
        <w:rPr>
          <w:sz w:val="22"/>
        </w:rPr>
        <w:t>Warunki realizacji zostały uzgodnione na posiedzeniu Rady Europejskiej w dniach 23-24 października 2014 r. i są zawarte w konkluzjach Rady</w:t>
      </w:r>
      <w:r w:rsidRPr="004F46AC">
        <w:rPr>
          <w:rStyle w:val="Odwoanieprzypisudolnego"/>
          <w:sz w:val="22"/>
        </w:rPr>
        <w:footnoteReference w:id="20"/>
      </w:r>
      <w:r w:rsidRPr="004F46AC">
        <w:rPr>
          <w:sz w:val="22"/>
        </w:rPr>
        <w:t>.</w:t>
      </w:r>
    </w:p>
    <w:p w:rsidR="00F33BF1" w:rsidRPr="004F46AC" w:rsidRDefault="00F33BF1" w:rsidP="004F46AC">
      <w:pPr>
        <w:outlineLvl w:val="0"/>
        <w:rPr>
          <w:sz w:val="22"/>
        </w:rPr>
      </w:pPr>
      <w:r w:rsidRPr="004F46AC">
        <w:rPr>
          <w:b/>
          <w:i/>
          <w:sz w:val="22"/>
        </w:rPr>
        <w:t>Program działań na rzecz środowiska i klimatu (LIFE) 2014- 2020</w:t>
      </w:r>
      <w:r w:rsidRPr="004F46AC">
        <w:rPr>
          <w:rStyle w:val="Odwoanieprzypisudolnego"/>
          <w:b/>
          <w:sz w:val="22"/>
        </w:rPr>
        <w:footnoteReference w:id="21"/>
      </w:r>
      <w:r w:rsidRPr="004F46AC">
        <w:rPr>
          <w:b/>
          <w:i/>
          <w:sz w:val="22"/>
        </w:rPr>
        <w:t xml:space="preserve">. </w:t>
      </w:r>
      <w:r w:rsidRPr="004F46AC">
        <w:rPr>
          <w:sz w:val="22"/>
        </w:rPr>
        <w:t>Jest specjalnym programem finansowania działań w tej dziedzinie. Całkowita pula środków finansowych przeznaczona na program LIFE w komunikacie w sprawie wieloletnich ram finansowych na lata 2014-2020 wyrażona w cenach bieżących wynosi 3618 milionów EUR21. Z tej kwoty 2713,5 miliona EUR przydzielono na podprogram działań na rzecz środowiska, w tym połowa środków przeznaczonych na projekty finansowane poprzez dotacje na działania będzie przydzielona na wspieranie ochrony przyrody i różnorodności biologicznej. 904,5 miliona EUR przeznaczone jest na podprogram działań na rzecz klimatu.</w:t>
      </w:r>
    </w:p>
    <w:p w:rsidR="00F33BF1" w:rsidRPr="004F46AC" w:rsidRDefault="00F33BF1" w:rsidP="004F46AC">
      <w:pPr>
        <w:pStyle w:val="Mlista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4F46AC">
        <w:rPr>
          <w:sz w:val="22"/>
          <w:szCs w:val="22"/>
        </w:rPr>
        <w:t xml:space="preserve">NFOŚiGW jest krajowym punktem kontaktowym Programu LIFE, który dodatkowo współfinansuje projekty. </w:t>
      </w:r>
    </w:p>
    <w:p w:rsidR="00F33BF1" w:rsidRPr="004F46AC" w:rsidRDefault="00F33BF1" w:rsidP="004F46AC">
      <w:pPr>
        <w:rPr>
          <w:b/>
          <w:i/>
          <w:sz w:val="22"/>
        </w:rPr>
      </w:pP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 xml:space="preserve">Agenda Terytorialna UE. W kierunku bardziej konkurencyjnej i zrównoważonej Europy zróżnicowanych regionów. </w:t>
      </w:r>
      <w:r w:rsidRPr="004F46AC">
        <w:rPr>
          <w:sz w:val="22"/>
        </w:rPr>
        <w:t>(Lipsk 2009)</w:t>
      </w:r>
      <w:r w:rsidRPr="004F46AC">
        <w:rPr>
          <w:rStyle w:val="Odwoanieprzypisudolnego"/>
          <w:sz w:val="22"/>
        </w:rPr>
        <w:footnoteReference w:id="22"/>
      </w:r>
      <w:r w:rsidRPr="004F46AC">
        <w:rPr>
          <w:sz w:val="22"/>
        </w:rPr>
        <w:t>. Fundamentem Agendy Terytorialnej UE są trzy główne cele Europejskiej Perspektywy Rozwoju Przestrzennego, które wciąż pozostają w mocy, a mianowicie:</w:t>
      </w:r>
    </w:p>
    <w:p w:rsidR="00F33BF1" w:rsidRPr="004F46AC" w:rsidRDefault="00F33BF1" w:rsidP="004F46AC">
      <w:pPr>
        <w:numPr>
          <w:ilvl w:val="0"/>
          <w:numId w:val="31"/>
        </w:numPr>
        <w:tabs>
          <w:tab w:val="clear" w:pos="720"/>
          <w:tab w:val="num" w:pos="305"/>
        </w:tabs>
        <w:ind w:left="305" w:hanging="142"/>
        <w:rPr>
          <w:sz w:val="22"/>
        </w:rPr>
      </w:pPr>
      <w:r w:rsidRPr="004F46AC">
        <w:rPr>
          <w:sz w:val="22"/>
        </w:rPr>
        <w:t>rozwój zrównoważony i policentryczny system miast oraz nowe partnerstwa pomiędzy obszarami miejskimi i wiejskimi,</w:t>
      </w:r>
    </w:p>
    <w:p w:rsidR="00F33BF1" w:rsidRPr="004F46AC" w:rsidRDefault="00F33BF1" w:rsidP="004F46AC">
      <w:pPr>
        <w:numPr>
          <w:ilvl w:val="0"/>
          <w:numId w:val="31"/>
        </w:numPr>
        <w:tabs>
          <w:tab w:val="clear" w:pos="720"/>
          <w:tab w:val="num" w:pos="305"/>
        </w:tabs>
        <w:ind w:left="305" w:hanging="142"/>
        <w:rPr>
          <w:sz w:val="22"/>
        </w:rPr>
      </w:pPr>
      <w:r w:rsidRPr="004F46AC">
        <w:rPr>
          <w:sz w:val="22"/>
        </w:rPr>
        <w:lastRenderedPageBreak/>
        <w:t>zapewnienie równego dostępu do infrastruktury i wiedzy,</w:t>
      </w:r>
    </w:p>
    <w:p w:rsidR="00F33BF1" w:rsidRPr="004F46AC" w:rsidRDefault="00F33BF1" w:rsidP="004F46AC">
      <w:pPr>
        <w:ind w:left="142"/>
        <w:rPr>
          <w:b/>
          <w:i/>
          <w:sz w:val="22"/>
        </w:rPr>
      </w:pPr>
      <w:r w:rsidRPr="004F46AC">
        <w:rPr>
          <w:sz w:val="22"/>
        </w:rPr>
        <w:t>zrównoważony rozwój, rozsądne zarządzanie oraz ochrona środowiska naturalnego i dziedzictwa kulturowego.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Strategia UE dla regionu Morza Bałtyckiego</w:t>
      </w:r>
      <w:r w:rsidRPr="004F46AC">
        <w:rPr>
          <w:sz w:val="22"/>
        </w:rPr>
        <w:t xml:space="preserve"> (KOM(2009)248 wersja ostateczna)</w:t>
      </w:r>
      <w:r w:rsidRPr="004F46AC">
        <w:rPr>
          <w:rStyle w:val="Odwoanieprzypisudolnego"/>
          <w:sz w:val="22"/>
        </w:rPr>
        <w:footnoteReference w:id="23"/>
      </w:r>
      <w:r w:rsidRPr="004F46AC">
        <w:rPr>
          <w:sz w:val="22"/>
        </w:rPr>
        <w:t>.  Cele strategii: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• ocalenie morza,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• rozwój połączeń w regionie,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• zwiększenie dobrobytu.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Ogólnym celem w zakresie środowiska dla Morza Bałtyckiego jest osiągnięcie dobrego stanu środowiska do 2020r., zgodnie z wymogami dyrektywy ramowej w sprawie strategii morskiej oraz właściwego stanu ochrony w myśl dyrektywy siedliskowej zgodnie z unijną strategią ochrony różnorodności biologicznej i powiązanymi z nią poziomami docelowymi do 2021r.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Plan ochrony zasobów wodnych Europy</w:t>
      </w:r>
      <w:r w:rsidRPr="004F46AC">
        <w:rPr>
          <w:sz w:val="22"/>
        </w:rPr>
        <w:t xml:space="preserve"> (COM(2012) 673 wersja ostateczna)</w:t>
      </w:r>
      <w:r w:rsidRPr="004F46AC">
        <w:rPr>
          <w:rStyle w:val="Odwoanieprzypisudolnego"/>
          <w:sz w:val="22"/>
        </w:rPr>
        <w:footnoteReference w:id="24"/>
      </w:r>
      <w:r w:rsidRPr="004F46AC">
        <w:rPr>
          <w:sz w:val="22"/>
        </w:rPr>
        <w:t>(Blueprint). Celem Planu jest doprowadzenie do zrównoważenia wszystkich działań, które mają wpływ na wodę, zapewniając w ten sposób dostępność wody dobrej jakości na potrzeby zrównoważonego i sprawiedliwego użytkowania, zgodnie z RDW</w:t>
      </w:r>
      <w:r w:rsidRPr="004F46AC">
        <w:rPr>
          <w:rStyle w:val="Odwoanieprzypisudolnego"/>
          <w:sz w:val="22"/>
        </w:rPr>
        <w:footnoteReference w:id="25"/>
      </w:r>
      <w:r w:rsidRPr="004F46AC">
        <w:rPr>
          <w:sz w:val="22"/>
        </w:rPr>
        <w:t xml:space="preserve">. </w:t>
      </w:r>
    </w:p>
    <w:p w:rsidR="00F33BF1" w:rsidRPr="004F46AC" w:rsidRDefault="00F33BF1" w:rsidP="004F46AC">
      <w:pPr>
        <w:rPr>
          <w:b/>
          <w:i/>
          <w:sz w:val="22"/>
        </w:rPr>
      </w:pPr>
      <w:r w:rsidRPr="004F46AC">
        <w:rPr>
          <w:b/>
          <w:i/>
          <w:sz w:val="22"/>
        </w:rPr>
        <w:t>„Horyzont 2020” – program ramowy w zakresie badań naukowych i innowacji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KOM(2011)808 wersja ostateczna)</w:t>
      </w:r>
      <w:r w:rsidRPr="004F46AC">
        <w:rPr>
          <w:rStyle w:val="Odwoanieprzypisudolnego"/>
          <w:sz w:val="22"/>
        </w:rPr>
        <w:footnoteReference w:id="26"/>
      </w:r>
      <w:r w:rsidRPr="004F46AC">
        <w:rPr>
          <w:sz w:val="22"/>
        </w:rPr>
        <w:t>.  Nadrzędnym celem programu jest zrównoważony wzrost.</w:t>
      </w:r>
    </w:p>
    <w:p w:rsidR="00F33BF1" w:rsidRPr="004F46AC" w:rsidRDefault="00F33BF1" w:rsidP="004F46AC">
      <w:pPr>
        <w:pStyle w:val="Mnormal"/>
        <w:spacing w:before="0" w:after="0" w:line="360" w:lineRule="auto"/>
        <w:rPr>
          <w:b/>
          <w:sz w:val="22"/>
          <w:szCs w:val="22"/>
        </w:rPr>
      </w:pPr>
    </w:p>
    <w:p w:rsidR="00F33BF1" w:rsidRPr="00E2124E" w:rsidRDefault="00F33BF1" w:rsidP="004F46AC">
      <w:pPr>
        <w:pStyle w:val="Mnormal"/>
        <w:spacing w:before="0" w:after="0" w:line="360" w:lineRule="auto"/>
        <w:rPr>
          <w:b/>
          <w:i/>
          <w:color w:val="215868"/>
          <w:sz w:val="22"/>
          <w:szCs w:val="22"/>
        </w:rPr>
      </w:pPr>
      <w:r w:rsidRPr="00E2124E">
        <w:rPr>
          <w:b/>
          <w:i/>
          <w:color w:val="215868"/>
          <w:sz w:val="22"/>
          <w:szCs w:val="22"/>
        </w:rPr>
        <w:t>Dokumenty strategiczne Polski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Celem analizy jest określenie zgodności </w:t>
      </w:r>
      <w:r>
        <w:rPr>
          <w:sz w:val="22"/>
        </w:rPr>
        <w:t xml:space="preserve">dokumentu </w:t>
      </w:r>
      <w:r w:rsidRPr="00783EB4">
        <w:rPr>
          <w:i/>
          <w:sz w:val="22"/>
        </w:rPr>
        <w:t>Project pipeline</w:t>
      </w:r>
      <w:r>
        <w:rPr>
          <w:sz w:val="22"/>
        </w:rPr>
        <w:t xml:space="preserve"> </w:t>
      </w:r>
      <w:r w:rsidRPr="004F46AC">
        <w:rPr>
          <w:sz w:val="22"/>
        </w:rPr>
        <w:t xml:space="preserve"> z podstawowymi dokumentami strategicznymi Państwa.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lastRenderedPageBreak/>
        <w:t>Na niżej przedstawionym schemacie przedstawiono powiązanie tych dokumentów z ze strategicznymi dokumentami UE.</w:t>
      </w:r>
    </w:p>
    <w:p w:rsidR="00F33BF1" w:rsidRPr="004F46AC" w:rsidRDefault="00282CF8" w:rsidP="004F46AC">
      <w:pPr>
        <w:keepNext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686425" cy="4019550"/>
            <wp:effectExtent l="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BF1" w:rsidRPr="00E2124E" w:rsidRDefault="00F33BF1" w:rsidP="004F46AC">
      <w:pPr>
        <w:pStyle w:val="Legenda"/>
        <w:spacing w:after="0" w:line="360" w:lineRule="auto"/>
        <w:rPr>
          <w:b w:val="0"/>
          <w:smallCaps/>
          <w:color w:val="auto"/>
          <w:sz w:val="22"/>
          <w:szCs w:val="22"/>
        </w:rPr>
      </w:pPr>
      <w:r w:rsidRPr="00E2124E">
        <w:rPr>
          <w:b w:val="0"/>
          <w:smallCaps/>
          <w:color w:val="auto"/>
          <w:sz w:val="22"/>
          <w:szCs w:val="22"/>
        </w:rPr>
        <w:t xml:space="preserve">Rysunek </w:t>
      </w:r>
      <w:r w:rsidRPr="00E2124E">
        <w:rPr>
          <w:b w:val="0"/>
          <w:smallCaps/>
          <w:color w:val="auto"/>
          <w:sz w:val="22"/>
          <w:szCs w:val="22"/>
        </w:rPr>
        <w:fldChar w:fldCharType="begin"/>
      </w:r>
      <w:r w:rsidRPr="00E2124E">
        <w:rPr>
          <w:b w:val="0"/>
          <w:smallCaps/>
          <w:color w:val="auto"/>
          <w:sz w:val="22"/>
          <w:szCs w:val="22"/>
        </w:rPr>
        <w:instrText xml:space="preserve"> SEQ Rysunek \* ARABIC </w:instrText>
      </w:r>
      <w:r w:rsidRPr="00E2124E">
        <w:rPr>
          <w:b w:val="0"/>
          <w:smallCaps/>
          <w:color w:val="auto"/>
          <w:sz w:val="22"/>
          <w:szCs w:val="22"/>
        </w:rPr>
        <w:fldChar w:fldCharType="separate"/>
      </w:r>
      <w:r w:rsidRPr="00E2124E">
        <w:rPr>
          <w:b w:val="0"/>
          <w:smallCaps/>
          <w:noProof/>
          <w:color w:val="auto"/>
          <w:sz w:val="22"/>
          <w:szCs w:val="22"/>
        </w:rPr>
        <w:t>4</w:t>
      </w:r>
      <w:r w:rsidRPr="00E2124E">
        <w:rPr>
          <w:b w:val="0"/>
          <w:smallCaps/>
          <w:color w:val="auto"/>
          <w:sz w:val="22"/>
          <w:szCs w:val="22"/>
        </w:rPr>
        <w:fldChar w:fldCharType="end"/>
      </w:r>
      <w:r w:rsidRPr="00E2124E">
        <w:rPr>
          <w:b w:val="0"/>
          <w:smallCaps/>
          <w:color w:val="auto"/>
          <w:sz w:val="22"/>
          <w:szCs w:val="22"/>
        </w:rPr>
        <w:t xml:space="preserve"> Powiązanie dokumentów strategicznych Polski i UE (Źródło: Programowanie perspektywy finansowej 2014 -2020 - Umowa Partnerstwa, MIR 21.05.2014</w:t>
      </w:r>
      <w:r>
        <w:rPr>
          <w:b w:val="0"/>
          <w:smallCaps/>
          <w:color w:val="auto"/>
          <w:sz w:val="22"/>
          <w:szCs w:val="22"/>
        </w:rPr>
        <w:t xml:space="preserve"> </w:t>
      </w:r>
      <w:r w:rsidRPr="00E2124E">
        <w:rPr>
          <w:b w:val="0"/>
          <w:smallCaps/>
          <w:color w:val="auto"/>
          <w:sz w:val="22"/>
          <w:szCs w:val="22"/>
        </w:rPr>
        <w:t>r.)</w:t>
      </w:r>
    </w:p>
    <w:p w:rsidR="00F33BF1" w:rsidRPr="004F46AC" w:rsidRDefault="00F33BF1" w:rsidP="004F46AC">
      <w:pPr>
        <w:rPr>
          <w:sz w:val="22"/>
        </w:rPr>
      </w:pP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Przeanalizowane, podstawowe dokumenty strategiczne Polski wraz z ich najważniejszymi celami i kierunkami, związanymi z </w:t>
      </w:r>
      <w:r>
        <w:rPr>
          <w:sz w:val="22"/>
        </w:rPr>
        <w:t xml:space="preserve">dokumentem </w:t>
      </w:r>
      <w:r w:rsidRPr="00783EB4">
        <w:rPr>
          <w:i/>
          <w:sz w:val="22"/>
        </w:rPr>
        <w:t>Project pipeline</w:t>
      </w:r>
      <w:r w:rsidRPr="004F46AC">
        <w:rPr>
          <w:sz w:val="22"/>
        </w:rPr>
        <w:t xml:space="preserve"> przedstawiono niżej: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lastRenderedPageBreak/>
        <w:t>Długookresowa Strategia Rozwoju kraju, Polska 2030, Trzecia fala nowoczesności</w:t>
      </w:r>
      <w:r w:rsidRPr="004F46AC">
        <w:rPr>
          <w:sz w:val="22"/>
        </w:rPr>
        <w:t xml:space="preserve"> (MAiC styczeń 2013 r.)</w:t>
      </w:r>
      <w:r w:rsidRPr="004F46AC">
        <w:rPr>
          <w:rStyle w:val="Odwoanieprzypisudolnego"/>
          <w:sz w:val="22"/>
        </w:rPr>
        <w:footnoteReference w:id="27"/>
      </w:r>
      <w:r w:rsidRPr="004F46AC">
        <w:rPr>
          <w:sz w:val="22"/>
        </w:rPr>
        <w:t>. Wśród celów Strategia wymienia m.in.: wspieranie prorozwojowej alokacji zasobów w gospodarce, poprawę dostępności i jakości edukacji na wszystkich etapach oraz podniesienie konkurencyjności nauki, wzrost wydajności i konkurencyjności gospodarki, zapewnienie bezpieczeństwa energetycznego oraz ochronę i poprawę stanu środowiska, wzmocnienie mechanizmów terytorialnego równoważenia rozwoju dla rozwijania i pełnego wykorzystania potencjałów regionalnych, zwiększenie dostępności terytorialnej Polski poprzez utworzenie zrównoważonego, spójnego i przyjaznego użytkownikom systemu transportowego i wzrost społecznego kapitału rozwoju. Strategia przewiduje osiągnięcie do 2030 r. m. in. następujących wskaźników: energochłonności gospodarki 167</w:t>
      </w:r>
      <w:r w:rsidRPr="004F46AC">
        <w:rPr>
          <w:rStyle w:val="Odwoanieprzypisudolnego"/>
          <w:sz w:val="22"/>
        </w:rPr>
        <w:footnoteReference w:id="28"/>
      </w:r>
      <w:r w:rsidRPr="004F46AC">
        <w:rPr>
          <w:sz w:val="22"/>
        </w:rPr>
        <w:t>, udział energii ze źródeł odnawialnych w finalnym zużyciu energii &gt;15%, emisja CO</w:t>
      </w:r>
      <w:r w:rsidRPr="004F46AC">
        <w:rPr>
          <w:sz w:val="22"/>
          <w:vertAlign w:val="subscript"/>
        </w:rPr>
        <w:t>2</w:t>
      </w:r>
      <w:r w:rsidRPr="004F46AC">
        <w:rPr>
          <w:sz w:val="22"/>
        </w:rPr>
        <w:t xml:space="preserve"> &lt; 0,70 t/MWh,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Koncepcja Przestrzennego Zagospodarowania Kraju 2030</w:t>
      </w:r>
      <w:r w:rsidRPr="004F46AC">
        <w:rPr>
          <w:b/>
          <w:sz w:val="22"/>
        </w:rPr>
        <w:t xml:space="preserve"> (KPZK)</w:t>
      </w:r>
      <w:r w:rsidRPr="004F46AC">
        <w:rPr>
          <w:rStyle w:val="Odwoanieprzypisudolnego"/>
          <w:sz w:val="22"/>
        </w:rPr>
        <w:footnoteReference w:id="29"/>
      </w:r>
      <w:r w:rsidRPr="004F46AC">
        <w:rPr>
          <w:sz w:val="22"/>
        </w:rPr>
        <w:t>. Koncepcja przewiduje efektywne wykorzystanie przestrzeni kraju i jej terytorialnie zróżnicowanych potencjałów rozwojowych dla osiągania ogólnych celów rozwojowych - konkurencyjności, zwiększenia zatrudnienia, sprawności funkcjonowania państwa oraz spójności w wymiarze społecznym, gospodarczym i terytorialnym. Jednym z głównych celów KPZK jest „zwiększenie odporności struktury przestrzennej kraju na zagrożenia naturalne i utratę bezpieczeństwa energetycznego oraz kształtowanie struktur przestrzennych wspierających zdolności obronne państwa”. Do najważniejszych obszarów działań należy przeciwdziałanie zagrożeniu utraty bezpieczeństwa energetycznego oraz odpowiednie reagowanie na to zagrożenie.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Średniookresowa Strategia Rozwoju Kraju (ŚSRK) – Strategia Rozwoju Kraju</w:t>
      </w:r>
      <w:r w:rsidRPr="004F46AC">
        <w:rPr>
          <w:i/>
          <w:sz w:val="22"/>
        </w:rPr>
        <w:t xml:space="preserve"> </w:t>
      </w:r>
      <w:r w:rsidRPr="004F46AC">
        <w:rPr>
          <w:b/>
          <w:i/>
          <w:sz w:val="22"/>
        </w:rPr>
        <w:t>2020</w:t>
      </w:r>
      <w:r w:rsidRPr="004F46AC">
        <w:rPr>
          <w:rStyle w:val="Odwoanieprzypisudolnego"/>
          <w:sz w:val="22"/>
        </w:rPr>
        <w:footnoteReference w:id="30"/>
      </w:r>
      <w:r w:rsidRPr="004F46AC">
        <w:rPr>
          <w:sz w:val="22"/>
        </w:rPr>
        <w:t xml:space="preserve">. Cele rozwojowe obejmują m. in.: przejście od administracji do zarządzania rozwojem, wzmocnienie stabilności makroekonomicznej, wzrost wydajności gospodarki, zwiększenie innowacyjności gospodarki, bezpieczeństwo energetyczne i środowisko, racjonalne gospodarowanie zasobami, poprawę efektywności energetycznej, zwiększenie dywersyfikacji dostaw paliw i energii, </w:t>
      </w:r>
      <w:r w:rsidRPr="004F46AC">
        <w:rPr>
          <w:sz w:val="22"/>
        </w:rPr>
        <w:lastRenderedPageBreak/>
        <w:t>poprawę stanu środowiska, adaptację do zmian klimatu, zwiększenie efektywności transportu, wzmocnienie mechanizmów terytorialnego równoważenia rozwoju oraz integrację przestrzenną dla rozwijania i pełnego wykorzystania potencjałów regionalnych. Strategia zakłada osiągniecie do 2020 r. m. in. następujących wskaźników: efektywności energetycznej ODEX - 63, zmniejszenia zużycia energii pierwotnej do poziomu ok. 96 Mtoe, udziału energii ze źródeł odnawialnych na poziomie 15%, redukcji emisji gazów cieplarnianych (bez podania wielkości).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Strategia Rozwoju Kraju na lata 2007-2015</w:t>
      </w:r>
      <w:r w:rsidRPr="004F46AC">
        <w:rPr>
          <w:rStyle w:val="Odwoanieprzypisudolnego"/>
          <w:b/>
          <w:i/>
          <w:sz w:val="22"/>
        </w:rPr>
        <w:footnoteReference w:id="31"/>
      </w:r>
      <w:r w:rsidRPr="004F46AC">
        <w:rPr>
          <w:b/>
          <w:i/>
          <w:sz w:val="22"/>
        </w:rPr>
        <w:t xml:space="preserve"> </w:t>
      </w:r>
      <w:r w:rsidRPr="004F46AC">
        <w:rPr>
          <w:sz w:val="22"/>
        </w:rPr>
        <w:t>Przewiduje następujące priorytety:</w:t>
      </w:r>
    </w:p>
    <w:p w:rsidR="00F33BF1" w:rsidRPr="004F46AC" w:rsidRDefault="00F33BF1" w:rsidP="00E2124E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Wzrost konkurencyjności i innowacyjności gospodarki.</w:t>
      </w:r>
    </w:p>
    <w:p w:rsidR="00F33BF1" w:rsidRPr="004F46AC" w:rsidRDefault="00F33BF1" w:rsidP="00E2124E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Poprawa stanu infrastruktury technicznej i społecznej.</w:t>
      </w:r>
    </w:p>
    <w:p w:rsidR="00F33BF1" w:rsidRPr="004F46AC" w:rsidRDefault="00F33BF1" w:rsidP="00E2124E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Wzrost zatrudnienia i podniesienia jego jakości.</w:t>
      </w:r>
    </w:p>
    <w:p w:rsidR="00F33BF1" w:rsidRPr="004F46AC" w:rsidRDefault="00F33BF1" w:rsidP="00E2124E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Budowa zintegrowanej wspólnoty społecznej i jej bezpieczeństwa.</w:t>
      </w:r>
    </w:p>
    <w:p w:rsidR="00F33BF1" w:rsidRPr="004F46AC" w:rsidRDefault="00F33BF1" w:rsidP="00E2124E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Rozwój obszarów wiejskich.</w:t>
      </w:r>
    </w:p>
    <w:p w:rsidR="00F33BF1" w:rsidRPr="004F46AC" w:rsidRDefault="00F33BF1" w:rsidP="00E2124E">
      <w:pPr>
        <w:pStyle w:val="Akapitzlist"/>
        <w:numPr>
          <w:ilvl w:val="0"/>
          <w:numId w:val="34"/>
        </w:numPr>
        <w:ind w:left="567" w:hanging="567"/>
        <w:rPr>
          <w:b/>
          <w:i/>
          <w:sz w:val="22"/>
        </w:rPr>
      </w:pPr>
      <w:r w:rsidRPr="004F46AC">
        <w:rPr>
          <w:sz w:val="22"/>
        </w:rPr>
        <w:t>Rozwój regionalny i podniesienie spójności terytorialnej.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Raport: Polska 2030. Wyzwania rozwojowe</w:t>
      </w:r>
      <w:r w:rsidRPr="004F46AC">
        <w:rPr>
          <w:sz w:val="22"/>
        </w:rPr>
        <w:t>, KPRM, lipiec 2009</w:t>
      </w:r>
      <w:r w:rsidRPr="004F46AC">
        <w:rPr>
          <w:rStyle w:val="Odwoanieprzypisudolnego"/>
          <w:sz w:val="22"/>
        </w:rPr>
        <w:footnoteReference w:id="32"/>
      </w:r>
      <w:r w:rsidRPr="004F46AC">
        <w:rPr>
          <w:sz w:val="22"/>
        </w:rPr>
        <w:t xml:space="preserve"> określa podstawowe wyzwania dla Polski: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t>Wzrost konkurencyjności,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t>Poprawę sytuacji demograficznej,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t>Wysoka aktywność zawodowa oraz adaptacyjność zasobów pracy,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t>Odpowiedni potencjał infrastruktury,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t>Bezpieczeństwo energetyczno-klimatyczne,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t>Gospodarka oparta na wiedzy i rozwój kapitału intelektualnego,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t>Solidarność i spójność regionalna,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t>Poprawa spójności społecznej,</w:t>
      </w:r>
    </w:p>
    <w:p w:rsidR="00F33BF1" w:rsidRPr="004F46AC" w:rsidRDefault="00F33BF1" w:rsidP="00E2124E">
      <w:pPr>
        <w:pStyle w:val="Akapitzlist"/>
        <w:numPr>
          <w:ilvl w:val="0"/>
          <w:numId w:val="35"/>
        </w:numPr>
        <w:ind w:left="567" w:hanging="567"/>
        <w:rPr>
          <w:sz w:val="22"/>
        </w:rPr>
      </w:pPr>
      <w:r w:rsidRPr="004F46AC">
        <w:rPr>
          <w:sz w:val="22"/>
        </w:rPr>
        <w:lastRenderedPageBreak/>
        <w:t>Sprawne państwo,</w:t>
      </w:r>
    </w:p>
    <w:p w:rsidR="00F33BF1" w:rsidRPr="004F46AC" w:rsidRDefault="00F33BF1" w:rsidP="00E2124E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Wzrost kapitału społecznego Polski.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Krajowa Strategia Rozwoju Regionalnego 2010-2020: Regiony, Miasta, Obszary Wiejskie</w:t>
      </w:r>
      <w:r w:rsidRPr="004F46AC">
        <w:rPr>
          <w:b/>
          <w:sz w:val="22"/>
        </w:rPr>
        <w:t>,</w:t>
      </w:r>
      <w:r w:rsidRPr="004F46AC">
        <w:rPr>
          <w:sz w:val="22"/>
        </w:rPr>
        <w:t xml:space="preserve"> wyznacza podstawowe cele polityki rozwoju regionalnego. Strategicznym celem polityki realizowanej przez rząd we współpracy z województwami samorządowymi, jest „efektywne wykorzystanie specyficznych regionalnych i innych – potencjałów rozwojowych dla osiągnięcia celów rozwoju kraju – wzrostu, zatrudnienia i spójności w horyzoncie długookresowym”.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Nowa polityka regionalna kładzie główny akcent na zwiększenie roli szczebla regionalnego w uruchamianiu procesów rozwojowych. Polityka regionalna wraz z innymi politykami oraz działaniami adresowanymi do specyficznych obszarów problemowych, powinny być zintegrowane przestrzennie, najlepiej na szczeblu regionalnym. Do strategicznych wyzwań nowa polityka regionalna zalicza m.in.: „Zwiększenie potencjału do tworzenia, dyfuzji i absorpcji innowacji oraz odpowiedzi na zmiany klimatyczne i zapewnienie bezpieczeństwa energetycznego”.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Strategia Bezpieczeństwo Energetyczne i Środowisko, perspektywa do 2020r</w:t>
      </w:r>
      <w:r w:rsidRPr="004F46AC">
        <w:rPr>
          <w:sz w:val="22"/>
        </w:rPr>
        <w:t>. (BEiŚ), Warszawa 2014r.</w:t>
      </w:r>
      <w:r w:rsidRPr="004F46AC">
        <w:rPr>
          <w:rStyle w:val="Odwoanieprzypisudolnego"/>
          <w:sz w:val="22"/>
        </w:rPr>
        <w:footnoteReference w:id="33"/>
      </w:r>
      <w:r w:rsidRPr="004F46AC">
        <w:rPr>
          <w:sz w:val="22"/>
        </w:rPr>
        <w:t xml:space="preserve"> Jak przedstawiono to na wyżej podanym wykresie BEiŚ stanowi jedną z dziewięciu podstawowych strategii zintegrowanych łącząc zagadnienia rozwoju energetyki i środowiska. Celem głównym Strategii jest zapewnienie wysokiej jakości życia obecnych i przyszłych pokoleń z uwzględnieniem ochrony środowiska oraz stworzenie warunków do zrównoważonego rozwoju nowoczesnego sektora energetycznego, zdolnego zapewnić Polsce bezpieczeństwo energetyczne oraz konkurencyjną i efektywną energetycznie gospodarkę. Cele szczegółowe zawierają: zrównoważone gospodarowanie zasobami środowiska, zapewnienie gospodarce krajowej bezpiecznego i konkurencyjnego zaopatrzenia w energię, poprawę stanu środowiska. Strategia określa kierunki działań obejmujące osiągniecie do 2020r. m. in. następujących wskaźników: efektywności energetycznej (ODEX) - 63, udziału energii ze źródeł odnawialnych – min. 15%.</w:t>
      </w:r>
    </w:p>
    <w:p w:rsidR="00F33BF1" w:rsidRPr="004F46AC" w:rsidRDefault="00F33BF1" w:rsidP="004F46AC">
      <w:pPr>
        <w:rPr>
          <w:rStyle w:val="Uwydatnienie"/>
          <w:rFonts w:cs="Arial"/>
          <w:bCs/>
          <w:i w:val="0"/>
          <w:sz w:val="22"/>
        </w:rPr>
      </w:pPr>
      <w:r w:rsidRPr="004F46AC">
        <w:rPr>
          <w:b/>
          <w:i/>
          <w:sz w:val="22"/>
        </w:rPr>
        <w:lastRenderedPageBreak/>
        <w:t>Założenia Narodowego Programu Rozwoju Gospodarki Niskoemisyjnej</w:t>
      </w:r>
      <w:r w:rsidRPr="004F46AC">
        <w:rPr>
          <w:rStyle w:val="Odwoanieprzypisudolnego"/>
          <w:b/>
          <w:sz w:val="22"/>
        </w:rPr>
        <w:footnoteReference w:id="34"/>
      </w:r>
      <w:r w:rsidRPr="004F46AC">
        <w:rPr>
          <w:sz w:val="22"/>
        </w:rPr>
        <w:t>, Ministerstwo Gospodarki, Ministerstwo Środowiska, Warszawa sierpień 2011r. (ZNPRGN) Celem głównym jest: r</w:t>
      </w:r>
      <w:r w:rsidRPr="004F46AC">
        <w:rPr>
          <w:rStyle w:val="Uwydatnienie"/>
          <w:rFonts w:cs="Arial"/>
          <w:bCs/>
          <w:i w:val="0"/>
          <w:sz w:val="22"/>
        </w:rPr>
        <w:t xml:space="preserve">ozwój gospodarki niskoemisyjnej przy zapewnieniu zrównoważonego rozwoju kraju, </w:t>
      </w:r>
      <w:r w:rsidRPr="004F46AC">
        <w:rPr>
          <w:rFonts w:cs="Arial"/>
          <w:sz w:val="22"/>
        </w:rPr>
        <w:t>cele szczegółowe dotyczą: r</w:t>
      </w:r>
      <w:r w:rsidRPr="004F46AC">
        <w:rPr>
          <w:rStyle w:val="Uwydatnienie"/>
          <w:rFonts w:cs="Arial"/>
          <w:bCs/>
          <w:i w:val="0"/>
          <w:sz w:val="22"/>
        </w:rPr>
        <w:t xml:space="preserve">ozwoju niskoemisyjnych  źródeł energii, poprawy efektywności energetycznej, poprawy efektywności gospodarowania surowcami i materiałami, rozwoju i wykorzystania technologii niskoemisyjnych, zapobiegania powstawaniu oraz poprawy efektywności gospodarowania odpadami, promocji nowych wzorców konsumpcji. Narodowy Program będzie elementem dostosowania gospodarki do wyzwań globalnych i w ramach UE odnośnie przeciwdziałania zmianom klimatu, wykorzystując szanse rozwojowe. 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Strategiczny plan adaptacji dla sektorów i obszarów wrażliwych na zmiany klimatu do roku 2020 z perspektywą do roku 2030</w:t>
      </w:r>
      <w:r w:rsidRPr="004F46AC">
        <w:rPr>
          <w:b/>
          <w:sz w:val="22"/>
        </w:rPr>
        <w:t xml:space="preserve"> </w:t>
      </w:r>
      <w:r w:rsidRPr="004F46AC">
        <w:rPr>
          <w:sz w:val="22"/>
        </w:rPr>
        <w:t>(SPA 2020)</w:t>
      </w:r>
      <w:r w:rsidRPr="004F46AC">
        <w:rPr>
          <w:rStyle w:val="Odwoanieprzypisudolnego"/>
          <w:b/>
          <w:sz w:val="22"/>
        </w:rPr>
        <w:footnoteReference w:id="35"/>
      </w:r>
      <w:r w:rsidRPr="004F46AC">
        <w:rPr>
          <w:b/>
          <w:sz w:val="22"/>
        </w:rPr>
        <w:t xml:space="preserve">. </w:t>
      </w:r>
      <w:r w:rsidRPr="004F46AC">
        <w:rPr>
          <w:sz w:val="22"/>
        </w:rPr>
        <w:t>Celem głównym dokumentu jest: zapewnienie zrównoważonego rozwoju oraz efektywnego funkcjonowania gospodarki i społeczeństwa w warunkach zmian klimatu. Cele szczegółowe to: zapewnienie bezpieczeństwa energetycznego i dobrego stanu środowiska, skuteczna adaptacja do zmian klimatu na obszarach wiejskich, rozwój transportu w warunkach zmian klimatu, zapewnienie zrównoważonego rozwoju regionalnego i lokalnego z uwzględnieniem zmian klimatu, stymulowanie innowacji sprzyjających adaptacji do zmian klimatu, kształtowanie postaw społecznych sprzyjających adaptacji do zmian klimatu.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 xml:space="preserve">Polityka energetyczna Polski do roku 2050 </w:t>
      </w:r>
      <w:r w:rsidRPr="004F46AC">
        <w:rPr>
          <w:sz w:val="22"/>
        </w:rPr>
        <w:t>(projekt 01)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Głównym celem polityki energetycznej jest stworzenie warunków dla stałego i zrównoważonego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rozwoju gospodarki narodowej, zapewnienie bezpieczeństwa energetycznego państwa oraz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zaspokojenie potrzeb energetycznych przedsiębiorstw i gospodarstw domowych.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W dokumencie wyznaczone zostały trzy cele operacyjne, które mają służyć realizacji celu głównego:</w:t>
      </w:r>
    </w:p>
    <w:p w:rsidR="00F33BF1" w:rsidRPr="004F46AC" w:rsidRDefault="00F33BF1" w:rsidP="00662DA7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zapewnienie bezpieczeństwa energetycznego kraju;</w:t>
      </w:r>
    </w:p>
    <w:p w:rsidR="00F33BF1" w:rsidRPr="004F46AC" w:rsidRDefault="00F33BF1" w:rsidP="00662DA7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zwiększenie konkurencyjności i efektywności energetycznej gospodarki narodowej;</w:t>
      </w:r>
    </w:p>
    <w:p w:rsidR="00F33BF1" w:rsidRPr="004F46AC" w:rsidRDefault="00F33BF1" w:rsidP="00662DA7">
      <w:pPr>
        <w:pStyle w:val="Akapitzlist"/>
        <w:numPr>
          <w:ilvl w:val="0"/>
          <w:numId w:val="34"/>
        </w:numPr>
        <w:ind w:left="567" w:hanging="567"/>
        <w:rPr>
          <w:sz w:val="22"/>
        </w:rPr>
      </w:pPr>
      <w:r w:rsidRPr="004F46AC">
        <w:rPr>
          <w:sz w:val="22"/>
        </w:rPr>
        <w:t>ograniczenie oddziały</w:t>
      </w:r>
      <w:r>
        <w:rPr>
          <w:sz w:val="22"/>
        </w:rPr>
        <w:t>wania energetyki na środowisko.</w:t>
      </w:r>
    </w:p>
    <w:p w:rsidR="00F33BF1" w:rsidRPr="004F46AC" w:rsidRDefault="00F33BF1" w:rsidP="004F46AC">
      <w:pPr>
        <w:rPr>
          <w:b/>
          <w:i/>
          <w:sz w:val="22"/>
        </w:rPr>
      </w:pPr>
      <w:r w:rsidRPr="004F46AC">
        <w:rPr>
          <w:b/>
          <w:i/>
          <w:sz w:val="22"/>
        </w:rPr>
        <w:lastRenderedPageBreak/>
        <w:t>Programowanie perspektywy finansowej 2014 – 2020, Umowa Partnerstwa</w:t>
      </w:r>
      <w:r w:rsidRPr="004F46AC">
        <w:rPr>
          <w:rStyle w:val="Odwoanieprzypisudolnego"/>
          <w:b/>
          <w:i/>
          <w:sz w:val="22"/>
        </w:rPr>
        <w:footnoteReference w:id="36"/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Umowa Partnerstwa (UP) jest dokumentem określającym strategię interwencji funduszy europejskich w ramach trzech polityk unijnych: polityki spójności, wspólnej polityki rolnej (WPR) i wspólnej polityki rybołówstwa (WPRyb) w Polsce w latach 2014‐2020. Instrumentami realizacji UP są  krajowe programy operacyjne (KPO) i regionalne programy operacyjne (RPO). Dokumenty te wraz z UP tworzą spójny system dokumentów strategicznych i programowych. UP określa z jednej strony kontekst strategiczny w wymiarze tematycznym i terytorialnym, z drugiej zaś  wskazuje oczekiwane rezultaty oraz obowiązujące ramy finansowe i wdrożeniowe.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UP stanowi punkt odniesienia do określania szczegółowej zawartości programów operacyjnych. 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 xml:space="preserve">Program Operacyjny Infrastruktura i Środowisko </w:t>
      </w:r>
      <w:r w:rsidRPr="004F46AC">
        <w:rPr>
          <w:sz w:val="22"/>
        </w:rPr>
        <w:t>(projekt 01.2014</w:t>
      </w:r>
      <w:r w:rsidRPr="004F46AC">
        <w:rPr>
          <w:b/>
          <w:i/>
          <w:sz w:val="22"/>
        </w:rPr>
        <w:t xml:space="preserve">). </w:t>
      </w:r>
      <w:r w:rsidRPr="004F46AC">
        <w:rPr>
          <w:sz w:val="22"/>
        </w:rPr>
        <w:t>Celem głównym Programu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Jest wsparcie gospodarki efektywnie korzystającej z zasobów i przyjaznej środowisku oraz 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sprzyjającej spójności terytorialnej i społecznej. Cel ten będzie realizowany w trzech 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 xml:space="preserve">podstawowych obszarach: </w:t>
      </w:r>
    </w:p>
    <w:p w:rsidR="00F33BF1" w:rsidRPr="004F46AC" w:rsidRDefault="00F33BF1" w:rsidP="00A57FB7">
      <w:pPr>
        <w:pStyle w:val="Akapitzlist"/>
        <w:numPr>
          <w:ilvl w:val="0"/>
          <w:numId w:val="36"/>
        </w:numPr>
        <w:ind w:left="567" w:hanging="567"/>
        <w:rPr>
          <w:sz w:val="22"/>
        </w:rPr>
      </w:pPr>
      <w:r w:rsidRPr="004F46AC">
        <w:rPr>
          <w:sz w:val="22"/>
        </w:rPr>
        <w:t xml:space="preserve">czystej i efektywnej energii, w tym efektywności energetycznej, ograniczeniu emisji gazów cieplarnianych, rozwoju energii ze źródeł odnawialnych oraz integracji i poprawy funkcjonowania europejskiego rynku energii; </w:t>
      </w:r>
    </w:p>
    <w:p w:rsidR="00F33BF1" w:rsidRPr="004F46AC" w:rsidRDefault="00F33BF1" w:rsidP="00A57FB7">
      <w:pPr>
        <w:pStyle w:val="Akapitzlist"/>
        <w:numPr>
          <w:ilvl w:val="0"/>
          <w:numId w:val="36"/>
        </w:numPr>
        <w:ind w:left="567" w:hanging="567"/>
        <w:rPr>
          <w:sz w:val="22"/>
        </w:rPr>
      </w:pPr>
      <w:r w:rsidRPr="004F46AC">
        <w:rPr>
          <w:sz w:val="22"/>
        </w:rPr>
        <w:t xml:space="preserve">adaptacji do zmian klimatu oraz efektywnego korzystania z zasobów, wzmocnieniu odporności systemów gospodarczych na zagrożenia związane z klimatem oraz zwiększeniu możliwości zapobiegania zagrożeniom (zwłaszcza zagrożeniom naturalnym) i reagowania na nie; </w:t>
      </w:r>
    </w:p>
    <w:p w:rsidR="00F33BF1" w:rsidRPr="004F46AC" w:rsidRDefault="00F33BF1" w:rsidP="00A57FB7">
      <w:pPr>
        <w:pStyle w:val="Akapitzlist"/>
        <w:numPr>
          <w:ilvl w:val="0"/>
          <w:numId w:val="36"/>
        </w:numPr>
        <w:ind w:left="567" w:hanging="567"/>
        <w:rPr>
          <w:sz w:val="22"/>
        </w:rPr>
      </w:pPr>
      <w:r w:rsidRPr="004F46AC">
        <w:rPr>
          <w:sz w:val="22"/>
        </w:rPr>
        <w:t>konkurencyjności, w tym wnoszeniu istotnego wkładu w utrzymanie przez UE prowadzenia na światowym rynku technologii przyjaznych środowisku, zapewniając jednocześnie efektywne korzystanie z zasobów i usuwając przeszkody w działaniu najważniejszych infrastruktur sieciowych.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Oceniany Project pipeline jest dokumentem implementacyjnym Programu.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lastRenderedPageBreak/>
        <w:t>Strategia Rozwoju Społeczno-Gospodarczego Polski Wschodniej do roku 2020</w:t>
      </w:r>
      <w:r w:rsidRPr="004F46AC">
        <w:rPr>
          <w:rStyle w:val="Odwoanieprzypisudolnego"/>
          <w:b/>
          <w:i/>
          <w:sz w:val="22"/>
        </w:rPr>
        <w:footnoteReference w:id="37"/>
      </w:r>
      <w:r w:rsidRPr="004F46AC">
        <w:rPr>
          <w:sz w:val="22"/>
        </w:rPr>
        <w:t>. Aktualizacja W dokumencie określono trzy zasadnicze strategiczne obszary działań (innowacyjność, zasoby pracy oraz infrastruktura), których celem jest:</w:t>
      </w:r>
    </w:p>
    <w:p w:rsidR="00F33BF1" w:rsidRPr="004F46AC" w:rsidRDefault="00F33BF1" w:rsidP="004F46AC">
      <w:pPr>
        <w:rPr>
          <w:sz w:val="22"/>
        </w:rPr>
      </w:pPr>
      <w:r w:rsidRPr="004F46AC">
        <w:rPr>
          <w:sz w:val="22"/>
        </w:rPr>
        <w:t>- podniesienie poziomu innowacyjności makroregionu poprzez budowę i wzmacnianie przewag konkurencyjnych w oparciu o endogeniczne specjalizacje gospodarcze i - wzmacnianie potencjału sektora nauki i badań;</w:t>
      </w:r>
    </w:p>
    <w:p w:rsidR="00F33BF1" w:rsidRPr="004F46AC" w:rsidRDefault="00F33BF1" w:rsidP="004F46AC">
      <w:pPr>
        <w:rPr>
          <w:b/>
          <w:sz w:val="22"/>
        </w:rPr>
      </w:pPr>
      <w:r w:rsidRPr="004F46AC">
        <w:rPr>
          <w:sz w:val="22"/>
        </w:rPr>
        <w:t>- aktywizacja zasobów pracy i podniesienie jakości kapitału ludzkiego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Priorytetowe Ramy Działań dla sieci Natura 2000 na Wieloletni Program Finansowania UE na lata 2014-2020</w:t>
      </w:r>
      <w:r w:rsidRPr="004F46AC">
        <w:rPr>
          <w:sz w:val="22"/>
        </w:rPr>
        <w:t xml:space="preserve"> (PAF). Na lata 2014-2020 zaplanowano osiągnięcie właściwego stanu ochrony lub jego poprawę w odniesieniu do grupy 30 typów siedlisk przyrodniczych i gatunków o znaczeniu priorytetowym.</w:t>
      </w:r>
    </w:p>
    <w:p w:rsidR="00F33BF1" w:rsidRPr="004F46AC" w:rsidRDefault="00F33BF1" w:rsidP="004F46AC">
      <w:pPr>
        <w:rPr>
          <w:sz w:val="22"/>
        </w:rPr>
      </w:pPr>
      <w:r w:rsidRPr="004F46AC">
        <w:rPr>
          <w:b/>
          <w:i/>
          <w:sz w:val="22"/>
        </w:rPr>
        <w:t>Drugi Krajowy Plan Działań dotyczący efektywności energetycznej dla Polski</w:t>
      </w:r>
      <w:r w:rsidRPr="004F46AC">
        <w:rPr>
          <w:rStyle w:val="Odwoanieprzypisudolnego"/>
          <w:b/>
          <w:i/>
          <w:sz w:val="22"/>
        </w:rPr>
        <w:footnoteReference w:id="38"/>
      </w:r>
      <w:r w:rsidRPr="004F46AC">
        <w:rPr>
          <w:sz w:val="22"/>
        </w:rPr>
        <w:t xml:space="preserve"> 2011 (dokument przyjęty przez RM w dniu 17.04.2012 r.).  Krajowy cel w zakresie oszczędności gospodarowania energią: uzyskanie do 2016 roku oszczędności energii finalnej w ilości nie mniejszej niż 9% średniego krajowego zużycia tej energii w ciągu roku, przy czym uśrednienie obejmuje lata 2001-2005.</w:t>
      </w:r>
    </w:p>
    <w:p w:rsidR="00F33BF1" w:rsidRDefault="00F33BF1" w:rsidP="004F46AC">
      <w:pPr>
        <w:rPr>
          <w:sz w:val="22"/>
        </w:rPr>
      </w:pPr>
      <w:r w:rsidRPr="004F46AC">
        <w:rPr>
          <w:sz w:val="22"/>
        </w:rPr>
        <w:t>Cele w zakresie oszczędności energii (GWh); - 2010 r. – 11 878,  2016 r. – 53</w:t>
      </w:r>
      <w:r>
        <w:rPr>
          <w:sz w:val="22"/>
        </w:rPr>
        <w:t> </w:t>
      </w:r>
      <w:r w:rsidRPr="004F46AC">
        <w:rPr>
          <w:sz w:val="22"/>
        </w:rPr>
        <w:t>452</w:t>
      </w:r>
      <w:r>
        <w:rPr>
          <w:sz w:val="22"/>
        </w:rPr>
        <w:t>.</w:t>
      </w:r>
    </w:p>
    <w:p w:rsidR="00F33BF1" w:rsidRDefault="00F33BF1" w:rsidP="004F46AC">
      <w:pPr>
        <w:rPr>
          <w:sz w:val="22"/>
        </w:rPr>
      </w:pPr>
      <w:r w:rsidRPr="00BA1E0A">
        <w:rPr>
          <w:b/>
          <w:sz w:val="22"/>
        </w:rPr>
        <w:t>Strategie rozwojowe województw</w:t>
      </w:r>
      <w:r>
        <w:rPr>
          <w:sz w:val="22"/>
        </w:rPr>
        <w:t xml:space="preserve">.  Główne cele strategii w zakresie dotyczącym </w:t>
      </w:r>
      <w:r w:rsidRPr="00BA1E0A">
        <w:rPr>
          <w:i/>
          <w:sz w:val="22"/>
        </w:rPr>
        <w:t>Project pipeline</w:t>
      </w:r>
      <w:r>
        <w:rPr>
          <w:sz w:val="22"/>
        </w:rPr>
        <w:t xml:space="preserve"> przedstawiono w niżej zamieszczonej tabeli.</w:t>
      </w:r>
    </w:p>
    <w:p w:rsidR="00F33BF1" w:rsidRDefault="00F33BF1" w:rsidP="004F46AC">
      <w:pPr>
        <w:rPr>
          <w:sz w:val="22"/>
        </w:rPr>
        <w:sectPr w:rsidR="00F33BF1" w:rsidSect="004415AB"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33BF1" w:rsidRDefault="00F33BF1" w:rsidP="004F46AC">
      <w:pPr>
        <w:rPr>
          <w:sz w:val="22"/>
        </w:rPr>
      </w:pPr>
      <w:r>
        <w:rPr>
          <w:sz w:val="22"/>
        </w:rPr>
        <w:lastRenderedPageBreak/>
        <w:t xml:space="preserve">Tabela 1 Główne kierunki strategii rozwojowych województw (związane z </w:t>
      </w:r>
      <w:r w:rsidRPr="00BA1E0A">
        <w:rPr>
          <w:i/>
          <w:sz w:val="22"/>
        </w:rPr>
        <w:t>Project pipeline</w:t>
      </w:r>
      <w:r>
        <w:rPr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394"/>
        <w:gridCol w:w="8158"/>
      </w:tblGrid>
      <w:tr w:rsidR="00F33BF1" w:rsidTr="001E2680">
        <w:tc>
          <w:tcPr>
            <w:tcW w:w="1668" w:type="dxa"/>
            <w:shd w:val="clear" w:color="auto" w:fill="8DB3E2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Województwo</w:t>
            </w:r>
          </w:p>
        </w:tc>
        <w:tc>
          <w:tcPr>
            <w:tcW w:w="4394" w:type="dxa"/>
            <w:shd w:val="clear" w:color="auto" w:fill="8DB3E2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Tytuł dokumentu i link do niego</w:t>
            </w:r>
          </w:p>
        </w:tc>
        <w:tc>
          <w:tcPr>
            <w:tcW w:w="8158" w:type="dxa"/>
            <w:shd w:val="clear" w:color="auto" w:fill="8DB3E2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Główne kierunki w nawiązaniu do przedmiotu Prognozy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Dolnośląskie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>Strategia rozwoju województwa dolnośląskiego 2020</w:t>
            </w:r>
          </w:p>
          <w:p w:rsidR="00F33BF1" w:rsidRPr="001E2680" w:rsidRDefault="006471CC" w:rsidP="00C36E53">
            <w:pPr>
              <w:rPr>
                <w:b/>
              </w:rPr>
            </w:pPr>
            <w:hyperlink r:id="rId13" w:history="1">
              <w:r w:rsidR="00F33BF1" w:rsidRPr="001E2680">
                <w:rPr>
                  <w:rStyle w:val="Hipercze"/>
                  <w:sz w:val="22"/>
                </w:rPr>
                <w:t>http://strateg.stat.gov.pl/strategie_pliki/dolnoslaskie_2013.pdf</w:t>
              </w:r>
            </w:hyperlink>
            <w:r w:rsidR="00F33BF1" w:rsidRPr="001E2680">
              <w:rPr>
                <w:b/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Poprawa niezawodności i zapewnienie dywersyfikacji dostaw energii (elektrycznej,</w:t>
            </w:r>
          </w:p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sz w:val="22"/>
              </w:rPr>
              <w:t xml:space="preserve">cieplnej i gazowej) oraz integracja regionalnej sieci przesyłowej z sieciami zewnętrznymi, a także zwiększenie udziału odnawialnych źródeł energii. 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Kujawsko-pomorskie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Strategia rozwoju województwa kujawsko-pomorskiego do roku 2020 </w:t>
            </w:r>
          </w:p>
          <w:p w:rsidR="00F33BF1" w:rsidRPr="001E2680" w:rsidRDefault="00F33BF1" w:rsidP="00C36E53">
            <w:r w:rsidRPr="001E2680">
              <w:rPr>
                <w:sz w:val="22"/>
              </w:rPr>
              <w:t>– Plan modernizacji 2020+</w:t>
            </w:r>
          </w:p>
          <w:p w:rsidR="00F33BF1" w:rsidRPr="001E2680" w:rsidRDefault="006471CC" w:rsidP="00C36E53">
            <w:pPr>
              <w:rPr>
                <w:b/>
              </w:rPr>
            </w:pPr>
            <w:hyperlink r:id="rId14" w:history="1">
              <w:r w:rsidR="00F33BF1" w:rsidRPr="001E2680">
                <w:rPr>
                  <w:rStyle w:val="Hipercze"/>
                  <w:sz w:val="22"/>
                </w:rPr>
                <w:t>http://www.kujawsko-pomorskie.pl/pliki/wiadomosci/zit/dokumenty/Strategia_rozwoju_wojewodztwa_kujawsko-pomorskiego_do_roku_2020_-_plan_modernizacji_2020+.pdf</w:t>
              </w:r>
            </w:hyperlink>
            <w:r w:rsidR="00F33BF1" w:rsidRPr="001E2680">
              <w:rPr>
                <w:b/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Rozwój przedsiębiorczości lokalnej związanej z wykorzystaniem potencjałów endogenicznych, w tym eksploatacji kopalin i rozwoju energetyki odnawialnej w oparciu o produkcję rolniczą oraz energię słoneczną. 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Lubelskie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>Projekt Strategii rozwoju województwa lubelskiego na lata 2014-2020 (z perspektywą do 2030 r.)</w:t>
            </w:r>
          </w:p>
          <w:p w:rsidR="00F33BF1" w:rsidRPr="001E2680" w:rsidRDefault="006471CC" w:rsidP="00C36E53">
            <w:pPr>
              <w:rPr>
                <w:b/>
              </w:rPr>
            </w:pPr>
            <w:hyperlink r:id="rId15" w:history="1">
              <w:r w:rsidR="00F33BF1" w:rsidRPr="001E2680">
                <w:rPr>
                  <w:rStyle w:val="Hipercze"/>
                  <w:sz w:val="22"/>
                </w:rPr>
                <w:t>http://www.strategia.lubelskie.pl/Strategia_rozwoju_projekt.pdf</w:t>
              </w:r>
            </w:hyperlink>
            <w:r w:rsidR="00F33BF1" w:rsidRPr="001E2680">
              <w:rPr>
                <w:b/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Restrukturyzacja rolnictwa oraz rozwój obszarów wiejskich, w tym wyposażanie obszarów wiejskich w infrastrukturę transportową, komunalną i energetyczną oraz wykorzystywanie zasobów przyrody dla potrzeb gospodarczych </w:t>
            </w:r>
            <w:r w:rsidRPr="001E2680">
              <w:rPr>
                <w:sz w:val="22"/>
              </w:rPr>
              <w:lastRenderedPageBreak/>
              <w:t xml:space="preserve">i rekreacyjnych, przy zachowaniu i ochronie walorów środowiska przyrodniczego 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lastRenderedPageBreak/>
              <w:t>Lubuskie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>Strategia rozwoju województwa lubuskiego. Aktualizacja z horyzontem czasowym do   2020 roku</w:t>
            </w:r>
          </w:p>
          <w:p w:rsidR="00F33BF1" w:rsidRPr="001E2680" w:rsidRDefault="006471CC" w:rsidP="00C36E53">
            <w:pPr>
              <w:rPr>
                <w:b/>
              </w:rPr>
            </w:pPr>
            <w:hyperlink r:id="rId16" w:history="1">
              <w:r w:rsidR="00F33BF1" w:rsidRPr="001E2680">
                <w:rPr>
                  <w:rStyle w:val="Hipercze"/>
                  <w:sz w:val="22"/>
                </w:rPr>
                <w:t>http://lubuskie.pl/pl/download/strategia/strategiaRozwojuWojewodztwaLubuskiego.pdf</w:t>
              </w:r>
            </w:hyperlink>
            <w:r w:rsidR="00F33BF1" w:rsidRPr="001E2680">
              <w:rPr>
                <w:b/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Współpraca nad systemem bezpieczeństwa energetycznego regionów oraz efektywne, prorozwojowe wykorzystanie zasobów środowiska przyrodniczego i kulturowego. 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Łódzkie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Strategia rozwoju województwa łódzkiego na lata 2007-2020 </w:t>
            </w:r>
          </w:p>
          <w:p w:rsidR="00F33BF1" w:rsidRPr="001E2680" w:rsidRDefault="006471CC" w:rsidP="00C36E53">
            <w:pPr>
              <w:rPr>
                <w:b/>
              </w:rPr>
            </w:pPr>
            <w:hyperlink r:id="rId17" w:history="1">
              <w:r w:rsidR="00F33BF1" w:rsidRPr="001E2680">
                <w:rPr>
                  <w:rStyle w:val="Hipercze"/>
                  <w:sz w:val="22"/>
                </w:rPr>
                <w:t>http://www.lptw.lodzkie.pl/lptw/cms.nsf/cmsfiles/RSI/$FILE/strategia.pdf</w:t>
              </w:r>
            </w:hyperlink>
            <w:r w:rsidR="00F33BF1" w:rsidRPr="001E2680">
              <w:rPr>
                <w:b/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Modernizacja podstawowej infrastruktury komunikacyjnej i technicznej zwiększającej dostępność województwa dla inwestorów i poprawiające warunki gospodarowania.</w:t>
            </w:r>
          </w:p>
          <w:p w:rsidR="00F33BF1" w:rsidRPr="001E2680" w:rsidRDefault="00F33BF1" w:rsidP="00C36E53">
            <w:r w:rsidRPr="001E2680">
              <w:rPr>
                <w:sz w:val="22"/>
              </w:rPr>
              <w:t>Zwiększenie dostępności do mediów technicznych i zapewnienie bezpieczeństwa energetycznego regionu.</w:t>
            </w:r>
          </w:p>
          <w:p w:rsidR="00F33BF1" w:rsidRPr="001E2680" w:rsidRDefault="00F33BF1" w:rsidP="00C36E53">
            <w:r w:rsidRPr="001E2680">
              <w:rPr>
                <w:sz w:val="22"/>
              </w:rPr>
              <w:t xml:space="preserve">Dostosowanie infrastruktury technicznej i sieci energetycznej do zwiększonego </w:t>
            </w:r>
            <w:r w:rsidRPr="001E2680">
              <w:rPr>
                <w:sz w:val="22"/>
              </w:rPr>
              <w:lastRenderedPageBreak/>
              <w:t>zapotrzebowania ze strony gospodarki.</w:t>
            </w:r>
          </w:p>
          <w:p w:rsidR="00F33BF1" w:rsidRPr="001E2680" w:rsidRDefault="00F33BF1" w:rsidP="00C36E53">
            <w:r w:rsidRPr="001E2680">
              <w:rPr>
                <w:sz w:val="22"/>
              </w:rPr>
              <w:t>Poprawa atrakcyjności obszarów wiejskich przez rozwój infrastruktury technicznej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lastRenderedPageBreak/>
              <w:t>Małopolskie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Strategia rozwoju województwa małopolskiego na lata 2011-2020 </w:t>
            </w:r>
          </w:p>
          <w:p w:rsidR="00F33BF1" w:rsidRPr="001E2680" w:rsidRDefault="006471CC" w:rsidP="00C36E53">
            <w:hyperlink r:id="rId18" w:history="1">
              <w:r w:rsidR="00F33BF1" w:rsidRPr="001E2680">
                <w:rPr>
                  <w:rStyle w:val="Hipercze"/>
                  <w:sz w:val="22"/>
                </w:rPr>
                <w:t>http://patenty.bg.agh.edu.pl/prez/regionalna_strategia.pdf</w:t>
              </w:r>
            </w:hyperlink>
            <w:r w:rsidR="00F33BF1" w:rsidRPr="001E2680">
              <w:rPr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Poprawa poziomu bezpieczeństwa energetycznego, w tym zwiększenie wykorzystania odnawialnych zasobów energii, przy zachowaniu zasad zrównoważonego rozwoju .</w:t>
            </w:r>
          </w:p>
          <w:p w:rsidR="00F33BF1" w:rsidRPr="001E2680" w:rsidRDefault="00F33BF1" w:rsidP="00C36E53"/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Mazowieckie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Strategia rozwoju województwa mazowieckiego do 2030 roku </w:t>
            </w:r>
            <w:r w:rsidRPr="001E2680">
              <w:rPr>
                <w:i/>
                <w:sz w:val="22"/>
              </w:rPr>
              <w:t xml:space="preserve">Innowacyjne Mazowsze </w:t>
            </w:r>
            <w:hyperlink r:id="rId19" w:history="1">
              <w:r w:rsidRPr="001E2680">
                <w:rPr>
                  <w:rStyle w:val="Hipercze"/>
                  <w:sz w:val="22"/>
                </w:rPr>
                <w:t>file:///C:/Documents%20and%20Settings/jaskiewicz/Moje%20dokumenty/Downloads/1_srwm_zalacznik__do_uchwaly_28_10_2013_lekki.pdf</w:t>
              </w:r>
            </w:hyperlink>
          </w:p>
        </w:tc>
        <w:tc>
          <w:tcPr>
            <w:tcW w:w="815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sz w:val="22"/>
              </w:rPr>
              <w:t>Zapewnienie gospodarce regionu zdywersyfikowanego zaopatrzenia w energię przy zrównoważonym gospodarowaniu zasobami środowiska.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Opolskie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>Strategia rozwoju województwa opolskiego  do 2020 roku</w:t>
            </w:r>
          </w:p>
          <w:p w:rsidR="00F33BF1" w:rsidRPr="001E2680" w:rsidRDefault="006471CC" w:rsidP="00C36E53">
            <w:pPr>
              <w:rPr>
                <w:b/>
              </w:rPr>
            </w:pPr>
            <w:hyperlink r:id="rId20" w:history="1">
              <w:r w:rsidR="00F33BF1" w:rsidRPr="001E2680">
                <w:rPr>
                  <w:rStyle w:val="Hipercze"/>
                  <w:sz w:val="22"/>
                </w:rPr>
                <w:t>http://strateg.stat.gov.pl/strategie_pliki/opolskie_2012.pdf</w:t>
              </w:r>
            </w:hyperlink>
            <w:r w:rsidR="00F33BF1" w:rsidRPr="001E2680">
              <w:rPr>
                <w:b/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Poprawa stanu środowiska poprzez rozwój infrastruktury technicznej ,  wspieranie gospodarki niskoemisyjnej, racjonalne wykorzystanie zasobów naturalnych oraz kształtowanie systemu przyrodniczego, ochrona krajobrazu i bioróżnorodności.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lastRenderedPageBreak/>
              <w:t>Podkarpackie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Strategia rozwoju województwa – </w:t>
            </w:r>
            <w:r w:rsidRPr="001E2680">
              <w:rPr>
                <w:i/>
                <w:sz w:val="22"/>
              </w:rPr>
              <w:t>Podkarpackie 2020</w:t>
            </w:r>
          </w:p>
          <w:p w:rsidR="00F33BF1" w:rsidRPr="001E2680" w:rsidRDefault="006471CC" w:rsidP="00C36E53">
            <w:hyperlink r:id="rId21" w:history="1">
              <w:r w:rsidR="00F33BF1" w:rsidRPr="001E2680">
                <w:rPr>
                  <w:rStyle w:val="Hipercze"/>
                  <w:sz w:val="22"/>
                </w:rPr>
                <w:t>http://strateg.stat.gov.pl/strategie_pliki/podkarpackie_2013.pdf</w:t>
              </w:r>
            </w:hyperlink>
            <w:r w:rsidR="00F33BF1" w:rsidRPr="001E2680">
              <w:rPr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Bezpieczeństwo energetyczne i racjonalne wykorzystanie energii, ochrona środowiska, a także zapobieganie i przeciwdziałanie zagrożeniom oraz usuwanie ich negatywnych skutków.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Podlaskie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>Strategia rozwoju województwa podlaskiego do roku 2020</w:t>
            </w:r>
          </w:p>
          <w:p w:rsidR="00F33BF1" w:rsidRPr="001E2680" w:rsidRDefault="006471CC" w:rsidP="00C36E53">
            <w:hyperlink r:id="rId22" w:history="1">
              <w:r w:rsidR="00F33BF1" w:rsidRPr="001E2680">
                <w:rPr>
                  <w:rStyle w:val="Hipercze"/>
                  <w:sz w:val="22"/>
                </w:rPr>
                <w:t>http://www.strategia.wrotapodlasia.pl/pl/ps2/var/resources/154/248/4/srwp_2020_1.pdf</w:t>
              </w:r>
            </w:hyperlink>
            <w:r w:rsidR="00F33BF1" w:rsidRPr="001E2680">
              <w:rPr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Nowoczesna infrastruktura sieciowa oraz ochrona środowiska i racjonalne gospodarowanie jego zasobami. 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Pomorskie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Strategia rozwoju województwa pomorskiego </w:t>
            </w:r>
            <w:r w:rsidRPr="001E2680">
              <w:rPr>
                <w:i/>
                <w:sz w:val="22"/>
              </w:rPr>
              <w:t>Pomorskie 2020</w:t>
            </w:r>
          </w:p>
          <w:p w:rsidR="00F33BF1" w:rsidRPr="001E2680" w:rsidRDefault="006471CC" w:rsidP="00C36E53">
            <w:hyperlink r:id="rId23" w:history="1">
              <w:r w:rsidR="00F33BF1" w:rsidRPr="001E2680">
                <w:rPr>
                  <w:rStyle w:val="Hipercze"/>
                  <w:sz w:val="22"/>
                </w:rPr>
                <w:t>http://strateg.stat.gov.pl/strategie_pliki/pomorskie_2012.pdf</w:t>
              </w:r>
            </w:hyperlink>
            <w:r w:rsidR="00F33BF1" w:rsidRPr="001E2680">
              <w:rPr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Bezpieczeństwo energetyczny i ekotechnologiczne a w tym celu wykorzystanie potencjału posiadanych zasobów, a także redukcja środowiskowych oddziaływań energetyki i przekształcenie regionu w krajowego lidera produkcji zielonej energii i technologii ekoefektywnych.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Śląskie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Strategia rozwoju województwa śląskiego </w:t>
            </w:r>
            <w:r w:rsidRPr="001E2680">
              <w:rPr>
                <w:i/>
                <w:sz w:val="22"/>
              </w:rPr>
              <w:t>Śląskie 2020</w:t>
            </w:r>
          </w:p>
          <w:p w:rsidR="00F33BF1" w:rsidRPr="001E2680" w:rsidRDefault="006471CC" w:rsidP="00C36E53">
            <w:hyperlink r:id="rId24" w:history="1">
              <w:r w:rsidR="00F33BF1" w:rsidRPr="001E2680">
                <w:rPr>
                  <w:rStyle w:val="Hipercze"/>
                  <w:sz w:val="22"/>
                </w:rPr>
                <w:t>http://www.slaskie.pl/zalaczniki/2010/02/24/1267017716/1267017953.pdf</w:t>
              </w:r>
            </w:hyperlink>
            <w:r w:rsidR="00F33BF1" w:rsidRPr="001E2680">
              <w:rPr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Rozbudowa i unowocześnienie systemów energetycznych i przesyłowych.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Świętokrzyskie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>Strategia rozwoju województwa świętokrzyskiego do roku 2020</w:t>
            </w:r>
          </w:p>
          <w:p w:rsidR="00F33BF1" w:rsidRPr="001E2680" w:rsidRDefault="006471CC" w:rsidP="00C36E53">
            <w:hyperlink r:id="rId25" w:history="1">
              <w:r w:rsidR="00F33BF1" w:rsidRPr="001E2680">
                <w:rPr>
                  <w:rStyle w:val="Hipercze"/>
                  <w:sz w:val="22"/>
                </w:rPr>
                <w:t>http://www.rpo-swietokrzyskie.pl/data/Pliki/92_Strategia_Rozwoju_Wojew_dztwa__wi_tokrzyskie.pdf</w:t>
              </w:r>
            </w:hyperlink>
            <w:r w:rsidR="00F33BF1" w:rsidRPr="001E2680">
              <w:rPr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Zapewnienie bezpieczeństwa </w:t>
            </w:r>
            <w:r w:rsidRPr="001E2680">
              <w:rPr>
                <w:sz w:val="22"/>
              </w:rPr>
              <w:lastRenderedPageBreak/>
              <w:t xml:space="preserve">energetycznego oraz rozwój komunalnej infrastruktury ochrony środowiska. </w:t>
            </w:r>
          </w:p>
          <w:p w:rsidR="00F33BF1" w:rsidRPr="001E2680" w:rsidRDefault="00F33BF1" w:rsidP="00C36E53"/>
          <w:p w:rsidR="00F33BF1" w:rsidRPr="001E2680" w:rsidRDefault="00F33BF1" w:rsidP="00C36E53"/>
          <w:p w:rsidR="00F33BF1" w:rsidRPr="001E2680" w:rsidRDefault="00F33BF1" w:rsidP="00C36E53"/>
          <w:p w:rsidR="00F33BF1" w:rsidRPr="001E2680" w:rsidRDefault="00F33BF1" w:rsidP="00C36E53"/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lastRenderedPageBreak/>
              <w:t>Warmińsko-mazurskie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>Strategia rozwoju społeczno-gospodarczego województwa warmińsko-mazurskiego do roku 2025</w:t>
            </w:r>
          </w:p>
          <w:p w:rsidR="00F33BF1" w:rsidRPr="001E2680" w:rsidRDefault="006471CC" w:rsidP="00C36E53">
            <w:hyperlink r:id="rId26" w:history="1">
              <w:r w:rsidR="00F33BF1" w:rsidRPr="001E2680">
                <w:rPr>
                  <w:rStyle w:val="Hipercze"/>
                  <w:sz w:val="22"/>
                </w:rPr>
                <w:t>http://strateg.stat.gov.pl/strategie_pliki/warminsko-mazurskie_2013.pdf</w:t>
              </w:r>
            </w:hyperlink>
            <w:r w:rsidR="00F33BF1" w:rsidRPr="001E2680">
              <w:rPr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Dostosowana do potrzeb mieszkańców sieć nośników energii, w tym wdrażanie niskoemisyjnej gospodarki i wykorzystanie odnawialnych źródeł energii i węglowodorów łupkowych, oraz poprawa jakości i ochrona środowiska.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Wielkopolskie</w:t>
            </w:r>
          </w:p>
        </w:tc>
        <w:tc>
          <w:tcPr>
            <w:tcW w:w="4394" w:type="dxa"/>
          </w:tcPr>
          <w:p w:rsidR="00F33BF1" w:rsidRPr="001E2680" w:rsidRDefault="00F33BF1" w:rsidP="00C36E53">
            <w:pPr>
              <w:rPr>
                <w:i/>
              </w:rPr>
            </w:pPr>
            <w:r w:rsidRPr="001E2680">
              <w:rPr>
                <w:sz w:val="22"/>
              </w:rPr>
              <w:t xml:space="preserve">Strategia rozwoju województwa wielkopolskiego do 2020 roku </w:t>
            </w:r>
            <w:r w:rsidRPr="001E2680">
              <w:rPr>
                <w:i/>
                <w:sz w:val="22"/>
              </w:rPr>
              <w:t>Wielkopolska 2020</w:t>
            </w:r>
          </w:p>
          <w:p w:rsidR="00F33BF1" w:rsidRPr="001E2680" w:rsidRDefault="006471CC" w:rsidP="00C36E53">
            <w:pPr>
              <w:rPr>
                <w:b/>
              </w:rPr>
            </w:pPr>
            <w:hyperlink r:id="rId27" w:history="1">
              <w:r w:rsidR="00F33BF1" w:rsidRPr="001E2680">
                <w:rPr>
                  <w:rStyle w:val="Hipercze"/>
                  <w:i/>
                  <w:sz w:val="22"/>
                </w:rPr>
                <w:t>http://www.wrpo.wielkopolskie.pl/zalaczniki1/2013/Zaktualizowana_Strategia_RWW_do_2020.pdf</w:t>
              </w:r>
            </w:hyperlink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>Lepsze zarządzanie energią:</w:t>
            </w:r>
          </w:p>
          <w:p w:rsidR="00F33BF1" w:rsidRPr="001E2680" w:rsidRDefault="00F33BF1" w:rsidP="00C36E53">
            <w:r w:rsidRPr="001E2680">
              <w:rPr>
                <w:sz w:val="22"/>
              </w:rPr>
              <w:t>- optymalizacja gospodarowania energią</w:t>
            </w:r>
          </w:p>
          <w:p w:rsidR="00F33BF1" w:rsidRPr="001E2680" w:rsidRDefault="00F33BF1" w:rsidP="00C36E53">
            <w:r w:rsidRPr="001E2680">
              <w:rPr>
                <w:sz w:val="22"/>
              </w:rPr>
              <w:t>- rozwój produkcji i wykorzystanie alternatywnych źródeł energii</w:t>
            </w:r>
          </w:p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sz w:val="22"/>
              </w:rPr>
              <w:t>- poprawa bezpieczeństwa energetycznego regionu.</w:t>
            </w:r>
          </w:p>
        </w:tc>
      </w:tr>
      <w:tr w:rsidR="00F33BF1" w:rsidTr="001E2680">
        <w:tc>
          <w:tcPr>
            <w:tcW w:w="1668" w:type="dxa"/>
          </w:tcPr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>Zachodnio</w:t>
            </w:r>
          </w:p>
          <w:p w:rsidR="00F33BF1" w:rsidRPr="001E2680" w:rsidRDefault="00F33BF1" w:rsidP="00C36E53">
            <w:pPr>
              <w:rPr>
                <w:b/>
              </w:rPr>
            </w:pPr>
            <w:r w:rsidRPr="001E2680">
              <w:rPr>
                <w:b/>
                <w:sz w:val="22"/>
              </w:rPr>
              <w:t xml:space="preserve">-pomorskie </w:t>
            </w:r>
          </w:p>
        </w:tc>
        <w:tc>
          <w:tcPr>
            <w:tcW w:w="4394" w:type="dxa"/>
          </w:tcPr>
          <w:p w:rsidR="00F33BF1" w:rsidRPr="001E2680" w:rsidRDefault="00F33BF1" w:rsidP="00C36E53">
            <w:r w:rsidRPr="001E2680">
              <w:rPr>
                <w:sz w:val="22"/>
              </w:rPr>
              <w:t>Strategia rozwoju województwa zachodniopomorskiego do 2020 roku</w:t>
            </w:r>
          </w:p>
          <w:p w:rsidR="00F33BF1" w:rsidRPr="001E2680" w:rsidRDefault="006471CC" w:rsidP="00C36E53">
            <w:hyperlink r:id="rId28" w:history="1">
              <w:r w:rsidR="00F33BF1" w:rsidRPr="001E2680">
                <w:rPr>
                  <w:rStyle w:val="Hipercze"/>
                  <w:sz w:val="22"/>
                </w:rPr>
                <w:t>http://strateg.stat.gov.pl/strategie_pliki/zachodniopomorskie_2010.pdf</w:t>
              </w:r>
            </w:hyperlink>
            <w:r w:rsidR="00F33BF1" w:rsidRPr="001E2680">
              <w:rPr>
                <w:sz w:val="22"/>
              </w:rPr>
              <w:t xml:space="preserve"> </w:t>
            </w:r>
          </w:p>
        </w:tc>
        <w:tc>
          <w:tcPr>
            <w:tcW w:w="8158" w:type="dxa"/>
          </w:tcPr>
          <w:p w:rsidR="00F33BF1" w:rsidRPr="001E2680" w:rsidRDefault="00F33BF1" w:rsidP="00C36E53">
            <w:r w:rsidRPr="001E2680">
              <w:rPr>
                <w:sz w:val="22"/>
              </w:rPr>
              <w:t xml:space="preserve">Zachowanie i ochrona wartości przyrodniczych oraz racjonalna gospodarka zasobami, w tym </w:t>
            </w:r>
            <w:r w:rsidRPr="001E2680">
              <w:rPr>
                <w:sz w:val="22"/>
              </w:rPr>
              <w:lastRenderedPageBreak/>
              <w:t>zwiększenie udziału odnawialnych źródeł energii.</w:t>
            </w:r>
          </w:p>
        </w:tc>
      </w:tr>
    </w:tbl>
    <w:p w:rsidR="00F33BF1" w:rsidRPr="004F46AC" w:rsidRDefault="00F33BF1" w:rsidP="004F46AC">
      <w:pPr>
        <w:rPr>
          <w:sz w:val="22"/>
        </w:rPr>
      </w:pPr>
    </w:p>
    <w:p w:rsidR="00F33BF1" w:rsidRDefault="00F33BF1" w:rsidP="004F46AC">
      <w:pPr>
        <w:rPr>
          <w:b/>
          <w:sz w:val="22"/>
        </w:rPr>
      </w:pPr>
    </w:p>
    <w:p w:rsidR="00F33BF1" w:rsidRDefault="00F33BF1" w:rsidP="004F46AC">
      <w:pPr>
        <w:rPr>
          <w:b/>
          <w:sz w:val="22"/>
        </w:rPr>
      </w:pPr>
    </w:p>
    <w:p w:rsidR="00F33BF1" w:rsidRDefault="00F33BF1" w:rsidP="004F46AC">
      <w:pPr>
        <w:rPr>
          <w:b/>
          <w:sz w:val="22"/>
        </w:rPr>
      </w:pPr>
    </w:p>
    <w:p w:rsidR="00F33BF1" w:rsidRDefault="00F33BF1" w:rsidP="004F46AC">
      <w:pPr>
        <w:rPr>
          <w:b/>
          <w:sz w:val="22"/>
        </w:rPr>
        <w:sectPr w:rsidR="00F33BF1" w:rsidSect="00BA1E0A"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33BF1" w:rsidRPr="004F46AC" w:rsidRDefault="00F33BF1" w:rsidP="004F46AC">
      <w:pPr>
        <w:rPr>
          <w:b/>
          <w:sz w:val="22"/>
        </w:rPr>
      </w:pPr>
    </w:p>
    <w:p w:rsidR="00F33BF1" w:rsidRPr="00A57FB7" w:rsidRDefault="00F33BF1" w:rsidP="004F46AC">
      <w:pPr>
        <w:rPr>
          <w:b/>
          <w:i/>
          <w:color w:val="215868"/>
          <w:sz w:val="22"/>
        </w:rPr>
      </w:pPr>
      <w:r w:rsidRPr="00A57FB7">
        <w:rPr>
          <w:b/>
          <w:i/>
          <w:color w:val="215868"/>
          <w:sz w:val="22"/>
        </w:rPr>
        <w:t>Podsumowanie</w:t>
      </w:r>
    </w:p>
    <w:p w:rsidR="00F33BF1" w:rsidRPr="004F46AC" w:rsidRDefault="00F33BF1" w:rsidP="004F46AC">
      <w:pPr>
        <w:pStyle w:val="standard"/>
        <w:spacing w:line="360" w:lineRule="auto"/>
        <w:rPr>
          <w:sz w:val="22"/>
          <w:szCs w:val="22"/>
        </w:rPr>
      </w:pPr>
      <w:r w:rsidRPr="004F46AC">
        <w:rPr>
          <w:sz w:val="22"/>
          <w:szCs w:val="22"/>
        </w:rPr>
        <w:t>Z analizy dokumentów strategicznych globalnych, UE i Polski</w:t>
      </w:r>
      <w:r>
        <w:rPr>
          <w:sz w:val="22"/>
          <w:szCs w:val="22"/>
        </w:rPr>
        <w:t>, w tym regionów,</w:t>
      </w:r>
      <w:r w:rsidRPr="004F46AC">
        <w:rPr>
          <w:sz w:val="22"/>
          <w:szCs w:val="22"/>
        </w:rPr>
        <w:t xml:space="preserve"> można wciągnąć następujące wnioski:</w:t>
      </w:r>
    </w:p>
    <w:p w:rsidR="00F33BF1" w:rsidRPr="004F46AC" w:rsidRDefault="00F33BF1" w:rsidP="004F46AC">
      <w:pPr>
        <w:pStyle w:val="myslnik"/>
        <w:ind w:left="567" w:hanging="567"/>
      </w:pPr>
      <w:r w:rsidRPr="004F46AC">
        <w:t>Generalnie dokumenty te wskazują na następujące wyzwania i kierunki działań: zrównoważony rozwój, ochronę i poprawę środowiska w tym przyrody i specjalnie bioróżnorodności, ograniczenie emisji zanieczyszczeń do środowiska, a szczególnie do powietrza włączając w to emisję gazów cieplarniach, zapewnienie bezpieczeństwa energetycznego, zwiększenie efektywności energetycznej, wykorzystanie odnawialnych źródeł energetycznych.</w:t>
      </w:r>
    </w:p>
    <w:p w:rsidR="00F33BF1" w:rsidRPr="004F46AC" w:rsidRDefault="00F33BF1" w:rsidP="004F46AC">
      <w:pPr>
        <w:pStyle w:val="myslnik"/>
        <w:ind w:left="567" w:hanging="567"/>
      </w:pPr>
      <w:r w:rsidRPr="004F46AC">
        <w:t xml:space="preserve">Wszystkie przedsięwzięcia proponowane w </w:t>
      </w:r>
      <w:r>
        <w:t xml:space="preserve">dokumencie </w:t>
      </w:r>
      <w:r w:rsidRPr="00783EB4">
        <w:rPr>
          <w:i/>
        </w:rPr>
        <w:t>Projekcie pipeline</w:t>
      </w:r>
      <w:r w:rsidRPr="004F46AC">
        <w:t xml:space="preserve"> przyczyniać się będą do realizacji tych celów, choć stopień ich wkładów będzie różny. Środowiskowe efekty tych przedsięwzięć przedstawione są w rozdziale 6 Prognozy.</w:t>
      </w:r>
    </w:p>
    <w:p w:rsidR="00F33BF1" w:rsidRPr="00A57FB7" w:rsidRDefault="00F33BF1" w:rsidP="00A57FB7">
      <w:pPr>
        <w:pStyle w:val="myslnik"/>
        <w:ind w:left="567" w:hanging="567"/>
      </w:pPr>
      <w:r w:rsidRPr="004F46AC">
        <w:t xml:space="preserve">Nie zidentyfikowano obszarów sprzecznych z celami analizowanych dokumentów strategicznych, jednakże realizacja szeregu przedsięwzięć objętych </w:t>
      </w:r>
      <w:r>
        <w:t xml:space="preserve">dokumentem </w:t>
      </w:r>
      <w:r w:rsidRPr="00783EB4">
        <w:rPr>
          <w:i/>
        </w:rPr>
        <w:t>Project pipeline</w:t>
      </w:r>
      <w:r w:rsidRPr="004F46AC">
        <w:t>, mogących znacząco oddziaływać na środowisko, wymagać będzie analiz szczegółowych w ramach procedury ocen</w:t>
      </w:r>
      <w:r>
        <w:t>y</w:t>
      </w:r>
      <w:r w:rsidRPr="004F46AC">
        <w:t xml:space="preserve"> oddziaływania na środowisko</w:t>
      </w:r>
      <w:bookmarkEnd w:id="3"/>
      <w:bookmarkEnd w:id="5"/>
      <w:bookmarkEnd w:id="6"/>
      <w:r>
        <w:t>.</w:t>
      </w:r>
    </w:p>
    <w:sectPr w:rsidR="00F33BF1" w:rsidRPr="00A57FB7" w:rsidSect="00BA1E0A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CC" w:rsidRDefault="006471CC" w:rsidP="008E7EC1">
      <w:pPr>
        <w:spacing w:line="240" w:lineRule="auto"/>
      </w:pPr>
      <w:r>
        <w:separator/>
      </w:r>
    </w:p>
  </w:endnote>
  <w:endnote w:type="continuationSeparator" w:id="0">
    <w:p w:rsidR="006471CC" w:rsidRDefault="006471CC" w:rsidP="008E7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BF1" w:rsidRDefault="00282CF8" w:rsidP="004415AB">
    <w:pPr>
      <w:pStyle w:val="Stopka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18465" cy="221615"/>
              <wp:effectExtent l="0" t="0" r="635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BF1" w:rsidRPr="001E2680" w:rsidRDefault="00F33BF1">
                            <w:pPr>
                              <w:jc w:val="center"/>
                              <w:rPr>
                                <w:color w:val="215868"/>
                                <w:sz w:val="20"/>
                                <w:szCs w:val="20"/>
                              </w:rPr>
                            </w:pPr>
                            <w:r w:rsidRPr="001E2680">
                              <w:rPr>
                                <w:color w:val="215868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E2680">
                              <w:rPr>
                                <w:color w:val="215868"/>
                                <w:sz w:val="20"/>
                                <w:szCs w:val="20"/>
                              </w:rPr>
                              <w:instrText xml:space="preserve"> PAGE    \* MERGEFORMAT </w:instrText>
                            </w:r>
                            <w:r w:rsidRPr="001E2680">
                              <w:rPr>
                                <w:color w:val="215868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82CF8">
                              <w:rPr>
                                <w:noProof/>
                                <w:color w:val="215868"/>
                                <w:sz w:val="20"/>
                                <w:szCs w:val="20"/>
                              </w:rPr>
                              <w:t>1</w:t>
                            </w:r>
                            <w:r w:rsidRPr="001E2680">
                              <w:rPr>
                                <w:color w:val="215868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:rsidR="00F33BF1" w:rsidRPr="001E2680" w:rsidRDefault="00F33BF1">
                      <w:pPr>
                        <w:jc w:val="center"/>
                        <w:rPr>
                          <w:color w:val="215868"/>
                          <w:sz w:val="20"/>
                          <w:szCs w:val="20"/>
                        </w:rPr>
                      </w:pPr>
                      <w:r w:rsidRPr="001E2680">
                        <w:rPr>
                          <w:color w:val="215868"/>
                          <w:sz w:val="20"/>
                          <w:szCs w:val="20"/>
                        </w:rPr>
                        <w:fldChar w:fldCharType="begin"/>
                      </w:r>
                      <w:r w:rsidRPr="001E2680">
                        <w:rPr>
                          <w:color w:val="215868"/>
                          <w:sz w:val="20"/>
                          <w:szCs w:val="20"/>
                        </w:rPr>
                        <w:instrText xml:space="preserve"> PAGE    \* MERGEFORMAT </w:instrText>
                      </w:r>
                      <w:r w:rsidRPr="001E2680">
                        <w:rPr>
                          <w:color w:val="215868"/>
                          <w:sz w:val="20"/>
                          <w:szCs w:val="20"/>
                        </w:rPr>
                        <w:fldChar w:fldCharType="separate"/>
                      </w:r>
                      <w:r w:rsidR="00282CF8">
                        <w:rPr>
                          <w:noProof/>
                          <w:color w:val="215868"/>
                          <w:sz w:val="20"/>
                          <w:szCs w:val="20"/>
                        </w:rPr>
                        <w:t>1</w:t>
                      </w:r>
                      <w:r w:rsidRPr="001E2680">
                        <w:rPr>
                          <w:color w:val="215868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4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" fillcolor="#7ba0cd" stroked="f"/>
                <v:oval id="Oval 5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" fillcolor="#7ba0cd" stroked="f"/>
                <v:oval id="Oval 6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" fillcolor="#7ba0cd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CC" w:rsidRDefault="006471CC" w:rsidP="008E7EC1">
      <w:pPr>
        <w:spacing w:line="240" w:lineRule="auto"/>
      </w:pPr>
      <w:r>
        <w:separator/>
      </w:r>
    </w:p>
  </w:footnote>
  <w:footnote w:type="continuationSeparator" w:id="0">
    <w:p w:rsidR="006471CC" w:rsidRDefault="006471CC" w:rsidP="008E7EC1">
      <w:pPr>
        <w:spacing w:line="240" w:lineRule="auto"/>
      </w:pPr>
      <w:r>
        <w:continuationSeparator/>
      </w:r>
    </w:p>
  </w:footnote>
  <w:footnote w:id="1">
    <w:p w:rsidR="00F33BF1" w:rsidRDefault="00F33BF1" w:rsidP="004F46AC">
      <w:pPr>
        <w:pStyle w:val="Tekstprzypisudolnego"/>
      </w:pPr>
      <w:r w:rsidRPr="004F46AC">
        <w:rPr>
          <w:vertAlign w:val="superscript"/>
        </w:rPr>
        <w:footnoteRef/>
      </w:r>
      <w:r w:rsidRPr="004F46AC">
        <w:rPr>
          <w:lang w:val="en-US"/>
        </w:rPr>
        <w:t xml:space="preserve"> Report of the United Nations Conference on Sustainable Development (A/CONF.216/16), 2012 </w:t>
      </w:r>
      <w:hyperlink r:id="rId1" w:history="1">
        <w:r w:rsidRPr="004F46AC">
          <w:rPr>
            <w:rStyle w:val="Hipercze"/>
            <w:lang w:val="en-US"/>
          </w:rPr>
          <w:t>http://www.uncsd2012.org/content/documents/814UNCSD%20REPORT%20final%20revs.pdf</w:t>
        </w:r>
      </w:hyperlink>
    </w:p>
  </w:footnote>
  <w:footnote w:id="2">
    <w:p w:rsidR="00F33BF1" w:rsidRDefault="00F33BF1" w:rsidP="004F46AC">
      <w:pPr>
        <w:pStyle w:val="Tekstprzypisudolnego"/>
      </w:pPr>
      <w:r w:rsidRPr="004F46AC">
        <w:rPr>
          <w:vertAlign w:val="superscript"/>
        </w:rPr>
        <w:footnoteRef/>
      </w:r>
      <w:r w:rsidRPr="004F46AC">
        <w:t xml:space="preserve"> Ramowa konwencja Narodów Zjednoczonych w sprawie zmian klimatu </w:t>
      </w:r>
      <w:hyperlink r:id="rId2" w:history="1">
        <w:r w:rsidRPr="004F46AC">
          <w:rPr>
            <w:rStyle w:val="Hipercze"/>
          </w:rPr>
          <w:t>http://isap.sejm.gov.pl/DetailsServlet?id=WDU19960530238</w:t>
        </w:r>
      </w:hyperlink>
    </w:p>
  </w:footnote>
  <w:footnote w:id="3">
    <w:p w:rsidR="00F33BF1" w:rsidRDefault="00F33BF1" w:rsidP="004F46AC">
      <w:pPr>
        <w:pStyle w:val="Tekstprzypisudolnego"/>
      </w:pPr>
      <w:r w:rsidRPr="00C263E2">
        <w:rPr>
          <w:rStyle w:val="Odwoanieprzypisudolnego"/>
        </w:rPr>
        <w:footnoteRef/>
      </w:r>
      <w:r w:rsidRPr="00C263E2">
        <w:t xml:space="preserve"> Protokół z Kioto </w:t>
      </w:r>
      <w:hyperlink r:id="rId3" w:history="1">
        <w:r w:rsidRPr="00C263E2">
          <w:rPr>
            <w:rStyle w:val="Hipercze"/>
          </w:rPr>
          <w:t>http://www.nape.pl/upload/File/akty-prawne/Protokol_z_Kioto.pdf</w:t>
        </w:r>
      </w:hyperlink>
    </w:p>
  </w:footnote>
  <w:footnote w:id="4">
    <w:p w:rsidR="00F33BF1" w:rsidRDefault="00F33BF1" w:rsidP="004F46AC">
      <w:pPr>
        <w:pStyle w:val="Tekstprzypisudolnego"/>
      </w:pPr>
      <w:r w:rsidRPr="00C263E2">
        <w:rPr>
          <w:vertAlign w:val="superscript"/>
        </w:rPr>
        <w:footnoteRef/>
      </w:r>
      <w:r w:rsidRPr="00C263E2">
        <w:t xml:space="preserve"> Konwencja o różnorodności biologicznej (</w:t>
      </w:r>
      <w:hyperlink r:id="rId4" w:history="1">
        <w:r w:rsidRPr="00C263E2">
          <w:rPr>
            <w:rStyle w:val="Hipercze"/>
          </w:rPr>
          <w:t>http://isap.sejm.gov.pl/DetailsServlet?id=WDU20021841532</w:t>
        </w:r>
      </w:hyperlink>
      <w:r w:rsidRPr="00C263E2">
        <w:t>)</w:t>
      </w:r>
    </w:p>
  </w:footnote>
  <w:footnote w:id="5">
    <w:p w:rsidR="00F33BF1" w:rsidRDefault="00F33BF1" w:rsidP="004F46AC">
      <w:pPr>
        <w:pStyle w:val="Tekstprzypisudolnego"/>
      </w:pPr>
      <w:r w:rsidRPr="00C263E2">
        <w:rPr>
          <w:vertAlign w:val="superscript"/>
        </w:rPr>
        <w:footnoteRef/>
      </w:r>
      <w:r w:rsidRPr="00C263E2">
        <w:t xml:space="preserve"> Europejska Konwencja Krajobrazowa (</w:t>
      </w:r>
      <w:hyperlink r:id="rId5" w:history="1">
        <w:r w:rsidRPr="00C263E2">
          <w:rPr>
            <w:rStyle w:val="Hipercze"/>
          </w:rPr>
          <w:t>http://isap.sejm.gov.pl/DetailsServlet?id=WDU20060140098</w:t>
        </w:r>
      </w:hyperlink>
      <w:r w:rsidRPr="00C263E2">
        <w:t>)</w:t>
      </w:r>
    </w:p>
  </w:footnote>
  <w:footnote w:id="6">
    <w:p w:rsidR="00F33BF1" w:rsidRDefault="00F33BF1" w:rsidP="004F46AC">
      <w:pPr>
        <w:pStyle w:val="Tekstprzypisudolnego"/>
      </w:pPr>
      <w:r w:rsidRPr="00C263E2">
        <w:rPr>
          <w:vertAlign w:val="superscript"/>
        </w:rPr>
        <w:footnoteRef/>
      </w:r>
      <w:r w:rsidRPr="00C263E2">
        <w:t xml:space="preserve"> Konwencja w sprawie transgranicznego zanieczyszczenia powietrza na dalekie odległości (</w:t>
      </w:r>
      <w:hyperlink r:id="rId6" w:history="1">
        <w:r w:rsidRPr="00C263E2">
          <w:rPr>
            <w:rStyle w:val="Hipercze"/>
          </w:rPr>
          <w:t>http://isap.sejm.gov.pl/DetailsServlet?id=WDU19850600311</w:t>
        </w:r>
      </w:hyperlink>
      <w:r w:rsidRPr="00C263E2">
        <w:t>)</w:t>
      </w:r>
    </w:p>
  </w:footnote>
  <w:footnote w:id="7">
    <w:p w:rsidR="00F33BF1" w:rsidRDefault="00F33BF1" w:rsidP="00C64736">
      <w:pPr>
        <w:pStyle w:val="Tekstprzypisudolnego"/>
        <w:jc w:val="left"/>
      </w:pPr>
      <w:r w:rsidRPr="00C64736">
        <w:rPr>
          <w:rStyle w:val="Odwoanieprzypisudolnego"/>
        </w:rPr>
        <w:footnoteRef/>
      </w:r>
      <w:r w:rsidRPr="00C64736">
        <w:t xml:space="preserve"> Wniosek Komisji Europejskiej Decyzja Rady w sprawie podpisania Konwencji (COM(213)325) </w:t>
      </w:r>
      <w:hyperlink r:id="rId7" w:history="1">
        <w:r w:rsidRPr="00C64736">
          <w:rPr>
            <w:rStyle w:val="Hipercze"/>
          </w:rPr>
          <w:t>http://www.parliament.bg/pub/ECD/129457COM_2013_325_EN_ACTE_f.pdf</w:t>
        </w:r>
      </w:hyperlink>
      <w:r>
        <w:t xml:space="preserve"> </w:t>
      </w:r>
    </w:p>
  </w:footnote>
  <w:footnote w:id="8">
    <w:p w:rsidR="00F33BF1" w:rsidRDefault="00F33BF1" w:rsidP="00C263E2">
      <w:pPr>
        <w:pStyle w:val="Tekstprzypisudolnego"/>
        <w:jc w:val="left"/>
      </w:pPr>
      <w:r w:rsidRPr="00C263E2">
        <w:rPr>
          <w:rStyle w:val="Odwoanieprzypisudolnego"/>
        </w:rPr>
        <w:footnoteRef/>
      </w:r>
      <w:r w:rsidRPr="00C263E2">
        <w:t xml:space="preserve"> Komunikat Komisji </w:t>
      </w:r>
      <w:hyperlink r:id="rId8" w:history="1">
        <w:r w:rsidRPr="00C263E2">
          <w:rPr>
            <w:rStyle w:val="Hipercze"/>
            <w:i/>
          </w:rPr>
          <w:t>http://eur-lex.europa.eu/legal-content/PL/TXT/?qid=1395649624365&amp;uri=CELEX:52010DC2020</w:t>
        </w:r>
      </w:hyperlink>
      <w:r w:rsidRPr="00C263E2">
        <w:t xml:space="preserve"> </w:t>
      </w:r>
    </w:p>
  </w:footnote>
  <w:footnote w:id="9">
    <w:p w:rsidR="00F33BF1" w:rsidRDefault="00F33BF1" w:rsidP="00C263E2">
      <w:pPr>
        <w:pStyle w:val="Tekstprzypisudolnego"/>
      </w:pPr>
      <w:r w:rsidRPr="00C263E2">
        <w:rPr>
          <w:rStyle w:val="Odwoanieprzypisudolnego"/>
        </w:rPr>
        <w:footnoteRef/>
      </w:r>
      <w:r w:rsidRPr="00C263E2">
        <w:rPr>
          <w:rFonts w:cs="Tahoma"/>
          <w:bCs/>
          <w:color w:val="000000"/>
        </w:rPr>
        <w:t>Rezolucja Parlamentu Europejskiego z dnia 24 maja 2012 r.</w:t>
      </w:r>
      <w:r w:rsidRPr="00C263E2">
        <w:rPr>
          <w:rFonts w:cs="Tahoma"/>
          <w:b/>
          <w:bCs/>
          <w:i/>
          <w:color w:val="000000"/>
        </w:rPr>
        <w:t xml:space="preserve"> </w:t>
      </w:r>
      <w:r w:rsidRPr="00C263E2">
        <w:t xml:space="preserve">  (http://www.lex.pl/akt/-/akt/dz-u-ue-c-2013-264e-59)</w:t>
      </w:r>
    </w:p>
  </w:footnote>
  <w:footnote w:id="10">
    <w:p w:rsidR="00F33BF1" w:rsidRDefault="00F33BF1" w:rsidP="00C263E2">
      <w:pPr>
        <w:pStyle w:val="Tekstprzypisudolnego"/>
      </w:pPr>
      <w:r w:rsidRPr="00C263E2">
        <w:rPr>
          <w:rStyle w:val="Odwoanieprzypisudolnego"/>
        </w:rPr>
        <w:footnoteRef/>
      </w:r>
      <w:r w:rsidRPr="00C263E2">
        <w:t xml:space="preserve"> Komunikat Komisji do Parlamentu Europejskiego, Rady, Europejskiego Komitetu Ekonomiczno - Społecznego i Komitetu Regionów  (http://www.lex.pl/akt/-/akt/dz-u-ue-c-2013-264e-59)</w:t>
      </w:r>
    </w:p>
  </w:footnote>
  <w:footnote w:id="11">
    <w:p w:rsidR="00F33BF1" w:rsidRDefault="00F33BF1" w:rsidP="00C263E2">
      <w:pPr>
        <w:pStyle w:val="Tekstprzypisudolnego"/>
        <w:jc w:val="left"/>
      </w:pPr>
      <w:r w:rsidRPr="00C263E2">
        <w:rPr>
          <w:rStyle w:val="Odwoanieprzypisudolnego"/>
        </w:rPr>
        <w:footnoteRef/>
      </w:r>
      <w:r w:rsidRPr="00C263E2">
        <w:t xml:space="preserve"> </w:t>
      </w:r>
      <w:r w:rsidRPr="00C263E2">
        <w:rPr>
          <w:rFonts w:cs="Arial"/>
          <w:bCs/>
          <w:shd w:val="clear" w:color="auto" w:fill="FFFFFF"/>
        </w:rPr>
        <w:t>Rezolucja Parlamentu Europejskiego z dnia 15 marca 2012 r.</w:t>
      </w:r>
      <w:r w:rsidRPr="00C263E2">
        <w:t xml:space="preserve"> </w:t>
      </w:r>
      <w:hyperlink r:id="rId9" w:history="1">
        <w:r w:rsidRPr="00C263E2">
          <w:rPr>
            <w:rStyle w:val="Hipercze"/>
          </w:rPr>
          <w:t>http://www.europarl.europa.eu/sides/getDoc.do?pubRef=-//EP//TEXT+TA+P7-TA-2012-0086+0+DOC+XML+V0//PL</w:t>
        </w:r>
      </w:hyperlink>
      <w:r>
        <w:t xml:space="preserve"> </w:t>
      </w:r>
    </w:p>
  </w:footnote>
  <w:footnote w:id="12">
    <w:p w:rsidR="00F33BF1" w:rsidRDefault="00F33BF1" w:rsidP="00C263E2">
      <w:pPr>
        <w:pStyle w:val="Tekstprzypisudolnego"/>
        <w:jc w:val="left"/>
      </w:pPr>
      <w:r w:rsidRPr="005A35E5">
        <w:rPr>
          <w:rStyle w:val="Odwoanieprzypisudolnego"/>
        </w:rPr>
        <w:footnoteRef/>
      </w:r>
      <w:r w:rsidRPr="005A35E5">
        <w:t xml:space="preserve"> Komunikat Komisji do Parlamentu Europejskiego, Rady, Europejskiego Komitetu Ekonomiczno - Społecznego i Komi</w:t>
      </w:r>
      <w:r>
        <w:t xml:space="preserve">tetu Regionów </w:t>
      </w:r>
      <w:hyperlink r:id="rId10" w:history="1">
        <w:r w:rsidRPr="005A35E5">
          <w:rPr>
            <w:rStyle w:val="Hipercze"/>
          </w:rPr>
          <w:t>http://www.europarl.europa.eu/meetdocs/2009_2014/documents/com/com_com(2011)0112_/com_com(2011)0112_pl.pdf</w:t>
        </w:r>
      </w:hyperlink>
    </w:p>
  </w:footnote>
  <w:footnote w:id="13">
    <w:p w:rsidR="00F33BF1" w:rsidRDefault="00F33BF1" w:rsidP="00C263E2">
      <w:pPr>
        <w:pStyle w:val="Tekstprzypisudolnego"/>
      </w:pPr>
      <w:r w:rsidRPr="005A35E5">
        <w:rPr>
          <w:rStyle w:val="Odwoanieprzypisudolnego"/>
        </w:rPr>
        <w:footnoteRef/>
      </w:r>
      <w:r w:rsidRPr="005A35E5">
        <w:t xml:space="preserve"> Komunikat Komisji do Parlamentu Europejskiego, Rady, Europejskiego Komitetu Ekonomiczno - Społecznego i </w:t>
      </w:r>
      <w:r>
        <w:t xml:space="preserve">Komitetu Regionów </w:t>
      </w:r>
      <w:hyperlink r:id="rId11" w:history="1">
        <w:r w:rsidRPr="005A35E5">
          <w:rPr>
            <w:rStyle w:val="Hipercze"/>
          </w:rPr>
          <w:t>http://eur-lex.europa.eu/LexUriServ/LexUriServ.do?uri=COM:2011:0885:FIN:EN:PDF</w:t>
        </w:r>
      </w:hyperlink>
    </w:p>
  </w:footnote>
  <w:footnote w:id="14">
    <w:p w:rsidR="00F33BF1" w:rsidRDefault="00F33BF1" w:rsidP="00C263E2">
      <w:pPr>
        <w:spacing w:line="240" w:lineRule="auto"/>
        <w:jc w:val="left"/>
      </w:pPr>
      <w:r w:rsidRPr="00C263E2">
        <w:rPr>
          <w:rStyle w:val="Odwoanieprzypisudolnego"/>
          <w:sz w:val="20"/>
          <w:szCs w:val="20"/>
        </w:rPr>
        <w:footnoteRef/>
      </w:r>
      <w:r w:rsidRPr="00C263E2">
        <w:rPr>
          <w:sz w:val="20"/>
          <w:szCs w:val="20"/>
        </w:rPr>
        <w:t xml:space="preserve">Komunikat Komisji do Parlamentu Europejskiego, Rady, Europejskiego Komitetu Ekonomiczno - Społecznego  i Komitetu Regionów </w:t>
      </w:r>
      <w:hyperlink r:id="rId12" w:history="1">
        <w:r w:rsidRPr="00C263E2">
          <w:rPr>
            <w:rStyle w:val="Hipercze"/>
            <w:i/>
            <w:sz w:val="20"/>
            <w:szCs w:val="20"/>
          </w:rPr>
          <w:t>http://eur-lex.europa.eu/legal-content/PL/TXT/?qid=1395730101764&amp;uri=CELEX:52013DC0216</w:t>
        </w:r>
      </w:hyperlink>
      <w:r w:rsidRPr="00C263E2">
        <w:rPr>
          <w:i/>
          <w:sz w:val="20"/>
          <w:szCs w:val="20"/>
        </w:rPr>
        <w:t xml:space="preserve"> </w:t>
      </w:r>
    </w:p>
  </w:footnote>
  <w:footnote w:id="15">
    <w:p w:rsidR="00F33BF1" w:rsidRDefault="00F33BF1" w:rsidP="00212A8C">
      <w:r w:rsidRPr="00F41DAF">
        <w:rPr>
          <w:rStyle w:val="Odwoanieprzypisudolnego"/>
          <w:sz w:val="20"/>
          <w:szCs w:val="20"/>
        </w:rPr>
        <w:footnoteRef/>
      </w:r>
      <w:hyperlink r:id="rId13" w:history="1">
        <w:r w:rsidRPr="00F41DAF">
          <w:rPr>
            <w:rStyle w:val="Hipercze"/>
            <w:i/>
            <w:sz w:val="20"/>
            <w:szCs w:val="20"/>
          </w:rPr>
          <w:t>http://eur-lex.europa.eu/legal-content/PL/TXT/?qid=1395730332381&amp;uri=CELEX:52009DC014</w:t>
        </w:r>
      </w:hyperlink>
    </w:p>
  </w:footnote>
  <w:footnote w:id="16">
    <w:p w:rsidR="00F33BF1" w:rsidRDefault="00F33BF1" w:rsidP="00C263E2">
      <w:pPr>
        <w:pStyle w:val="Punktor"/>
        <w:spacing w:before="0" w:line="240" w:lineRule="auto"/>
      </w:pPr>
      <w:r w:rsidRPr="00C263E2">
        <w:rPr>
          <w:rStyle w:val="Odwoanieprzypisudolnego"/>
          <w:b/>
          <w:color w:val="auto"/>
          <w:sz w:val="20"/>
        </w:rPr>
        <w:footnoteRef/>
      </w:r>
      <w:r w:rsidRPr="00C263E2">
        <w:rPr>
          <w:rStyle w:val="Pogrubienie"/>
          <w:rFonts w:cs="Lucida Sans Unicode"/>
          <w:b w:val="0"/>
          <w:color w:val="auto"/>
          <w:sz w:val="20"/>
          <w:bdr w:val="none" w:sz="0" w:space="0" w:color="auto" w:frame="1"/>
        </w:rPr>
        <w:t>Decyzja Parlamentu Europejskiego i Rady nr 1386/2013/UE z dnia 20 listopada 2013 r. w sprawie ogólnego unijnego programu działań w zakresie środowiska do 2020 r.</w:t>
      </w:r>
      <w:r w:rsidRPr="00C263E2">
        <w:rPr>
          <w:b/>
          <w:color w:val="auto"/>
          <w:sz w:val="20"/>
        </w:rPr>
        <w:t xml:space="preserve"> </w:t>
      </w:r>
      <w:hyperlink r:id="rId14" w:history="1">
        <w:r w:rsidRPr="00C263E2">
          <w:rPr>
            <w:rStyle w:val="Hipercze"/>
            <w:sz w:val="20"/>
          </w:rPr>
          <w:t>http://eur-lex.europa.eu/legal-content/PL/TXT/?uri=celex:32013D1386</w:t>
        </w:r>
      </w:hyperlink>
      <w:r w:rsidRPr="00C263E2">
        <w:rPr>
          <w:color w:val="auto"/>
          <w:sz w:val="20"/>
        </w:rPr>
        <w:t xml:space="preserve"> </w:t>
      </w:r>
    </w:p>
  </w:footnote>
  <w:footnote w:id="17">
    <w:p w:rsidR="00F33BF1" w:rsidRDefault="00F33BF1" w:rsidP="00C263E2">
      <w:pPr>
        <w:spacing w:line="240" w:lineRule="auto"/>
        <w:jc w:val="left"/>
      </w:pPr>
      <w:r w:rsidRPr="00C263E2">
        <w:rPr>
          <w:rStyle w:val="Odwoanieprzypisudolnego"/>
          <w:sz w:val="20"/>
          <w:szCs w:val="20"/>
        </w:rPr>
        <w:footnoteRef/>
      </w:r>
      <w:r w:rsidRPr="00C263E2">
        <w:rPr>
          <w:sz w:val="20"/>
          <w:szCs w:val="20"/>
        </w:rPr>
        <w:t xml:space="preserve"> Komunikat Komisji do Parlamentu Europejskiego, Rady, Europejskiego Komitetu Ekonomiczno - Społecznego  i Komitetu Regionów </w:t>
      </w:r>
      <w:hyperlink r:id="rId15" w:history="1">
        <w:r w:rsidRPr="00C263E2">
          <w:rPr>
            <w:rStyle w:val="Hipercze"/>
            <w:sz w:val="20"/>
            <w:szCs w:val="20"/>
          </w:rPr>
          <w:t>http://eur-lex.europa.eu/legal-content/PL/TXT/?qid=1395735508994&amp;uri=CELEX:52011DC0244</w:t>
        </w:r>
      </w:hyperlink>
      <w:r w:rsidRPr="00C263E2">
        <w:rPr>
          <w:sz w:val="20"/>
          <w:szCs w:val="20"/>
        </w:rPr>
        <w:t xml:space="preserve"> </w:t>
      </w:r>
    </w:p>
  </w:footnote>
  <w:footnote w:id="18">
    <w:p w:rsidR="00F33BF1" w:rsidRDefault="00F33BF1" w:rsidP="00C263E2">
      <w:pPr>
        <w:pStyle w:val="Tekstprzypisudolnego"/>
      </w:pPr>
      <w:r w:rsidRPr="00C263E2">
        <w:rPr>
          <w:rStyle w:val="Odwoanieprzypisudolnego"/>
        </w:rPr>
        <w:footnoteRef/>
      </w:r>
      <w:r w:rsidRPr="00C263E2">
        <w:t xml:space="preserve"> Komunikat prasowy Komisji Europejskiej</w:t>
      </w:r>
      <w:r w:rsidRPr="00C263E2">
        <w:rPr>
          <w:b/>
          <w:bCs/>
          <w:shd w:val="clear" w:color="auto" w:fill="FFFFFF"/>
        </w:rPr>
        <w:t xml:space="preserve"> </w:t>
      </w:r>
      <w:r w:rsidRPr="00C263E2">
        <w:rPr>
          <w:rStyle w:val="apple-converted-space"/>
          <w:b/>
          <w:bCs/>
          <w:shd w:val="clear" w:color="auto" w:fill="FFFFFF"/>
        </w:rPr>
        <w:t> </w:t>
      </w:r>
      <w:r w:rsidRPr="00C263E2">
        <w:rPr>
          <w:bCs/>
          <w:shd w:val="clear" w:color="auto" w:fill="FFFFFF"/>
        </w:rPr>
        <w:t>IP/13/1274   18/12/2013</w:t>
      </w:r>
      <w:r w:rsidRPr="00C263E2">
        <w:t xml:space="preserve"> </w:t>
      </w:r>
      <w:hyperlink r:id="rId16" w:history="1">
        <w:r w:rsidRPr="00C263E2">
          <w:rPr>
            <w:rStyle w:val="Hipercze"/>
          </w:rPr>
          <w:t>http://europa.eu/rapid/press-release_IP-13-1274_pl.htm</w:t>
        </w:r>
      </w:hyperlink>
      <w:r w:rsidRPr="00C263E2">
        <w:t>. W Komunikacie znajdują się linki do proponowanych dokumentów.</w:t>
      </w:r>
    </w:p>
  </w:footnote>
  <w:footnote w:id="19">
    <w:p w:rsidR="00F33BF1" w:rsidRDefault="00F33BF1" w:rsidP="00C263E2">
      <w:pPr>
        <w:pStyle w:val="Tekstprzypisudolnego"/>
      </w:pPr>
      <w:r w:rsidRPr="00A2288A">
        <w:rPr>
          <w:rStyle w:val="Odwoanieprzypisudolnego"/>
        </w:rPr>
        <w:footnoteRef/>
      </w:r>
      <w:r w:rsidRPr="00A2288A">
        <w:t xml:space="preserve"> Komunikat Komisji do Parlamentu Europejskiego, Rady, Europejskiego Komitetu Ekonomiczno - Społecznego  i Komitetu Regionów </w:t>
      </w:r>
      <w:hyperlink r:id="rId17" w:history="1">
        <w:r w:rsidRPr="009903E9">
          <w:rPr>
            <w:rStyle w:val="Hipercze"/>
          </w:rPr>
          <w:t>http://ec.europa.eu/energy/doc/2030/com_2014_15_en.pdf</w:t>
        </w:r>
      </w:hyperlink>
    </w:p>
  </w:footnote>
  <w:footnote w:id="20">
    <w:p w:rsidR="00F33BF1" w:rsidRDefault="00F33B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1ECB">
        <w:t>http://www.consilium.europa.eu/uedocs/cms_data/docs/pressdata/PL/ec/145432.pdf</w:t>
      </w:r>
    </w:p>
  </w:footnote>
  <w:footnote w:id="21">
    <w:p w:rsidR="00F33BF1" w:rsidRDefault="00F33BF1">
      <w:pPr>
        <w:pStyle w:val="Tekstprzypisudolnego"/>
      </w:pPr>
      <w:r>
        <w:rPr>
          <w:rStyle w:val="Odwoanieprzypisudolnego"/>
        </w:rPr>
        <w:footnoteRef/>
      </w:r>
      <w:r>
        <w:t xml:space="preserve"> h</w:t>
      </w:r>
      <w:r w:rsidRPr="00364CD4">
        <w:t>ttp://ec.europa.eu/environment/life/about/documents/COMM_PDF_COM_2011_0874_F_PL.pdf?reference=IP/11/1526&amp;format=PDF&amp;aged=0&amp;language=PL&amp;guiLanguage=en</w:t>
      </w:r>
    </w:p>
  </w:footnote>
  <w:footnote w:id="22">
    <w:p w:rsidR="00F33BF1" w:rsidRDefault="00F33BF1" w:rsidP="003C7F1E">
      <w:pPr>
        <w:spacing w:line="240" w:lineRule="auto"/>
        <w:outlineLvl w:val="0"/>
      </w:pPr>
      <w:r>
        <w:rPr>
          <w:rStyle w:val="Odwoanieprzypisudolnego"/>
        </w:rPr>
        <w:footnoteRef/>
      </w:r>
      <w:hyperlink r:id="rId18" w:history="1">
        <w:r w:rsidRPr="00B248FC">
          <w:rPr>
            <w:rStyle w:val="Hipercze"/>
            <w:i/>
            <w:sz w:val="20"/>
            <w:szCs w:val="20"/>
          </w:rPr>
          <w:t>http://www.mir.gov.pl/rozwoj_regionalny/Polityka_przestrzenna/Spojnosc_terytorialna/Wspolpraca_miedzyrzadowa/Documents/AT_PL.pdf</w:t>
        </w:r>
      </w:hyperlink>
      <w:r>
        <w:t xml:space="preserve"> </w:t>
      </w:r>
    </w:p>
  </w:footnote>
  <w:footnote w:id="23">
    <w:p w:rsidR="00F33BF1" w:rsidRDefault="00F33BF1" w:rsidP="005451FB">
      <w:pPr>
        <w:outlineLvl w:val="0"/>
      </w:pPr>
      <w:r>
        <w:rPr>
          <w:rStyle w:val="Odwoanieprzypisudolnego"/>
        </w:rPr>
        <w:footnoteRef/>
      </w:r>
      <w:r>
        <w:t xml:space="preserve"> </w:t>
      </w:r>
      <w:hyperlink r:id="rId19" w:history="1">
        <w:r w:rsidRPr="005451FB">
          <w:rPr>
            <w:rStyle w:val="Hipercze"/>
            <w:sz w:val="20"/>
            <w:szCs w:val="20"/>
          </w:rPr>
          <w:t>http://eur-lex.europa.eu/legal-content/PL/TXT/?uri=CELEX:52009DC0248&amp;qid=1395747097956</w:t>
        </w:r>
      </w:hyperlink>
    </w:p>
  </w:footnote>
  <w:footnote w:id="24">
    <w:p w:rsidR="00F33BF1" w:rsidRPr="003C7F1E" w:rsidRDefault="00F33BF1" w:rsidP="003C7F1E">
      <w:pPr>
        <w:spacing w:line="240" w:lineRule="auto"/>
        <w:outlineLvl w:val="0"/>
        <w:rPr>
          <w:sz w:val="20"/>
          <w:szCs w:val="20"/>
        </w:rPr>
      </w:pPr>
      <w:r w:rsidRPr="003C7F1E">
        <w:rPr>
          <w:rStyle w:val="Odwoanieprzypisudolnego"/>
          <w:sz w:val="20"/>
          <w:szCs w:val="20"/>
        </w:rPr>
        <w:footnoteRef/>
      </w:r>
      <w:r w:rsidRPr="003C7F1E">
        <w:rPr>
          <w:sz w:val="20"/>
          <w:szCs w:val="20"/>
        </w:rPr>
        <w:t xml:space="preserve"> </w:t>
      </w:r>
      <w:hyperlink r:id="rId20" w:history="1">
        <w:r w:rsidRPr="003C7F1E">
          <w:rPr>
            <w:rStyle w:val="Hipercze"/>
            <w:i/>
            <w:sz w:val="20"/>
            <w:szCs w:val="20"/>
          </w:rPr>
          <w:t>http://eur-lex.europa.eu/legal-content/PL/TXT/?qid=1395735613762&amp;uri=CELEX:52012DC0673</w:t>
        </w:r>
      </w:hyperlink>
    </w:p>
    <w:p w:rsidR="00F33BF1" w:rsidRDefault="00F33BF1" w:rsidP="003C7F1E">
      <w:pPr>
        <w:spacing w:line="240" w:lineRule="auto"/>
        <w:outlineLvl w:val="0"/>
      </w:pPr>
    </w:p>
  </w:footnote>
  <w:footnote w:id="25">
    <w:p w:rsidR="00F33BF1" w:rsidRDefault="00F33BF1" w:rsidP="003C7F1E">
      <w:pPr>
        <w:pStyle w:val="Tekstprzypisudolnego"/>
      </w:pPr>
      <w:r>
        <w:rPr>
          <w:rStyle w:val="Odwoanieprzypisudolnego"/>
        </w:rPr>
        <w:footnoteRef/>
      </w:r>
      <w:r>
        <w:t xml:space="preserve"> RDW – Ramowa Dyrektywa Wodna </w:t>
      </w:r>
    </w:p>
  </w:footnote>
  <w:footnote w:id="26">
    <w:p w:rsidR="00F33BF1" w:rsidRPr="003C7F1E" w:rsidRDefault="00F33BF1" w:rsidP="003C7F1E">
      <w:pPr>
        <w:outlineLvl w:val="0"/>
        <w:rPr>
          <w:sz w:val="22"/>
        </w:rPr>
      </w:pPr>
      <w:r>
        <w:rPr>
          <w:rStyle w:val="Odwoanieprzypisudolnego"/>
        </w:rPr>
        <w:footnoteRef/>
      </w:r>
      <w:r>
        <w:t xml:space="preserve"> </w:t>
      </w:r>
      <w:hyperlink r:id="rId21" w:history="1">
        <w:r w:rsidRPr="007026AF">
          <w:rPr>
            <w:rStyle w:val="Hipercze"/>
            <w:i/>
            <w:sz w:val="18"/>
            <w:szCs w:val="18"/>
          </w:rPr>
          <w:t>http://eur-lex.europa.eu/legal-content/PL/TXT/?qid=1395736887409&amp;uri=CELEX:52011DC080</w:t>
        </w:r>
      </w:hyperlink>
    </w:p>
    <w:p w:rsidR="00F33BF1" w:rsidRDefault="00F33BF1" w:rsidP="003C7F1E">
      <w:pPr>
        <w:outlineLvl w:val="0"/>
      </w:pPr>
    </w:p>
  </w:footnote>
  <w:footnote w:id="27">
    <w:p w:rsidR="00F33BF1" w:rsidRDefault="00F33BF1" w:rsidP="00C263E2">
      <w:pPr>
        <w:pStyle w:val="Tekstprzypisudolnego"/>
        <w:jc w:val="left"/>
      </w:pPr>
      <w:r w:rsidRPr="00C263E2">
        <w:rPr>
          <w:rStyle w:val="Odwoanieprzypisudolnego"/>
        </w:rPr>
        <w:footnoteRef/>
      </w:r>
      <w:r w:rsidRPr="00C263E2">
        <w:t xml:space="preserve"> </w:t>
      </w:r>
      <w:r w:rsidRPr="00C263E2">
        <w:rPr>
          <w:szCs w:val="24"/>
        </w:rPr>
        <w:t>Długookresowa Strategia Rozwoju kraju, Polska 2030</w:t>
      </w:r>
      <w:r w:rsidRPr="00C263E2">
        <w:t xml:space="preserve"> </w:t>
      </w:r>
      <w:hyperlink r:id="rId22" w:history="1">
        <w:r w:rsidRPr="00C263E2">
          <w:rPr>
            <w:rStyle w:val="Hipercze"/>
            <w:szCs w:val="24"/>
          </w:rPr>
          <w:t>https://mac.gov.pl/wpcontent/uploads/2013/02/Strategia-DSRK-PL2030-RM.pdf</w:t>
        </w:r>
      </w:hyperlink>
    </w:p>
  </w:footnote>
  <w:footnote w:id="28">
    <w:p w:rsidR="00F33BF1" w:rsidRDefault="00F33BF1" w:rsidP="00C263E2">
      <w:pPr>
        <w:pStyle w:val="Tekstprzypisudolnego"/>
        <w:jc w:val="left"/>
      </w:pPr>
      <w:r w:rsidRPr="00C263E2">
        <w:rPr>
          <w:rStyle w:val="Odwoanieprzypisudolnego"/>
        </w:rPr>
        <w:footnoteRef/>
      </w:r>
      <w:r w:rsidRPr="00C263E2">
        <w:t xml:space="preserve"> Wskaźnik zdefiniowany w ww. Strategii</w:t>
      </w:r>
    </w:p>
  </w:footnote>
  <w:footnote w:id="29">
    <w:p w:rsidR="00F33BF1" w:rsidRDefault="00F33BF1" w:rsidP="00C263E2">
      <w:pPr>
        <w:pStyle w:val="Tekstprzypisudolnego"/>
        <w:jc w:val="left"/>
      </w:pPr>
      <w:r w:rsidRPr="00C263E2">
        <w:rPr>
          <w:rStyle w:val="Odwoanieprzypisudolnego"/>
          <w:u w:val="single"/>
        </w:rPr>
        <w:footnoteRef/>
      </w:r>
      <w:r w:rsidRPr="00C263E2">
        <w:t xml:space="preserve">Koncepcja Przestrzennego Zagospodarowania Kraju 2030 </w:t>
      </w:r>
      <w:hyperlink r:id="rId23" w:history="1">
        <w:r w:rsidRPr="00C263E2">
          <w:rPr>
            <w:rStyle w:val="Hipercze"/>
            <w:szCs w:val="24"/>
          </w:rPr>
          <w:t>http://www.mrr.gov.pl/rozwoj_regionalny/Polityka_przestrzenna/KPZK/Aktualnosci/Documents/KPZK2030.pdf</w:t>
        </w:r>
      </w:hyperlink>
    </w:p>
  </w:footnote>
  <w:footnote w:id="30">
    <w:p w:rsidR="00F33BF1" w:rsidRDefault="00F33BF1" w:rsidP="00C263E2">
      <w:pPr>
        <w:pStyle w:val="Tekstprzypisudolnego"/>
      </w:pPr>
      <w:r w:rsidRPr="00C263E2">
        <w:rPr>
          <w:rStyle w:val="Odwoanieprzypisudolnego"/>
        </w:rPr>
        <w:footnoteRef/>
      </w:r>
      <w:r w:rsidRPr="00C263E2">
        <w:t xml:space="preserve"> Średniookresowa Strategia Rozwoju Kraju (ŚSRK) – Strategia Rozwoju Kraju 2020 </w:t>
      </w:r>
      <w:hyperlink r:id="rId24" w:history="1">
        <w:r w:rsidRPr="00C263E2">
          <w:rPr>
            <w:rStyle w:val="Hipercze"/>
            <w:szCs w:val="24"/>
          </w:rPr>
          <w:t>http://www.mrr.gov.pl/rozwoj_regionalny/Polityka_rozwoju/SRK_2020/Documents/SRK_2020_112012_1.pd</w:t>
        </w:r>
        <w:r w:rsidRPr="00C263E2">
          <w:rPr>
            <w:rStyle w:val="Hipercze"/>
          </w:rPr>
          <w:t>f</w:t>
        </w:r>
      </w:hyperlink>
    </w:p>
  </w:footnote>
  <w:footnote w:id="31">
    <w:p w:rsidR="00F33BF1" w:rsidRDefault="00F33BF1" w:rsidP="00994D86">
      <w:pPr>
        <w:spacing w:line="240" w:lineRule="auto"/>
      </w:pPr>
      <w:r>
        <w:rPr>
          <w:rStyle w:val="Odwoanieprzypisudolnego"/>
        </w:rPr>
        <w:footnoteRef/>
      </w:r>
      <w:hyperlink r:id="rId25" w:history="1">
        <w:r w:rsidRPr="00994D86">
          <w:rPr>
            <w:sz w:val="20"/>
            <w:szCs w:val="20"/>
          </w:rPr>
          <w:t>http://www.umwd.dolnyslask.pl/fileadmin/user_upload/EWT/Akty_prawne/Akty_prawne_-_glowna/Strategia_Rozwoju_Kraju.pdf</w:t>
        </w:r>
      </w:hyperlink>
    </w:p>
  </w:footnote>
  <w:footnote w:id="32">
    <w:p w:rsidR="00F33BF1" w:rsidRDefault="00F33BF1" w:rsidP="00662DA7">
      <w:pPr>
        <w:jc w:val="left"/>
      </w:pPr>
      <w:r w:rsidRPr="008C3B2E">
        <w:rPr>
          <w:rStyle w:val="Odwoanieprzypisudolnego"/>
          <w:sz w:val="20"/>
          <w:szCs w:val="20"/>
        </w:rPr>
        <w:footnoteRef/>
      </w:r>
      <w:hyperlink r:id="rId26" w:history="1">
        <w:r w:rsidRPr="008C3B2E">
          <w:rPr>
            <w:sz w:val="20"/>
            <w:szCs w:val="20"/>
          </w:rPr>
          <w:t>https://zds.kprm.gov.pl/sites/default/files/pliki/pl_2030_wyzwania_rozwojowe.pdf</w:t>
        </w:r>
      </w:hyperlink>
    </w:p>
  </w:footnote>
  <w:footnote w:id="33">
    <w:p w:rsidR="00F33BF1" w:rsidRDefault="00F33BF1" w:rsidP="00994D86">
      <w:pPr>
        <w:pStyle w:val="Tekstprzypisudolnego"/>
      </w:pPr>
      <w:r w:rsidRPr="00C263E2">
        <w:rPr>
          <w:rStyle w:val="Odwoanieprzypisudolnego"/>
        </w:rPr>
        <w:footnoteRef/>
      </w:r>
      <w:r w:rsidRPr="00C263E2">
        <w:t xml:space="preserve"> Strategia Bezpieczeństwo Energetyczne i Środowisko, perspektywa do 2020r </w:t>
      </w:r>
      <w:hyperlink r:id="rId27" w:history="1">
        <w:r w:rsidRPr="00C263E2">
          <w:rPr>
            <w:rStyle w:val="Hipercze"/>
          </w:rPr>
          <w:t>http://bip.mg.gov.pl/files/upload/21165/SBEIS.pdf</w:t>
        </w:r>
      </w:hyperlink>
    </w:p>
  </w:footnote>
  <w:footnote w:id="34">
    <w:p w:rsidR="00F33BF1" w:rsidRDefault="00F33BF1" w:rsidP="00C263E2">
      <w:pPr>
        <w:pStyle w:val="Tekstprzypisudolnego"/>
      </w:pPr>
      <w:r w:rsidRPr="00C263E2">
        <w:rPr>
          <w:rStyle w:val="Odwoanieprzypisudolnego"/>
        </w:rPr>
        <w:footnoteRef/>
      </w:r>
      <w:r w:rsidRPr="00C263E2">
        <w:t xml:space="preserve">Założenia Narodowego Programu Rozwoju Gospodarki Niskoemisyjnej </w:t>
      </w:r>
      <w:hyperlink r:id="rId28" w:history="1">
        <w:r w:rsidRPr="00C263E2">
          <w:rPr>
            <w:rStyle w:val="Hipercze"/>
          </w:rPr>
          <w:t>http://www.mg.gov.pl/files/upload/10460/NPRGN.pdf</w:t>
        </w:r>
      </w:hyperlink>
    </w:p>
  </w:footnote>
  <w:footnote w:id="35">
    <w:p w:rsidR="00F33BF1" w:rsidRDefault="00F33BF1" w:rsidP="00C263E2">
      <w:pPr>
        <w:spacing w:line="240" w:lineRule="auto"/>
        <w:jc w:val="left"/>
      </w:pPr>
      <w:r w:rsidRPr="00C263E2">
        <w:rPr>
          <w:rStyle w:val="Odwoanieprzypisudolnego"/>
          <w:sz w:val="20"/>
          <w:szCs w:val="20"/>
        </w:rPr>
        <w:footnoteRef/>
      </w:r>
      <w:r w:rsidRPr="00C263E2">
        <w:rPr>
          <w:sz w:val="20"/>
          <w:szCs w:val="20"/>
        </w:rPr>
        <w:t xml:space="preserve"> Strategiczny plan adaptacji dla sektorów i obszarów wrażliwych n</w:t>
      </w:r>
      <w:r>
        <w:rPr>
          <w:sz w:val="20"/>
          <w:szCs w:val="20"/>
        </w:rPr>
        <w:t>a zmiany klimatu do roku 2020 z </w:t>
      </w:r>
      <w:r w:rsidRPr="00C263E2">
        <w:rPr>
          <w:sz w:val="20"/>
          <w:szCs w:val="20"/>
        </w:rPr>
        <w:t xml:space="preserve">perspektywą do roku 2030 </w:t>
      </w:r>
      <w:hyperlink r:id="rId29" w:history="1">
        <w:r w:rsidRPr="00C263E2">
          <w:rPr>
            <w:rStyle w:val="Hipercze"/>
            <w:sz w:val="20"/>
            <w:szCs w:val="20"/>
          </w:rPr>
          <w:t>http://www.mos.gov.pl/g2/big/2013_03/e436258f57966ff3703b84123f642e81.pdf</w:t>
        </w:r>
      </w:hyperlink>
    </w:p>
  </w:footnote>
  <w:footnote w:id="36">
    <w:p w:rsidR="00F33BF1" w:rsidRDefault="00F33B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2FC5">
        <w:t>http://www.mir.gov.pl/fundusze/Fundusze_Europejskie_2014_2020/Programowanie_2014_2020/Umowa_partnerstwa/Documents/UP_pl.pdf</w:t>
      </w:r>
    </w:p>
  </w:footnote>
  <w:footnote w:id="37">
    <w:p w:rsidR="00F33BF1" w:rsidRDefault="00F33BF1">
      <w:pPr>
        <w:pStyle w:val="Tekstprzypisudolnego"/>
        <w:rPr>
          <w:szCs w:val="24"/>
        </w:rPr>
      </w:pPr>
      <w:r>
        <w:rPr>
          <w:rStyle w:val="Odwoanieprzypisudolnego"/>
        </w:rPr>
        <w:footnoteRef/>
      </w:r>
      <w:hyperlink r:id="rId30" w:history="1">
        <w:r w:rsidRPr="007E0141">
          <w:rPr>
            <w:szCs w:val="24"/>
          </w:rPr>
          <w:t>http://www.mrr.gov.pl/rozwoj_regionalny/Polityka_regionalna/Strategia_rozwoju_polski_wschodniej_do_2020/Dokumenty/Documents/Strategia_PW_11_07_2013_zmn.pdf</w:t>
        </w:r>
      </w:hyperlink>
    </w:p>
    <w:p w:rsidR="00F33BF1" w:rsidRDefault="00F33BF1">
      <w:pPr>
        <w:pStyle w:val="Tekstprzypisudolnego"/>
      </w:pPr>
    </w:p>
  </w:footnote>
  <w:footnote w:id="38">
    <w:p w:rsidR="00F33BF1" w:rsidRDefault="00F33BF1">
      <w:pPr>
        <w:pStyle w:val="Tekstprzypisudolnego"/>
      </w:pPr>
      <w:r>
        <w:rPr>
          <w:rStyle w:val="Odwoanieprzypisudolnego"/>
        </w:rPr>
        <w:footnoteRef/>
      </w:r>
      <w:hyperlink r:id="rId31" w:history="1">
        <w:r w:rsidRPr="007E0141">
          <w:rPr>
            <w:szCs w:val="24"/>
          </w:rPr>
          <w:t>http://bip.mg.gov.pl/files/upload/15923/Drugi%20Krajowy%20Plan%20PL%20_Ver0.4%20final%202.04.2012_FINAL.pdf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DCE"/>
    <w:multiLevelType w:val="hybridMultilevel"/>
    <w:tmpl w:val="7B14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2E4A"/>
    <w:multiLevelType w:val="hybridMultilevel"/>
    <w:tmpl w:val="F1F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B3C78"/>
    <w:multiLevelType w:val="hybridMultilevel"/>
    <w:tmpl w:val="22103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1D4B"/>
    <w:multiLevelType w:val="hybridMultilevel"/>
    <w:tmpl w:val="EEC81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A6610"/>
    <w:multiLevelType w:val="hybridMultilevel"/>
    <w:tmpl w:val="81FE4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1220"/>
    <w:multiLevelType w:val="hybridMultilevel"/>
    <w:tmpl w:val="1748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529F"/>
    <w:multiLevelType w:val="hybridMultilevel"/>
    <w:tmpl w:val="CB4C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0B40"/>
    <w:multiLevelType w:val="hybridMultilevel"/>
    <w:tmpl w:val="85C6A6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21EA9"/>
    <w:multiLevelType w:val="hybridMultilevel"/>
    <w:tmpl w:val="00B68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219F"/>
    <w:multiLevelType w:val="hybridMultilevel"/>
    <w:tmpl w:val="EF3A0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B08CF"/>
    <w:multiLevelType w:val="multilevel"/>
    <w:tmpl w:val="7F7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45421F"/>
    <w:multiLevelType w:val="hybridMultilevel"/>
    <w:tmpl w:val="C3702208"/>
    <w:lvl w:ilvl="0" w:tplc="0A8054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606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03C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EA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A48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02D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C5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A2A1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9C9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0291C"/>
    <w:multiLevelType w:val="hybridMultilevel"/>
    <w:tmpl w:val="9386F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F0C16"/>
    <w:multiLevelType w:val="hybridMultilevel"/>
    <w:tmpl w:val="95849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E7E6F"/>
    <w:multiLevelType w:val="hybridMultilevel"/>
    <w:tmpl w:val="6F745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E0AA7"/>
    <w:multiLevelType w:val="hybridMultilevel"/>
    <w:tmpl w:val="C9D4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21129"/>
    <w:multiLevelType w:val="hybridMultilevel"/>
    <w:tmpl w:val="156E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553166"/>
    <w:multiLevelType w:val="hybridMultilevel"/>
    <w:tmpl w:val="8A80D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B70B5"/>
    <w:multiLevelType w:val="hybridMultilevel"/>
    <w:tmpl w:val="935A7CBE"/>
    <w:lvl w:ilvl="0" w:tplc="AA1C62EC">
      <w:start w:val="1"/>
      <w:numFmt w:val="decimal"/>
      <w:pStyle w:val="SEAnagwek23"/>
      <w:lvlText w:val="3.%1"/>
      <w:lvlJc w:val="left"/>
      <w:pPr>
        <w:ind w:left="108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F243E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8F7A61"/>
    <w:multiLevelType w:val="multilevel"/>
    <w:tmpl w:val="74FC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F3156"/>
    <w:multiLevelType w:val="hybridMultilevel"/>
    <w:tmpl w:val="C42E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05CA"/>
    <w:multiLevelType w:val="hybridMultilevel"/>
    <w:tmpl w:val="865E59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531418"/>
    <w:multiLevelType w:val="hybridMultilevel"/>
    <w:tmpl w:val="2C44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C68"/>
    <w:multiLevelType w:val="hybridMultilevel"/>
    <w:tmpl w:val="8D3A746E"/>
    <w:lvl w:ilvl="0" w:tplc="2834BB48">
      <w:start w:val="1"/>
      <w:numFmt w:val="bullet"/>
      <w:pStyle w:val="myslni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A5B7C"/>
    <w:multiLevelType w:val="hybridMultilevel"/>
    <w:tmpl w:val="EAAEAFE8"/>
    <w:lvl w:ilvl="0" w:tplc="FFD8D0C8">
      <w:start w:val="1"/>
      <w:numFmt w:val="bullet"/>
      <w:pStyle w:val="Mlist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03C49"/>
    <w:multiLevelType w:val="multilevel"/>
    <w:tmpl w:val="117E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65DBE"/>
    <w:multiLevelType w:val="hybridMultilevel"/>
    <w:tmpl w:val="2D9C4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A5C46"/>
    <w:multiLevelType w:val="hybridMultilevel"/>
    <w:tmpl w:val="6262CA9C"/>
    <w:lvl w:ilvl="0" w:tplc="707A5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02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C4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87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2E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AB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EB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E4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8F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6EE10BD"/>
    <w:multiLevelType w:val="hybridMultilevel"/>
    <w:tmpl w:val="C562C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168CF"/>
    <w:multiLevelType w:val="hybridMultilevel"/>
    <w:tmpl w:val="1D627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C6E69"/>
    <w:multiLevelType w:val="hybridMultilevel"/>
    <w:tmpl w:val="E384B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A5628"/>
    <w:multiLevelType w:val="hybridMultilevel"/>
    <w:tmpl w:val="EFD8D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37013"/>
    <w:multiLevelType w:val="hybridMultilevel"/>
    <w:tmpl w:val="77845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C32D5"/>
    <w:multiLevelType w:val="hybridMultilevel"/>
    <w:tmpl w:val="8FD8C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1"/>
  </w:num>
  <w:num w:numId="4">
    <w:abstractNumId w:val="17"/>
  </w:num>
  <w:num w:numId="5">
    <w:abstractNumId w:val="16"/>
  </w:num>
  <w:num w:numId="6">
    <w:abstractNumId w:val="33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29"/>
  </w:num>
  <w:num w:numId="12">
    <w:abstractNumId w:val="19"/>
  </w:num>
  <w:num w:numId="13">
    <w:abstractNumId w:val="31"/>
  </w:num>
  <w:num w:numId="14">
    <w:abstractNumId w:val="32"/>
  </w:num>
  <w:num w:numId="15">
    <w:abstractNumId w:val="23"/>
  </w:num>
  <w:num w:numId="16">
    <w:abstractNumId w:val="30"/>
  </w:num>
  <w:num w:numId="17">
    <w:abstractNumId w:val="6"/>
  </w:num>
  <w:num w:numId="18">
    <w:abstractNumId w:val="1"/>
  </w:num>
  <w:num w:numId="19">
    <w:abstractNumId w:val="5"/>
  </w:num>
  <w:num w:numId="20">
    <w:abstractNumId w:val="0"/>
  </w:num>
  <w:num w:numId="21">
    <w:abstractNumId w:val="12"/>
  </w:num>
  <w:num w:numId="22">
    <w:abstractNumId w:val="28"/>
  </w:num>
  <w:num w:numId="23">
    <w:abstractNumId w:val="8"/>
  </w:num>
  <w:num w:numId="24">
    <w:abstractNumId w:val="9"/>
  </w:num>
  <w:num w:numId="25">
    <w:abstractNumId w:val="13"/>
  </w:num>
  <w:num w:numId="26">
    <w:abstractNumId w:val="11"/>
  </w:num>
  <w:num w:numId="27">
    <w:abstractNumId w:val="27"/>
  </w:num>
  <w:num w:numId="28">
    <w:abstractNumId w:val="23"/>
  </w:num>
  <w:num w:numId="29">
    <w:abstractNumId w:val="10"/>
  </w:num>
  <w:num w:numId="30">
    <w:abstractNumId w:val="20"/>
  </w:num>
  <w:num w:numId="31">
    <w:abstractNumId w:val="25"/>
  </w:num>
  <w:num w:numId="32">
    <w:abstractNumId w:val="24"/>
  </w:num>
  <w:num w:numId="33">
    <w:abstractNumId w:val="7"/>
  </w:num>
  <w:num w:numId="34">
    <w:abstractNumId w:val="22"/>
  </w:num>
  <w:num w:numId="35">
    <w:abstractNumId w:val="1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C1"/>
    <w:rsid w:val="00001ECB"/>
    <w:rsid w:val="00006A17"/>
    <w:rsid w:val="00011766"/>
    <w:rsid w:val="000207F3"/>
    <w:rsid w:val="00031F3F"/>
    <w:rsid w:val="000561EA"/>
    <w:rsid w:val="00056C81"/>
    <w:rsid w:val="0006037B"/>
    <w:rsid w:val="00060CE0"/>
    <w:rsid w:val="00071906"/>
    <w:rsid w:val="0008353B"/>
    <w:rsid w:val="000A4327"/>
    <w:rsid w:val="000A56E1"/>
    <w:rsid w:val="000D2A8E"/>
    <w:rsid w:val="000D4665"/>
    <w:rsid w:val="000D5384"/>
    <w:rsid w:val="000E4C5F"/>
    <w:rsid w:val="000E4C93"/>
    <w:rsid w:val="000F187D"/>
    <w:rsid w:val="000F711A"/>
    <w:rsid w:val="00101D1D"/>
    <w:rsid w:val="00103BE0"/>
    <w:rsid w:val="00107D67"/>
    <w:rsid w:val="00142532"/>
    <w:rsid w:val="00142553"/>
    <w:rsid w:val="00143283"/>
    <w:rsid w:val="00172CEF"/>
    <w:rsid w:val="001A6841"/>
    <w:rsid w:val="001B21C3"/>
    <w:rsid w:val="001B538C"/>
    <w:rsid w:val="001B6BFA"/>
    <w:rsid w:val="001E2639"/>
    <w:rsid w:val="001E2680"/>
    <w:rsid w:val="001E5291"/>
    <w:rsid w:val="001F5C37"/>
    <w:rsid w:val="001F6B7C"/>
    <w:rsid w:val="00212A8C"/>
    <w:rsid w:val="0021459A"/>
    <w:rsid w:val="00217F89"/>
    <w:rsid w:val="00225108"/>
    <w:rsid w:val="00233BD0"/>
    <w:rsid w:val="00240EBB"/>
    <w:rsid w:val="00243C3A"/>
    <w:rsid w:val="00271560"/>
    <w:rsid w:val="00276CC3"/>
    <w:rsid w:val="00282634"/>
    <w:rsid w:val="00282CF8"/>
    <w:rsid w:val="002939CB"/>
    <w:rsid w:val="00295909"/>
    <w:rsid w:val="002B1001"/>
    <w:rsid w:val="002C566A"/>
    <w:rsid w:val="002D08A1"/>
    <w:rsid w:val="002D4BD0"/>
    <w:rsid w:val="002D5E5B"/>
    <w:rsid w:val="002D6667"/>
    <w:rsid w:val="002E4674"/>
    <w:rsid w:val="002F621A"/>
    <w:rsid w:val="0030292A"/>
    <w:rsid w:val="003067ED"/>
    <w:rsid w:val="00321E65"/>
    <w:rsid w:val="003231B7"/>
    <w:rsid w:val="00325409"/>
    <w:rsid w:val="00330FE1"/>
    <w:rsid w:val="00333564"/>
    <w:rsid w:val="00334748"/>
    <w:rsid w:val="00341F75"/>
    <w:rsid w:val="00345777"/>
    <w:rsid w:val="00364CD4"/>
    <w:rsid w:val="00365060"/>
    <w:rsid w:val="003668DD"/>
    <w:rsid w:val="0037189C"/>
    <w:rsid w:val="003879B8"/>
    <w:rsid w:val="003C7700"/>
    <w:rsid w:val="003C7F1E"/>
    <w:rsid w:val="003D2D58"/>
    <w:rsid w:val="003D7AEF"/>
    <w:rsid w:val="003F592F"/>
    <w:rsid w:val="003F76DC"/>
    <w:rsid w:val="004101D3"/>
    <w:rsid w:val="004224C3"/>
    <w:rsid w:val="00441538"/>
    <w:rsid w:val="004415AB"/>
    <w:rsid w:val="00464C1D"/>
    <w:rsid w:val="004710E9"/>
    <w:rsid w:val="004714A2"/>
    <w:rsid w:val="00481624"/>
    <w:rsid w:val="00487274"/>
    <w:rsid w:val="00487B9A"/>
    <w:rsid w:val="00491A0A"/>
    <w:rsid w:val="004B1627"/>
    <w:rsid w:val="004B3160"/>
    <w:rsid w:val="004C7308"/>
    <w:rsid w:val="004D07FC"/>
    <w:rsid w:val="004E67C7"/>
    <w:rsid w:val="004F46AC"/>
    <w:rsid w:val="004F54D9"/>
    <w:rsid w:val="00502600"/>
    <w:rsid w:val="00507DB6"/>
    <w:rsid w:val="00520D4B"/>
    <w:rsid w:val="0052200C"/>
    <w:rsid w:val="00536465"/>
    <w:rsid w:val="005451FB"/>
    <w:rsid w:val="005535BF"/>
    <w:rsid w:val="00571459"/>
    <w:rsid w:val="00583A37"/>
    <w:rsid w:val="005A35E5"/>
    <w:rsid w:val="005B3921"/>
    <w:rsid w:val="005C0E93"/>
    <w:rsid w:val="005D586B"/>
    <w:rsid w:val="005E792B"/>
    <w:rsid w:val="005F3FF4"/>
    <w:rsid w:val="005F4FE8"/>
    <w:rsid w:val="005F64E7"/>
    <w:rsid w:val="0060618B"/>
    <w:rsid w:val="0062183C"/>
    <w:rsid w:val="006456F0"/>
    <w:rsid w:val="006471CC"/>
    <w:rsid w:val="00662DA7"/>
    <w:rsid w:val="00693C02"/>
    <w:rsid w:val="006A4752"/>
    <w:rsid w:val="006B1255"/>
    <w:rsid w:val="006D549E"/>
    <w:rsid w:val="006D6B99"/>
    <w:rsid w:val="006E0AAC"/>
    <w:rsid w:val="007026AF"/>
    <w:rsid w:val="00703AB3"/>
    <w:rsid w:val="00707406"/>
    <w:rsid w:val="00721082"/>
    <w:rsid w:val="007239F5"/>
    <w:rsid w:val="00723E3B"/>
    <w:rsid w:val="00727A36"/>
    <w:rsid w:val="00735DD8"/>
    <w:rsid w:val="00736E39"/>
    <w:rsid w:val="00737BD1"/>
    <w:rsid w:val="00752EC2"/>
    <w:rsid w:val="007615CF"/>
    <w:rsid w:val="0076479F"/>
    <w:rsid w:val="00776802"/>
    <w:rsid w:val="007778E2"/>
    <w:rsid w:val="00782646"/>
    <w:rsid w:val="00783EB4"/>
    <w:rsid w:val="007A212A"/>
    <w:rsid w:val="007B2D7F"/>
    <w:rsid w:val="007B56F6"/>
    <w:rsid w:val="007B6367"/>
    <w:rsid w:val="007C2679"/>
    <w:rsid w:val="007E0141"/>
    <w:rsid w:val="007E032F"/>
    <w:rsid w:val="007E7370"/>
    <w:rsid w:val="007F4BF5"/>
    <w:rsid w:val="008072E8"/>
    <w:rsid w:val="008172EB"/>
    <w:rsid w:val="00852603"/>
    <w:rsid w:val="00856761"/>
    <w:rsid w:val="00867E75"/>
    <w:rsid w:val="00880483"/>
    <w:rsid w:val="00893242"/>
    <w:rsid w:val="00894DF3"/>
    <w:rsid w:val="008B2A29"/>
    <w:rsid w:val="008B35D6"/>
    <w:rsid w:val="008C3B2E"/>
    <w:rsid w:val="008D0F1F"/>
    <w:rsid w:val="008D2435"/>
    <w:rsid w:val="008D340E"/>
    <w:rsid w:val="008D4482"/>
    <w:rsid w:val="008D472B"/>
    <w:rsid w:val="008D5F6B"/>
    <w:rsid w:val="008E27D1"/>
    <w:rsid w:val="008E7EC1"/>
    <w:rsid w:val="009050BB"/>
    <w:rsid w:val="009054BB"/>
    <w:rsid w:val="009113F9"/>
    <w:rsid w:val="00914C0A"/>
    <w:rsid w:val="00950303"/>
    <w:rsid w:val="00950A12"/>
    <w:rsid w:val="00961E69"/>
    <w:rsid w:val="00964081"/>
    <w:rsid w:val="00975FDA"/>
    <w:rsid w:val="00982716"/>
    <w:rsid w:val="00984A53"/>
    <w:rsid w:val="009903E9"/>
    <w:rsid w:val="0099340F"/>
    <w:rsid w:val="009948BC"/>
    <w:rsid w:val="00994D1F"/>
    <w:rsid w:val="00994D86"/>
    <w:rsid w:val="009A595D"/>
    <w:rsid w:val="009B5AC0"/>
    <w:rsid w:val="009D72F2"/>
    <w:rsid w:val="009E113A"/>
    <w:rsid w:val="009F421C"/>
    <w:rsid w:val="00A06000"/>
    <w:rsid w:val="00A11EFF"/>
    <w:rsid w:val="00A15669"/>
    <w:rsid w:val="00A2288A"/>
    <w:rsid w:val="00A22AA0"/>
    <w:rsid w:val="00A310B0"/>
    <w:rsid w:val="00A33D1E"/>
    <w:rsid w:val="00A446E1"/>
    <w:rsid w:val="00A57FB7"/>
    <w:rsid w:val="00A6720B"/>
    <w:rsid w:val="00A74BC0"/>
    <w:rsid w:val="00A85CED"/>
    <w:rsid w:val="00A910C7"/>
    <w:rsid w:val="00A940B6"/>
    <w:rsid w:val="00AB2F5A"/>
    <w:rsid w:val="00AB70E9"/>
    <w:rsid w:val="00AC27AA"/>
    <w:rsid w:val="00B02207"/>
    <w:rsid w:val="00B055BE"/>
    <w:rsid w:val="00B11FC8"/>
    <w:rsid w:val="00B248FC"/>
    <w:rsid w:val="00B41F7D"/>
    <w:rsid w:val="00B61337"/>
    <w:rsid w:val="00B6566E"/>
    <w:rsid w:val="00B719A6"/>
    <w:rsid w:val="00B731F3"/>
    <w:rsid w:val="00B75D49"/>
    <w:rsid w:val="00B831D5"/>
    <w:rsid w:val="00B85C82"/>
    <w:rsid w:val="00B9162F"/>
    <w:rsid w:val="00B9413A"/>
    <w:rsid w:val="00BA073C"/>
    <w:rsid w:val="00BA0B51"/>
    <w:rsid w:val="00BA1E0A"/>
    <w:rsid w:val="00BA291C"/>
    <w:rsid w:val="00BA2FC5"/>
    <w:rsid w:val="00BA3FA7"/>
    <w:rsid w:val="00BB2A51"/>
    <w:rsid w:val="00BB35A4"/>
    <w:rsid w:val="00BB597B"/>
    <w:rsid w:val="00BC7184"/>
    <w:rsid w:val="00BD25CC"/>
    <w:rsid w:val="00BD538B"/>
    <w:rsid w:val="00BE7777"/>
    <w:rsid w:val="00BF1845"/>
    <w:rsid w:val="00C16838"/>
    <w:rsid w:val="00C23DCB"/>
    <w:rsid w:val="00C24DC5"/>
    <w:rsid w:val="00C263E2"/>
    <w:rsid w:val="00C31142"/>
    <w:rsid w:val="00C36E53"/>
    <w:rsid w:val="00C42DF4"/>
    <w:rsid w:val="00C526C8"/>
    <w:rsid w:val="00C64736"/>
    <w:rsid w:val="00C756E0"/>
    <w:rsid w:val="00C75793"/>
    <w:rsid w:val="00C81FF9"/>
    <w:rsid w:val="00C844A3"/>
    <w:rsid w:val="00C91849"/>
    <w:rsid w:val="00CA1975"/>
    <w:rsid w:val="00CB18B4"/>
    <w:rsid w:val="00CC15BD"/>
    <w:rsid w:val="00CD001F"/>
    <w:rsid w:val="00CD1EF7"/>
    <w:rsid w:val="00CE1416"/>
    <w:rsid w:val="00CE26C4"/>
    <w:rsid w:val="00CE582F"/>
    <w:rsid w:val="00CF4B2E"/>
    <w:rsid w:val="00CF4B6D"/>
    <w:rsid w:val="00CF7A40"/>
    <w:rsid w:val="00D03951"/>
    <w:rsid w:val="00D16647"/>
    <w:rsid w:val="00D316BA"/>
    <w:rsid w:val="00D33599"/>
    <w:rsid w:val="00D52E52"/>
    <w:rsid w:val="00D530FF"/>
    <w:rsid w:val="00D53D9C"/>
    <w:rsid w:val="00D56AF7"/>
    <w:rsid w:val="00D74199"/>
    <w:rsid w:val="00D745BA"/>
    <w:rsid w:val="00D92C45"/>
    <w:rsid w:val="00DA0083"/>
    <w:rsid w:val="00DA5110"/>
    <w:rsid w:val="00DC0F73"/>
    <w:rsid w:val="00DC202A"/>
    <w:rsid w:val="00DC60C8"/>
    <w:rsid w:val="00DD1D1A"/>
    <w:rsid w:val="00DD28D2"/>
    <w:rsid w:val="00E07764"/>
    <w:rsid w:val="00E07D4B"/>
    <w:rsid w:val="00E10628"/>
    <w:rsid w:val="00E2124E"/>
    <w:rsid w:val="00E2201D"/>
    <w:rsid w:val="00E23253"/>
    <w:rsid w:val="00E44D33"/>
    <w:rsid w:val="00E477D4"/>
    <w:rsid w:val="00E51A38"/>
    <w:rsid w:val="00E52906"/>
    <w:rsid w:val="00E62990"/>
    <w:rsid w:val="00E73013"/>
    <w:rsid w:val="00E82A3B"/>
    <w:rsid w:val="00E82E1E"/>
    <w:rsid w:val="00E851BD"/>
    <w:rsid w:val="00EA6603"/>
    <w:rsid w:val="00EA7493"/>
    <w:rsid w:val="00EB0640"/>
    <w:rsid w:val="00EB5314"/>
    <w:rsid w:val="00EC385F"/>
    <w:rsid w:val="00EC43F1"/>
    <w:rsid w:val="00EC49DF"/>
    <w:rsid w:val="00ED4594"/>
    <w:rsid w:val="00EE23F1"/>
    <w:rsid w:val="00EE3A3A"/>
    <w:rsid w:val="00EE70A8"/>
    <w:rsid w:val="00F005C9"/>
    <w:rsid w:val="00F07C5B"/>
    <w:rsid w:val="00F24D47"/>
    <w:rsid w:val="00F33BF1"/>
    <w:rsid w:val="00F41DAF"/>
    <w:rsid w:val="00F54390"/>
    <w:rsid w:val="00F54974"/>
    <w:rsid w:val="00F637E1"/>
    <w:rsid w:val="00F75891"/>
    <w:rsid w:val="00F811B1"/>
    <w:rsid w:val="00F82B30"/>
    <w:rsid w:val="00FA2B3A"/>
    <w:rsid w:val="00FB4D7F"/>
    <w:rsid w:val="00FD2E23"/>
    <w:rsid w:val="00F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C3EDA8-FDC0-43F0-88F5-D906E40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EC1"/>
    <w:pPr>
      <w:spacing w:line="360" w:lineRule="auto"/>
      <w:jc w:val="both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218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183C"/>
    <w:rPr>
      <w:rFonts w:ascii="Tahoma" w:hAnsi="Tahoma" w:cs="Tahoma"/>
      <w:sz w:val="16"/>
      <w:szCs w:val="16"/>
      <w:lang w:eastAsia="pl-PL"/>
    </w:rPr>
  </w:style>
  <w:style w:type="paragraph" w:customStyle="1" w:styleId="SEAnagwek23">
    <w:name w:val="_SEA nagłówek 2 (3)"/>
    <w:basedOn w:val="Normalny"/>
    <w:next w:val="Normalny"/>
    <w:autoRedefine/>
    <w:uiPriority w:val="99"/>
    <w:rsid w:val="008E7EC1"/>
    <w:pPr>
      <w:keepNext/>
      <w:keepLines/>
      <w:numPr>
        <w:numId w:val="1"/>
      </w:numPr>
      <w:shd w:val="clear" w:color="auto" w:fill="CCCCFF"/>
      <w:spacing w:before="120"/>
      <w:ind w:left="567" w:hanging="567"/>
      <w:outlineLvl w:val="1"/>
    </w:pPr>
    <w:rPr>
      <w:b/>
      <w:bCs/>
      <w:smallCaps/>
      <w:color w:val="0F243E"/>
      <w:szCs w:val="24"/>
      <w:lang w:val="sk-SK"/>
    </w:rPr>
  </w:style>
  <w:style w:type="paragraph" w:styleId="Tekstprzypisudolnego">
    <w:name w:val="footnote text"/>
    <w:aliases w:val="A_przypis,Znak,single space,FOOTNOTES,fn,Podrozdział,Fußnote,Footnote,Podrozdzia3,przypis,Tekst przypisu,Tekst przypisu Znak Znak Znak Znak,Tekst przypisu Znak Znak Znak Znak Znak,Tekst przypisu Znak Znak Znak Znak Znak Znak Znak"/>
    <w:basedOn w:val="Normalny"/>
    <w:link w:val="TekstprzypisudolnegoZnak"/>
    <w:uiPriority w:val="99"/>
    <w:rsid w:val="008E7EC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A_przypis Znak,Znak Znak,single space Znak,FOOTNOTES Znak,fn Znak,Podrozdział Znak,Fußnote Znak,Footnote Znak,Podrozdzia3 Znak,przypis Znak,Tekst przypisu Znak,Tekst przypisu Znak Znak Znak Znak Znak1"/>
    <w:basedOn w:val="Domylnaczcionkaakapitu"/>
    <w:link w:val="Tekstprzypisudolnego"/>
    <w:uiPriority w:val="99"/>
    <w:locked/>
    <w:rsid w:val="008E7EC1"/>
    <w:rPr>
      <w:rFonts w:ascii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basedOn w:val="Domylnaczcionkaakapitu"/>
    <w:uiPriority w:val="99"/>
    <w:rsid w:val="008E7EC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0F711A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51A38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E51A38"/>
    <w:rPr>
      <w:rFonts w:cs="Times New Roman"/>
      <w:color w:val="800080"/>
      <w:u w:val="single"/>
    </w:rPr>
  </w:style>
  <w:style w:type="paragraph" w:styleId="Nagwek">
    <w:name w:val="header"/>
    <w:basedOn w:val="Normalny"/>
    <w:link w:val="NagwekZnak"/>
    <w:uiPriority w:val="99"/>
    <w:semiHidden/>
    <w:rsid w:val="00CF4B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F4B6D"/>
    <w:rPr>
      <w:rFonts w:ascii="Calibri" w:hAnsi="Calibri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CF4B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4B6D"/>
    <w:rPr>
      <w:rFonts w:ascii="Calibri" w:hAnsi="Calibri" w:cs="Times New Roman"/>
      <w:sz w:val="24"/>
      <w:lang w:eastAsia="pl-PL"/>
    </w:rPr>
  </w:style>
  <w:style w:type="paragraph" w:customStyle="1" w:styleId="Mnormal">
    <w:name w:val="M_normal"/>
    <w:basedOn w:val="Normalny"/>
    <w:link w:val="MnormalZnak"/>
    <w:uiPriority w:val="99"/>
    <w:rsid w:val="00060CE0"/>
    <w:pPr>
      <w:spacing w:before="120" w:after="120" w:line="240" w:lineRule="auto"/>
    </w:pPr>
    <w:rPr>
      <w:sz w:val="20"/>
      <w:szCs w:val="20"/>
    </w:rPr>
  </w:style>
  <w:style w:type="character" w:customStyle="1" w:styleId="MnormalZnak">
    <w:name w:val="M_normal Znak"/>
    <w:basedOn w:val="Domylnaczcionkaakapitu"/>
    <w:link w:val="Mnormal"/>
    <w:uiPriority w:val="99"/>
    <w:locked/>
    <w:rsid w:val="00060CE0"/>
    <w:rPr>
      <w:rFonts w:ascii="Calibri" w:hAnsi="Calibri" w:cs="Times New Roman"/>
      <w:sz w:val="20"/>
      <w:szCs w:val="20"/>
      <w:lang w:eastAsia="pl-PL"/>
    </w:rPr>
  </w:style>
  <w:style w:type="paragraph" w:customStyle="1" w:styleId="myslnik">
    <w:name w:val="myslnik"/>
    <w:basedOn w:val="Normalny"/>
    <w:link w:val="myslnikZnak"/>
    <w:autoRedefine/>
    <w:uiPriority w:val="99"/>
    <w:rsid w:val="00A74BC0"/>
    <w:pPr>
      <w:numPr>
        <w:numId w:val="15"/>
      </w:numPr>
      <w:autoSpaceDE w:val="0"/>
      <w:autoSpaceDN w:val="0"/>
      <w:adjustRightInd w:val="0"/>
      <w:contextualSpacing/>
    </w:pPr>
    <w:rPr>
      <w:rFonts w:eastAsia="Calibri"/>
      <w:sz w:val="20"/>
      <w:szCs w:val="20"/>
    </w:rPr>
  </w:style>
  <w:style w:type="character" w:customStyle="1" w:styleId="myslnikZnak">
    <w:name w:val="myslnik Znak"/>
    <w:link w:val="myslnik"/>
    <w:uiPriority w:val="99"/>
    <w:locked/>
    <w:rsid w:val="00A74BC0"/>
    <w:rPr>
      <w:rFonts w:ascii="Calibri" w:hAnsi="Calibri"/>
    </w:rPr>
  </w:style>
  <w:style w:type="paragraph" w:customStyle="1" w:styleId="standard">
    <w:name w:val="standard"/>
    <w:basedOn w:val="Normalny"/>
    <w:link w:val="standardZnak"/>
    <w:uiPriority w:val="99"/>
    <w:rsid w:val="0062183C"/>
    <w:pPr>
      <w:spacing w:line="276" w:lineRule="auto"/>
    </w:pPr>
    <w:rPr>
      <w:rFonts w:eastAsia="Calibri"/>
      <w:sz w:val="20"/>
      <w:szCs w:val="20"/>
    </w:rPr>
  </w:style>
  <w:style w:type="character" w:customStyle="1" w:styleId="standardZnak">
    <w:name w:val="standard Znak"/>
    <w:link w:val="standard"/>
    <w:uiPriority w:val="99"/>
    <w:locked/>
    <w:rsid w:val="0062183C"/>
    <w:rPr>
      <w:rFonts w:ascii="Calibri" w:hAnsi="Calibri"/>
      <w:sz w:val="20"/>
      <w:lang w:eastAsia="pl-PL"/>
    </w:rPr>
  </w:style>
  <w:style w:type="character" w:styleId="Uwydatnienie">
    <w:name w:val="Emphasis"/>
    <w:basedOn w:val="Domylnaczcionkaakapitu"/>
    <w:uiPriority w:val="99"/>
    <w:qFormat/>
    <w:rsid w:val="0062183C"/>
    <w:rPr>
      <w:rFonts w:cs="Times New Roman"/>
      <w:i/>
      <w:iCs/>
    </w:rPr>
  </w:style>
  <w:style w:type="paragraph" w:styleId="Legenda">
    <w:name w:val="caption"/>
    <w:aliases w:val="A_podpis_tab_rys,podpis_tabel,Legenda Znak,Legenda Znak Znak Znak,Legenda Znak Znak Znak Znak,Legenda Znak Znak Znak Znak Znak Znak,Legenda Znak Znak Znak Znak Znak Znak Znak,Legenda Znak Znak Z"/>
    <w:basedOn w:val="Normalny"/>
    <w:next w:val="Normalny"/>
    <w:uiPriority w:val="99"/>
    <w:qFormat/>
    <w:rsid w:val="000D2A8E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0D2A8E"/>
    <w:rPr>
      <w:rFonts w:cs="Times New Roman"/>
    </w:rPr>
  </w:style>
  <w:style w:type="paragraph" w:customStyle="1" w:styleId="Punktor">
    <w:name w:val="Punktor"/>
    <w:basedOn w:val="Normalny"/>
    <w:link w:val="PunktorZnak"/>
    <w:uiPriority w:val="99"/>
    <w:rsid w:val="000D2A8E"/>
    <w:pPr>
      <w:autoSpaceDE w:val="0"/>
      <w:autoSpaceDN w:val="0"/>
      <w:adjustRightInd w:val="0"/>
      <w:spacing w:before="240" w:line="276" w:lineRule="auto"/>
      <w:contextualSpacing/>
      <w:jc w:val="left"/>
    </w:pPr>
    <w:rPr>
      <w:rFonts w:eastAsia="Calibri"/>
      <w:color w:val="000000"/>
      <w:szCs w:val="20"/>
    </w:rPr>
  </w:style>
  <w:style w:type="paragraph" w:customStyle="1" w:styleId="PUNKTORx">
    <w:name w:val="PUNKTORx"/>
    <w:basedOn w:val="Punktor"/>
    <w:link w:val="PUNKTORxZnak"/>
    <w:uiPriority w:val="99"/>
    <w:rsid w:val="000D2A8E"/>
  </w:style>
  <w:style w:type="character" w:customStyle="1" w:styleId="PunktorZnak">
    <w:name w:val="Punktor Znak"/>
    <w:link w:val="Punktor"/>
    <w:uiPriority w:val="99"/>
    <w:locked/>
    <w:rsid w:val="000D2A8E"/>
    <w:rPr>
      <w:rFonts w:ascii="Calibri" w:hAnsi="Calibri"/>
      <w:color w:val="000000"/>
      <w:sz w:val="24"/>
    </w:rPr>
  </w:style>
  <w:style w:type="character" w:customStyle="1" w:styleId="PUNKTORxZnak">
    <w:name w:val="PUNKTORx Znak"/>
    <w:basedOn w:val="PunktorZnak"/>
    <w:link w:val="PUNKTORx"/>
    <w:uiPriority w:val="99"/>
    <w:locked/>
    <w:rsid w:val="000D2A8E"/>
    <w:rPr>
      <w:rFonts w:ascii="Calibri" w:hAnsi="Calibri" w:cs="Times New Roman"/>
      <w:bCs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7B6367"/>
    <w:rPr>
      <w:rFonts w:cs="Times New Roman"/>
      <w:b/>
      <w:bCs/>
    </w:rPr>
  </w:style>
  <w:style w:type="paragraph" w:styleId="Tytu">
    <w:name w:val="Title"/>
    <w:basedOn w:val="Normalny"/>
    <w:link w:val="TytuZnak"/>
    <w:uiPriority w:val="99"/>
    <w:qFormat/>
    <w:rsid w:val="0008353B"/>
    <w:pPr>
      <w:spacing w:line="240" w:lineRule="auto"/>
      <w:jc w:val="center"/>
    </w:pPr>
    <w:rPr>
      <w:rFonts w:ascii="Arial" w:hAnsi="Arial" w:cs="Arial"/>
      <w:b/>
      <w:bCs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08353B"/>
    <w:rPr>
      <w:rFonts w:ascii="Arial" w:hAnsi="Arial" w:cs="Arial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D538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5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D538B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5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D538B"/>
    <w:rPr>
      <w:rFonts w:ascii="Calibri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D538B"/>
    <w:rPr>
      <w:rFonts w:eastAsia="Times New Roman"/>
      <w:sz w:val="24"/>
    </w:rPr>
  </w:style>
  <w:style w:type="paragraph" w:customStyle="1" w:styleId="astandard3520normal">
    <w:name w:val="a_standard__35__20_normal"/>
    <w:basedOn w:val="Normalny"/>
    <w:uiPriority w:val="99"/>
    <w:rsid w:val="003D2D58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a3520normalp3">
    <w:name w:val="a__35__20_normal_p3"/>
    <w:basedOn w:val="Normalny"/>
    <w:uiPriority w:val="99"/>
    <w:rsid w:val="003D2D58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Mlista">
    <w:name w:val="M_lista"/>
    <w:basedOn w:val="Normalny"/>
    <w:link w:val="MlistaZnak"/>
    <w:uiPriority w:val="99"/>
    <w:rsid w:val="00D53D9C"/>
    <w:pPr>
      <w:numPr>
        <w:numId w:val="32"/>
      </w:numPr>
      <w:spacing w:line="240" w:lineRule="auto"/>
      <w:ind w:left="738" w:hanging="284"/>
    </w:pPr>
    <w:rPr>
      <w:sz w:val="20"/>
      <w:szCs w:val="20"/>
    </w:rPr>
  </w:style>
  <w:style w:type="character" w:customStyle="1" w:styleId="MlistaZnak">
    <w:name w:val="M_lista Znak"/>
    <w:basedOn w:val="Domylnaczcionkaakapitu"/>
    <w:link w:val="Mlista"/>
    <w:uiPriority w:val="99"/>
    <w:locked/>
    <w:rsid w:val="00D53D9C"/>
    <w:rPr>
      <w:rFonts w:ascii="Calibri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BA1E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8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816">
          <w:marLeft w:val="418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819">
          <w:marLeft w:val="418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823">
          <w:marLeft w:val="418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824">
          <w:marLeft w:val="418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826">
          <w:marLeft w:val="418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827">
          <w:marLeft w:val="418"/>
          <w:marRight w:val="0"/>
          <w:marTop w:val="19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81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82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82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strateg.stat.gov.pl/strategie_pliki/dolnoslaskie_2013.pdf" TargetMode="External"/><Relationship Id="rId18" Type="http://schemas.openxmlformats.org/officeDocument/2006/relationships/hyperlink" Target="http://patenty.bg.agh.edu.pl/prez/regionalna_strategia.pdf" TargetMode="External"/><Relationship Id="rId26" Type="http://schemas.openxmlformats.org/officeDocument/2006/relationships/hyperlink" Target="http://strateg.stat.gov.pl/strategie_pliki/warminsko-mazurskie_201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trateg.stat.gov.pl/strategie_pliki/podkarpackie_2013.pdf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www.lptw.lodzkie.pl/lptw/cms.nsf/cmsfiles/RSI/$FILE/strategia.pdf" TargetMode="External"/><Relationship Id="rId25" Type="http://schemas.openxmlformats.org/officeDocument/2006/relationships/hyperlink" Target="http://www.rpo-swietokrzyskie.pl/data/Pliki/92_Strategia_Rozwoju_Wojew_dztwa__wi_tokrzyski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lubuskie.pl/pl/download/strategia/strategiaRozwojuWojewodztwaLubuskiego.pdf" TargetMode="External"/><Relationship Id="rId20" Type="http://schemas.openxmlformats.org/officeDocument/2006/relationships/hyperlink" Target="http://strateg.stat.gov.pl/strategie_pliki/opolskie_2012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slaskie.pl/zalaczniki/2010/02/24/1267017716/126701795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rategia.lubelskie.pl/Strategia_rozwoju_projekt.pdf" TargetMode="External"/><Relationship Id="rId23" Type="http://schemas.openxmlformats.org/officeDocument/2006/relationships/hyperlink" Target="http://strateg.stat.gov.pl/strategie_pliki/pomorskie_2012.pdf" TargetMode="External"/><Relationship Id="rId28" Type="http://schemas.openxmlformats.org/officeDocument/2006/relationships/hyperlink" Target="http://strateg.stat.gov.pl/strategie_pliki/zachodniopomorskie_2010.pdf" TargetMode="External"/><Relationship Id="rId10" Type="http://schemas.openxmlformats.org/officeDocument/2006/relationships/image" Target="media/image3.png"/><Relationship Id="rId19" Type="http://schemas.openxmlformats.org/officeDocument/2006/relationships/hyperlink" Target="file:///C:/Documents%20and%20Settings/jaskiewicz/Moje%20dokumenty/Downloads/1_srwm_zalacznik__do_uchwaly_28_10_2013_lekki.pdf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Slajd_programu_Microsoft_PowerPoint.sldx"/><Relationship Id="rId14" Type="http://schemas.openxmlformats.org/officeDocument/2006/relationships/hyperlink" Target="http://www.kujawsko-pomorskie.pl/pliki/wiadomosci/zit/dokumenty/Strategia_rozwoju_wojewodztwa_kujawsko-pomorskiego_do_roku_2020_-_plan_modernizacji_2020+.pdf" TargetMode="External"/><Relationship Id="rId22" Type="http://schemas.openxmlformats.org/officeDocument/2006/relationships/hyperlink" Target="http://www.strategia.wrotapodlasia.pl/pl/ps2/var/resources/154/248/4/srwp_2020_1.pdf" TargetMode="External"/><Relationship Id="rId27" Type="http://schemas.openxmlformats.org/officeDocument/2006/relationships/hyperlink" Target="http://www.wrpo.wielkopolskie.pl/zalaczniki1/2013/Zaktualizowana_Strategia_RWW_do_2020.pdf" TargetMode="Externa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?qid=1395649624365&amp;uri=CELEX:52010DC2020" TargetMode="External"/><Relationship Id="rId13" Type="http://schemas.openxmlformats.org/officeDocument/2006/relationships/hyperlink" Target="http://eur-lex.europa.eu/legal-content/PL/TXT/?qid=1395730332381&amp;uri=CELEX:52009DC014" TargetMode="External"/><Relationship Id="rId18" Type="http://schemas.openxmlformats.org/officeDocument/2006/relationships/hyperlink" Target="http://www.mir.gov.pl/rozwoj_regionalny/Polityka_przestrzenna/Spojnosc_terytorialna/Wspolpraca_miedzyrzadowa/Documents/AT_PL.pdf" TargetMode="External"/><Relationship Id="rId26" Type="http://schemas.openxmlformats.org/officeDocument/2006/relationships/hyperlink" Target="https://zds.kprm.gov.pl/sites/default/files/pliki/pl_2030_wyzwania_rozwojowe.pdf" TargetMode="External"/><Relationship Id="rId3" Type="http://schemas.openxmlformats.org/officeDocument/2006/relationships/hyperlink" Target="http://www.nape.pl/upload/File/akty-prawne/Protokol_z_Kioto.pdf" TargetMode="External"/><Relationship Id="rId21" Type="http://schemas.openxmlformats.org/officeDocument/2006/relationships/hyperlink" Target="http://eur-lex.europa.eu/legal-content/PL/TXT/?qid=1395736887409&amp;uri=CELEX:52011DC080" TargetMode="External"/><Relationship Id="rId7" Type="http://schemas.openxmlformats.org/officeDocument/2006/relationships/hyperlink" Target="http://www.parliament.bg/pub/ECD/129457COM_2013_325_EN_ACTE_f.pdf" TargetMode="External"/><Relationship Id="rId12" Type="http://schemas.openxmlformats.org/officeDocument/2006/relationships/hyperlink" Target="http://eur-lex.europa.eu/legal-content/PL/TXT/?qid=1395730101764&amp;uri=CELEX:52013DC0216" TargetMode="External"/><Relationship Id="rId17" Type="http://schemas.openxmlformats.org/officeDocument/2006/relationships/hyperlink" Target="http://ec.europa.eu/energy/doc/2030/com_2014_15_en.pdf" TargetMode="External"/><Relationship Id="rId25" Type="http://schemas.openxmlformats.org/officeDocument/2006/relationships/hyperlink" Target="http://www.umwd.dolnyslask.pl/fileadmin/user_upload/EWT/Akty_prawne/Akty_prawne_-_glowna/Strategia_Rozwoju_Kraju.pdf" TargetMode="External"/><Relationship Id="rId2" Type="http://schemas.openxmlformats.org/officeDocument/2006/relationships/hyperlink" Target="http://isap.sejm.gov.pl/DetailsServlet?id=WDU19960530238" TargetMode="External"/><Relationship Id="rId16" Type="http://schemas.openxmlformats.org/officeDocument/2006/relationships/hyperlink" Target="http://europa.eu/rapid/press-release_IP-13-1274_pl.htm" TargetMode="External"/><Relationship Id="rId20" Type="http://schemas.openxmlformats.org/officeDocument/2006/relationships/hyperlink" Target="http://eur-lex.europa.eu/legal-content/PL/TXT/?qid=1395735613762&amp;uri=CELEX:52012DC0673" TargetMode="External"/><Relationship Id="rId29" Type="http://schemas.openxmlformats.org/officeDocument/2006/relationships/hyperlink" Target="http://www.mos.gov.pl/g2/big/2013_03/e436258f57966ff3703b84123f642e81.pdf" TargetMode="External"/><Relationship Id="rId1" Type="http://schemas.openxmlformats.org/officeDocument/2006/relationships/hyperlink" Target="http://www.uncsd2012.org/content/documents/814UNCSD%20REPORT%20final%20revs.pdf" TargetMode="External"/><Relationship Id="rId6" Type="http://schemas.openxmlformats.org/officeDocument/2006/relationships/hyperlink" Target="http://isap.sejm.gov.pl/DetailsServlet?id=WDU19850600311" TargetMode="External"/><Relationship Id="rId11" Type="http://schemas.openxmlformats.org/officeDocument/2006/relationships/hyperlink" Target="http://eur-lex.europa.eu/LexUriServ/LexUriServ.do?uri=COM:2011:0885:FIN:EN:PDF" TargetMode="External"/><Relationship Id="rId24" Type="http://schemas.openxmlformats.org/officeDocument/2006/relationships/hyperlink" Target="http://www.mrr.gov.pl/rozwoj_regionalny/Polityka_rozwoju/SRK_2020/Documents/SRK_2020_112012_1.pdf" TargetMode="External"/><Relationship Id="rId5" Type="http://schemas.openxmlformats.org/officeDocument/2006/relationships/hyperlink" Target="http://isap.sejm.gov.pl/DetailsServlet?id=WDU20060140098" TargetMode="External"/><Relationship Id="rId15" Type="http://schemas.openxmlformats.org/officeDocument/2006/relationships/hyperlink" Target="http://eur-lex.europa.eu/legal-content/PL/TXT/?qid=1395735508994&amp;uri=CELEX:52011DC0244" TargetMode="External"/><Relationship Id="rId23" Type="http://schemas.openxmlformats.org/officeDocument/2006/relationships/hyperlink" Target="http://www.mrr.gov.pl/rozwoj_regionalny/Polityka_przestrzenna/KPZK/Aktualnosci/Documents/KPZK2030.pdf" TargetMode="External"/><Relationship Id="rId28" Type="http://schemas.openxmlformats.org/officeDocument/2006/relationships/hyperlink" Target="http://www.mg.gov.pl/files/upload/10460/NPRGN.pdf" TargetMode="External"/><Relationship Id="rId10" Type="http://schemas.openxmlformats.org/officeDocument/2006/relationships/hyperlink" Target="http://www.europarl.europa.eu/meetdocs/2009_2014/documents/com/com_com(2011)0112_/com_com(2011)0112_pl.pdf" TargetMode="External"/><Relationship Id="rId19" Type="http://schemas.openxmlformats.org/officeDocument/2006/relationships/hyperlink" Target="http://eur-lex.europa.eu/legal-content/PL/TXT/?uri=CELEX:52009DC0248&amp;qid=1395747097956" TargetMode="External"/><Relationship Id="rId31" Type="http://schemas.openxmlformats.org/officeDocument/2006/relationships/hyperlink" Target="http://bip.mg.gov.pl/files/upload/15923/Drugi%20Krajowy%20Plan%20PL%20_Ver0.4%20final%202.04.2012_FINAL.pdf" TargetMode="External"/><Relationship Id="rId4" Type="http://schemas.openxmlformats.org/officeDocument/2006/relationships/hyperlink" Target="http://isap.sejm.gov.pl/DetailsServlet?id=WDU20021841532" TargetMode="External"/><Relationship Id="rId9" Type="http://schemas.openxmlformats.org/officeDocument/2006/relationships/hyperlink" Target="http://www.europarl.europa.eu/sides/getDoc.do?pubRef=-//EP//TEXT+TA+P7-TA-2012-0086+0+DOC+XML+V0//PL" TargetMode="External"/><Relationship Id="rId14" Type="http://schemas.openxmlformats.org/officeDocument/2006/relationships/hyperlink" Target="http://eur-lex.europa.eu/legal-content/PL/TXT/?uri=celex:32013D1386" TargetMode="External"/><Relationship Id="rId22" Type="http://schemas.openxmlformats.org/officeDocument/2006/relationships/hyperlink" Target="https://mac.gov.pl/wpcontent/uploads/2013/02/Strategia-DSRK-PL2030-RM.pdf" TargetMode="External"/><Relationship Id="rId27" Type="http://schemas.openxmlformats.org/officeDocument/2006/relationships/hyperlink" Target="http://bip.mg.gov.pl/files/upload/21165/SBEIS.pdf" TargetMode="External"/><Relationship Id="rId30" Type="http://schemas.openxmlformats.org/officeDocument/2006/relationships/hyperlink" Target="http://www.mrr.gov.pl/rozwoj_regionalny/Polityka_regionalna/Strategia_rozwoju_polski_wschodniej_do_2020/Dokumenty/Documents/Strategia_PW_11_07_2013_zm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5645</Words>
  <Characters>33870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ZGODNOŚCI Z DOKUMENTAMI STRATEGICZNYMI GLOBALNYMI, UE ORAZ POLSKI</vt:lpstr>
    </vt:vector>
  </TitlesOfParts>
  <Company>Atmoterm S.A.</Company>
  <LinksUpToDate>false</LinksUpToDate>
  <CharactersWithSpaces>39437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ZGODNOŚCI Z DOKUMENTAMI STRATEGICZNYMI GLOBALNYMI, UE ORAZ POLSKI</dc:title>
  <dc:subject/>
  <dc:creator>jaskiewicz</dc:creator>
  <cp:keywords/>
  <dc:description/>
  <cp:lastModifiedBy>Brzozowska Karolina</cp:lastModifiedBy>
  <cp:revision>2</cp:revision>
  <dcterms:created xsi:type="dcterms:W3CDTF">2020-02-20T13:19:00Z</dcterms:created>
  <dcterms:modified xsi:type="dcterms:W3CDTF">2020-02-20T13:19:00Z</dcterms:modified>
</cp:coreProperties>
</file>