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2144C0B5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</w:t>
            </w:r>
            <w:r w:rsidR="00887F7A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t>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(Euvax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(Euvax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Engerix 20 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 20 mcg/1ml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194A5E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influenze</w:t>
            </w:r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typ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(pełnokomórkowa)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DTaP-HiB-IPV (5-w-1)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 / </w:t>
            </w:r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Gardasil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Gardasil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887F7A" w:rsidRPr="00DC2F5D" w14:paraId="4531AA16" w14:textId="77777777" w:rsidTr="00887F7A">
        <w:trPr>
          <w:cantSplit/>
          <w:trHeight w:val="595"/>
        </w:trPr>
        <w:tc>
          <w:tcPr>
            <w:tcW w:w="566" w:type="dxa"/>
            <w:vAlign w:val="center"/>
          </w:tcPr>
          <w:p w14:paraId="6473AFAD" w14:textId="77777777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Align w:val="center"/>
          </w:tcPr>
          <w:p w14:paraId="34F2763A" w14:textId="45244ECE" w:rsidR="00887F7A" w:rsidRPr="00E45777" w:rsidRDefault="00887F7A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7939" w:type="dxa"/>
            <w:gridSpan w:val="7"/>
            <w:shd w:val="clear" w:color="auto" w:fill="F2F2F2" w:themeFill="background1" w:themeFillShade="F2"/>
            <w:vAlign w:val="center"/>
          </w:tcPr>
          <w:p w14:paraId="048A3576" w14:textId="52C07382" w:rsidR="00887F7A" w:rsidRPr="00E45777" w:rsidRDefault="00887F7A" w:rsidP="00887F7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887F7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 1 listopada 2026 r.  nie są przyjmowane nowe zamówienia świadczeniodawców na szczepionkę przeciw HPV dla osób dorosłych. Zamówienia złożone przez świadczeniodawców do PSSE przed tą datą będą realizowane w zakresie zależnym od dostępnej liczby szczepionek.</w:t>
            </w: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bookmarkEnd w:id="3"/>
    </w:tbl>
    <w:p w14:paraId="29995AD3" w14:textId="77777777" w:rsidR="00194A5E" w:rsidRDefault="00194A5E" w:rsidP="006B2C5C">
      <w:pPr>
        <w:rPr>
          <w:b/>
        </w:rPr>
      </w:pPr>
    </w:p>
    <w:p w14:paraId="19668E96" w14:textId="05F52BAE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interwencyjnych ośrodkach preadopcyjnych</w:t>
      </w:r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(Vaxneuvance)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r w:rsidR="00A524AB" w:rsidRPr="00DC2F5D">
        <w:rPr>
          <w:sz w:val="20"/>
          <w:szCs w:val="20"/>
        </w:rPr>
        <w:t>Vaxneuvance</w:t>
      </w:r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Vaxneuvance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 xml:space="preserve">W pozostałych przypadkach stacje sanitarno-epidemiologiczne wydają szczepionkę typu PCV-10 (Synflorix).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>przeciwwskazaniami do szczepienia przeciw krztuścowi szczepionką pełnokomórkową (DTwP)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r w:rsidR="00E914D5" w:rsidRPr="00DC2F5D">
        <w:rPr>
          <w:b/>
          <w:bCs/>
          <w:sz w:val="20"/>
          <w:szCs w:val="20"/>
        </w:rPr>
        <w:t>Boostrix</w:t>
      </w:r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ChPL posiadają zarejestrowane wskazania do podania u kobiet w ciąży: Boostrix, alternatywnie Adacel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ChPL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3C1C200A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Vaxneuvance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osób, które są przed lub po przeszczepieniu komórek krwiotwórczych, narządów wewnętrznych, splenektomii albo z asplenią,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1088" w14:textId="77777777" w:rsidR="00E27B6D" w:rsidRDefault="00E27B6D" w:rsidP="00EB111A">
      <w:pPr>
        <w:spacing w:after="0" w:line="240" w:lineRule="auto"/>
      </w:pPr>
      <w:r>
        <w:separator/>
      </w:r>
    </w:p>
  </w:endnote>
  <w:endnote w:type="continuationSeparator" w:id="0">
    <w:p w14:paraId="464EEC7F" w14:textId="77777777" w:rsidR="00E27B6D" w:rsidRDefault="00E27B6D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0AF5" w14:textId="77777777" w:rsidR="00E27B6D" w:rsidRDefault="00E27B6D" w:rsidP="00EB111A">
      <w:pPr>
        <w:spacing w:after="0" w:line="240" w:lineRule="auto"/>
      </w:pPr>
      <w:r>
        <w:separator/>
      </w:r>
    </w:p>
  </w:footnote>
  <w:footnote w:type="continuationSeparator" w:id="0">
    <w:p w14:paraId="2DCD4BA8" w14:textId="77777777" w:rsidR="00E27B6D" w:rsidRDefault="00E27B6D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1F8D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4A5E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5AD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5707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87F7A"/>
    <w:rsid w:val="0089319A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27B6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GIS - Agnieszka Pawlikowska</cp:lastModifiedBy>
  <cp:revision>3</cp:revision>
  <cp:lastPrinted>2023-08-11T10:38:00Z</cp:lastPrinted>
  <dcterms:created xsi:type="dcterms:W3CDTF">2026-10-30T14:40:00Z</dcterms:created>
  <dcterms:modified xsi:type="dcterms:W3CDTF">2026-10-30T17:03:00Z</dcterms:modified>
</cp:coreProperties>
</file>