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25a ust. 1 ustawy z dnia 29 stycznia 2004 r.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FE11D4" w:rsidRPr="00FE11D4">
        <w:rPr>
          <w:rFonts w:ascii="Arial" w:hAnsi="Arial" w:cs="Arial"/>
          <w:sz w:val="24"/>
          <w:szCs w:val="24"/>
        </w:rPr>
        <w:t>184</w:t>
      </w:r>
      <w:r w:rsidR="00C26AFD">
        <w:rPr>
          <w:rFonts w:ascii="Arial" w:hAnsi="Arial" w:cs="Arial"/>
          <w:sz w:val="24"/>
          <w:szCs w:val="24"/>
        </w:rPr>
        <w:t>3</w:t>
      </w:r>
      <w:bookmarkStart w:id="2" w:name="_GoBack"/>
      <w:bookmarkEnd w:id="2"/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2F2531">
      <w:pPr>
        <w:tabs>
          <w:tab w:val="left" w:pos="284"/>
        </w:tabs>
        <w:spacing w:before="36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>CE PRZESŁANEK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E92083">
        <w:rPr>
          <w:rFonts w:ascii="Arial" w:hAnsi="Arial" w:cs="Arial"/>
          <w:b/>
          <w:sz w:val="24"/>
          <w:szCs w:val="24"/>
        </w:rPr>
        <w:t xml:space="preserve">szkła i drobnego </w:t>
      </w:r>
      <w:r w:rsidR="00882643" w:rsidRPr="00FE11D4">
        <w:rPr>
          <w:rFonts w:ascii="Arial" w:hAnsi="Arial" w:cs="Arial"/>
          <w:b/>
          <w:sz w:val="24"/>
          <w:szCs w:val="24"/>
        </w:rPr>
        <w:t>sprzętu</w:t>
      </w:r>
      <w:r w:rsidR="00882643" w:rsidRPr="00FE11D4">
        <w:rPr>
          <w:rFonts w:ascii="Arial" w:hAnsi="Arial" w:cs="Arial"/>
          <w:sz w:val="24"/>
          <w:szCs w:val="24"/>
        </w:rPr>
        <w:t xml:space="preserve"> 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laboratoryjnego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przetargu nieograniczonego o szacowanej wartości poniżej progów określonych w przepisach wydanych na podstawie art. 11 ust. 8 ustawy,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CA3425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1 pkt 12-23 </w:t>
      </w:r>
      <w:r w:rsidR="00241BE5">
        <w:rPr>
          <w:rFonts w:ascii="Arial" w:hAnsi="Arial" w:cs="Arial"/>
          <w:sz w:val="24"/>
          <w:szCs w:val="24"/>
        </w:rPr>
        <w:t xml:space="preserve">oraz ust. 5 pkt. 1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3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241BE5" w:rsidRPr="00241BE5" w:rsidRDefault="002F2531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41BE5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4" w:name="Tekst3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4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(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lastRenderedPageBreak/>
        <w:t>do reprezentowania Wykonawcy lub 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5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>(podać mającą zastosowanie podstawę wykluczenia spośród wymienionych w art. 24 ust. 1 pkt 13-14, 16-20</w:t>
      </w:r>
      <w:r w:rsidR="00181752">
        <w:rPr>
          <w:rFonts w:ascii="Arial" w:hAnsi="Arial" w:cs="Arial"/>
          <w:sz w:val="24"/>
          <w:szCs w:val="24"/>
        </w:rPr>
        <w:t xml:space="preserve"> lub ust. 5 pkt 1</w:t>
      </w:r>
      <w:r w:rsidRPr="00253853">
        <w:rPr>
          <w:rFonts w:ascii="Arial" w:hAnsi="Arial" w:cs="Arial"/>
          <w:sz w:val="24"/>
          <w:szCs w:val="24"/>
        </w:rPr>
        <w:t xml:space="preserve">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6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sectPr w:rsidR="00253853" w:rsidRPr="00CA3425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>Nr sprawy: GI-BAD-231-</w:t>
    </w:r>
    <w:r w:rsidR="00C26AFD">
      <w:rPr>
        <w:rFonts w:ascii="Times New Roman" w:hAnsi="Times New Roman"/>
      </w:rPr>
      <w:t>9</w:t>
    </w:r>
    <w:r w:rsidR="00241BE5">
      <w:rPr>
        <w:rFonts w:ascii="Times New Roman" w:hAnsi="Times New Roman"/>
      </w:rPr>
      <w:t>/20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3ABB0485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dc:description/>
  <cp:lastModifiedBy>Katarzyna Niedźwiedzka-Rozkosz</cp:lastModifiedBy>
  <cp:revision>2</cp:revision>
  <cp:lastPrinted>2020-07-02T09:06:00Z</cp:lastPrinted>
  <dcterms:created xsi:type="dcterms:W3CDTF">2020-10-29T19:22:00Z</dcterms:created>
  <dcterms:modified xsi:type="dcterms:W3CDTF">2020-10-29T19:22:00Z</dcterms:modified>
</cp:coreProperties>
</file>