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5" o:title=""/>
            <w10:wrap type="topAndBottom"/>
            <w10:anchorlock/>
          </v:shape>
          <o:OLEObject Type="Embed" ProgID="CorelDraw.Rysunek.8" ShapeID="_x0000_s1025" DrawAspect="Content" ObjectID="_1800683105" r:id="rId6"/>
        </w:pict>
      </w:r>
      <w:r w:rsidRPr="00E96BF7" w:rsidR="00E5746A">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Opole,</w:t>
      </w:r>
      <w:r w:rsidRPr="00280C7C">
        <w:rPr>
          <w:rFonts w:ascii="Arial" w:hAnsi="Arial" w:cs="Arial"/>
          <w:sz w:val="22"/>
          <w:szCs w:val="22"/>
        </w:rPr>
        <w:t xml:space="preserve"> </w:t>
      </w:r>
      <w:bookmarkStart w:id="0" w:name="ezdDataPodpisu"/>
      <w:r>
        <w:rPr>
          <w:rFonts w:ascii="Arial" w:hAnsi="Arial" w:cs="Arial"/>
          <w:sz w:val="22"/>
          <w:szCs w:val="22"/>
        </w:rPr>
        <w:t>10 lutego 2025</w:t>
      </w:r>
      <w:bookmarkEnd w:id="0"/>
      <w:r>
        <w:rPr>
          <w:rFonts w:ascii="Arial" w:hAnsi="Arial" w:cs="Arial"/>
          <w:sz w:val="22"/>
          <w:szCs w:val="22"/>
        </w:rPr>
        <w:t xml:space="preserve"> </w:t>
      </w:r>
      <w:r w:rsidRPr="00280C7C">
        <w:rPr>
          <w:rFonts w:ascii="Arial" w:hAnsi="Arial" w:cs="Arial"/>
          <w:sz w:val="22"/>
          <w:szCs w:val="22"/>
        </w:rPr>
        <w:t>r.</w:t>
      </w:r>
    </w:p>
    <w:p w:rsidR="00A936F9" w:rsidRPr="00186481"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PN.I.431.1.4.2024</w:t>
      </w:r>
      <w:bookmarkEnd w:id="1"/>
      <w:r w:rsidRPr="00186481">
        <w:rPr>
          <w:rFonts w:ascii="Arial" w:hAnsi="Arial" w:cs="Arial"/>
          <w:sz w:val="22"/>
          <w:szCs w:val="22"/>
        </w:rPr>
        <w:t>.</w:t>
      </w:r>
      <w:bookmarkStart w:id="2" w:name="ezdAutorInicjaly"/>
      <w:r w:rsidRPr="00186481">
        <w:rPr>
          <w:rFonts w:ascii="Arial" w:hAnsi="Arial" w:cs="Arial"/>
          <w:sz w:val="22"/>
          <w:szCs w:val="22"/>
        </w:rPr>
        <w:t>MF</w:t>
      </w:r>
      <w:bookmarkEnd w:id="2"/>
    </w:p>
    <w:p w:rsidR="00B31DF0" w:rsidRPr="00850982" w:rsidP="00B31DF0">
      <w:pPr>
        <w:pStyle w:val="ListParagraph"/>
        <w:tabs>
          <w:tab w:val="left" w:pos="-7371"/>
          <w:tab w:val="left" w:pos="5103"/>
          <w:tab w:val="right" w:pos="9072"/>
        </w:tabs>
        <w:spacing w:before="840" w:after="0" w:line="240" w:lineRule="auto"/>
        <w:ind w:left="5103" w:hanging="141"/>
        <w:rPr>
          <w:rFonts w:ascii="Arial" w:hAnsi="Arial" w:eastAsiaTheme="minorEastAsia" w:cs="Arial"/>
          <w:b/>
          <w:sz w:val="24"/>
          <w:szCs w:val="24"/>
        </w:rPr>
      </w:pPr>
      <w:r w:rsidRPr="00850982">
        <w:rPr>
          <w:rFonts w:ascii="Arial" w:hAnsi="Arial" w:eastAsiaTheme="minorEastAsia" w:cs="Arial"/>
          <w:b/>
          <w:sz w:val="24"/>
          <w:szCs w:val="24"/>
        </w:rPr>
        <w:t>Pan</w:t>
      </w:r>
    </w:p>
    <w:p w:rsidR="00B31DF0" w:rsidRPr="00850982" w:rsidP="00B31DF0">
      <w:pPr>
        <w:tabs>
          <w:tab w:val="left" w:pos="5103"/>
          <w:tab w:val="right" w:pos="9072"/>
        </w:tabs>
        <w:ind w:left="5103" w:hanging="141"/>
        <w:contextualSpacing/>
        <w:rPr>
          <w:rFonts w:ascii="Arial" w:hAnsi="Arial" w:eastAsiaTheme="minorEastAsia" w:cs="Arial"/>
          <w:b/>
          <w:sz w:val="24"/>
          <w:szCs w:val="24"/>
        </w:rPr>
      </w:pPr>
      <w:r w:rsidRPr="00850982">
        <w:rPr>
          <w:rFonts w:ascii="Arial" w:hAnsi="Arial" w:eastAsiaTheme="minorEastAsia" w:cs="Arial"/>
          <w:b/>
          <w:sz w:val="24"/>
          <w:szCs w:val="24"/>
        </w:rPr>
        <w:t>Bartłomiej Kostrzewa</w:t>
      </w:r>
    </w:p>
    <w:p w:rsidR="00B31DF0" w:rsidRPr="00850982" w:rsidP="00B31DF0">
      <w:pPr>
        <w:tabs>
          <w:tab w:val="left" w:pos="5103"/>
          <w:tab w:val="right" w:pos="9072"/>
        </w:tabs>
        <w:ind w:left="5103" w:hanging="141"/>
        <w:contextualSpacing/>
        <w:rPr>
          <w:rFonts w:ascii="Arial" w:hAnsi="Arial" w:eastAsiaTheme="minorEastAsia" w:cs="Arial"/>
          <w:b/>
          <w:sz w:val="24"/>
          <w:szCs w:val="24"/>
        </w:rPr>
      </w:pPr>
      <w:r w:rsidRPr="00850982">
        <w:rPr>
          <w:rFonts w:ascii="Arial" w:hAnsi="Arial" w:eastAsiaTheme="minorEastAsia" w:cs="Arial"/>
          <w:b/>
          <w:sz w:val="24"/>
          <w:szCs w:val="24"/>
        </w:rPr>
        <w:t>Burmistrz Niemodlina</w:t>
      </w:r>
    </w:p>
    <w:p w:rsidR="00B31DF0" w:rsidRPr="00850982" w:rsidP="00B31DF0">
      <w:pPr>
        <w:tabs>
          <w:tab w:val="left" w:pos="-7371"/>
          <w:tab w:val="left" w:pos="5103"/>
          <w:tab w:val="right" w:pos="9072"/>
        </w:tabs>
        <w:ind w:left="5103" w:hanging="141"/>
        <w:contextualSpacing/>
        <w:rPr>
          <w:rFonts w:ascii="Arial" w:hAnsi="Arial" w:eastAsiaTheme="minorEastAsia" w:cs="Arial"/>
          <w:b/>
          <w:sz w:val="24"/>
          <w:szCs w:val="24"/>
        </w:rPr>
      </w:pPr>
      <w:r w:rsidRPr="00850982">
        <w:rPr>
          <w:rFonts w:ascii="Arial" w:hAnsi="Arial" w:eastAsiaTheme="minorEastAsia" w:cs="Arial"/>
          <w:b/>
          <w:sz w:val="24"/>
          <w:szCs w:val="24"/>
        </w:rPr>
        <w:t>ul. Bohaterów Powstań Śląskich 37</w:t>
      </w:r>
    </w:p>
    <w:p w:rsidR="00B31DF0" w:rsidRPr="00850982" w:rsidP="00B31DF0">
      <w:pPr>
        <w:spacing w:after="200" w:line="276" w:lineRule="auto"/>
        <w:ind w:left="5103" w:hanging="141"/>
        <w:rPr>
          <w:rFonts w:eastAsia="Calibri" w:asciiTheme="minorHAnsi" w:hAnsiTheme="minorHAnsi" w:cs="Arial"/>
          <w:b/>
          <w:sz w:val="24"/>
          <w:szCs w:val="22"/>
        </w:rPr>
      </w:pPr>
      <w:r w:rsidRPr="00850982">
        <w:rPr>
          <w:rFonts w:ascii="Arial" w:hAnsi="Arial" w:eastAsiaTheme="minorEastAsia" w:cs="Arial"/>
          <w:b/>
          <w:sz w:val="24"/>
          <w:szCs w:val="24"/>
        </w:rPr>
        <w:t>49-100 Niemodlin</w:t>
      </w:r>
    </w:p>
    <w:p w:rsidR="00A936F9" w:rsidP="00A936F9">
      <w:pPr>
        <w:tabs>
          <w:tab w:val="left" w:pos="5670"/>
        </w:tabs>
        <w:spacing w:before="840" w:line="360" w:lineRule="auto"/>
        <w:rPr>
          <w:rFonts w:ascii="Arial" w:hAnsi="Arial" w:cs="Arial"/>
          <w:sz w:val="24"/>
          <w:szCs w:val="24"/>
        </w:rPr>
      </w:pPr>
    </w:p>
    <w:p w:rsidR="00B31DF0" w:rsidP="00B31DF0">
      <w:pPr>
        <w:tabs>
          <w:tab w:val="left" w:pos="5670"/>
        </w:tabs>
        <w:spacing w:before="720" w:after="1080" w:line="360" w:lineRule="auto"/>
        <w:jc w:val="center"/>
        <w:rPr>
          <w:rFonts w:ascii="Arial" w:hAnsi="Arial" w:cs="Arial"/>
          <w:b/>
          <w:sz w:val="24"/>
          <w:szCs w:val="24"/>
        </w:rPr>
      </w:pPr>
      <w:r w:rsidRPr="00850982">
        <w:rPr>
          <w:rFonts w:ascii="Arial" w:hAnsi="Arial" w:cs="Arial"/>
          <w:b/>
          <w:sz w:val="24"/>
          <w:szCs w:val="24"/>
        </w:rPr>
        <w:t>WYSTĄPIENIE POKONTROLNE</w:t>
      </w:r>
    </w:p>
    <w:p w:rsidR="00B31DF0" w:rsidRPr="00850982" w:rsidP="00B31DF0">
      <w:pPr>
        <w:spacing w:after="120" w:line="360" w:lineRule="auto"/>
        <w:rPr>
          <w:rFonts w:ascii="Arial" w:hAnsi="Arial" w:eastAsiaTheme="minorEastAsia" w:cs="Arial"/>
          <w:b/>
          <w:sz w:val="24"/>
          <w:szCs w:val="24"/>
        </w:rPr>
      </w:pPr>
      <w:r w:rsidRPr="00850982">
        <w:rPr>
          <w:rFonts w:ascii="Arial" w:hAnsi="Arial" w:eastAsiaTheme="minorEastAsia" w:cs="Arial"/>
          <w:b/>
          <w:sz w:val="24"/>
          <w:szCs w:val="24"/>
        </w:rPr>
        <w:t>I. Dane identyfikacyjne kontroli</w:t>
      </w:r>
    </w:p>
    <w:p w:rsidR="00B31DF0" w:rsidRPr="00850982" w:rsidP="00B31DF0">
      <w:pPr>
        <w:numPr>
          <w:ilvl w:val="0"/>
          <w:numId w:val="1"/>
        </w:numPr>
        <w:spacing w:after="120" w:line="360" w:lineRule="auto"/>
        <w:contextualSpacing/>
        <w:rPr>
          <w:rFonts w:ascii="Arial" w:hAnsi="Arial" w:eastAsiaTheme="minorEastAsia" w:cs="Arial"/>
          <w:w w:val="90"/>
          <w:sz w:val="24"/>
          <w:szCs w:val="24"/>
        </w:rPr>
      </w:pPr>
      <w:r w:rsidRPr="00850982">
        <w:rPr>
          <w:rFonts w:ascii="Arial" w:hAnsi="Arial" w:eastAsiaTheme="minorEastAsia" w:cs="Arial"/>
          <w:b/>
          <w:sz w:val="24"/>
          <w:szCs w:val="24"/>
        </w:rPr>
        <w:t>Nazwa i adres jednostki kontrolowanej:</w:t>
      </w:r>
      <w:r w:rsidRPr="00850982">
        <w:rPr>
          <w:rFonts w:ascii="Arial" w:hAnsi="Arial" w:eastAsiaTheme="minorEastAsia" w:cs="Arial"/>
          <w:sz w:val="24"/>
          <w:szCs w:val="24"/>
        </w:rPr>
        <w:t xml:space="preserve"> Urząd </w:t>
      </w:r>
      <w:r w:rsidRPr="00850982">
        <w:rPr>
          <w:rFonts w:ascii="Arial" w:hAnsi="Arial" w:cs="Arial"/>
          <w:sz w:val="24"/>
          <w:szCs w:val="24"/>
        </w:rPr>
        <w:t xml:space="preserve">Miejski w Niemodlinie, </w:t>
      </w:r>
      <w:r w:rsidRPr="00850982">
        <w:rPr>
          <w:rFonts w:ascii="Arial" w:hAnsi="Arial" w:cs="Arial"/>
          <w:sz w:val="24"/>
          <w:szCs w:val="24"/>
        </w:rPr>
        <w:br/>
        <w:t>ul. Bohaterów Powstań Śląskich 37, 49-100 Niemodlin.</w:t>
      </w:r>
    </w:p>
    <w:p w:rsidR="00B31DF0" w:rsidRPr="00850982" w:rsidP="00B31DF0">
      <w:pPr>
        <w:numPr>
          <w:ilvl w:val="0"/>
          <w:numId w:val="1"/>
        </w:numPr>
        <w:spacing w:after="200" w:line="360" w:lineRule="auto"/>
        <w:ind w:left="255" w:hanging="255"/>
        <w:rPr>
          <w:rFonts w:ascii="Arial" w:hAnsi="Arial" w:eastAsiaTheme="minorEastAsia" w:cs="Arial"/>
          <w:sz w:val="24"/>
          <w:szCs w:val="24"/>
        </w:rPr>
      </w:pPr>
      <w:r w:rsidRPr="00850982">
        <w:rPr>
          <w:rFonts w:ascii="Arial" w:hAnsi="Arial" w:eastAsiaTheme="minorEastAsia" w:cs="Arial"/>
          <w:b/>
          <w:sz w:val="24"/>
          <w:szCs w:val="24"/>
        </w:rPr>
        <w:t xml:space="preserve">Podstawa prawna podjęcia kontroli: </w:t>
      </w:r>
    </w:p>
    <w:p w:rsidR="00B31DF0" w:rsidRPr="00850982" w:rsidP="00B31DF0">
      <w:pPr>
        <w:numPr>
          <w:ilvl w:val="0"/>
          <w:numId w:val="6"/>
        </w:numPr>
        <w:spacing w:after="200" w:line="360" w:lineRule="auto"/>
        <w:ind w:left="709" w:hanging="425"/>
        <w:contextualSpacing/>
        <w:rPr>
          <w:rFonts w:ascii="Arial" w:hAnsi="Arial" w:eastAsiaTheme="minorEastAsia" w:cs="Arial"/>
          <w:sz w:val="24"/>
          <w:szCs w:val="24"/>
        </w:rPr>
      </w:pPr>
      <w:r w:rsidRPr="00850982">
        <w:rPr>
          <w:rFonts w:ascii="Arial" w:hAnsi="Arial" w:eastAsiaTheme="minorHAnsi" w:cs="Arial"/>
          <w:sz w:val="24"/>
          <w:szCs w:val="24"/>
          <w:lang w:eastAsia="en-US"/>
        </w:rPr>
        <w:t>art. 258 § 1 pkt 5 ustawy z dnia 14 czerwca 1960 r. Kodeks postępowania administracyjnego (</w:t>
      </w:r>
      <w:r w:rsidRPr="00850982">
        <w:rPr>
          <w:rFonts w:ascii="Arial" w:hAnsi="Arial" w:eastAsiaTheme="minorHAnsi" w:cs="Arial"/>
          <w:sz w:val="24"/>
          <w:szCs w:val="24"/>
          <w:lang w:eastAsia="en-US"/>
        </w:rPr>
        <w:t>t.j</w:t>
      </w:r>
      <w:r w:rsidRPr="00850982">
        <w:rPr>
          <w:rFonts w:ascii="Arial" w:hAnsi="Arial" w:eastAsiaTheme="minorHAnsi" w:cs="Arial"/>
          <w:sz w:val="24"/>
          <w:szCs w:val="24"/>
          <w:lang w:eastAsia="en-US"/>
        </w:rPr>
        <w:t>. Dz.U. z 2024 r. poz. 572)</w:t>
      </w:r>
      <w:r>
        <w:rPr>
          <w:rFonts w:ascii="Arial" w:hAnsi="Arial" w:eastAsiaTheme="minorHAnsi" w:cs="Arial"/>
          <w:sz w:val="24"/>
          <w:szCs w:val="24"/>
          <w:vertAlign w:val="superscript"/>
          <w:lang w:eastAsia="en-US"/>
        </w:rPr>
        <w:footnoteReference w:id="2"/>
      </w:r>
      <w:r w:rsidRPr="00850982">
        <w:rPr>
          <w:rFonts w:ascii="Arial" w:hAnsi="Arial" w:eastAsiaTheme="minorHAnsi" w:cs="Arial"/>
          <w:sz w:val="24"/>
          <w:szCs w:val="24"/>
          <w:lang w:eastAsia="en-US"/>
        </w:rPr>
        <w:t>,</w:t>
      </w:r>
    </w:p>
    <w:p w:rsidR="00B31DF0" w:rsidRPr="00850982" w:rsidP="00B31DF0">
      <w:pPr>
        <w:numPr>
          <w:ilvl w:val="0"/>
          <w:numId w:val="6"/>
        </w:numPr>
        <w:spacing w:after="200" w:line="360" w:lineRule="auto"/>
        <w:ind w:left="709" w:hanging="425"/>
        <w:contextualSpacing/>
        <w:rPr>
          <w:rFonts w:ascii="Arial" w:hAnsi="Arial" w:eastAsiaTheme="minorEastAsia" w:cs="Arial"/>
          <w:sz w:val="24"/>
          <w:szCs w:val="24"/>
        </w:rPr>
      </w:pPr>
      <w:r w:rsidRPr="00850982">
        <w:rPr>
          <w:rFonts w:ascii="Arial" w:hAnsi="Arial" w:eastAsiaTheme="minorEastAsia" w:cs="Arial"/>
          <w:sz w:val="24"/>
          <w:szCs w:val="24"/>
        </w:rPr>
        <w:t xml:space="preserve">art. 6 ust. 4 pkt 3 </w:t>
      </w:r>
      <w:r w:rsidRPr="00850982">
        <w:rPr>
          <w:rFonts w:ascii="Arial" w:hAnsi="Arial" w:eastAsiaTheme="minorEastAsia" w:cs="Arial"/>
          <w:iCs/>
          <w:sz w:val="24"/>
          <w:szCs w:val="24"/>
        </w:rPr>
        <w:t>ustawy z dnia 15 lipca 2011 r. o kontroli w administracji rządowej</w:t>
      </w:r>
      <w:r w:rsidRPr="00850982">
        <w:rPr>
          <w:rFonts w:ascii="Arial" w:hAnsi="Arial" w:eastAsiaTheme="minorEastAsia" w:cs="Arial"/>
          <w:sz w:val="24"/>
          <w:szCs w:val="24"/>
        </w:rPr>
        <w:t xml:space="preserve"> (</w:t>
      </w:r>
      <w:r w:rsidRPr="00850982">
        <w:rPr>
          <w:rFonts w:ascii="Arial" w:hAnsi="Arial" w:eastAsiaTheme="minorEastAsia" w:cs="Arial"/>
          <w:sz w:val="24"/>
          <w:szCs w:val="24"/>
        </w:rPr>
        <w:t>t.j</w:t>
      </w:r>
      <w:r w:rsidRPr="00850982">
        <w:rPr>
          <w:rFonts w:ascii="Arial" w:hAnsi="Arial" w:eastAsiaTheme="minorEastAsia" w:cs="Arial"/>
          <w:sz w:val="24"/>
          <w:szCs w:val="24"/>
        </w:rPr>
        <w:t>. Dz.U. z 2020 r. poz. 224).</w:t>
      </w:r>
    </w:p>
    <w:p w:rsidR="00B31DF0" w:rsidRPr="00850982" w:rsidP="00B31DF0">
      <w:pPr>
        <w:numPr>
          <w:ilvl w:val="0"/>
          <w:numId w:val="1"/>
        </w:numPr>
        <w:spacing w:after="200" w:line="360" w:lineRule="auto"/>
        <w:ind w:left="284" w:hanging="284"/>
        <w:rPr>
          <w:rFonts w:ascii="Arial" w:hAnsi="Arial" w:eastAsiaTheme="minorEastAsia" w:cs="Arial"/>
          <w:b/>
          <w:sz w:val="24"/>
          <w:szCs w:val="24"/>
        </w:rPr>
      </w:pPr>
      <w:r w:rsidRPr="00850982">
        <w:rPr>
          <w:rFonts w:ascii="Arial" w:hAnsi="Arial" w:eastAsiaTheme="minorEastAsia" w:cs="Arial"/>
          <w:b/>
          <w:sz w:val="24"/>
          <w:szCs w:val="24"/>
        </w:rPr>
        <w:t>Zakres kontroli:</w:t>
      </w:r>
    </w:p>
    <w:p w:rsidR="00B31DF0" w:rsidRPr="00850982" w:rsidP="00B31DF0">
      <w:pPr>
        <w:numPr>
          <w:ilvl w:val="0"/>
          <w:numId w:val="7"/>
        </w:numPr>
        <w:spacing w:before="120" w:after="120" w:line="360" w:lineRule="auto"/>
        <w:contextualSpacing/>
        <w:rPr>
          <w:rFonts w:ascii="Arial" w:hAnsi="Arial" w:cs="Arial"/>
          <w:bCs/>
          <w:sz w:val="24"/>
          <w:szCs w:val="24"/>
        </w:rPr>
      </w:pPr>
      <w:r w:rsidRPr="00850982">
        <w:rPr>
          <w:rFonts w:ascii="Arial" w:hAnsi="Arial" w:eastAsiaTheme="minorEastAsia" w:cs="Arial"/>
          <w:b/>
          <w:sz w:val="24"/>
          <w:szCs w:val="24"/>
        </w:rPr>
        <w:t>Przedmiot kontroli:</w:t>
      </w:r>
      <w:r w:rsidRPr="00850982">
        <w:rPr>
          <w:rFonts w:ascii="Arial" w:hAnsi="Arial" w:eastAsiaTheme="minorEastAsia" w:cs="Arial"/>
          <w:sz w:val="24"/>
          <w:szCs w:val="24"/>
        </w:rPr>
        <w:t xml:space="preserve"> </w:t>
      </w:r>
      <w:r w:rsidRPr="00850982">
        <w:rPr>
          <w:rFonts w:ascii="Arial" w:hAnsi="Arial" w:eastAsiaTheme="minorEastAsia" w:cs="Arial"/>
          <w:bCs/>
          <w:sz w:val="24"/>
          <w:szCs w:val="24"/>
        </w:rPr>
        <w:t xml:space="preserve">Organizacja przyjmowania, rozpatrywania i załatwiania skarg i wniosków przez organy </w:t>
      </w:r>
      <w:r w:rsidRPr="00850982">
        <w:rPr>
          <w:rFonts w:ascii="Arial" w:hAnsi="Arial" w:cs="Arial"/>
          <w:bCs/>
          <w:sz w:val="24"/>
          <w:szCs w:val="24"/>
        </w:rPr>
        <w:t xml:space="preserve">Gminy Niemodlin, tj. Burmistrza Niemodlina </w:t>
      </w:r>
      <w:r w:rsidRPr="00850982">
        <w:rPr>
          <w:rFonts w:ascii="Arial" w:hAnsi="Arial" w:cs="Arial"/>
          <w:bCs/>
          <w:sz w:val="24"/>
          <w:szCs w:val="24"/>
        </w:rPr>
        <w:br/>
        <w:t>i Radę Miejską w Niemodlinie,</w:t>
      </w:r>
    </w:p>
    <w:p w:rsidR="00B31DF0" w:rsidRPr="00850982" w:rsidP="00B31DF0">
      <w:pPr>
        <w:numPr>
          <w:ilvl w:val="0"/>
          <w:numId w:val="2"/>
        </w:numPr>
        <w:spacing w:after="120" w:line="360" w:lineRule="auto"/>
        <w:ind w:left="568" w:hanging="284"/>
        <w:rPr>
          <w:rFonts w:ascii="Arial" w:hAnsi="Arial" w:eastAsiaTheme="minorEastAsia" w:cs="Arial"/>
          <w:b/>
          <w:sz w:val="24"/>
          <w:szCs w:val="24"/>
        </w:rPr>
      </w:pPr>
      <w:r w:rsidRPr="00850982">
        <w:rPr>
          <w:rFonts w:ascii="Arial" w:hAnsi="Arial" w:eastAsiaTheme="minorEastAsia" w:cs="Arial"/>
          <w:b/>
          <w:sz w:val="24"/>
          <w:szCs w:val="24"/>
        </w:rPr>
        <w:t>Okres objęty kontrolą:</w:t>
      </w:r>
      <w:r w:rsidRPr="00850982">
        <w:rPr>
          <w:rFonts w:ascii="Arial" w:hAnsi="Arial" w:eastAsiaTheme="minorEastAsia" w:cs="Arial"/>
          <w:sz w:val="24"/>
          <w:szCs w:val="24"/>
        </w:rPr>
        <w:t xml:space="preserve"> </w:t>
      </w:r>
      <w:r w:rsidRPr="00850982">
        <w:rPr>
          <w:rFonts w:ascii="Arial" w:hAnsi="Arial" w:eastAsiaTheme="minorEastAsia" w:cs="Arial"/>
          <w:bCs/>
          <w:sz w:val="24"/>
          <w:szCs w:val="24"/>
        </w:rPr>
        <w:t>od dnia 1 stycznia 2024 r. do dnia 30 listopada 2024 r</w:t>
      </w:r>
      <w:r w:rsidRPr="00850982">
        <w:rPr>
          <w:rFonts w:ascii="Arial" w:hAnsi="Arial" w:eastAsiaTheme="minorEastAsia" w:cs="Arial"/>
          <w:sz w:val="24"/>
          <w:szCs w:val="24"/>
        </w:rPr>
        <w:t>.</w:t>
      </w:r>
    </w:p>
    <w:p w:rsidR="00B31DF0" w:rsidRPr="00850982" w:rsidP="00B31DF0">
      <w:pPr>
        <w:numPr>
          <w:ilvl w:val="0"/>
          <w:numId w:val="1"/>
        </w:numPr>
        <w:spacing w:after="120" w:line="360" w:lineRule="auto"/>
        <w:contextualSpacing/>
        <w:rPr>
          <w:rFonts w:ascii="Arial" w:hAnsi="Arial" w:eastAsiaTheme="minorEastAsia" w:cs="Arial"/>
          <w:bCs/>
          <w:sz w:val="24"/>
          <w:szCs w:val="24"/>
        </w:rPr>
      </w:pPr>
      <w:r w:rsidRPr="00850982">
        <w:rPr>
          <w:rFonts w:ascii="Arial" w:hAnsi="Arial" w:eastAsiaTheme="minorEastAsia" w:cs="Arial"/>
          <w:b/>
          <w:bCs/>
          <w:sz w:val="24"/>
          <w:szCs w:val="24"/>
        </w:rPr>
        <w:t>Rodzaj kontroli:</w:t>
      </w:r>
      <w:r w:rsidRPr="00850982">
        <w:rPr>
          <w:rFonts w:ascii="Arial" w:hAnsi="Arial" w:eastAsiaTheme="minorEastAsia" w:cs="Arial"/>
          <w:bCs/>
          <w:sz w:val="24"/>
          <w:szCs w:val="24"/>
        </w:rPr>
        <w:t xml:space="preserve"> </w:t>
      </w:r>
      <w:r w:rsidRPr="00850982">
        <w:rPr>
          <w:rFonts w:ascii="Arial" w:hAnsi="Arial" w:eastAsiaTheme="minorEastAsia" w:cs="Arial"/>
          <w:sz w:val="24"/>
          <w:szCs w:val="24"/>
        </w:rPr>
        <w:t>problemowa.</w:t>
      </w:r>
    </w:p>
    <w:p w:rsidR="00B31DF0" w:rsidRPr="00850982" w:rsidP="00B31DF0">
      <w:pPr>
        <w:numPr>
          <w:ilvl w:val="0"/>
          <w:numId w:val="1"/>
        </w:numPr>
        <w:spacing w:after="120" w:line="360" w:lineRule="auto"/>
        <w:ind w:left="284" w:hanging="284"/>
        <w:rPr>
          <w:rFonts w:ascii="Arial" w:hAnsi="Arial" w:eastAsiaTheme="minorEastAsia" w:cs="Arial"/>
          <w:bCs/>
          <w:sz w:val="24"/>
          <w:szCs w:val="24"/>
        </w:rPr>
      </w:pPr>
      <w:r w:rsidRPr="00850982">
        <w:rPr>
          <w:rFonts w:ascii="Arial" w:hAnsi="Arial" w:eastAsiaTheme="minorEastAsia" w:cs="Arial"/>
          <w:b/>
          <w:bCs/>
          <w:sz w:val="24"/>
          <w:szCs w:val="24"/>
        </w:rPr>
        <w:t>Tryb kontroli:</w:t>
      </w:r>
      <w:r w:rsidRPr="00850982">
        <w:rPr>
          <w:rFonts w:ascii="Arial" w:hAnsi="Arial" w:eastAsiaTheme="minorEastAsia" w:cs="Arial"/>
          <w:bCs/>
          <w:sz w:val="24"/>
          <w:szCs w:val="24"/>
        </w:rPr>
        <w:t xml:space="preserve"> </w:t>
      </w:r>
      <w:r w:rsidRPr="00850982">
        <w:rPr>
          <w:rFonts w:ascii="Arial" w:hAnsi="Arial" w:eastAsiaTheme="minorEastAsia" w:cs="Arial"/>
          <w:sz w:val="24"/>
          <w:szCs w:val="24"/>
        </w:rPr>
        <w:t>zwykły.</w:t>
      </w:r>
    </w:p>
    <w:p w:rsidR="00B31DF0" w:rsidRPr="00850982" w:rsidP="00B31DF0">
      <w:pPr>
        <w:numPr>
          <w:ilvl w:val="0"/>
          <w:numId w:val="1"/>
        </w:numPr>
        <w:spacing w:before="120" w:after="120" w:line="360" w:lineRule="auto"/>
        <w:rPr>
          <w:rFonts w:ascii="Arial" w:hAnsi="Arial" w:eastAsiaTheme="minorEastAsia" w:cs="Arial"/>
          <w:bCs/>
          <w:sz w:val="24"/>
          <w:szCs w:val="24"/>
        </w:rPr>
      </w:pPr>
      <w:r w:rsidRPr="00850982">
        <w:rPr>
          <w:rFonts w:ascii="Arial" w:hAnsi="Arial" w:eastAsiaTheme="minorEastAsia" w:cs="Arial"/>
          <w:b/>
          <w:sz w:val="24"/>
          <w:szCs w:val="24"/>
        </w:rPr>
        <w:t>Termin kontroli:</w:t>
      </w:r>
      <w:r w:rsidRPr="00850982">
        <w:rPr>
          <w:rFonts w:ascii="Arial" w:hAnsi="Arial" w:eastAsiaTheme="minorEastAsia" w:cs="Arial"/>
          <w:sz w:val="24"/>
          <w:szCs w:val="24"/>
        </w:rPr>
        <w:t xml:space="preserve"> </w:t>
      </w:r>
      <w:r w:rsidRPr="00850982">
        <w:rPr>
          <w:rFonts w:ascii="Arial" w:hAnsi="Arial" w:cs="Arial"/>
          <w:sz w:val="24"/>
          <w:szCs w:val="24"/>
        </w:rPr>
        <w:t>13 grudnia 2024 r.</w:t>
      </w:r>
    </w:p>
    <w:p w:rsidR="00B31DF0" w:rsidRPr="00850982" w:rsidP="00B31DF0">
      <w:pPr>
        <w:numPr>
          <w:ilvl w:val="0"/>
          <w:numId w:val="1"/>
        </w:numPr>
        <w:spacing w:before="120" w:after="200" w:line="360" w:lineRule="auto"/>
        <w:ind w:left="255" w:hanging="255"/>
        <w:rPr>
          <w:rFonts w:ascii="Arial" w:hAnsi="Arial" w:eastAsiaTheme="minorEastAsia" w:cs="Arial"/>
          <w:b/>
          <w:bCs/>
          <w:sz w:val="24"/>
          <w:szCs w:val="24"/>
        </w:rPr>
      </w:pPr>
      <w:r w:rsidRPr="00850982">
        <w:rPr>
          <w:rFonts w:ascii="Arial" w:hAnsi="Arial" w:eastAsiaTheme="minorEastAsia" w:cs="Arial"/>
          <w:b/>
          <w:sz w:val="24"/>
          <w:szCs w:val="24"/>
        </w:rPr>
        <w:t>Skład zespołu kontrolnego:</w:t>
      </w:r>
    </w:p>
    <w:p w:rsidR="00B31DF0" w:rsidRPr="00850982" w:rsidP="00B31DF0">
      <w:pPr>
        <w:numPr>
          <w:ilvl w:val="0"/>
          <w:numId w:val="3"/>
        </w:numPr>
        <w:spacing w:after="80" w:line="360" w:lineRule="auto"/>
        <w:ind w:left="567" w:hanging="283"/>
        <w:contextualSpacing/>
        <w:rPr>
          <w:rFonts w:ascii="Arial" w:hAnsi="Arial" w:eastAsiaTheme="minorEastAsia" w:cs="Arial"/>
          <w:sz w:val="24"/>
          <w:szCs w:val="24"/>
        </w:rPr>
      </w:pPr>
      <w:r w:rsidRPr="00850982">
        <w:rPr>
          <w:rFonts w:ascii="Arial" w:hAnsi="Arial" w:eastAsiaTheme="minorEastAsia" w:cs="Arial"/>
          <w:bCs/>
          <w:sz w:val="24"/>
          <w:szCs w:val="24"/>
        </w:rPr>
        <w:t>Małgorzata Frankowicz – Inspektor Wojewódzki w</w:t>
      </w:r>
      <w:r w:rsidRPr="00850982">
        <w:rPr>
          <w:rFonts w:ascii="Arial" w:hAnsi="Arial" w:eastAsiaTheme="minorEastAsia" w:cs="Arial"/>
          <w:b/>
          <w:bCs/>
          <w:sz w:val="24"/>
          <w:szCs w:val="24"/>
        </w:rPr>
        <w:t xml:space="preserve"> </w:t>
      </w:r>
      <w:r w:rsidRPr="00850982">
        <w:rPr>
          <w:rFonts w:ascii="Arial" w:hAnsi="Arial" w:eastAsiaTheme="minorEastAsia" w:cs="Arial"/>
          <w:bCs/>
          <w:sz w:val="24"/>
          <w:szCs w:val="24"/>
        </w:rPr>
        <w:t>Oddziale</w:t>
      </w:r>
      <w:r w:rsidRPr="00850982">
        <w:rPr>
          <w:rFonts w:ascii="Arial" w:hAnsi="Arial" w:eastAsiaTheme="minorEastAsia" w:cs="Arial"/>
          <w:b/>
          <w:bCs/>
          <w:sz w:val="24"/>
          <w:szCs w:val="24"/>
        </w:rPr>
        <w:t xml:space="preserve"> </w:t>
      </w:r>
      <w:r w:rsidRPr="00850982">
        <w:rPr>
          <w:rFonts w:ascii="Arial" w:hAnsi="Arial" w:eastAsiaTheme="minorEastAsia" w:cs="Arial"/>
          <w:bCs/>
          <w:sz w:val="24"/>
          <w:szCs w:val="24"/>
        </w:rPr>
        <w:t xml:space="preserve">Organizacji, Kontroli i Skarg </w:t>
      </w:r>
      <w:r w:rsidRPr="00850982">
        <w:rPr>
          <w:rFonts w:ascii="Arial" w:hAnsi="Arial" w:eastAsiaTheme="minorEastAsia" w:cs="Arial"/>
          <w:sz w:val="24"/>
          <w:szCs w:val="24"/>
        </w:rPr>
        <w:t>Wydziału Prawnego i Nadzoru – Kierownik zespołu kontrolnego;</w:t>
      </w:r>
    </w:p>
    <w:p w:rsidR="00B31DF0" w:rsidRPr="00850982" w:rsidP="00B31DF0">
      <w:pPr>
        <w:numPr>
          <w:ilvl w:val="0"/>
          <w:numId w:val="3"/>
        </w:numPr>
        <w:spacing w:after="200" w:line="360" w:lineRule="auto"/>
        <w:ind w:left="568" w:hanging="284"/>
        <w:rPr>
          <w:rFonts w:ascii="Arial" w:hAnsi="Arial" w:eastAsiaTheme="minorEastAsia" w:cs="Arial"/>
          <w:sz w:val="24"/>
          <w:szCs w:val="24"/>
        </w:rPr>
      </w:pPr>
      <w:r w:rsidRPr="00850982">
        <w:rPr>
          <w:rFonts w:ascii="Arial" w:hAnsi="Arial" w:eastAsiaTheme="minorEastAsia" w:cs="Arial"/>
          <w:bCs/>
          <w:sz w:val="24"/>
          <w:szCs w:val="24"/>
        </w:rPr>
        <w:t>Estera Kołodziej</w:t>
      </w:r>
      <w:r w:rsidRPr="00850982">
        <w:rPr>
          <w:rFonts w:ascii="Arial" w:hAnsi="Arial" w:eastAsiaTheme="minorEastAsia" w:cs="Arial"/>
          <w:bCs/>
          <w:i/>
          <w:sz w:val="24"/>
          <w:szCs w:val="24"/>
        </w:rPr>
        <w:t xml:space="preserve"> </w:t>
      </w:r>
      <w:r w:rsidRPr="00850982">
        <w:rPr>
          <w:rFonts w:ascii="Arial" w:hAnsi="Arial" w:eastAsiaTheme="minorEastAsia" w:cs="Arial"/>
          <w:bCs/>
          <w:sz w:val="24"/>
          <w:szCs w:val="24"/>
        </w:rPr>
        <w:t>–</w:t>
      </w:r>
      <w:r w:rsidRPr="00850982">
        <w:rPr>
          <w:rFonts w:ascii="Arial" w:hAnsi="Arial" w:eastAsiaTheme="minorEastAsia" w:cs="Arial"/>
          <w:bCs/>
          <w:color w:val="0070C0"/>
          <w:sz w:val="24"/>
          <w:szCs w:val="24"/>
        </w:rPr>
        <w:t xml:space="preserve"> </w:t>
      </w:r>
      <w:r w:rsidRPr="00850982">
        <w:rPr>
          <w:rFonts w:ascii="Arial" w:hAnsi="Arial" w:eastAsiaTheme="minorEastAsia" w:cs="Arial"/>
          <w:bCs/>
          <w:sz w:val="24"/>
          <w:szCs w:val="24"/>
        </w:rPr>
        <w:t>Starszy Inspektor Wojewódzki w</w:t>
      </w:r>
      <w:r w:rsidRPr="00850982">
        <w:rPr>
          <w:rFonts w:ascii="Arial" w:hAnsi="Arial" w:eastAsiaTheme="minorEastAsia" w:cs="Arial"/>
          <w:b/>
          <w:bCs/>
          <w:sz w:val="24"/>
          <w:szCs w:val="24"/>
        </w:rPr>
        <w:t xml:space="preserve"> </w:t>
      </w:r>
      <w:r w:rsidRPr="00850982">
        <w:rPr>
          <w:rFonts w:ascii="Arial" w:hAnsi="Arial" w:eastAsiaTheme="minorEastAsia" w:cs="Arial"/>
          <w:bCs/>
          <w:sz w:val="24"/>
          <w:szCs w:val="24"/>
        </w:rPr>
        <w:t>Oddziale</w:t>
      </w:r>
      <w:r w:rsidRPr="00850982">
        <w:rPr>
          <w:rFonts w:ascii="Arial" w:hAnsi="Arial" w:eastAsiaTheme="minorEastAsia" w:cs="Arial"/>
          <w:b/>
          <w:bCs/>
          <w:sz w:val="24"/>
          <w:szCs w:val="24"/>
        </w:rPr>
        <w:t xml:space="preserve"> </w:t>
      </w:r>
      <w:r w:rsidRPr="00850982">
        <w:rPr>
          <w:rFonts w:ascii="Arial" w:hAnsi="Arial" w:eastAsiaTheme="minorEastAsia" w:cs="Arial"/>
          <w:bCs/>
          <w:sz w:val="24"/>
          <w:szCs w:val="24"/>
        </w:rPr>
        <w:t xml:space="preserve">Organizacji, Kontroli i Skarg </w:t>
      </w:r>
      <w:r w:rsidRPr="00850982">
        <w:rPr>
          <w:rFonts w:ascii="Arial" w:hAnsi="Arial" w:eastAsiaTheme="minorEastAsia" w:cs="Arial"/>
          <w:sz w:val="24"/>
          <w:szCs w:val="24"/>
        </w:rPr>
        <w:t>Wydziału Prawnego i Nadzoru –</w:t>
      </w:r>
      <w:r w:rsidRPr="00850982">
        <w:rPr>
          <w:rFonts w:ascii="Arial" w:hAnsi="Arial" w:eastAsiaTheme="minorEastAsia" w:cs="Arial"/>
          <w:bCs/>
          <w:sz w:val="24"/>
          <w:szCs w:val="24"/>
        </w:rPr>
        <w:t xml:space="preserve"> Członek zespołu kontrolnego,</w:t>
      </w:r>
    </w:p>
    <w:p w:rsidR="00B31DF0" w:rsidRPr="00850982" w:rsidP="00B31DF0">
      <w:pPr>
        <w:numPr>
          <w:ilvl w:val="0"/>
          <w:numId w:val="1"/>
        </w:numPr>
        <w:spacing w:before="240" w:after="200" w:line="360" w:lineRule="auto"/>
        <w:contextualSpacing/>
        <w:rPr>
          <w:rFonts w:ascii="Arial" w:hAnsi="Arial" w:eastAsiaTheme="minorEastAsia" w:cs="Arial"/>
          <w:bCs/>
          <w:color w:val="0070C0"/>
          <w:sz w:val="24"/>
          <w:szCs w:val="24"/>
        </w:rPr>
      </w:pPr>
      <w:r w:rsidRPr="00850982">
        <w:rPr>
          <w:rFonts w:ascii="Arial" w:hAnsi="Arial" w:eastAsiaTheme="minorEastAsia" w:cs="Arial"/>
          <w:b/>
          <w:bCs/>
          <w:sz w:val="24"/>
          <w:szCs w:val="24"/>
        </w:rPr>
        <w:t xml:space="preserve">Kierownik </w:t>
      </w:r>
      <w:r w:rsidRPr="00850982">
        <w:rPr>
          <w:rFonts w:ascii="Arial" w:hAnsi="Arial" w:eastAsiaTheme="minorEastAsia" w:cs="Arial"/>
          <w:b/>
          <w:sz w:val="24"/>
          <w:szCs w:val="24"/>
        </w:rPr>
        <w:t>jednostki kontrolowanej:</w:t>
      </w:r>
      <w:r w:rsidRPr="00850982">
        <w:rPr>
          <w:rFonts w:ascii="Arial" w:hAnsi="Arial" w:eastAsiaTheme="minorEastAsia" w:cs="Arial"/>
          <w:sz w:val="24"/>
          <w:szCs w:val="24"/>
        </w:rPr>
        <w:t xml:space="preserve"> </w:t>
      </w:r>
      <w:r w:rsidRPr="00850982">
        <w:rPr>
          <w:rFonts w:ascii="Arial" w:hAnsi="Arial" w:eastAsiaTheme="minorEastAsia" w:cs="Arial"/>
          <w:bCs/>
          <w:color w:val="000000"/>
          <w:sz w:val="24"/>
          <w:szCs w:val="24"/>
        </w:rPr>
        <w:t>Pan Bartłomiej Kostrzewa – Burmistrz Niemodlina</w:t>
      </w:r>
      <w:r w:rsidRPr="00850982">
        <w:rPr>
          <w:rFonts w:ascii="Arial" w:hAnsi="Arial" w:eastAsiaTheme="minorEastAsia" w:cs="Arial"/>
          <w:bCs/>
          <w:sz w:val="24"/>
          <w:szCs w:val="24"/>
        </w:rPr>
        <w:t>, wybrany w wyborach,</w:t>
      </w:r>
      <w:r w:rsidRPr="00850982">
        <w:rPr>
          <w:rFonts w:ascii="Arial" w:hAnsi="Arial" w:eastAsiaTheme="minorEastAsia" w:cs="Arial"/>
          <w:bCs/>
          <w:color w:val="000000"/>
          <w:sz w:val="24"/>
          <w:szCs w:val="24"/>
        </w:rPr>
        <w:t xml:space="preserve"> które odbyły się </w:t>
      </w:r>
      <w:r w:rsidRPr="00850982">
        <w:rPr>
          <w:rFonts w:ascii="Arial" w:hAnsi="Arial" w:eastAsiaTheme="minorEastAsia" w:cs="Arial"/>
          <w:bCs/>
          <w:sz w:val="24"/>
          <w:szCs w:val="24"/>
        </w:rPr>
        <w:t>dnia 7 kwietnia 2024 r</w:t>
      </w:r>
      <w:r w:rsidRPr="00850982">
        <w:rPr>
          <w:rFonts w:ascii="Arial" w:hAnsi="Arial" w:eastAsiaTheme="minorEastAsia" w:cs="Arial"/>
          <w:bCs/>
          <w:color w:val="000000"/>
          <w:sz w:val="24"/>
          <w:szCs w:val="24"/>
        </w:rPr>
        <w:t>.</w:t>
      </w:r>
      <w:r w:rsidRPr="00850982">
        <w:rPr>
          <w:rFonts w:ascii="Arial" w:hAnsi="Arial" w:eastAsiaTheme="minorEastAsia" w:cs="Arial"/>
          <w:bCs/>
          <w:sz w:val="24"/>
          <w:szCs w:val="24"/>
        </w:rPr>
        <w:t xml:space="preserve"> </w:t>
      </w:r>
    </w:p>
    <w:p w:rsidR="00B31DF0" w:rsidRPr="00850982" w:rsidP="00B31DF0">
      <w:pPr>
        <w:spacing w:before="240" w:line="360" w:lineRule="auto"/>
        <w:ind w:left="113"/>
        <w:contextualSpacing/>
        <w:jc w:val="right"/>
        <w:rPr>
          <w:rFonts w:ascii="Arial" w:hAnsi="Arial" w:eastAsiaTheme="minorEastAsia" w:cs="Arial"/>
          <w:bCs/>
          <w:color w:val="0070C0"/>
          <w:sz w:val="24"/>
          <w:szCs w:val="24"/>
        </w:rPr>
      </w:pPr>
      <w:r w:rsidRPr="00850982">
        <w:rPr>
          <w:rFonts w:ascii="Arial" w:hAnsi="Arial" w:eastAsiaTheme="minorEastAsia" w:cs="Arial"/>
          <w:bCs/>
          <w:sz w:val="24"/>
          <w:szCs w:val="24"/>
        </w:rPr>
        <w:t>[Dowód: akta kontroli, str.1]</w:t>
      </w:r>
    </w:p>
    <w:p w:rsidR="00B31DF0" w:rsidRPr="00850982" w:rsidP="00B31DF0">
      <w:pPr>
        <w:numPr>
          <w:ilvl w:val="0"/>
          <w:numId w:val="1"/>
        </w:numPr>
        <w:spacing w:after="360" w:line="360" w:lineRule="auto"/>
        <w:ind w:left="284" w:hanging="284"/>
        <w:rPr>
          <w:rFonts w:ascii="Arial" w:eastAsia="Calibri" w:hAnsi="Arial" w:cs="Arial"/>
          <w:b/>
          <w:bCs/>
          <w:sz w:val="24"/>
          <w:szCs w:val="24"/>
        </w:rPr>
      </w:pPr>
      <w:r w:rsidRPr="00850982">
        <w:rPr>
          <w:rFonts w:ascii="Arial" w:eastAsia="Calibri" w:hAnsi="Arial" w:cs="Arial"/>
          <w:b/>
          <w:bCs/>
          <w:spacing w:val="-4"/>
          <w:sz w:val="24"/>
          <w:szCs w:val="24"/>
        </w:rPr>
        <w:t xml:space="preserve">Kontrolę wpisano do książki kontroli </w:t>
      </w:r>
      <w:r w:rsidRPr="00850982">
        <w:rPr>
          <w:rFonts w:ascii="Arial" w:eastAsia="Calibri" w:hAnsi="Arial" w:cs="Arial"/>
          <w:bCs/>
          <w:spacing w:val="-4"/>
          <w:sz w:val="24"/>
          <w:szCs w:val="24"/>
        </w:rPr>
        <w:t>prowadzonej w jednostce kontrolowanej,</w:t>
      </w:r>
      <w:r w:rsidRPr="00850982">
        <w:rPr>
          <w:rFonts w:ascii="Arial" w:eastAsia="Calibri" w:hAnsi="Arial" w:cs="Arial"/>
          <w:bCs/>
          <w:sz w:val="24"/>
          <w:szCs w:val="24"/>
        </w:rPr>
        <w:t xml:space="preserve"> </w:t>
      </w:r>
      <w:r w:rsidRPr="00850982">
        <w:rPr>
          <w:rFonts w:ascii="Arial" w:eastAsia="Calibri" w:hAnsi="Arial" w:cs="Arial"/>
          <w:bCs/>
          <w:sz w:val="24"/>
          <w:szCs w:val="24"/>
        </w:rPr>
        <w:br/>
        <w:t>pod poz. nr 6/2024.</w:t>
      </w:r>
    </w:p>
    <w:p w:rsidR="00B31DF0" w:rsidRPr="00850982" w:rsidP="00B31DF0">
      <w:pPr>
        <w:numPr>
          <w:ilvl w:val="0"/>
          <w:numId w:val="4"/>
        </w:numPr>
        <w:spacing w:before="240" w:after="240" w:line="360" w:lineRule="auto"/>
        <w:rPr>
          <w:rFonts w:ascii="Arial" w:hAnsi="Arial" w:eastAsiaTheme="minorEastAsia" w:cs="Arial"/>
          <w:b/>
          <w:sz w:val="24"/>
          <w:szCs w:val="24"/>
        </w:rPr>
      </w:pPr>
      <w:r w:rsidRPr="00850982">
        <w:rPr>
          <w:rFonts w:ascii="Arial" w:hAnsi="Arial" w:eastAsiaTheme="minorEastAsia" w:cs="Arial"/>
          <w:b/>
          <w:sz w:val="24"/>
          <w:szCs w:val="24"/>
        </w:rPr>
        <w:t xml:space="preserve">Ocena skontrolowanej działalności, </w:t>
      </w:r>
      <w:r w:rsidRPr="00850982">
        <w:rPr>
          <w:rFonts w:ascii="Arial" w:hAnsi="Arial" w:eastAsiaTheme="minorEastAsia" w:cs="Arial"/>
          <w:b/>
          <w:sz w:val="24"/>
          <w:szCs w:val="24"/>
        </w:rPr>
        <w:t>ze</w:t>
      </w:r>
      <w:r w:rsidRPr="00850982">
        <w:rPr>
          <w:rFonts w:ascii="Arial" w:hAnsi="Arial" w:eastAsiaTheme="minorEastAsia" w:cs="Arial"/>
          <w:b/>
          <w:sz w:val="24"/>
          <w:szCs w:val="24"/>
        </w:rPr>
        <w:t xml:space="preserve"> wskazaniem ustaleń, na których została oparta.</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Organizację przyjmowania, rozpatrywania i załatwiania skarg i wniosków przez organy Gminy </w:t>
      </w:r>
      <w:r w:rsidRPr="00850982">
        <w:rPr>
          <w:rFonts w:ascii="Arial" w:hAnsi="Arial" w:cs="Arial"/>
          <w:bCs/>
          <w:sz w:val="24"/>
          <w:szCs w:val="24"/>
        </w:rPr>
        <w:t>Niemodlin</w:t>
      </w:r>
      <w:r w:rsidRPr="00850982">
        <w:rPr>
          <w:rFonts w:ascii="Arial" w:hAnsi="Arial" w:eastAsiaTheme="minorEastAsia" w:cs="Arial"/>
          <w:sz w:val="24"/>
          <w:szCs w:val="22"/>
        </w:rPr>
        <w:t>, tj. Burmistrza Niemodlina i Radę Miejską w Niemodlinie</w:t>
      </w:r>
      <w:r w:rsidRPr="00850982">
        <w:rPr>
          <w:rFonts w:ascii="Arial" w:hAnsi="Arial" w:eastAsiaTheme="minorEastAsia" w:cs="Arial"/>
          <w:sz w:val="24"/>
          <w:szCs w:val="24"/>
        </w:rPr>
        <w:t xml:space="preserve"> oceniono </w:t>
      </w:r>
      <w:r w:rsidRPr="00850982">
        <w:rPr>
          <w:rFonts w:ascii="Arial" w:hAnsi="Arial" w:eastAsiaTheme="minorEastAsia" w:cs="Arial"/>
          <w:b/>
          <w:sz w:val="24"/>
          <w:szCs w:val="24"/>
        </w:rPr>
        <w:t>pozytywnie z nieprawidłowościami</w:t>
      </w:r>
      <w:r w:rsidRPr="00850982">
        <w:rPr>
          <w:rFonts w:ascii="Arial" w:hAnsi="Arial" w:eastAsiaTheme="minorEastAsia" w:cs="Arial"/>
          <w:sz w:val="24"/>
          <w:szCs w:val="24"/>
        </w:rPr>
        <w:t>.</w:t>
      </w:r>
    </w:p>
    <w:p w:rsidR="00B31DF0" w:rsidRPr="00850982" w:rsidP="00B31DF0">
      <w:pPr>
        <w:numPr>
          <w:ilvl w:val="0"/>
          <w:numId w:val="5"/>
        </w:numPr>
        <w:spacing w:before="240" w:after="60" w:line="360" w:lineRule="auto"/>
        <w:jc w:val="both"/>
        <w:rPr>
          <w:rFonts w:ascii="Arial" w:hAnsi="Arial" w:eastAsiaTheme="minorEastAsia" w:cs="Arial"/>
          <w:b/>
          <w:sz w:val="24"/>
          <w:szCs w:val="24"/>
        </w:rPr>
      </w:pPr>
      <w:r w:rsidRPr="00850982">
        <w:rPr>
          <w:rFonts w:ascii="Arial" w:hAnsi="Arial" w:eastAsiaTheme="minorEastAsia" w:cs="Arial"/>
          <w:b/>
          <w:sz w:val="24"/>
          <w:szCs w:val="24"/>
        </w:rPr>
        <w:t>Organizacja przyjmowania i ewidencjonowania skarg i wniosków.</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Tryb przyjmowania, rozpatrywania oraz załatwiania skarg i wniosków </w:t>
      </w:r>
      <w:r w:rsidRPr="00850982">
        <w:rPr>
          <w:rFonts w:ascii="Arial" w:hAnsi="Arial" w:eastAsiaTheme="minorEastAsia" w:cs="Arial"/>
          <w:sz w:val="24"/>
          <w:szCs w:val="24"/>
        </w:rPr>
        <w:br/>
        <w:t>w Urzędzie Miejskim w Niemodlinie</w:t>
      </w:r>
      <w:r>
        <w:rPr>
          <w:rFonts w:ascii="Arial" w:hAnsi="Arial" w:eastAsiaTheme="minorEastAsia" w:cs="Arial"/>
          <w:sz w:val="24"/>
          <w:szCs w:val="24"/>
          <w:vertAlign w:val="superscript"/>
        </w:rPr>
        <w:footnoteReference w:id="3"/>
      </w:r>
      <w:r w:rsidRPr="00850982">
        <w:rPr>
          <w:rFonts w:ascii="Arial" w:hAnsi="Arial" w:eastAsiaTheme="minorEastAsia" w:cs="Arial"/>
          <w:sz w:val="24"/>
          <w:szCs w:val="24"/>
        </w:rPr>
        <w:t xml:space="preserve"> reguluje Zarządzenie Burmistrza Niemodlina </w:t>
      </w:r>
      <w:r w:rsidRPr="00850982">
        <w:rPr>
          <w:rFonts w:ascii="Arial" w:hAnsi="Arial" w:eastAsiaTheme="minorEastAsia" w:cs="Arial"/>
          <w:sz w:val="24"/>
          <w:szCs w:val="24"/>
        </w:rPr>
        <w:br/>
        <w:t>z dnia 20 lutego 2023 r. w sprawie nadania Regulaminu Organizacyjnego Urzędu Miejskiego w Niemodlinie</w:t>
      </w:r>
      <w:r>
        <w:rPr>
          <w:rFonts w:ascii="Arial" w:hAnsi="Arial" w:eastAsiaTheme="minorEastAsia" w:cs="Arial"/>
          <w:sz w:val="24"/>
          <w:szCs w:val="24"/>
          <w:vertAlign w:val="superscript"/>
        </w:rPr>
        <w:footnoteReference w:id="4"/>
      </w:r>
      <w:r w:rsidRPr="00850982">
        <w:rPr>
          <w:rFonts w:ascii="Arial" w:hAnsi="Arial" w:eastAsiaTheme="minorEastAsia" w:cs="Arial"/>
          <w:sz w:val="24"/>
          <w:szCs w:val="24"/>
        </w:rPr>
        <w:t xml:space="preserve"> oraz Uchwała Rady Miejskiej w Niemodlinie z dnia </w:t>
      </w:r>
      <w:r w:rsidRPr="00850982">
        <w:rPr>
          <w:rFonts w:ascii="Arial" w:hAnsi="Arial" w:eastAsiaTheme="minorEastAsia" w:cs="Arial"/>
          <w:sz w:val="24"/>
          <w:szCs w:val="24"/>
        </w:rPr>
        <w:br/>
        <w:t xml:space="preserve">30 maja 2019 r. w sprawie Statutu Gminy </w:t>
      </w:r>
      <w:r w:rsidRPr="00850982">
        <w:rPr>
          <w:rFonts w:ascii="Arial" w:hAnsi="Arial" w:cs="Arial"/>
          <w:bCs/>
          <w:sz w:val="24"/>
          <w:szCs w:val="24"/>
        </w:rPr>
        <w:t>Niemodlin</w:t>
      </w:r>
      <w:r>
        <w:rPr>
          <w:rFonts w:ascii="Arial" w:hAnsi="Arial" w:eastAsiaTheme="minorEastAsia" w:cs="Arial"/>
          <w:sz w:val="24"/>
          <w:szCs w:val="24"/>
          <w:vertAlign w:val="superscript"/>
        </w:rPr>
        <w:footnoteReference w:id="5"/>
      </w:r>
      <w:r w:rsidRPr="00850982">
        <w:rPr>
          <w:rFonts w:ascii="Arial" w:hAnsi="Arial" w:eastAsiaTheme="minorEastAsia" w:cs="Arial"/>
          <w:sz w:val="24"/>
          <w:szCs w:val="24"/>
        </w:rPr>
        <w:t>.</w:t>
      </w:r>
    </w:p>
    <w:p w:rsidR="00B31DF0" w:rsidRPr="00850982" w:rsidP="00B31DF0">
      <w:pPr>
        <w:spacing w:line="360" w:lineRule="auto"/>
        <w:ind w:left="113"/>
        <w:jc w:val="right"/>
        <w:rPr>
          <w:rFonts w:ascii="Arial" w:hAnsi="Arial" w:eastAsiaTheme="minorEastAsia" w:cs="Arial"/>
          <w:sz w:val="24"/>
          <w:szCs w:val="24"/>
        </w:rPr>
      </w:pPr>
      <w:r w:rsidRPr="00850982">
        <w:rPr>
          <w:rFonts w:ascii="Arial" w:hAnsi="Arial" w:eastAsiaTheme="minorEastAsia" w:cs="Arial"/>
          <w:bCs/>
          <w:sz w:val="24"/>
          <w:szCs w:val="24"/>
        </w:rPr>
        <w:t>[Dowód: akta kontroli, str. 23- 57(regulamin) str. 3 - 22 (statut)]</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Zgodnie z § 22 ust. 1 pkt 11 i 12 Regulaminu Organizacyjnego, do wspólnych zadań komórek organizacyjnych należy przygotowywanie materiałów oraz podejmowanie czynności organizatorskich na potrzeby Burmistrza, </w:t>
      </w:r>
      <w:r w:rsidRPr="00850982">
        <w:rPr>
          <w:rFonts w:ascii="Arial" w:hAnsi="Arial" w:eastAsiaTheme="minorEastAsia" w:cs="Arial"/>
          <w:sz w:val="24"/>
          <w:szCs w:val="24"/>
        </w:rPr>
        <w:br/>
        <w:t xml:space="preserve">a w szczególności przygotowywanie materiałów służących rozpatrzeniu interpelacji, wniosków i petycji senatorów, posłów, radnych, komisji, Rady oraz jednostek </w:t>
      </w:r>
      <w:r w:rsidRPr="00850982">
        <w:rPr>
          <w:rFonts w:ascii="Arial" w:hAnsi="Arial" w:eastAsiaTheme="minorEastAsia" w:cs="Arial"/>
          <w:sz w:val="24"/>
          <w:szCs w:val="24"/>
        </w:rPr>
        <w:t xml:space="preserve">pomocniczych, a także przygotowywanie materiałów służących rozpatrzeniu skarg, wniosków i petycji, analizowanie źródeł i przyczyn ich powstawania oraz zapewnienie należytego i terminowego ich załatwienia. </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Zgodnie z § 52 ust. 1 Regulaminu Organizacyjnego, skargi, wnioski lub petycje wpływające do Urzędu podlegają zarejestrowaniu w rejestrze skarg, wniosków </w:t>
      </w:r>
      <w:r w:rsidRPr="00850982">
        <w:rPr>
          <w:rFonts w:ascii="Arial" w:hAnsi="Arial" w:eastAsiaTheme="minorEastAsia" w:cs="Arial"/>
          <w:sz w:val="24"/>
          <w:szCs w:val="24"/>
        </w:rPr>
        <w:br/>
        <w:t>i petycji prowadzonym w Urzędzie. Ponadto, skargi, wnioski lub petycje, wpływające bezpośrednio do Wydziałów i stanowisk pracy, zgodnie z § 52 ust. 2 i 4 Regulaminu Organizacyjnego, winny być niezwłocznie – nie później niż w dniu następnym – przekazane do zarejestrowania pracownikowi na stanowisku pracy do Spraw Dialogu (D) prowadzącemu rejestr skarg, wniosków i petycji, a za właściwe zakwalifikowanie pisma mającego znamiona skargi, wniosku lub petycji wpływającego do Wydziału oraz za terminowe przekazanie go do zarejestrowania, ponosi odpowiedzialność naczelnik Wydziału.</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Za terminowość i merytoryczną poprawność materiałów przygotowywanych </w:t>
      </w:r>
      <w:r w:rsidRPr="00850982">
        <w:rPr>
          <w:rFonts w:ascii="Arial" w:hAnsi="Arial" w:eastAsiaTheme="minorEastAsia" w:cs="Arial"/>
          <w:sz w:val="24"/>
          <w:szCs w:val="24"/>
        </w:rPr>
        <w:br/>
        <w:t>w sprawie skarg, wniosków lub petycji - stosownie do treści § 55 ust. 1 Regulaminu Organizacyjnego – odpowiedzialność ponoszą naczelnicy Wydziałów oraz kierownicy jednostek organizacyjnych Gminy.</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Ponadto, do zadań naczelników Wydziałów - zgodnie z § 8 ust. 5 pkt 5 Regulaminu Organizacyjnego - należy m.in. przyjmowanie interesantów w sprawach indywidualnych oraz w sprawach skarg i wniosków w zakresie pracy Wydziału.</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Do zadań i kompetencji Sekretarza Gminy – zgodnie z § 19 ust. 5 Regulaminu Organizacyjnego - należy bezpośredni nadzór nad pracą Wydziału Organizacyjnego, Referatu Spraw Społecznych i Zdrowia, Referatu Spraw Obywatelskich oraz jednostek organizacyjnych określonych w załączniku nr 2 do Regulaminu Organizacyjnego.</w:t>
      </w:r>
    </w:p>
    <w:p w:rsidR="00B31DF0" w:rsidRPr="00850982" w:rsidP="00B31DF0">
      <w:pPr>
        <w:spacing w:line="360" w:lineRule="auto"/>
        <w:ind w:firstLine="567"/>
        <w:rPr>
          <w:rFonts w:ascii="Arial" w:hAnsi="Arial" w:eastAsiaTheme="minorEastAsia" w:cs="Arial"/>
          <w:color w:val="FF0000"/>
          <w:sz w:val="24"/>
          <w:szCs w:val="24"/>
        </w:rPr>
      </w:pPr>
      <w:r w:rsidRPr="00850982">
        <w:rPr>
          <w:rFonts w:ascii="Arial" w:hAnsi="Arial" w:eastAsiaTheme="minorEastAsia" w:cs="Arial"/>
          <w:sz w:val="24"/>
          <w:szCs w:val="24"/>
        </w:rPr>
        <w:t xml:space="preserve">Prowadzenie centralnego rejestru skarg, wniosków i petycji oraz sprawowanie kontroli nad terminowością ich załatwiania, w tym współpraca z wydziałami/ komórkami organizacyjnymi w zakresie przygotowywanych odpowiedzi na skargi, wnioski i petycje należy, zgodnie z zakresem czynności, do zadań przypisanych </w:t>
      </w:r>
      <w:r w:rsidRPr="00850982">
        <w:rPr>
          <w:rFonts w:ascii="Arial" w:hAnsi="Arial" w:eastAsiaTheme="minorEastAsia" w:cs="Arial"/>
          <w:sz w:val="24"/>
          <w:szCs w:val="24"/>
        </w:rPr>
        <w:br/>
        <w:t xml:space="preserve">do osoby zajmującej stanowisko Głównego specjalisty ds. dialogu w UM </w:t>
      </w:r>
      <w:r w:rsidRPr="00850982">
        <w:rPr>
          <w:rFonts w:ascii="Arial" w:hAnsi="Arial" w:eastAsiaTheme="minorEastAsia" w:cs="Arial"/>
          <w:sz w:val="24"/>
          <w:szCs w:val="24"/>
        </w:rPr>
        <w:br/>
        <w:t>w Niemodlinie</w:t>
      </w:r>
      <w:r>
        <w:rPr>
          <w:rFonts w:ascii="Arial" w:hAnsi="Arial" w:eastAsiaTheme="minorEastAsia" w:cs="Arial"/>
          <w:sz w:val="24"/>
          <w:szCs w:val="24"/>
          <w:vertAlign w:val="superscript"/>
        </w:rPr>
        <w:footnoteReference w:id="6"/>
      </w:r>
      <w:r w:rsidRPr="00850982">
        <w:rPr>
          <w:rFonts w:ascii="Arial" w:hAnsi="Arial" w:eastAsiaTheme="minorEastAsia" w:cs="Arial"/>
          <w:sz w:val="24"/>
          <w:szCs w:val="24"/>
        </w:rPr>
        <w:t>.</w:t>
      </w:r>
    </w:p>
    <w:p w:rsidR="00B31DF0" w:rsidRPr="00850982" w:rsidP="00B31DF0">
      <w:pPr>
        <w:spacing w:line="360" w:lineRule="auto"/>
        <w:ind w:left="113"/>
        <w:jc w:val="right"/>
        <w:rPr>
          <w:rFonts w:ascii="Arial" w:hAnsi="Arial" w:eastAsiaTheme="minorEastAsia" w:cs="Arial"/>
          <w:sz w:val="24"/>
          <w:szCs w:val="24"/>
        </w:rPr>
      </w:pPr>
      <w:r w:rsidRPr="00850982">
        <w:rPr>
          <w:rFonts w:ascii="Arial" w:hAnsi="Arial" w:eastAsiaTheme="minorEastAsia" w:cs="Arial"/>
          <w:bCs/>
          <w:sz w:val="24"/>
          <w:szCs w:val="24"/>
        </w:rPr>
        <w:t>[Dowód: akta kontroli, str.58-59]</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Bieżący nadzór i kontrolę nad załatwianiem spraw związanych ze skargami, wnioskami lub petycjami sprawuje pracownik na stanowisku D (Główny specjalista ds. dialogu), zgodnie z zapisami </w:t>
      </w:r>
      <w:bookmarkStart w:id="3" w:name="_Hlk187397491"/>
      <w:r w:rsidRPr="00850982">
        <w:rPr>
          <w:rFonts w:ascii="Arial" w:hAnsi="Arial" w:eastAsiaTheme="minorEastAsia" w:cs="Arial"/>
          <w:sz w:val="24"/>
          <w:szCs w:val="24"/>
        </w:rPr>
        <w:t>§</w:t>
      </w:r>
      <w:bookmarkEnd w:id="3"/>
      <w:r w:rsidRPr="00850982">
        <w:rPr>
          <w:rFonts w:ascii="Arial" w:hAnsi="Arial" w:eastAsiaTheme="minorEastAsia" w:cs="Arial"/>
          <w:sz w:val="24"/>
          <w:szCs w:val="24"/>
        </w:rPr>
        <w:t xml:space="preserve"> 55 ust. 2 Regulaminu Organizacyjnego. </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Natomiast, zgodnie z § 17 ust. 2 pkt 8 Regulaminu Organizacyjnego, bezpośredni nadzór nad stanowiskami pracy i Wydziałami w Urzędzie oraz kierownikami jednostek organizacyjnych Gminy określonymi w załącznikach nr 1 i 2 do Regulaminu Organizacyjnego - w tym stanowiskiem do spraw dialogu (D) - sprawuje Burmistrz.</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Wobec dokonanych ustaleń stwierdzono, że w UM w </w:t>
      </w:r>
      <w:r w:rsidRPr="00850982">
        <w:rPr>
          <w:rFonts w:ascii="Arial" w:hAnsi="Arial" w:cs="Arial"/>
          <w:bCs/>
          <w:sz w:val="24"/>
          <w:szCs w:val="24"/>
        </w:rPr>
        <w:t>Niemodlinie</w:t>
      </w:r>
      <w:r w:rsidRPr="00850982">
        <w:rPr>
          <w:rFonts w:ascii="Arial" w:hAnsi="Arial" w:eastAsiaTheme="minorEastAsia" w:cs="Arial"/>
          <w:sz w:val="24"/>
          <w:szCs w:val="24"/>
        </w:rPr>
        <w:t xml:space="preserve"> realizowana jest dyspozycja § 3 ust. 1 Rozporządzenia Rady Ministrów w sprawie organizacji przyjmowania i rozpatrywania skarg i wniosków</w:t>
      </w:r>
      <w:r>
        <w:rPr>
          <w:rFonts w:ascii="Arial" w:hAnsi="Arial" w:eastAsiaTheme="minorEastAsia" w:cs="Arial"/>
          <w:sz w:val="24"/>
          <w:szCs w:val="24"/>
          <w:vertAlign w:val="superscript"/>
        </w:rPr>
        <w:footnoteReference w:id="7"/>
      </w:r>
      <w:r w:rsidRPr="00850982">
        <w:rPr>
          <w:rFonts w:ascii="Arial" w:hAnsi="Arial" w:eastAsiaTheme="minorEastAsia" w:cs="Arial"/>
          <w:sz w:val="24"/>
          <w:szCs w:val="24"/>
        </w:rPr>
        <w:t xml:space="preserve">, zgodnie z którą przyjmowanie </w:t>
      </w:r>
      <w:r w:rsidRPr="00850982">
        <w:rPr>
          <w:rFonts w:ascii="Arial" w:hAnsi="Arial" w:eastAsiaTheme="minorEastAsia" w:cs="Arial"/>
          <w:sz w:val="24"/>
          <w:szCs w:val="24"/>
        </w:rPr>
        <w:br/>
        <w:t>i koordynowanie rozpatrywania skarg i wniosków powierza się wyodrębnionej komórce organizacyjnej lub imiennie wyznaczonym pracownikom.</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Na podstawie informacji wywieszonej w budynku UM w Niemodlinie ustalono, </w:t>
      </w:r>
    </w:p>
    <w:p w:rsidR="00B31DF0" w:rsidRPr="00850982" w:rsidP="00B31DF0">
      <w:pPr>
        <w:spacing w:line="360" w:lineRule="auto"/>
        <w:rPr>
          <w:rFonts w:ascii="Arial" w:hAnsi="Arial" w:eastAsiaTheme="minorEastAsia" w:cs="Arial"/>
          <w:color w:val="FF0000"/>
          <w:sz w:val="24"/>
          <w:szCs w:val="24"/>
        </w:rPr>
      </w:pPr>
      <w:r w:rsidRPr="00850982">
        <w:rPr>
          <w:rFonts w:ascii="Arial" w:hAnsi="Arial" w:eastAsiaTheme="minorEastAsia" w:cs="Arial"/>
          <w:sz w:val="24"/>
          <w:szCs w:val="24"/>
        </w:rPr>
        <w:t>że Burmistrz Niemodlina</w:t>
      </w:r>
      <w:r w:rsidRPr="00850982">
        <w:rPr>
          <w:rFonts w:ascii="Arial" w:hAnsi="Arial" w:eastAsiaTheme="minorEastAsia" w:cs="Arial"/>
          <w:sz w:val="24"/>
          <w:szCs w:val="22"/>
        </w:rPr>
        <w:t xml:space="preserve"> przyjmuje w sprawach skarg i wniosków w każdy poniedziałek w godz. od 13:00 do 16:00. Informacja ta – zgodnie z art. 253 § 4 k.p.a. – jest wywieszona w widocznym miejscu, w siedzibie kontrolowanej jednostki.</w:t>
      </w:r>
      <w:r w:rsidRPr="00850982">
        <w:rPr>
          <w:rFonts w:ascii="Arial" w:hAnsi="Arial" w:eastAsiaTheme="minorEastAsia" w:cs="Arial"/>
          <w:color w:val="FF0000"/>
          <w:sz w:val="24"/>
          <w:szCs w:val="24"/>
        </w:rPr>
        <w:t xml:space="preserve"> </w:t>
      </w:r>
    </w:p>
    <w:p w:rsidR="00B31DF0" w:rsidRPr="00850982" w:rsidP="00B31DF0">
      <w:pPr>
        <w:spacing w:line="360" w:lineRule="auto"/>
        <w:jc w:val="right"/>
        <w:rPr>
          <w:rFonts w:ascii="Arial" w:hAnsi="Arial" w:eastAsiaTheme="minorEastAsia" w:cs="Arial"/>
          <w:bCs/>
          <w:sz w:val="24"/>
          <w:szCs w:val="24"/>
        </w:rPr>
      </w:pPr>
      <w:bookmarkStart w:id="4" w:name="_Hlk119310462"/>
      <w:r w:rsidRPr="00850982">
        <w:rPr>
          <w:rFonts w:ascii="Arial" w:hAnsi="Arial" w:eastAsiaTheme="minorEastAsia" w:cs="Arial"/>
          <w:bCs/>
          <w:sz w:val="24"/>
          <w:szCs w:val="24"/>
        </w:rPr>
        <w:t>[Dowód: akta kontroli, str.60]</w:t>
      </w:r>
    </w:p>
    <w:p w:rsidR="00B31DF0" w:rsidRPr="00850982" w:rsidP="00B31DF0">
      <w:pPr>
        <w:spacing w:line="360" w:lineRule="auto"/>
        <w:ind w:firstLine="567"/>
        <w:rPr>
          <w:rFonts w:ascii="Arial" w:hAnsi="Arial" w:eastAsiaTheme="minorEastAsia" w:cs="Arial"/>
          <w:sz w:val="24"/>
          <w:szCs w:val="24"/>
        </w:rPr>
      </w:pPr>
      <w:bookmarkEnd w:id="4"/>
      <w:r w:rsidRPr="00850982">
        <w:rPr>
          <w:rFonts w:ascii="Arial" w:hAnsi="Arial" w:eastAsiaTheme="minorEastAsia" w:cs="Arial"/>
          <w:sz w:val="24"/>
          <w:szCs w:val="24"/>
        </w:rPr>
        <w:t xml:space="preserve">Mając na uwadze, iż Urząd Miejski w </w:t>
      </w:r>
      <w:r w:rsidRPr="00850982">
        <w:rPr>
          <w:rFonts w:ascii="Arial" w:hAnsi="Arial" w:cs="Arial"/>
          <w:bCs/>
          <w:sz w:val="24"/>
          <w:szCs w:val="24"/>
        </w:rPr>
        <w:t xml:space="preserve">Niemodlinie jest otwarty </w:t>
      </w:r>
      <w:r w:rsidRPr="00850982">
        <w:rPr>
          <w:rFonts w:ascii="Arial" w:hAnsi="Arial" w:eastAsiaTheme="minorEastAsia" w:cs="Arial"/>
          <w:sz w:val="24"/>
          <w:szCs w:val="24"/>
        </w:rPr>
        <w:t xml:space="preserve">w poniedziałki </w:t>
      </w:r>
      <w:r w:rsidRPr="00850982">
        <w:rPr>
          <w:rFonts w:ascii="Arial" w:hAnsi="Arial" w:eastAsiaTheme="minorEastAsia" w:cs="Arial"/>
          <w:sz w:val="24"/>
          <w:szCs w:val="24"/>
        </w:rPr>
        <w:br/>
        <w:t xml:space="preserve">w godzinach od 7:00 do 16:00, od wtorku do czwartku w godzinach od 7.00 do 15:00; </w:t>
      </w:r>
    </w:p>
    <w:p w:rsidR="00B31DF0" w:rsidRPr="00850982" w:rsidP="00B31DF0">
      <w:pPr>
        <w:spacing w:line="360" w:lineRule="auto"/>
        <w:rPr>
          <w:rFonts w:ascii="Arial" w:hAnsi="Arial" w:eastAsiaTheme="minorEastAsia" w:cs="Arial"/>
          <w:sz w:val="24"/>
          <w:szCs w:val="24"/>
        </w:rPr>
      </w:pPr>
      <w:r w:rsidRPr="00850982">
        <w:rPr>
          <w:rFonts w:ascii="Arial" w:hAnsi="Arial" w:eastAsiaTheme="minorEastAsia" w:cs="Arial"/>
          <w:sz w:val="24"/>
          <w:szCs w:val="24"/>
        </w:rPr>
        <w:t>a w piątki w godzinach od 7:00 do 14:00</w:t>
      </w:r>
      <w:r>
        <w:rPr>
          <w:rFonts w:ascii="Arial" w:hAnsi="Arial" w:eastAsiaTheme="minorEastAsia" w:cs="Arial"/>
          <w:sz w:val="24"/>
          <w:szCs w:val="24"/>
          <w:vertAlign w:val="superscript"/>
        </w:rPr>
        <w:footnoteReference w:id="8"/>
      </w:r>
      <w:r w:rsidRPr="00850982">
        <w:rPr>
          <w:rFonts w:ascii="Arial" w:hAnsi="Arial" w:eastAsiaTheme="minorEastAsia" w:cs="Arial"/>
          <w:sz w:val="24"/>
          <w:szCs w:val="24"/>
        </w:rPr>
        <w:t xml:space="preserve">, należy wskazać, iż w ocenie kontrolujących ustalony dzień i godziny przyjmowania obywateli w sprawach skarg </w:t>
      </w:r>
      <w:r w:rsidRPr="00850982">
        <w:rPr>
          <w:rFonts w:ascii="Arial" w:hAnsi="Arial" w:eastAsiaTheme="minorEastAsia" w:cs="Arial"/>
          <w:sz w:val="24"/>
          <w:szCs w:val="24"/>
        </w:rPr>
        <w:br/>
        <w:t xml:space="preserve">i wniosków przez Burmistrza Niemodlina tj. w każdy poniedziałek w godz. od 13:00 do 16:00 – mieszczące się w ustalonych godzinach pracy Urzędu Miejskiego </w:t>
      </w:r>
      <w:r w:rsidRPr="00850982">
        <w:rPr>
          <w:rFonts w:ascii="Arial" w:hAnsi="Arial" w:eastAsiaTheme="minorEastAsia" w:cs="Arial"/>
          <w:sz w:val="24"/>
          <w:szCs w:val="24"/>
        </w:rPr>
        <w:br/>
        <w:t>w Niemodlinie tj. w każdy poniedziałek od 7:00 do 16:00 – nie spełniają dyspozycji zawartej w przepisie art. 253 § 3 k.p.a. w zakresie dostosowania do potrzeb ludności dni i godzin przyjęć obywateli w sprawach skarg i wniosków.</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Kontrolujący ustalili, iż według oświadczenia pracownika - Głównego specjalisty ds. dialogu</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 xml:space="preserve">prowadzącego rejestr skarg, wniosków i petycji – rejestr skarg, wniosków i petycji UM w Niemodlinie prowadzony jest w wersji papierowej i elektronicznej (plik </w:t>
      </w:r>
      <w:r w:rsidRPr="00850982">
        <w:rPr>
          <w:rFonts w:ascii="Arial" w:hAnsi="Arial" w:eastAsiaTheme="minorEastAsia" w:cs="Arial"/>
          <w:sz w:val="24"/>
          <w:szCs w:val="24"/>
        </w:rPr>
        <w:t>excel</w:t>
      </w:r>
      <w:r w:rsidRPr="00850982">
        <w:rPr>
          <w:rFonts w:ascii="Arial" w:hAnsi="Arial" w:eastAsiaTheme="minorEastAsia" w:cs="Arial"/>
          <w:sz w:val="24"/>
          <w:szCs w:val="24"/>
        </w:rPr>
        <w:t xml:space="preserve">). </w:t>
      </w:r>
    </w:p>
    <w:p w:rsidR="00B31DF0" w:rsidRPr="00850982" w:rsidP="00B31DF0">
      <w:pPr>
        <w:tabs>
          <w:tab w:val="left" w:pos="142"/>
        </w:tabs>
        <w:spacing w:line="360" w:lineRule="auto"/>
        <w:jc w:val="right"/>
        <w:rPr>
          <w:rFonts w:ascii="Arial" w:hAnsi="Arial" w:eastAsiaTheme="minorEastAsia" w:cs="Arial"/>
          <w:bCs/>
          <w:sz w:val="24"/>
          <w:szCs w:val="24"/>
        </w:rPr>
      </w:pPr>
      <w:r w:rsidRPr="00850982">
        <w:rPr>
          <w:rFonts w:ascii="Arial" w:hAnsi="Arial" w:eastAsiaTheme="minorEastAsia" w:cs="Arial"/>
          <w:bCs/>
          <w:sz w:val="24"/>
          <w:szCs w:val="24"/>
        </w:rPr>
        <w:t>[Dowód: akta kontroli, str.65]</w:t>
      </w:r>
    </w:p>
    <w:p w:rsidR="00B31DF0" w:rsidRPr="00850982" w:rsidP="00B31DF0">
      <w:pPr>
        <w:tabs>
          <w:tab w:val="left" w:pos="142"/>
        </w:tabs>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Zgodnie z art. 254 k.p.a., skargi i wnioski składane i przekazywane </w:t>
      </w:r>
      <w:r w:rsidRPr="00850982">
        <w:rPr>
          <w:rFonts w:ascii="Arial" w:hAnsi="Arial" w:eastAsiaTheme="minorEastAsia" w:cs="Arial"/>
          <w:sz w:val="24"/>
          <w:szCs w:val="24"/>
        </w:rPr>
        <w:br/>
        <w:t xml:space="preserve">do organów państwowych, organów samorządu terytorialnego i innych organów samorządowych i organów organizacji społecznych oraz związane z nimi pisma </w:t>
      </w:r>
      <w:r w:rsidRPr="00850982">
        <w:rPr>
          <w:rFonts w:ascii="Arial" w:hAnsi="Arial" w:eastAsiaTheme="minorEastAsia" w:cs="Arial"/>
          <w:sz w:val="24"/>
          <w:szCs w:val="24"/>
        </w:rPr>
        <w:br/>
      </w:r>
      <w:r w:rsidRPr="00850982">
        <w:rPr>
          <w:rFonts w:ascii="Arial" w:hAnsi="Arial" w:eastAsiaTheme="minorEastAsia" w:cs="Arial"/>
          <w:sz w:val="24"/>
          <w:szCs w:val="24"/>
        </w:rPr>
        <w:t xml:space="preserve">i inne dokumenty rejestruje się i przechowuje w sposób umożliwiający kontrolę przebiegu i terminów załatwiania poszczególnych skarg i wniosków. Prowadzony </w:t>
      </w:r>
      <w:r w:rsidRPr="00850982">
        <w:rPr>
          <w:rFonts w:ascii="Arial" w:hAnsi="Arial" w:eastAsiaTheme="minorEastAsia" w:cs="Arial"/>
          <w:sz w:val="24"/>
          <w:szCs w:val="24"/>
        </w:rPr>
        <w:br/>
        <w:t>w UM w Niemodlinie rejestr skarg i wniosków odzwierciedla przebieg i terminy załatwienia kontrolowanych spraw. Skargi były oznaczane prawidłowym symbolem klasyfikacyjnym, tj.: 1510 – Skargi i wnioski załatwiane bezpośrednio (w tym na jednostki podległe), określonym w Załączniku Nr 2 do Rozporządzenia Prezesa Rady Ministrów z dnia 18 stycznia 2011 r. w sprawie instrukcji kancelaryjnej, jednolitych rzeczowych wykazów akt oraz instrukcji w sprawie organizacji i zakresu działania archiwów zakładowych</w:t>
      </w:r>
      <w:r>
        <w:rPr>
          <w:rFonts w:ascii="Arial" w:hAnsi="Arial" w:eastAsiaTheme="minorEastAsia" w:cs="Arial"/>
          <w:sz w:val="24"/>
          <w:szCs w:val="24"/>
          <w:vertAlign w:val="superscript"/>
        </w:rPr>
        <w:footnoteReference w:id="9"/>
      </w:r>
      <w:r w:rsidRPr="00850982">
        <w:rPr>
          <w:rFonts w:ascii="Arial" w:hAnsi="Arial" w:eastAsiaTheme="minorEastAsia" w:cs="Arial"/>
          <w:sz w:val="24"/>
          <w:szCs w:val="24"/>
        </w:rPr>
        <w:t>.</w:t>
      </w:r>
    </w:p>
    <w:p w:rsidR="00B31DF0" w:rsidRPr="00850982" w:rsidP="00B31DF0">
      <w:pPr>
        <w:tabs>
          <w:tab w:val="left" w:pos="142"/>
        </w:tabs>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okresie objętym niniejszą kontrolą w rejestrach odnotowano 2 skargi </w:t>
      </w:r>
      <w:r w:rsidRPr="00850982">
        <w:rPr>
          <w:rFonts w:ascii="Arial" w:hAnsi="Arial" w:eastAsiaTheme="minorEastAsia" w:cs="Arial"/>
          <w:sz w:val="24"/>
          <w:szCs w:val="24"/>
        </w:rPr>
        <w:br/>
        <w:t>i 4 wnioski. Kontroli poddano 2 skargi, które wpłynęły do UM w Niemodlinie w okresie od dnia 1 stycznia 2024 r. do dnia 30 listopada 2024 r.</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 xml:space="preserve">tj.: o Nr D.1510.5.2024 oraz </w:t>
      </w:r>
      <w:r w:rsidRPr="00850982">
        <w:rPr>
          <w:rFonts w:ascii="Arial" w:hAnsi="Arial" w:eastAsiaTheme="minorEastAsia" w:cs="Arial"/>
          <w:sz w:val="24"/>
          <w:szCs w:val="24"/>
        </w:rPr>
        <w:br/>
        <w:t xml:space="preserve">o Nr D.1510.6.2024. </w:t>
      </w:r>
    </w:p>
    <w:p w:rsidR="00B31DF0" w:rsidRPr="00850982" w:rsidP="00B31DF0">
      <w:pPr>
        <w:tabs>
          <w:tab w:val="left" w:pos="142"/>
        </w:tabs>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ocenie kontrolujących 4 wnioski o Nr D.1510.1.2024; Nr D.1510.2.2024, </w:t>
      </w:r>
      <w:r w:rsidRPr="00850982">
        <w:rPr>
          <w:rFonts w:ascii="Arial" w:hAnsi="Arial" w:eastAsiaTheme="minorEastAsia" w:cs="Arial"/>
          <w:sz w:val="24"/>
          <w:szCs w:val="24"/>
        </w:rPr>
        <w:br/>
        <w:t>Nr D.1510.3.2024 oraz Nr D.1510.4.2024 zostały nieprawidłowo zakwalifikowane jako wnioski z działu VIII k.p.a.</w:t>
      </w:r>
    </w:p>
    <w:p w:rsidR="00B31DF0" w:rsidRPr="00850982" w:rsidP="00B31DF0">
      <w:pPr>
        <w:spacing w:line="360" w:lineRule="auto"/>
        <w:jc w:val="right"/>
        <w:rPr>
          <w:rFonts w:ascii="Arial" w:hAnsi="Arial" w:eastAsiaTheme="minorEastAsia" w:cs="Arial"/>
          <w:bCs/>
          <w:sz w:val="24"/>
          <w:szCs w:val="24"/>
        </w:rPr>
      </w:pPr>
      <w:r w:rsidRPr="00850982">
        <w:rPr>
          <w:rFonts w:ascii="Arial" w:hAnsi="Arial" w:eastAsiaTheme="minorEastAsia" w:cs="Arial"/>
          <w:bCs/>
          <w:sz w:val="24"/>
          <w:szCs w:val="24"/>
        </w:rPr>
        <w:t>[Dowód: akta kontroli, str</w:t>
      </w:r>
      <w:r w:rsidRPr="00850982">
        <w:rPr>
          <w:rFonts w:ascii="Arial" w:hAnsi="Arial" w:eastAsiaTheme="minorEastAsia" w:cs="Arial"/>
          <w:bCs/>
          <w:color w:val="FF0000"/>
          <w:sz w:val="24"/>
          <w:szCs w:val="24"/>
        </w:rPr>
        <w:t>.</w:t>
      </w:r>
      <w:r w:rsidRPr="00850982">
        <w:rPr>
          <w:rFonts w:ascii="Arial" w:hAnsi="Arial" w:eastAsiaTheme="minorEastAsia" w:cs="Arial"/>
          <w:bCs/>
          <w:sz w:val="24"/>
          <w:szCs w:val="24"/>
        </w:rPr>
        <w:t>66-115]</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zakresie obowiązku prawidłowej kwalifikacji pisma przez organ administracji publicznej Naczelny Sąd Administracyjny w wyroku z 17.11.2020 r. (II </w:t>
      </w:r>
      <w:r w:rsidRPr="00850982">
        <w:rPr>
          <w:rFonts w:ascii="Arial" w:hAnsi="Arial" w:eastAsiaTheme="minorEastAsia" w:cs="Arial"/>
          <w:sz w:val="24"/>
          <w:szCs w:val="24"/>
        </w:rPr>
        <w:t>OSK</w:t>
      </w:r>
      <w:r w:rsidRPr="00850982">
        <w:rPr>
          <w:rFonts w:ascii="Arial" w:hAnsi="Arial" w:eastAsiaTheme="minorEastAsia" w:cs="Arial"/>
          <w:sz w:val="24"/>
          <w:szCs w:val="24"/>
        </w:rPr>
        <w:t xml:space="preserve"> 1329/18, </w:t>
      </w:r>
      <w:r w:rsidRPr="00850982">
        <w:rPr>
          <w:rFonts w:ascii="Arial" w:hAnsi="Arial" w:eastAsiaTheme="minorEastAsia" w:cs="Arial"/>
          <w:sz w:val="24"/>
          <w:szCs w:val="24"/>
        </w:rPr>
        <w:t>Legalis</w:t>
      </w:r>
      <w:r w:rsidRPr="00850982">
        <w:rPr>
          <w:rFonts w:ascii="Arial" w:hAnsi="Arial" w:eastAsiaTheme="minorEastAsia" w:cs="Arial"/>
          <w:sz w:val="24"/>
          <w:szCs w:val="24"/>
        </w:rPr>
        <w:t xml:space="preserve">) wskazał, iż: „(…) W dziale VIII k.p.a. uregulowana została możliwość składania skarg i wniosków do organów państwowych, organów jednostek samorządu terytorialnego, organów samorządowych jednostek organizacyjnych oraz do organizacji i instytucji społecznych. Zgodnie z treścią art. 222 k.p.a., o tym, </w:t>
      </w:r>
      <w:r w:rsidRPr="00850982">
        <w:rPr>
          <w:rFonts w:ascii="Arial" w:hAnsi="Arial" w:eastAsiaTheme="minorEastAsia" w:cs="Arial"/>
          <w:sz w:val="24"/>
          <w:szCs w:val="24"/>
        </w:rPr>
        <w:br/>
        <w:t xml:space="preserve">czy pismo jest skargą albo wnioskiem, decyduje treść pisma, a nie jego forma zewnętrzna – przedmiotem skargi może być bowiem każda negatywna ocena działalności podmiotu powołanego do wykonywania zadań państwa lub innego podmiotu (postanowienie Naczelnego Sądu Administracyjnego z 1.3.2010 r., sygn. akt II OSK 478/09, Lex Nr 605036). Należy przy tym podkreślić, że to nie organ, </w:t>
      </w:r>
      <w:r w:rsidRPr="00850982">
        <w:rPr>
          <w:rFonts w:ascii="Arial" w:hAnsi="Arial" w:eastAsiaTheme="minorEastAsia" w:cs="Arial"/>
          <w:sz w:val="24"/>
          <w:szCs w:val="24"/>
        </w:rPr>
        <w:br/>
        <w:t xml:space="preserve">a strona formułuje zamierzenia, jakie chce podjąć w postepowaniu czy wywołać składanym wnioskiem. W przypadku niejednoznaczności pisma, istotna jest ocena intencji strony, gdyż to ona jest dysponentem przysługujących jej uprawnień do inicjowania postępowania. W takiej sytuacji, a więc w razie niejasności co do rzeczywistych intencji szeroko rozumianego pisma podmiotu składanego organowi </w:t>
      </w:r>
      <w:r w:rsidRPr="00850982">
        <w:rPr>
          <w:rFonts w:ascii="Arial" w:hAnsi="Arial" w:eastAsiaTheme="minorEastAsia" w:cs="Arial"/>
          <w:sz w:val="24"/>
          <w:szCs w:val="24"/>
        </w:rPr>
        <w:t>administracji publicznej, powinnością organu jest doprecyzowanie lub wyjaśnienie powstałych wątpliwości poprzez wezwanie strony do sprecyzowania jej żądań, ponieważ organ nie jest władny do samodzielnego ustalania charakteru wnoszonego pisma” (art. 222 KPA Adamiak 2024, wyd. 19/Borkowski/Adamiak. Kodeks postępowania administracyjnego. Komentarz 2024, wyd. 19).</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Zakwalifikowanie pisma jako skargi lub wniosku następuje wiec niezależnie </w:t>
      </w:r>
      <w:r w:rsidRPr="00850982">
        <w:rPr>
          <w:rFonts w:ascii="Arial" w:hAnsi="Arial" w:eastAsiaTheme="minorEastAsia" w:cs="Arial"/>
          <w:sz w:val="24"/>
          <w:szCs w:val="24"/>
        </w:rPr>
        <w:br/>
        <w:t xml:space="preserve">od tego, jak zostało ono nazwane, albo jakie przepisy zostały w nim przywołane. </w:t>
      </w:r>
      <w:r w:rsidRPr="00850982">
        <w:rPr>
          <w:rFonts w:ascii="Arial" w:hAnsi="Arial" w:eastAsiaTheme="minorEastAsia" w:cs="Arial"/>
          <w:sz w:val="24"/>
          <w:szCs w:val="24"/>
        </w:rPr>
        <w:br/>
        <w:t>To organ administracji publicznej musi samodzielnie ustalić z jakim pismem ma do czynienia. Sugestie wnoszących pisma nie powinny mieć na to wpływu. Kwalifikacji pisma jako wniosku z działu VIII k.p.a. należy dokonywać na podstawie art. 241 k.p.a. w którym określono przedmiot wniosku. Po przydzieleniu sprawy do kategorii wniosek z działu VIII k.p.a. należy konsekwentnie stosować przepisy prawne odpowiednie dla tego typu sprawy, a więc przepisy art. 241 – 247 k.p.a. oraz Rozporządzenia w sprawie instrukcji kancelaryjnej.</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Ww. sprawy o Nr D.1510.1.2024; Nr D.1510.2.2024; Nr D.1510.3.2024 </w:t>
      </w:r>
      <w:r w:rsidRPr="00850982">
        <w:rPr>
          <w:rFonts w:ascii="Arial" w:hAnsi="Arial" w:eastAsiaTheme="minorEastAsia" w:cs="Arial"/>
          <w:sz w:val="24"/>
          <w:szCs w:val="24"/>
        </w:rPr>
        <w:br/>
        <w:t>i Nr D.1510.4.2024 zakwalifikowano jako wnioski, oznaczono symbolem klasyfikacyjnym 1510 – Skargi i wnioski załatwiane bezpośrednio (w tym na jednostki podległe) z jednolitego rzeczowego wykazu akt dla organów gminy i związków międzygminnych oraz urzędów obsługujących te organy i związki, stanowiącego Załącznik Nr 2 do Rozporządzenia w sprawie instrukcji kancelaryjnej.</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Sprawy te stanowiły pisma dot. zapoznania się z protokołami pokontrolnymi NIK, pisma o wykonanie rekonesansu we wskazanym obszarze, wnioski o udzielenie informacji publicznej, a także prośby o dokonanie określonych czynności. W związku z oceną kontrolujących, iż ww. pisma zostały nieprawidłowo zakwalifikowane jako wnioski z działu VIII k.p.a. i wpisane do rejestru skarg i wniosków, sposób ich załatwienia nie został poddany kontroli.</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Poddane kontroli 2 skargi o Nr D.1510.5.2024 i Nr D.1510.6.2024 zostały odnotowane w rejestrach i rozpatrzone przez Radę Miejską w Niemodlinie. Obie skargi uznano za nieuzasadnione.</w:t>
      </w:r>
    </w:p>
    <w:p w:rsidR="00B31DF0" w:rsidRPr="00850982" w:rsidP="00B31DF0">
      <w:pPr>
        <w:numPr>
          <w:ilvl w:val="0"/>
          <w:numId w:val="5"/>
        </w:numPr>
        <w:spacing w:after="200" w:line="360" w:lineRule="auto"/>
        <w:rPr>
          <w:rFonts w:ascii="Arial" w:hAnsi="Arial" w:eastAsiaTheme="minorHAnsi" w:cs="Arial"/>
          <w:b/>
          <w:sz w:val="24"/>
          <w:szCs w:val="24"/>
          <w:lang w:eastAsia="en-US"/>
        </w:rPr>
      </w:pPr>
      <w:r w:rsidRPr="00850982">
        <w:rPr>
          <w:rFonts w:ascii="Arial" w:hAnsi="Arial" w:eastAsiaTheme="minorHAnsi" w:cs="Arial"/>
          <w:b/>
          <w:sz w:val="24"/>
          <w:szCs w:val="24"/>
          <w:lang w:eastAsia="en-US"/>
        </w:rPr>
        <w:t xml:space="preserve">Przestrzeganie właściwości organów do rozpatrywania skarg i wniosków. </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W toku kontroli sprawdzono przestrzeganie właściwości organów zobligowanych do rozpatrywania skarg i wniosków.</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Kontrola wykazała, iż w badanym okresie nie stwierdzono przypadków przekazywania skarg innym organom według właściwości – zgodnie z art. 231 k.p.a.</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badanym okresie nie stwierdzono również przypadków przekazywania skarg do rozpatrzenia pracownikom, których one dotyczyły. Nie odnotowano też – zgodnie </w:t>
      </w:r>
      <w:r w:rsidRPr="00850982">
        <w:rPr>
          <w:rFonts w:ascii="Arial" w:hAnsi="Arial" w:eastAsiaTheme="minorEastAsia" w:cs="Arial"/>
          <w:sz w:val="24"/>
          <w:szCs w:val="24"/>
        </w:rPr>
        <w:br/>
        <w:t>z art. 234 pkt 1 i 2 k.p.a. – skarg dotyczących prowadzonych postępowań administracyjnych.</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toku kontroli stwierdzono, że skontrolowane dwie skargi dotyczyły działań Burmistrza Niemodlina oraz działalności kierownika gminnej jednostki organizacyjnej – i zgodnie z treścią art.229 pkt 3 k.p.a. – zostały załatwione przez Radę Miejską </w:t>
      </w:r>
      <w:r w:rsidRPr="00850982">
        <w:rPr>
          <w:rFonts w:ascii="Arial" w:hAnsi="Arial" w:eastAsiaTheme="minorEastAsia" w:cs="Arial"/>
          <w:sz w:val="24"/>
          <w:szCs w:val="24"/>
        </w:rPr>
        <w:br/>
        <w:t xml:space="preserve">w Niemodlinie. </w:t>
      </w:r>
    </w:p>
    <w:p w:rsidR="00B31DF0" w:rsidRPr="00850982" w:rsidP="00B31DF0">
      <w:pPr>
        <w:spacing w:line="360" w:lineRule="auto"/>
        <w:jc w:val="right"/>
        <w:rPr>
          <w:rFonts w:ascii="Arial" w:hAnsi="Arial" w:eastAsiaTheme="minorEastAsia" w:cs="Arial"/>
          <w:bCs/>
          <w:sz w:val="24"/>
          <w:szCs w:val="24"/>
        </w:rPr>
      </w:pPr>
      <w:r w:rsidRPr="00850982">
        <w:rPr>
          <w:rFonts w:ascii="Arial" w:hAnsi="Arial" w:eastAsiaTheme="minorEastAsia" w:cs="Arial"/>
          <w:bCs/>
          <w:sz w:val="24"/>
          <w:szCs w:val="24"/>
        </w:rPr>
        <w:t xml:space="preserve"> [Dowód: akta kontroli, str</w:t>
      </w:r>
      <w:r w:rsidRPr="00850982">
        <w:rPr>
          <w:rFonts w:ascii="Arial" w:hAnsi="Arial" w:eastAsiaTheme="minorEastAsia" w:cs="Arial"/>
          <w:bCs/>
          <w:color w:val="FF0000"/>
          <w:sz w:val="24"/>
          <w:szCs w:val="24"/>
        </w:rPr>
        <w:t>.</w:t>
      </w:r>
      <w:r w:rsidRPr="00850982">
        <w:rPr>
          <w:rFonts w:ascii="Arial" w:hAnsi="Arial" w:eastAsiaTheme="minorEastAsia" w:cs="Arial"/>
          <w:bCs/>
          <w:sz w:val="24"/>
          <w:szCs w:val="24"/>
        </w:rPr>
        <w:t>116-137]</w:t>
      </w:r>
      <w:r w:rsidRPr="00850982">
        <w:rPr>
          <w:rFonts w:ascii="Arial" w:hAnsi="Arial" w:eastAsiaTheme="minorEastAsia" w:cs="Arial"/>
          <w:sz w:val="24"/>
          <w:szCs w:val="24"/>
        </w:rPr>
        <w:t xml:space="preserve"> </w:t>
      </w:r>
    </w:p>
    <w:p w:rsidR="00B31DF0" w:rsidRPr="00850982" w:rsidP="00B31DF0">
      <w:pPr>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Kontrola wykazała, iż zgodnie z art. 18b ustawy z dnia 8 marca 1990 r. </w:t>
      </w:r>
    </w:p>
    <w:p w:rsidR="00B31DF0" w:rsidRPr="00850982" w:rsidP="00B31DF0">
      <w:pPr>
        <w:spacing w:line="360" w:lineRule="auto"/>
        <w:rPr>
          <w:rFonts w:ascii="Arial" w:hAnsi="Arial" w:eastAsiaTheme="minorEastAsia" w:cs="Arial"/>
          <w:sz w:val="24"/>
          <w:szCs w:val="24"/>
        </w:rPr>
      </w:pPr>
      <w:r w:rsidRPr="00850982">
        <w:rPr>
          <w:rFonts w:ascii="Arial" w:hAnsi="Arial" w:eastAsiaTheme="minorEastAsia" w:cs="Arial"/>
          <w:sz w:val="24"/>
          <w:szCs w:val="24"/>
        </w:rPr>
        <w:t>o samorządzie gminnym (</w:t>
      </w:r>
      <w:r w:rsidRPr="00850982">
        <w:rPr>
          <w:rFonts w:ascii="Arial" w:hAnsi="Arial" w:eastAsiaTheme="minorEastAsia" w:cs="Arial"/>
          <w:sz w:val="24"/>
          <w:szCs w:val="24"/>
        </w:rPr>
        <w:t>t.j</w:t>
      </w:r>
      <w:r w:rsidRPr="00850982">
        <w:rPr>
          <w:rFonts w:ascii="Arial" w:hAnsi="Arial" w:eastAsiaTheme="minorEastAsia" w:cs="Arial"/>
          <w:sz w:val="24"/>
          <w:szCs w:val="24"/>
        </w:rPr>
        <w:t xml:space="preserve">. Dz.U. z 2024, poz. 1465 ze zm.), wprowadzono zmiany </w:t>
      </w:r>
    </w:p>
    <w:p w:rsidR="00B31DF0" w:rsidRPr="00850982" w:rsidP="00B31DF0">
      <w:pPr>
        <w:spacing w:line="360" w:lineRule="auto"/>
        <w:rPr>
          <w:rFonts w:ascii="Arial" w:hAnsi="Arial" w:eastAsiaTheme="minorEastAsia" w:cs="Arial"/>
          <w:sz w:val="24"/>
          <w:szCs w:val="24"/>
        </w:rPr>
      </w:pPr>
      <w:r w:rsidRPr="00850982">
        <w:rPr>
          <w:rFonts w:ascii="Arial" w:hAnsi="Arial" w:eastAsiaTheme="minorEastAsia" w:cs="Arial"/>
          <w:sz w:val="24"/>
          <w:szCs w:val="24"/>
        </w:rPr>
        <w:t xml:space="preserve">w Statucie Gminy </w:t>
      </w:r>
      <w:r w:rsidRPr="00850982">
        <w:rPr>
          <w:rFonts w:ascii="Arial" w:hAnsi="Arial" w:eastAsiaTheme="minorEastAsia" w:cs="Arial"/>
          <w:sz w:val="24"/>
        </w:rPr>
        <w:t>Niemodlin</w:t>
      </w:r>
      <w:r w:rsidRPr="00850982">
        <w:rPr>
          <w:rFonts w:ascii="Arial" w:hAnsi="Arial" w:eastAsiaTheme="minorEastAsia" w:cs="Arial"/>
          <w:sz w:val="24"/>
          <w:szCs w:val="24"/>
        </w:rPr>
        <w:t xml:space="preserve"> określając w nim zasady i tryb działania Komisji Skarg, Wniosków i Petycji (od § 46 do § 56 oraz § 58). </w:t>
      </w:r>
    </w:p>
    <w:p w:rsidR="00B31DF0" w:rsidRPr="00850982" w:rsidP="00B31DF0">
      <w:pPr>
        <w:spacing w:after="120" w:line="360" w:lineRule="auto"/>
        <w:ind w:left="113"/>
        <w:jc w:val="right"/>
        <w:rPr>
          <w:rFonts w:ascii="Arial" w:hAnsi="Arial" w:eastAsiaTheme="minorEastAsia" w:cs="Arial"/>
          <w:bCs/>
          <w:color w:val="FF0000"/>
          <w:sz w:val="24"/>
          <w:szCs w:val="24"/>
        </w:rPr>
      </w:pPr>
      <w:r w:rsidRPr="00850982">
        <w:rPr>
          <w:rFonts w:ascii="Arial" w:hAnsi="Arial" w:eastAsiaTheme="minorEastAsia" w:cs="Arial"/>
          <w:bCs/>
          <w:sz w:val="24"/>
          <w:szCs w:val="24"/>
        </w:rPr>
        <w:t>[Dowód: akta kontroli, str.12-15]</w:t>
      </w:r>
    </w:p>
    <w:p w:rsidR="00B31DF0" w:rsidRPr="00850982" w:rsidP="00B31DF0">
      <w:pPr>
        <w:numPr>
          <w:ilvl w:val="0"/>
          <w:numId w:val="5"/>
        </w:numPr>
        <w:spacing w:before="240" w:after="200" w:line="360" w:lineRule="auto"/>
        <w:ind w:left="284" w:hanging="284"/>
        <w:contextualSpacing/>
        <w:jc w:val="both"/>
        <w:rPr>
          <w:rFonts w:ascii="Arial" w:hAnsi="Arial" w:eastAsiaTheme="minorHAnsi" w:cs="Arial"/>
          <w:b/>
          <w:sz w:val="24"/>
          <w:szCs w:val="24"/>
          <w:lang w:eastAsia="en-US"/>
        </w:rPr>
      </w:pPr>
      <w:r w:rsidRPr="00850982">
        <w:rPr>
          <w:rFonts w:ascii="Arial" w:hAnsi="Arial" w:eastAsiaTheme="minorHAnsi" w:cs="Arial"/>
          <w:b/>
          <w:sz w:val="24"/>
          <w:szCs w:val="24"/>
          <w:lang w:eastAsia="en-US"/>
        </w:rPr>
        <w:t xml:space="preserve"> Terminowość załatwiania skarg i wniosków.</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wyniku przeprowadzonej kontroli, ustalono, iż skontrolowane skargi zostały załatwione w terminach ustawowych tj. 2 skargi zgodnie z art. 36 § 1 k.p.a. </w:t>
      </w:r>
      <w:r w:rsidRPr="00850982">
        <w:rPr>
          <w:rFonts w:ascii="Arial" w:hAnsi="Arial" w:eastAsiaTheme="minorEastAsia" w:cs="Arial"/>
          <w:sz w:val="24"/>
          <w:szCs w:val="24"/>
        </w:rPr>
        <w:br/>
        <w:t xml:space="preserve">w związku z art. 237 § 4 k.p.a. </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W przypadku 2 skontrolowanych skarg terminy załatwienia skarg przedłużono – na podstawie art. 36 § 1 k.p.a. w związku z art. 237 § 4 k.p.a.  – wskazując nowy termin załatwienia oraz zawarto informację o prawie do wniesienia ponaglenia bez wskazania podstawy prawnej (szerzej opisano w części D niniejszego projektu wystąpienia pokontrolnego). Zawiadomienia o sposobie załatwienia skarg przesłano w dniach wyznaczonego terminu załatwienia skarg. </w:t>
      </w:r>
    </w:p>
    <w:p w:rsidR="00B31DF0" w:rsidRPr="00850982" w:rsidP="00B31DF0">
      <w:pPr>
        <w:numPr>
          <w:ilvl w:val="0"/>
          <w:numId w:val="5"/>
        </w:numPr>
        <w:autoSpaceDE w:val="0"/>
        <w:autoSpaceDN w:val="0"/>
        <w:adjustRightInd w:val="0"/>
        <w:spacing w:before="240" w:after="120" w:line="360" w:lineRule="auto"/>
        <w:ind w:left="426" w:hanging="426"/>
        <w:contextualSpacing/>
        <w:rPr>
          <w:rFonts w:ascii="Arial" w:hAnsi="Arial" w:eastAsiaTheme="minorEastAsia" w:cs="Arial"/>
          <w:sz w:val="24"/>
          <w:szCs w:val="24"/>
        </w:rPr>
      </w:pPr>
      <w:r w:rsidRPr="00850982">
        <w:rPr>
          <w:rFonts w:ascii="Arial" w:hAnsi="Arial" w:eastAsiaTheme="minorEastAsia" w:cs="Arial"/>
          <w:b/>
          <w:sz w:val="24"/>
          <w:szCs w:val="24"/>
        </w:rPr>
        <w:t>Prawidłowość prowadzonego postępowania wyjaśniającego i udzielania odpowiedzi na skargi i wnioski.</w:t>
      </w:r>
    </w:p>
    <w:p w:rsidR="00B31DF0" w:rsidRPr="00850982" w:rsidP="00B31DF0">
      <w:pPr>
        <w:autoSpaceDE w:val="0"/>
        <w:autoSpaceDN w:val="0"/>
        <w:adjustRightInd w:val="0"/>
        <w:spacing w:before="240" w:after="120" w:line="360" w:lineRule="auto"/>
        <w:ind w:firstLine="567"/>
        <w:contextualSpacing/>
        <w:rPr>
          <w:rFonts w:ascii="Arial" w:hAnsi="Arial" w:eastAsiaTheme="minorEastAsia" w:cs="Arial"/>
          <w:sz w:val="24"/>
          <w:szCs w:val="24"/>
        </w:rPr>
      </w:pPr>
      <w:r w:rsidRPr="00850982">
        <w:rPr>
          <w:rFonts w:ascii="Arial" w:hAnsi="Arial" w:eastAsiaTheme="minorEastAsia" w:cs="Arial"/>
          <w:sz w:val="24"/>
          <w:szCs w:val="24"/>
        </w:rPr>
        <w:t>Kontrola wykazała, iż na obu skargach zamieszczono adnotacje o datach ich wpływu do Urzędu. Na treściach przesyłanych zawiadomień o sposobie załatwienia skarg zamieszczano – zgodnie z treścią § 60 ust. 3 Załącznika Nr 1 do Rozporządzenia w sprawie instrukcji kancelaryjnej - informacje o dacie wysyłki.</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W toku kontroli sprawdzono również kwestię zamieszczania podstaw prawnych w przesłanych pismach przedłużających terminy załatwienia skarg i zawiadomieniach o sposobie ich załatwiania. Nie stwierdzono nieprawidłowości w tym zakresie.</w:t>
      </w:r>
    </w:p>
    <w:p w:rsidR="00B31DF0" w:rsidRPr="00850982" w:rsidP="00B31DF0">
      <w:pPr>
        <w:autoSpaceDE w:val="0"/>
        <w:autoSpaceDN w:val="0"/>
        <w:adjustRightInd w:val="0"/>
        <w:spacing w:line="360" w:lineRule="auto"/>
        <w:ind w:firstLine="567"/>
        <w:jc w:val="right"/>
        <w:rPr>
          <w:rFonts w:ascii="Arial" w:hAnsi="Arial" w:eastAsiaTheme="minorEastAsia" w:cs="Arial"/>
          <w:sz w:val="24"/>
          <w:szCs w:val="24"/>
        </w:rPr>
      </w:pPr>
      <w:r w:rsidRPr="00850982">
        <w:rPr>
          <w:rFonts w:ascii="Arial" w:hAnsi="Arial" w:eastAsiaTheme="minorEastAsia" w:cs="Arial"/>
          <w:bCs/>
          <w:sz w:val="24"/>
          <w:szCs w:val="24"/>
        </w:rPr>
        <w:t>[Dowód: akta kontroli, str.119-120;126;129-131;136-138]</w:t>
      </w:r>
    </w:p>
    <w:p w:rsidR="00B31DF0" w:rsidRPr="00850982" w:rsidP="00B31DF0">
      <w:pPr>
        <w:autoSpaceDE w:val="0"/>
        <w:autoSpaceDN w:val="0"/>
        <w:adjustRightInd w:val="0"/>
        <w:spacing w:line="360" w:lineRule="auto"/>
        <w:ind w:firstLine="426"/>
        <w:rPr>
          <w:rFonts w:ascii="Arial" w:hAnsi="Arial" w:eastAsiaTheme="minorEastAsia" w:cs="Arial"/>
          <w:sz w:val="24"/>
          <w:szCs w:val="24"/>
        </w:rPr>
      </w:pPr>
      <w:bookmarkStart w:id="5" w:name="_Hlk171506963"/>
      <w:r w:rsidRPr="00850982">
        <w:rPr>
          <w:rFonts w:ascii="Arial" w:hAnsi="Arial" w:eastAsiaTheme="minorEastAsia" w:cs="Arial"/>
          <w:sz w:val="24"/>
          <w:szCs w:val="24"/>
        </w:rPr>
        <w:t>Zweryfikowano również konieczność zamieszczania – zgodnie z art. 36 § 1 k.p.a. – w pismach przedłużających terminy załatwienia skarg – informacji o przyczynach zwłoki, nowym terminie załatwienia skarg oraz pouczenia o prawie do wniesienia ponaglenia, wynikającym z treści art. 37 k.p.a.</w:t>
      </w:r>
    </w:p>
    <w:p w:rsidR="00B31DF0" w:rsidRPr="00850982" w:rsidP="00B31DF0">
      <w:pPr>
        <w:autoSpaceDE w:val="0"/>
        <w:autoSpaceDN w:val="0"/>
        <w:adjustRightInd w:val="0"/>
        <w:spacing w:line="360" w:lineRule="auto"/>
        <w:ind w:firstLine="567"/>
        <w:rPr>
          <w:rFonts w:ascii="Arial" w:hAnsi="Arial" w:eastAsiaTheme="minorEastAsia" w:cs="Arial"/>
          <w:color w:val="FF0000"/>
          <w:sz w:val="24"/>
          <w:szCs w:val="24"/>
        </w:rPr>
      </w:pPr>
      <w:r w:rsidRPr="00850982">
        <w:rPr>
          <w:rFonts w:ascii="Arial" w:hAnsi="Arial" w:eastAsiaTheme="minorEastAsia" w:cs="Arial"/>
          <w:sz w:val="24"/>
          <w:szCs w:val="24"/>
        </w:rPr>
        <w:t xml:space="preserve">Ustalono, iż we wszystkich skargach tj. o Nr D.1510.5.2024 i D.1510.6.2024 </w:t>
      </w:r>
      <w:r w:rsidRPr="00850982">
        <w:rPr>
          <w:rFonts w:ascii="Arial" w:hAnsi="Arial" w:eastAsiaTheme="minorEastAsia" w:cs="Arial"/>
          <w:sz w:val="24"/>
          <w:szCs w:val="24"/>
        </w:rPr>
        <w:br/>
        <w:t>w których przedłużano terminy ich załatwienia zawarto informację o prawie do wniesienia ponaglenia bez wskazania podstawy prawnej, tj. art. 37 k.p.a.</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Wyżej opisane działanie uznano za nieprawidłowość.</w:t>
      </w:r>
    </w:p>
    <w:p w:rsidR="00B31DF0" w:rsidRPr="00850982" w:rsidP="00B31DF0">
      <w:pPr>
        <w:autoSpaceDE w:val="0"/>
        <w:autoSpaceDN w:val="0"/>
        <w:adjustRightInd w:val="0"/>
        <w:spacing w:line="360" w:lineRule="auto"/>
        <w:jc w:val="right"/>
        <w:rPr>
          <w:rFonts w:ascii="Arial" w:hAnsi="Arial" w:eastAsiaTheme="minorEastAsia" w:cs="Arial"/>
          <w:bCs/>
          <w:sz w:val="24"/>
          <w:szCs w:val="24"/>
        </w:rPr>
      </w:pPr>
      <w:r w:rsidRPr="00850982">
        <w:rPr>
          <w:rFonts w:ascii="Arial" w:hAnsi="Arial" w:eastAsiaTheme="minorEastAsia" w:cs="Arial"/>
          <w:bCs/>
          <w:sz w:val="24"/>
          <w:szCs w:val="24"/>
        </w:rPr>
        <w:t>[Dowód: akta kontroli, str. 119-120;129-131]</w:t>
      </w:r>
    </w:p>
    <w:p w:rsidR="00B31DF0" w:rsidRPr="00850982" w:rsidP="00B31DF0">
      <w:pPr>
        <w:autoSpaceDE w:val="0"/>
        <w:autoSpaceDN w:val="0"/>
        <w:adjustRightInd w:val="0"/>
        <w:spacing w:line="360" w:lineRule="auto"/>
        <w:ind w:firstLine="567"/>
        <w:rPr>
          <w:rFonts w:ascii="Arial" w:hAnsi="Arial" w:eastAsiaTheme="minorEastAsia" w:cs="Arial"/>
          <w:bCs/>
          <w:sz w:val="24"/>
          <w:szCs w:val="24"/>
        </w:rPr>
      </w:pPr>
      <w:r w:rsidRPr="00850982">
        <w:rPr>
          <w:rFonts w:ascii="Arial" w:hAnsi="Arial" w:eastAsiaTheme="minorEastAsia" w:cs="Arial"/>
          <w:bCs/>
          <w:sz w:val="24"/>
          <w:szCs w:val="24"/>
        </w:rPr>
        <w:t xml:space="preserve">Zgodnie z art. 6, 8 i 9 k.p.a. organy władzy publicznej działają na podstawie przepisów prawa i są zobowiązane do prowadzenia postępowania w taki sposób, </w:t>
      </w:r>
      <w:r w:rsidRPr="00850982">
        <w:rPr>
          <w:rFonts w:ascii="Arial" w:hAnsi="Arial" w:eastAsiaTheme="minorEastAsia" w:cs="Arial"/>
          <w:bCs/>
          <w:sz w:val="24"/>
          <w:szCs w:val="24"/>
        </w:rPr>
        <w:br/>
        <w:t xml:space="preserve">aby budzić zaufanie obywateli do władzy publicznej oraz wyczerpująco informować strony o okolicznościach faktycznych i prawnych, co wskazuje na obligatoryjność zamieszczania podstaw prawnych w prowadzonych postępowaniach administracyjnych, w tym również w postępowaniach skargowych. </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bookmarkEnd w:id="5"/>
      <w:r w:rsidRPr="00850982">
        <w:rPr>
          <w:rFonts w:ascii="Arial" w:hAnsi="Arial" w:eastAsiaTheme="minorEastAsia" w:cs="Arial"/>
          <w:sz w:val="24"/>
          <w:szCs w:val="24"/>
        </w:rPr>
        <w:t xml:space="preserve">W toku kontroli sprawdzono prawidłowość i rzetelność zamieszczania </w:t>
      </w:r>
      <w:r w:rsidRPr="00850982">
        <w:rPr>
          <w:rFonts w:ascii="Arial" w:hAnsi="Arial" w:eastAsiaTheme="minorEastAsia" w:cs="Arial"/>
          <w:sz w:val="24"/>
          <w:szCs w:val="24"/>
        </w:rPr>
        <w:br/>
        <w:t xml:space="preserve">w zawiadomieniach o sposobie załatwienia skarg, wszystkich elementów wymienionych w art. 238 § 1 k.p.a. tj. zamieszczania uzasadnienia faktycznego </w:t>
      </w:r>
      <w:r w:rsidRPr="00850982">
        <w:rPr>
          <w:rFonts w:ascii="Arial" w:hAnsi="Arial" w:eastAsiaTheme="minorEastAsia" w:cs="Arial"/>
          <w:sz w:val="24"/>
          <w:szCs w:val="24"/>
        </w:rPr>
        <w:br/>
        <w:t>i prawnego oraz pouczenia o treści art. 239 § 1 k.p.a. Stwierdzono, iż przesłane zawiadomienia zawierają wszystkie elementy określone w ww. przepisie.</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Mając na uwadze przepis art. 226a k.p.a., obowiązujący od dnia 4 maja 2019 r. (wynikający z treści art. 13 ust. 1 i 2 Rozporządzenia Parlamentu Europejskiego </w:t>
      </w:r>
      <w:r w:rsidRPr="00850982">
        <w:rPr>
          <w:rFonts w:ascii="Arial" w:hAnsi="Arial" w:eastAsiaTheme="minorEastAsia" w:cs="Arial"/>
          <w:sz w:val="24"/>
          <w:szCs w:val="24"/>
        </w:rPr>
        <w:br/>
        <w:t>i Rady (UE) w sprawie ochrony osób fizycznych w związku z przetwarzaniem danych osobowych i w sprawie swobodnego przepływu takich danych oraz uchylenia dyrektywy 95/46/WE</w:t>
      </w:r>
      <w:r>
        <w:rPr>
          <w:rFonts w:ascii="Arial" w:hAnsi="Arial" w:eastAsiaTheme="minorEastAsia" w:cs="Arial"/>
          <w:sz w:val="24"/>
          <w:szCs w:val="24"/>
          <w:vertAlign w:val="superscript"/>
        </w:rPr>
        <w:footnoteReference w:id="10"/>
      </w:r>
      <w:r w:rsidRPr="00850982">
        <w:rPr>
          <w:rFonts w:ascii="Arial" w:hAnsi="Arial" w:eastAsiaTheme="minorEastAsia" w:cs="Arial"/>
          <w:sz w:val="24"/>
          <w:szCs w:val="24"/>
        </w:rPr>
        <w:t xml:space="preserve">, kontrolujący sprawdzili, czy przekazywano skarżącym – </w:t>
      </w:r>
      <w:r w:rsidRPr="00850982">
        <w:rPr>
          <w:rFonts w:ascii="Arial" w:hAnsi="Arial" w:eastAsiaTheme="minorEastAsia" w:cs="Arial"/>
          <w:sz w:val="24"/>
          <w:szCs w:val="24"/>
        </w:rPr>
        <w:br/>
        <w:t>w pierwszych czynnościach skierowanych do tych osób – informacje o przetwarzaniu ich danych osobowych.</w:t>
      </w:r>
    </w:p>
    <w:p w:rsidR="00B31DF0" w:rsidRPr="00850982" w:rsidP="00B31DF0">
      <w:pPr>
        <w:autoSpaceDE w:val="0"/>
        <w:autoSpaceDN w:val="0"/>
        <w:adjustRightInd w:val="0"/>
        <w:spacing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Ustalono, iż w przypadku jednej skontrolowanej skargi tj. D.1510.6.2024 w toku jej załatwiania przez Radę Miejską w Niemodlinie - nie została przekazana skarżącemu informacja, o której mowa w art. 13 ust. 1-2 RODO (klauzula informacyjna o przetwarzaniu danych osobowych) przy pierwszej czynności skierowanej do skarżącego, a więc w piśmie przedłużającym termin załatwienia skargi, jak również nie została przekazana </w:t>
      </w:r>
      <w:bookmarkStart w:id="6" w:name="_Hlk187404198"/>
      <w:r w:rsidRPr="00850982">
        <w:rPr>
          <w:rFonts w:ascii="Arial" w:hAnsi="Arial" w:eastAsiaTheme="minorEastAsia" w:cs="Arial"/>
          <w:sz w:val="24"/>
          <w:szCs w:val="24"/>
        </w:rPr>
        <w:t xml:space="preserve">w zawiadomieniu o sposobie załatwienia </w:t>
      </w:r>
      <w:r w:rsidRPr="00850982">
        <w:rPr>
          <w:rFonts w:ascii="Arial" w:hAnsi="Arial" w:eastAsiaTheme="minorEastAsia" w:cs="Arial"/>
          <w:sz w:val="24"/>
          <w:szCs w:val="24"/>
        </w:rPr>
        <w:t>skargi</w:t>
      </w:r>
      <w:bookmarkEnd w:id="6"/>
      <w:r w:rsidRPr="00850982">
        <w:rPr>
          <w:rFonts w:ascii="Arial" w:hAnsi="Arial" w:eastAsiaTheme="minorEastAsia" w:cs="Arial"/>
          <w:sz w:val="24"/>
          <w:szCs w:val="24"/>
        </w:rPr>
        <w:t xml:space="preserve">. </w:t>
      </w:r>
      <w:r w:rsidRPr="00850982">
        <w:rPr>
          <w:rFonts w:ascii="Arial" w:hAnsi="Arial" w:eastAsiaTheme="minorEastAsia" w:cs="Arial"/>
          <w:sz w:val="24"/>
          <w:szCs w:val="24"/>
        </w:rPr>
        <w:t>Ponadto,</w:t>
      </w:r>
      <w:r w:rsidRPr="00850982">
        <w:rPr>
          <w:rFonts w:ascii="Arial" w:hAnsi="Arial" w:eastAsiaTheme="minorEastAsia" w:cs="Arial"/>
          <w:sz w:val="24"/>
          <w:szCs w:val="24"/>
        </w:rPr>
        <w:t xml:space="preserve"> ani w treści pisma przedłużającego termin załatwienia skargi, ani </w:t>
      </w:r>
      <w:r w:rsidRPr="00850982">
        <w:rPr>
          <w:rFonts w:ascii="Arial" w:hAnsi="Arial" w:eastAsiaTheme="minorEastAsia" w:cs="Arial"/>
          <w:sz w:val="24"/>
          <w:szCs w:val="24"/>
        </w:rPr>
        <w:br/>
        <w:t xml:space="preserve">w zawiadomieniu o sposobie jej załatwienia nie zamieszczono informacji </w:t>
      </w:r>
      <w:r w:rsidRPr="00850982">
        <w:rPr>
          <w:rFonts w:ascii="Arial" w:hAnsi="Arial" w:eastAsiaTheme="minorEastAsia" w:cs="Arial"/>
          <w:sz w:val="24"/>
          <w:szCs w:val="24"/>
        </w:rPr>
        <w:br/>
        <w:t xml:space="preserve">o załączeniu „Klauzula RODO”. </w:t>
      </w:r>
    </w:p>
    <w:p w:rsidR="00B31DF0" w:rsidRPr="00850982" w:rsidP="00B31DF0">
      <w:pPr>
        <w:autoSpaceDE w:val="0"/>
        <w:autoSpaceDN w:val="0"/>
        <w:adjustRightInd w:val="0"/>
        <w:spacing w:line="360" w:lineRule="auto"/>
        <w:ind w:firstLine="567"/>
        <w:rPr>
          <w:rFonts w:ascii="Arial" w:hAnsi="Arial" w:eastAsiaTheme="minorEastAsia" w:cs="Arial"/>
          <w:color w:val="FF0000"/>
          <w:sz w:val="24"/>
          <w:szCs w:val="24"/>
        </w:rPr>
      </w:pPr>
      <w:r w:rsidRPr="00850982">
        <w:rPr>
          <w:rFonts w:ascii="Arial" w:hAnsi="Arial" w:eastAsiaTheme="minorEastAsia" w:cs="Arial"/>
          <w:sz w:val="24"/>
          <w:szCs w:val="24"/>
        </w:rPr>
        <w:t>Wyżej opisane działanie uznano za</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nieprawidłowość.</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Biorąc pod uwagę przepisy art. 225 § 1-2 k.p.a. oraz art. 5 ust. 2 ustawy z dnia 6 września 2001 r. o dostępie do informacji publicznej (</w:t>
      </w:r>
      <w:r w:rsidRPr="00850982">
        <w:rPr>
          <w:rFonts w:ascii="Arial" w:hAnsi="Arial" w:eastAsiaTheme="minorEastAsia" w:cs="Arial"/>
          <w:sz w:val="24"/>
          <w:szCs w:val="24"/>
        </w:rPr>
        <w:t>t .</w:t>
      </w:r>
      <w:r w:rsidRPr="00850982">
        <w:rPr>
          <w:rFonts w:ascii="Arial" w:hAnsi="Arial" w:eastAsiaTheme="minorEastAsia" w:cs="Arial"/>
          <w:sz w:val="24"/>
          <w:szCs w:val="24"/>
        </w:rPr>
        <w:t xml:space="preserve">j. Dz.U. z 2022 r., poz. 902) i RODO, kontrolujący dokonali również sprawdzenia </w:t>
      </w:r>
      <w:r w:rsidRPr="00850982">
        <w:rPr>
          <w:rFonts w:ascii="Arial" w:hAnsi="Arial" w:eastAsiaTheme="minorEastAsia" w:cs="Arial"/>
          <w:sz w:val="24"/>
          <w:szCs w:val="24"/>
        </w:rPr>
        <w:t>anonimizacji</w:t>
      </w:r>
      <w:r w:rsidRPr="00850982">
        <w:rPr>
          <w:rFonts w:ascii="Arial" w:hAnsi="Arial" w:eastAsiaTheme="minorEastAsia" w:cs="Arial"/>
          <w:sz w:val="24"/>
          <w:szCs w:val="24"/>
        </w:rPr>
        <w:t xml:space="preserve"> danych osobowych skarżących w</w:t>
      </w:r>
      <w:r w:rsidRPr="00850982">
        <w:rPr>
          <w:rFonts w:ascii="Arial" w:hAnsi="Arial" w:eastAsiaTheme="minorEastAsia" w:cs="Arial"/>
          <w:bCs/>
          <w:sz w:val="24"/>
          <w:szCs w:val="24"/>
        </w:rPr>
        <w:t xml:space="preserve"> </w:t>
      </w:r>
      <w:r w:rsidRPr="00850982">
        <w:rPr>
          <w:rFonts w:ascii="Arial" w:hAnsi="Arial" w:eastAsiaTheme="minorEastAsia" w:cs="Arial"/>
          <w:sz w:val="24"/>
          <w:szCs w:val="24"/>
        </w:rPr>
        <w:t xml:space="preserve">uchwałach Rady Miejskiej w Niemodlinie w przedmiocie załatwienia skarg, opublikowanych w Biuletynie Informacji Publicznych Urzędu. </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Ustalono, że</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 xml:space="preserve">2 opublikowane w tym zakresie uchwały Rady Miejskiej </w:t>
      </w:r>
      <w:r w:rsidRPr="00850982">
        <w:rPr>
          <w:rFonts w:ascii="Arial" w:hAnsi="Arial" w:eastAsiaTheme="minorEastAsia" w:cs="Arial"/>
          <w:sz w:val="24"/>
          <w:szCs w:val="24"/>
        </w:rPr>
        <w:br/>
        <w:t>w Niemodlinie zostały prawidłowo zanonimizowane</w:t>
      </w:r>
      <w:r>
        <w:rPr>
          <w:rFonts w:ascii="Arial" w:hAnsi="Arial" w:eastAsiaTheme="minorEastAsia" w:cs="Arial"/>
          <w:sz w:val="24"/>
          <w:szCs w:val="24"/>
          <w:vertAlign w:val="superscript"/>
        </w:rPr>
        <w:footnoteReference w:id="11"/>
      </w:r>
      <w:r w:rsidRPr="00850982">
        <w:rPr>
          <w:rFonts w:ascii="Arial" w:hAnsi="Arial" w:eastAsiaTheme="minorEastAsia" w:cs="Arial"/>
          <w:sz w:val="24"/>
          <w:szCs w:val="24"/>
        </w:rPr>
        <w:t>.</w:t>
      </w:r>
    </w:p>
    <w:p w:rsidR="00B31DF0" w:rsidRPr="00850982" w:rsidP="00B31DF0">
      <w:pPr>
        <w:numPr>
          <w:ilvl w:val="0"/>
          <w:numId w:val="4"/>
        </w:numPr>
        <w:spacing w:before="120" w:after="120" w:line="360" w:lineRule="auto"/>
        <w:ind w:left="0" w:firstLine="0"/>
        <w:rPr>
          <w:rFonts w:ascii="Arial" w:hAnsi="Arial" w:eastAsiaTheme="minorEastAsia" w:cs="Arial"/>
          <w:b/>
          <w:sz w:val="24"/>
          <w:szCs w:val="24"/>
        </w:rPr>
      </w:pPr>
      <w:r w:rsidRPr="00850982">
        <w:rPr>
          <w:rFonts w:ascii="Arial" w:hAnsi="Arial" w:eastAsiaTheme="minorEastAsia" w:cs="Arial"/>
          <w:b/>
          <w:bCs/>
          <w:sz w:val="24"/>
          <w:szCs w:val="24"/>
        </w:rPr>
        <w:t>Zakres, przyczyny i skutki stwierdzonych nieprawidłowości oraz osoby odpowiedzialne za nieprawidłowości</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W wyniku kontroli ujawniono nieprawidłowość</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polegającą na błędnym zakwalifikowaniu 4 spraw jako wnioski z działu VIII k.p.a. Stwierdzono również pojedyncze nieprawidłowości</w:t>
      </w:r>
      <w:r w:rsidRPr="00850982">
        <w:rPr>
          <w:rFonts w:ascii="Arial" w:hAnsi="Arial" w:eastAsiaTheme="minorEastAsia" w:cs="Arial"/>
          <w:color w:val="FF0000"/>
          <w:sz w:val="24"/>
          <w:szCs w:val="24"/>
        </w:rPr>
        <w:t xml:space="preserve"> </w:t>
      </w:r>
      <w:r w:rsidRPr="00850982">
        <w:rPr>
          <w:rFonts w:ascii="Arial" w:hAnsi="Arial" w:eastAsiaTheme="minorEastAsia" w:cs="Arial"/>
          <w:sz w:val="24"/>
          <w:szCs w:val="24"/>
        </w:rPr>
        <w:t>w załatwianiu skarg, tj. w pismach przedłużających terminy załatwienia 2 skarg, brak zamieszczenia pouczenia o prawie do wniesienia ponaglenia wynikającego z treści art. 37 k.p.a. oraz brak przekazania skarżącym informacji o przetwarzaniu ich danych osobowych przy załatwianiu 1 skargi.</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Za przyczynę stwierdzonych nieprawidłowości uznano m.in. niewystarczający nadzór ogólny nad sposobem załatwiania skarg i wniosków realizowany przez Burmistrza Gminy oraz niewystarczający nadzór szczegółowy Głównego specjalisty ds. dialogu. </w:t>
      </w:r>
    </w:p>
    <w:p w:rsidR="00B31DF0" w:rsidRPr="00850982" w:rsidP="00B31DF0">
      <w:pPr>
        <w:spacing w:before="120" w:after="120" w:line="360" w:lineRule="auto"/>
        <w:ind w:firstLine="567"/>
        <w:rPr>
          <w:rFonts w:ascii="Arial" w:hAnsi="Arial" w:eastAsiaTheme="minorEastAsia" w:cs="Arial"/>
          <w:sz w:val="24"/>
          <w:szCs w:val="24"/>
        </w:rPr>
      </w:pPr>
      <w:r w:rsidRPr="00850982">
        <w:rPr>
          <w:rFonts w:ascii="Arial" w:hAnsi="Arial" w:eastAsiaTheme="minorEastAsia" w:cs="Arial"/>
          <w:sz w:val="24"/>
          <w:szCs w:val="24"/>
        </w:rPr>
        <w:t xml:space="preserve">Skutkiem stwierdzonych nieprawidłowości jest odstępstwo od stanu pożądanego w postaci nieprawidłowego działania organów Gminy Niemodlin </w:t>
      </w:r>
      <w:r w:rsidRPr="00850982">
        <w:rPr>
          <w:rFonts w:ascii="Arial" w:hAnsi="Arial" w:eastAsiaTheme="minorEastAsia" w:cs="Arial"/>
          <w:sz w:val="24"/>
          <w:szCs w:val="24"/>
        </w:rPr>
        <w:br/>
        <w:t xml:space="preserve">w ww. zakresie. </w:t>
      </w:r>
    </w:p>
    <w:p w:rsidR="00B31DF0" w:rsidRPr="00850982" w:rsidP="00B31DF0">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Informacja o zastrzeżeniach zgłoszonych do projektu wystąpienia pokontrolnego i wyniku ich rozpatrzenia lub o niezgłoszeniu zastrzeżeń.</w:t>
      </w:r>
    </w:p>
    <w:p w:rsidR="00B31DF0" w:rsidRPr="00850982" w:rsidP="00B31DF0">
      <w:pPr>
        <w:spacing w:before="120" w:after="120" w:line="360" w:lineRule="auto"/>
        <w:contextualSpacing/>
        <w:rPr>
          <w:rFonts w:ascii="Arial" w:hAnsi="Arial" w:eastAsiaTheme="minorEastAsia" w:cs="Arial"/>
          <w:sz w:val="24"/>
          <w:szCs w:val="24"/>
        </w:rPr>
      </w:pPr>
      <w:r w:rsidRPr="00850982">
        <w:rPr>
          <w:rFonts w:ascii="Arial" w:hAnsi="Arial" w:eastAsiaTheme="minorEastAsia" w:cs="Arial"/>
          <w:sz w:val="24"/>
          <w:szCs w:val="24"/>
        </w:rPr>
        <w:t xml:space="preserve">Nie zgłoszono zastrzeżeń do projektu wystąpienia pokontrolnego z dnia </w:t>
      </w:r>
      <w:r w:rsidR="000A2AC1">
        <w:rPr>
          <w:rFonts w:ascii="Arial" w:hAnsi="Arial" w:eastAsiaTheme="minorEastAsia" w:cs="Arial"/>
          <w:sz w:val="24"/>
          <w:szCs w:val="24"/>
        </w:rPr>
        <w:t>16</w:t>
      </w:r>
      <w:r w:rsidRPr="00850982">
        <w:rPr>
          <w:rFonts w:ascii="Arial" w:hAnsi="Arial" w:eastAsiaTheme="minorEastAsia" w:cs="Arial"/>
          <w:sz w:val="24"/>
          <w:szCs w:val="24"/>
        </w:rPr>
        <w:t xml:space="preserve"> stycznia 2025 r.</w:t>
      </w:r>
    </w:p>
    <w:p w:rsidR="00B31DF0" w:rsidRPr="00850982" w:rsidP="00B31DF0">
      <w:pPr>
        <w:numPr>
          <w:ilvl w:val="0"/>
          <w:numId w:val="4"/>
        </w:numPr>
        <w:spacing w:before="120" w:after="120" w:line="360" w:lineRule="auto"/>
        <w:ind w:left="0" w:firstLine="0"/>
        <w:contextualSpacing/>
        <w:rPr>
          <w:rFonts w:asciiTheme="minorHAnsi" w:eastAsiaTheme="minorEastAsia" w:hAnsiTheme="minorHAnsi" w:cs="Arial"/>
          <w:sz w:val="22"/>
          <w:szCs w:val="22"/>
        </w:rPr>
      </w:pPr>
      <w:r w:rsidRPr="00850982">
        <w:rPr>
          <w:rFonts w:ascii="Arial" w:hAnsi="Arial" w:eastAsiaTheme="minorEastAsia" w:cs="Arial"/>
          <w:b/>
          <w:sz w:val="24"/>
          <w:szCs w:val="24"/>
        </w:rPr>
        <w:t>Zalecenia lub wnioski dotyczące usunięcia nieprawidłowości lub usprawnienia funkcjonowania jednostki kontrolowanej.</w:t>
      </w:r>
    </w:p>
    <w:p w:rsidR="00B31DF0" w:rsidRPr="00850982" w:rsidP="00B31DF0">
      <w:pPr>
        <w:spacing w:after="200" w:line="276" w:lineRule="auto"/>
        <w:ind w:left="720"/>
        <w:contextualSpacing/>
        <w:rPr>
          <w:rFonts w:asciiTheme="minorHAnsi" w:eastAsiaTheme="minorEastAsia" w:hAnsiTheme="minorHAnsi" w:cs="Arial"/>
          <w:sz w:val="22"/>
          <w:szCs w:val="22"/>
        </w:rPr>
      </w:pPr>
    </w:p>
    <w:p w:rsidR="00B31DF0" w:rsidRPr="00850982" w:rsidP="00B31DF0">
      <w:pPr>
        <w:spacing w:before="120" w:after="120" w:line="360" w:lineRule="auto"/>
        <w:ind w:firstLine="567"/>
        <w:contextualSpacing/>
        <w:rPr>
          <w:rFonts w:ascii="Arial" w:hAnsi="Arial" w:eastAsiaTheme="minorEastAsia" w:cs="Arial"/>
          <w:sz w:val="24"/>
          <w:szCs w:val="24"/>
        </w:rPr>
      </w:pPr>
      <w:r w:rsidRPr="00850982">
        <w:rPr>
          <w:rFonts w:ascii="Arial" w:hAnsi="Arial" w:eastAsiaTheme="minorEastAsia" w:cs="Arial"/>
          <w:sz w:val="24"/>
          <w:szCs w:val="24"/>
        </w:rPr>
        <w:t>W związku z ustaleniami kontroli zalecam:</w:t>
      </w:r>
    </w:p>
    <w:p w:rsidR="00B31DF0" w:rsidRPr="00850982" w:rsidP="00B31DF0">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850982">
        <w:rPr>
          <w:rFonts w:ascii="Arial" w:hAnsi="Arial" w:eastAsiaTheme="minorEastAsia" w:cs="Arial"/>
          <w:sz w:val="24"/>
          <w:szCs w:val="24"/>
        </w:rPr>
        <w:t>Wzmocnić i prawidłowo realizować – prowadzony przez Burmistrza Gminy – nadzór ogólny, oraz Głównego specjalisty ds. dialogu - nadzór szczegó</w:t>
      </w:r>
      <w:r w:rsidR="00820423">
        <w:rPr>
          <w:rFonts w:ascii="Arial" w:hAnsi="Arial" w:eastAsiaTheme="minorEastAsia" w:cs="Arial"/>
          <w:sz w:val="24"/>
          <w:szCs w:val="24"/>
        </w:rPr>
        <w:t xml:space="preserve">łowy </w:t>
      </w:r>
      <w:bookmarkStart w:id="7" w:name="_GoBack"/>
      <w:bookmarkEnd w:id="7"/>
      <w:r w:rsidRPr="00850982">
        <w:rPr>
          <w:rFonts w:ascii="Arial" w:hAnsi="Arial" w:eastAsiaTheme="minorEastAsia" w:cs="Arial"/>
          <w:sz w:val="24"/>
          <w:szCs w:val="24"/>
        </w:rPr>
        <w:t>nad sposobem załatwiania skarg i wniosków.</w:t>
      </w:r>
    </w:p>
    <w:p w:rsidR="00B31DF0" w:rsidRPr="00850982" w:rsidP="00B31DF0">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850982">
        <w:rPr>
          <w:rFonts w:ascii="Arial" w:hAnsi="Arial" w:eastAsiaTheme="minorEastAsia" w:cs="Arial"/>
          <w:sz w:val="24"/>
          <w:szCs w:val="24"/>
        </w:rPr>
        <w:t>Prawidłowo kwalifikować wnioski ze względu na ich przedmiot, zgodnie z treścią art. 222 k.p.a. w związku z art. 241 k.p.a.</w:t>
      </w:r>
    </w:p>
    <w:p w:rsidR="00B31DF0" w:rsidRPr="00850982" w:rsidP="00B31DF0">
      <w:pPr>
        <w:numPr>
          <w:ilvl w:val="3"/>
          <w:numId w:val="4"/>
        </w:numPr>
        <w:tabs>
          <w:tab w:val="left" w:pos="284"/>
        </w:tabs>
        <w:spacing w:before="120" w:after="120" w:line="360" w:lineRule="auto"/>
        <w:ind w:left="284" w:hanging="284"/>
        <w:contextualSpacing/>
        <w:rPr>
          <w:rFonts w:ascii="Arial" w:hAnsi="Arial" w:eastAsiaTheme="minorEastAsia" w:cs="Arial"/>
          <w:sz w:val="24"/>
          <w:szCs w:val="24"/>
        </w:rPr>
      </w:pPr>
      <w:r w:rsidRPr="00850982">
        <w:rPr>
          <w:rFonts w:ascii="Arial" w:hAnsi="Arial" w:eastAsiaTheme="minorEastAsia" w:cs="Arial"/>
          <w:sz w:val="24"/>
          <w:szCs w:val="24"/>
        </w:rPr>
        <w:t xml:space="preserve">W pismach przedłużających terminy załatwienia skarg zamieszczać pouczenie </w:t>
      </w:r>
      <w:r w:rsidR="007207F1">
        <w:rPr>
          <w:rFonts w:ascii="Arial" w:hAnsi="Arial" w:eastAsiaTheme="minorEastAsia" w:cs="Arial"/>
          <w:sz w:val="24"/>
          <w:szCs w:val="24"/>
        </w:rPr>
        <w:br/>
      </w:r>
      <w:r w:rsidRPr="00850982">
        <w:rPr>
          <w:rFonts w:ascii="Arial" w:hAnsi="Arial" w:eastAsiaTheme="minorEastAsia" w:cs="Arial"/>
          <w:sz w:val="24"/>
          <w:szCs w:val="24"/>
        </w:rPr>
        <w:t>o prawie do wniesienia ponaglenia wynikającego z treści art. 37 k.p.a.</w:t>
      </w:r>
    </w:p>
    <w:p w:rsidR="00B31DF0" w:rsidRPr="00820423" w:rsidP="00820423">
      <w:pPr>
        <w:numPr>
          <w:ilvl w:val="3"/>
          <w:numId w:val="4"/>
        </w:numPr>
        <w:tabs>
          <w:tab w:val="left" w:pos="426"/>
        </w:tabs>
        <w:spacing w:before="120" w:after="120" w:line="360" w:lineRule="auto"/>
        <w:ind w:left="284" w:hanging="284"/>
        <w:contextualSpacing/>
        <w:rPr>
          <w:rFonts w:ascii="Arial" w:hAnsi="Arial" w:eastAsiaTheme="minorEastAsia" w:cs="Arial"/>
          <w:sz w:val="24"/>
          <w:szCs w:val="24"/>
        </w:rPr>
      </w:pPr>
      <w:r w:rsidRPr="00850982">
        <w:rPr>
          <w:rFonts w:ascii="Arial" w:hAnsi="Arial" w:eastAsiaTheme="minorEastAsia" w:cs="Arial"/>
          <w:sz w:val="24"/>
          <w:szCs w:val="24"/>
        </w:rPr>
        <w:t xml:space="preserve">W pierwszych pismach kierowanych do skarżących zamieszczać klauzule informacyjne dot. przetwarzania danych osobowych, zgodnie z dyspozycją zawartą w art. </w:t>
      </w:r>
      <w:r w:rsidRPr="00850982">
        <w:rPr>
          <w:rFonts w:ascii="Arial" w:hAnsi="Arial" w:eastAsiaTheme="minorEastAsia" w:cs="Arial"/>
          <w:sz w:val="24"/>
          <w:szCs w:val="24"/>
        </w:rPr>
        <w:t>226a</w:t>
      </w:r>
      <w:r w:rsidRPr="00850982">
        <w:rPr>
          <w:rFonts w:ascii="Arial" w:hAnsi="Arial" w:eastAsiaTheme="minorEastAsia" w:cs="Arial"/>
          <w:sz w:val="24"/>
          <w:szCs w:val="24"/>
        </w:rPr>
        <w:t xml:space="preserve"> k.p.a.</w:t>
      </w:r>
    </w:p>
    <w:p w:rsidR="00B31DF0" w:rsidRPr="00850982" w:rsidP="00B31DF0">
      <w:pPr>
        <w:numPr>
          <w:ilvl w:val="0"/>
          <w:numId w:val="4"/>
        </w:numPr>
        <w:spacing w:before="120" w:after="120" w:line="360" w:lineRule="auto"/>
        <w:ind w:left="0" w:firstLine="0"/>
        <w:contextualSpacing/>
        <w:rPr>
          <w:rFonts w:asciiTheme="minorHAnsi" w:eastAsiaTheme="minorEastAsia" w:hAnsiTheme="minorHAnsi" w:cs="Arial"/>
          <w:sz w:val="22"/>
          <w:szCs w:val="22"/>
        </w:rPr>
      </w:pPr>
      <w:r w:rsidRPr="00850982">
        <w:rPr>
          <w:rFonts w:ascii="Arial" w:hAnsi="Arial" w:eastAsiaTheme="minorEastAsia" w:cs="Arial"/>
          <w:b/>
          <w:sz w:val="24"/>
          <w:szCs w:val="24"/>
        </w:rPr>
        <w:t>Ocena wskazująca na niezasadność zajmowania stanowiska lub pełnienia funkcji przez osobę odpowiedzialną za stwierdzone nieprawidłowości:</w:t>
      </w:r>
    </w:p>
    <w:p w:rsidR="00B31DF0" w:rsidRPr="00850982" w:rsidP="00B31DF0">
      <w:pPr>
        <w:spacing w:before="120" w:after="120" w:line="360" w:lineRule="auto"/>
        <w:contextualSpacing/>
        <w:rPr>
          <w:rFonts w:ascii="Arial" w:hAnsi="Arial" w:eastAsiaTheme="minorEastAsia" w:cs="Arial"/>
          <w:sz w:val="24"/>
          <w:szCs w:val="24"/>
        </w:rPr>
      </w:pPr>
      <w:r w:rsidRPr="00850982">
        <w:rPr>
          <w:rFonts w:ascii="Arial" w:hAnsi="Arial" w:eastAsiaTheme="minorEastAsia" w:cs="Arial"/>
          <w:sz w:val="24"/>
          <w:szCs w:val="24"/>
        </w:rPr>
        <w:t>Nie dotyczy.</w:t>
      </w:r>
    </w:p>
    <w:p w:rsidR="00B31DF0" w:rsidRPr="00850982" w:rsidP="00B31DF0">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Na podstawie art. 49 oraz art. 46 ust. 3 pkt 3 ustawy o kontroli, proszę o przekazanie pisemnej informacji o sposobie wykonania zaleceń, wykorzystaniu wniosków lub przyczynach ich niewykorzystania, o podjętych działaniach lub przyczynach ich niepodjęcia, albo o innym sposobie usunięcia stwierdzonych nieprawidłowości (uchybień), w terminie 14 dni od dnia otrzymania niniejszego dokumentu.</w:t>
      </w:r>
    </w:p>
    <w:p w:rsidR="00B31DF0" w:rsidRPr="00850982" w:rsidP="00B31DF0">
      <w:pPr>
        <w:numPr>
          <w:ilvl w:val="0"/>
          <w:numId w:val="4"/>
        </w:numPr>
        <w:spacing w:before="120" w:after="120" w:line="360" w:lineRule="auto"/>
        <w:ind w:left="0" w:firstLine="0"/>
        <w:contextualSpacing/>
        <w:rPr>
          <w:rFonts w:ascii="Arial" w:hAnsi="Arial" w:eastAsiaTheme="minorEastAsia" w:cs="Arial"/>
          <w:b/>
          <w:sz w:val="24"/>
          <w:szCs w:val="24"/>
        </w:rPr>
      </w:pPr>
      <w:r w:rsidRPr="00850982">
        <w:rPr>
          <w:rFonts w:ascii="Arial" w:hAnsi="Arial" w:eastAsiaTheme="minorEastAsia" w:cs="Arial"/>
          <w:b/>
          <w:sz w:val="24"/>
          <w:szCs w:val="24"/>
        </w:rPr>
        <w:t>Zgodnie z art. 48 ustawy o kontroli, od wystąpienia pokontrolnego nie przysługują środki odwoławcze.</w:t>
      </w:r>
    </w:p>
    <w:p w:rsidR="00A74D53" w:rsidRPr="00E249A1"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ED0652" w:rsidRPr="00ED0652" w:rsidP="00ED0652">
      <w:pPr>
        <w:pStyle w:val="Style18"/>
        <w:jc w:val="center"/>
        <w:rPr>
          <w:i/>
          <w:iCs/>
          <w:color w:val="FF0000"/>
          <w:sz w:val="18"/>
          <w:szCs w:val="18"/>
        </w:rPr>
      </w:pPr>
      <w:r>
        <w:rPr>
          <w:i/>
          <w:iCs/>
          <w:color w:val="FF0000"/>
          <w:sz w:val="18"/>
          <w:szCs w:val="18"/>
        </w:rPr>
        <w:t xml:space="preserve">                                                                 </w:t>
      </w:r>
      <w:r w:rsidRPr="00ED0652">
        <w:rPr>
          <w:i/>
          <w:iCs/>
          <w:color w:val="FF0000"/>
          <w:sz w:val="18"/>
          <w:szCs w:val="18"/>
        </w:rPr>
        <w:t>Joanna Sachanbińska</w:t>
      </w:r>
    </w:p>
    <w:p w:rsidR="00ED0652" w:rsidRPr="00ED0652" w:rsidP="00ED0652">
      <w:pPr>
        <w:widowControl w:val="0"/>
        <w:autoSpaceDE w:val="0"/>
        <w:autoSpaceDN w:val="0"/>
        <w:adjustRightInd w:val="0"/>
        <w:jc w:val="center"/>
        <w:rPr>
          <w:rFonts w:ascii="Arial" w:hAnsi="Arial" w:cs="Arial"/>
          <w:iCs/>
          <w:color w:val="FF0000"/>
          <w:sz w:val="18"/>
          <w:szCs w:val="18"/>
        </w:rPr>
      </w:pPr>
      <w:r>
        <w:rPr>
          <w:rFonts w:ascii="Arial" w:hAnsi="Arial" w:cs="Arial"/>
          <w:iCs/>
          <w:color w:val="FF0000"/>
          <w:sz w:val="18"/>
          <w:szCs w:val="18"/>
        </w:rPr>
        <w:t xml:space="preserve">                                                               </w:t>
      </w:r>
      <w:r w:rsidRPr="00ED0652">
        <w:rPr>
          <w:rFonts w:ascii="Arial" w:hAnsi="Arial" w:cs="Arial"/>
          <w:iCs/>
          <w:color w:val="FF0000"/>
          <w:sz w:val="18"/>
          <w:szCs w:val="18"/>
        </w:rPr>
        <w:t>radca prawny</w:t>
      </w:r>
    </w:p>
    <w:p w:rsidR="00ED0652" w:rsidRPr="00ED0652" w:rsidP="00ED0652">
      <w:pPr>
        <w:autoSpaceDE w:val="0"/>
        <w:autoSpaceDN w:val="0"/>
        <w:adjustRightInd w:val="0"/>
        <w:jc w:val="center"/>
        <w:rPr>
          <w:rFonts w:ascii="Arial" w:hAnsi="Arial" w:cs="Arial"/>
          <w:iCs/>
          <w:color w:val="FF0000"/>
        </w:rPr>
      </w:pPr>
      <w:r>
        <w:rPr>
          <w:rFonts w:ascii="Arial" w:hAnsi="Arial" w:cs="Arial"/>
          <w:iCs/>
          <w:color w:val="FF0000"/>
        </w:rPr>
        <w:t xml:space="preserve">                                                         </w:t>
      </w:r>
      <w:r w:rsidRPr="00ED0652">
        <w:rPr>
          <w:rFonts w:ascii="Arial" w:hAnsi="Arial" w:cs="Arial"/>
          <w:iCs/>
          <w:color w:val="FF0000"/>
        </w:rPr>
        <w:t>Dyrektor Wydziału</w:t>
      </w:r>
    </w:p>
    <w:p w:rsidR="00A74D53" w:rsidRPr="00E249A1" w:rsidP="00ED0652">
      <w:pPr>
        <w:keepNext/>
        <w:keepLines/>
        <w:tabs>
          <w:tab w:val="left" w:pos="-3686"/>
          <w:tab w:val="center" w:pos="6237"/>
        </w:tabs>
        <w:spacing w:line="360" w:lineRule="auto"/>
        <w:jc w:val="center"/>
        <w:rPr>
          <w:rFonts w:ascii="Arial" w:hAnsi="Arial" w:cs="Arial"/>
          <w:b/>
          <w:color w:val="FF0000"/>
          <w:sz w:val="22"/>
          <w:szCs w:val="22"/>
        </w:rPr>
      </w:pPr>
      <w:r>
        <w:rPr>
          <w:rFonts w:ascii="Calibri" w:eastAsia="Calibri" w:hAnsi="Calibri"/>
          <w:iCs/>
          <w:color w:val="FF0000"/>
          <w:lang w:eastAsia="en-US"/>
        </w:rPr>
        <w:t xml:space="preserve">                                                                   </w:t>
      </w:r>
      <w:r w:rsidRPr="00ED0652" w:rsidR="00ED0652">
        <w:rPr>
          <w:rFonts w:ascii="Calibri" w:eastAsia="Calibri" w:hAnsi="Calibri"/>
          <w:iCs/>
          <w:color w:val="FF0000"/>
          <w:lang w:eastAsia="en-US"/>
        </w:rPr>
        <w:t>Prawnego i Nadzoru</w:t>
      </w:r>
    </w:p>
    <w:p w:rsidR="00C65DE0" w:rsidRPr="00820423" w:rsidP="00820423">
      <w:pPr>
        <w:pStyle w:val="ListParagraph"/>
        <w:tabs>
          <w:tab w:val="left" w:pos="4536"/>
          <w:tab w:val="left" w:pos="5103"/>
          <w:tab w:val="left" w:pos="6521"/>
          <w:tab w:val="right" w:pos="9072"/>
        </w:tabs>
        <w:spacing w:before="600" w:after="0" w:line="240" w:lineRule="auto"/>
        <w:ind w:left="0"/>
        <w:contextualSpacing w:val="0"/>
        <w:rPr>
          <w:rFonts w:eastAsia="Arial"/>
          <w:i/>
        </w:rPr>
      </w:pPr>
      <w:r w:rsidRPr="00915297">
        <w:rPr>
          <w:rFonts w:eastAsia="Arial"/>
          <w:i/>
        </w:rPr>
        <w:t xml:space="preserve">Pismo zostało wydane w postaci elektronicznej i podpisane kwalifikowanym podpisem elektronicznym. </w:t>
      </w:r>
    </w:p>
    <w:sectPr w:rsidSect="00A81B4C">
      <w:footerReference w:type="default" r:id="rId7"/>
      <w:pgSz w:w="11906" w:h="16838" w:code="9"/>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7335884"/>
      <w:docPartObj>
        <w:docPartGallery w:val="Page Numbers (Bottom of Page)"/>
        <w:docPartUnique/>
      </w:docPartObj>
    </w:sdtPr>
    <w:sdtContent>
      <w:p w:rsidR="00B31DF0">
        <w:pPr>
          <w:pStyle w:val="Footer"/>
          <w:jc w:val="right"/>
        </w:pPr>
        <w:r>
          <w:fldChar w:fldCharType="begin"/>
        </w:r>
        <w:r>
          <w:instrText>PAGE   \* MERGEFORMAT</w:instrText>
        </w:r>
        <w:r>
          <w:fldChar w:fldCharType="separate"/>
        </w:r>
        <w:r>
          <w:t>2</w:t>
        </w:r>
        <w:r>
          <w:fldChar w:fldCharType="end"/>
        </w:r>
      </w:p>
    </w:sdtContent>
  </w:sdt>
  <w:p w:rsidR="00B3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44D2" w:rsidP="00B31DF0">
      <w:r>
        <w:separator/>
      </w:r>
    </w:p>
  </w:footnote>
  <w:footnote w:type="continuationSeparator" w:id="1">
    <w:p w:rsidR="001444D2" w:rsidP="00B31DF0">
      <w:r>
        <w:continuationSeparator/>
      </w:r>
    </w:p>
  </w:footnote>
  <w:footnote w:id="2">
    <w:p w:rsidR="00B31DF0" w:rsidRPr="00C61DFB" w:rsidP="00B31DF0">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k</w:t>
      </w:r>
      <w:r>
        <w:rPr>
          <w:rFonts w:ascii="Arial" w:hAnsi="Arial" w:cs="Arial"/>
        </w:rPr>
        <w:t>.</w:t>
      </w:r>
      <w:r w:rsidRPr="00C61DFB">
        <w:rPr>
          <w:rFonts w:ascii="Arial" w:hAnsi="Arial" w:cs="Arial"/>
        </w:rPr>
        <w:t>p</w:t>
      </w:r>
      <w:r>
        <w:rPr>
          <w:rFonts w:ascii="Arial" w:hAnsi="Arial" w:cs="Arial"/>
        </w:rPr>
        <w:t>.</w:t>
      </w:r>
      <w:r w:rsidRPr="00C61DFB">
        <w:rPr>
          <w:rFonts w:ascii="Arial" w:hAnsi="Arial" w:cs="Arial"/>
        </w:rPr>
        <w:t>a</w:t>
      </w:r>
      <w:r>
        <w:rPr>
          <w:rFonts w:ascii="Arial" w:hAnsi="Arial" w:cs="Arial"/>
        </w:rPr>
        <w:t>.</w:t>
      </w:r>
    </w:p>
  </w:footnote>
  <w:footnote w:id="3">
    <w:p w:rsidR="00B31DF0" w:rsidRPr="00282BEE" w:rsidP="00B31DF0">
      <w:pPr>
        <w:pStyle w:val="FootnoteText"/>
        <w:rPr>
          <w:rFonts w:ascii="Arial" w:hAnsi="Arial" w:cs="Arial"/>
        </w:rPr>
      </w:pPr>
      <w:r w:rsidRPr="00282BEE">
        <w:rPr>
          <w:rStyle w:val="FootnoteReference"/>
          <w:rFonts w:ascii="Arial" w:hAnsi="Arial" w:cs="Arial"/>
        </w:rPr>
        <w:footnoteRef/>
      </w:r>
      <w:r>
        <w:rPr>
          <w:rFonts w:ascii="Arial" w:hAnsi="Arial" w:cs="Arial"/>
        </w:rPr>
        <w:t xml:space="preserve"> Dalej: UM w Niemodlinie</w:t>
      </w:r>
    </w:p>
  </w:footnote>
  <w:footnote w:id="4">
    <w:p w:rsidR="00B31DF0" w:rsidRPr="007A5D8E" w:rsidP="00B31DF0">
      <w:pPr>
        <w:pStyle w:val="FootnoteText"/>
      </w:pPr>
      <w:r>
        <w:rPr>
          <w:rStyle w:val="FootnoteReference"/>
        </w:rPr>
        <w:footnoteRef/>
      </w:r>
      <w:r>
        <w:t xml:space="preserve"> </w:t>
      </w:r>
      <w:r w:rsidRPr="00507ADC">
        <w:rPr>
          <w:rFonts w:ascii="Arial" w:hAnsi="Arial" w:cs="Arial"/>
        </w:rPr>
        <w:t xml:space="preserve">Zarządzenie Nr </w:t>
      </w:r>
      <w:r>
        <w:rPr>
          <w:rFonts w:ascii="Arial" w:hAnsi="Arial" w:cs="Arial"/>
        </w:rPr>
        <w:t>4</w:t>
      </w:r>
      <w:r w:rsidRPr="007A5D8E">
        <w:rPr>
          <w:rFonts w:ascii="Arial" w:hAnsi="Arial" w:cs="Arial"/>
        </w:rPr>
        <w:t>/2</w:t>
      </w:r>
      <w:r>
        <w:rPr>
          <w:rFonts w:ascii="Arial" w:hAnsi="Arial" w:cs="Arial"/>
        </w:rPr>
        <w:t>3</w:t>
      </w:r>
      <w:r w:rsidRPr="007A5D8E">
        <w:rPr>
          <w:rFonts w:ascii="Arial" w:hAnsi="Arial" w:cs="Arial"/>
        </w:rPr>
        <w:t xml:space="preserve"> Burmistrza Niemodlina z dnia </w:t>
      </w:r>
      <w:r>
        <w:rPr>
          <w:rFonts w:ascii="Arial" w:hAnsi="Arial" w:cs="Arial"/>
        </w:rPr>
        <w:t>20</w:t>
      </w:r>
      <w:r w:rsidRPr="007A5D8E">
        <w:rPr>
          <w:rFonts w:ascii="Arial" w:hAnsi="Arial" w:cs="Arial"/>
        </w:rPr>
        <w:t xml:space="preserve"> </w:t>
      </w:r>
      <w:r>
        <w:rPr>
          <w:rFonts w:ascii="Arial" w:hAnsi="Arial" w:cs="Arial"/>
        </w:rPr>
        <w:t>lutego</w:t>
      </w:r>
      <w:r w:rsidRPr="007A5D8E">
        <w:rPr>
          <w:rFonts w:ascii="Arial" w:hAnsi="Arial" w:cs="Arial"/>
        </w:rPr>
        <w:t xml:space="preserve"> 202</w:t>
      </w:r>
      <w:r>
        <w:rPr>
          <w:rFonts w:ascii="Arial" w:hAnsi="Arial" w:cs="Arial"/>
        </w:rPr>
        <w:t>3</w:t>
      </w:r>
      <w:r w:rsidRPr="007A5D8E">
        <w:rPr>
          <w:rFonts w:ascii="Arial" w:hAnsi="Arial" w:cs="Arial"/>
        </w:rPr>
        <w:t xml:space="preserve"> r. w sprawie nadania Regulaminu Organizacyjnego UM w Niemodlinie</w:t>
      </w:r>
      <w:r>
        <w:rPr>
          <w:rFonts w:ascii="Arial" w:hAnsi="Arial" w:cs="Arial"/>
        </w:rPr>
        <w:t>,</w:t>
      </w:r>
      <w:r w:rsidRPr="007A5D8E">
        <w:rPr>
          <w:rFonts w:ascii="Arial" w:hAnsi="Arial" w:cs="Arial"/>
        </w:rPr>
        <w:t xml:space="preserve"> Dalej: Regulamin Organizacyjny.</w:t>
      </w:r>
    </w:p>
  </w:footnote>
  <w:footnote w:id="5">
    <w:p w:rsidR="00B31DF0" w:rsidRPr="007A5D8E" w:rsidP="00B31DF0">
      <w:pPr>
        <w:pStyle w:val="FootnoteText"/>
        <w:rPr>
          <w:rFonts w:ascii="Arial" w:hAnsi="Arial" w:cs="Arial"/>
        </w:rPr>
      </w:pPr>
      <w:r w:rsidRPr="007A5D8E">
        <w:rPr>
          <w:rStyle w:val="FootnoteReference"/>
        </w:rPr>
        <w:footnoteRef/>
      </w:r>
      <w:r w:rsidRPr="007A5D8E">
        <w:t xml:space="preserve"> </w:t>
      </w:r>
      <w:r w:rsidRPr="007A5D8E">
        <w:rPr>
          <w:rFonts w:ascii="Arial" w:hAnsi="Arial" w:cs="Arial"/>
        </w:rPr>
        <w:t xml:space="preserve"> Uchwała Nr X/56/19 Rady Miejskiej w Niemodlinie z dnia 30 maja 2019 r. w sprawie Statutu Gminy Niemodlin</w:t>
      </w:r>
      <w:r>
        <w:rPr>
          <w:rFonts w:ascii="Arial" w:hAnsi="Arial" w:cs="Arial"/>
        </w:rPr>
        <w:t>,</w:t>
      </w:r>
      <w:r w:rsidRPr="007A5D8E">
        <w:rPr>
          <w:rFonts w:ascii="Arial" w:hAnsi="Arial" w:cs="Arial"/>
        </w:rPr>
        <w:t xml:space="preserve"> Dalej: Statut Gminy Niemodlin.</w:t>
      </w:r>
    </w:p>
  </w:footnote>
  <w:footnote w:id="6">
    <w:p w:rsidR="00B31DF0" w:rsidRPr="00D033C0" w:rsidP="00B31DF0">
      <w:pPr>
        <w:pStyle w:val="FootnoteText"/>
        <w:rPr>
          <w:rFonts w:ascii="Arial" w:hAnsi="Arial" w:cs="Arial"/>
          <w:color w:val="FF0000"/>
        </w:rPr>
      </w:pPr>
      <w:r w:rsidRPr="001E2441">
        <w:rPr>
          <w:rStyle w:val="FootnoteReference"/>
        </w:rPr>
        <w:footnoteRef/>
      </w:r>
      <w:r w:rsidRPr="001E2441">
        <w:t xml:space="preserve"> </w:t>
      </w:r>
      <w:r w:rsidRPr="001E2441">
        <w:rPr>
          <w:rFonts w:ascii="Arial" w:hAnsi="Arial" w:cs="Arial"/>
        </w:rPr>
        <w:t xml:space="preserve">Zgodnie z zakresem czynności z dnia </w:t>
      </w:r>
      <w:r>
        <w:rPr>
          <w:rFonts w:ascii="Arial" w:hAnsi="Arial" w:cs="Arial"/>
        </w:rPr>
        <w:t>22 marca</w:t>
      </w:r>
      <w:r w:rsidRPr="001E2441">
        <w:rPr>
          <w:rFonts w:ascii="Arial" w:hAnsi="Arial" w:cs="Arial"/>
        </w:rPr>
        <w:t xml:space="preserve"> 20</w:t>
      </w:r>
      <w:r>
        <w:rPr>
          <w:rFonts w:ascii="Arial" w:hAnsi="Arial" w:cs="Arial"/>
        </w:rPr>
        <w:t>23</w:t>
      </w:r>
      <w:r w:rsidRPr="001E2441">
        <w:rPr>
          <w:rFonts w:ascii="Arial" w:hAnsi="Arial" w:cs="Arial"/>
        </w:rPr>
        <w:t xml:space="preserve"> r.</w:t>
      </w:r>
      <w:r>
        <w:rPr>
          <w:rFonts w:ascii="Arial" w:hAnsi="Arial" w:cs="Arial"/>
        </w:rPr>
        <w:t xml:space="preserve"> dalej: Główny specjalista do spraw dialogu </w:t>
      </w:r>
    </w:p>
  </w:footnote>
  <w:footnote w:id="7">
    <w:p w:rsidR="00B31DF0" w:rsidRPr="00200D5B" w:rsidP="00B31DF0">
      <w:pPr>
        <w:pStyle w:val="FootnoteText"/>
        <w:rPr>
          <w:rFonts w:ascii="Arial" w:hAnsi="Arial" w:cs="Arial"/>
        </w:rPr>
      </w:pPr>
      <w:r w:rsidRPr="00200D5B">
        <w:rPr>
          <w:rStyle w:val="FootnoteReference"/>
          <w:rFonts w:ascii="Arial" w:hAnsi="Arial" w:cs="Arial"/>
        </w:rPr>
        <w:footnoteRef/>
      </w:r>
      <w:r w:rsidRPr="00200D5B">
        <w:rPr>
          <w:rFonts w:ascii="Arial" w:hAnsi="Arial" w:cs="Arial"/>
        </w:rPr>
        <w:t xml:space="preserve"> Rozporządzeni</w:t>
      </w:r>
      <w:r>
        <w:rPr>
          <w:rFonts w:ascii="Arial" w:hAnsi="Arial" w:cs="Arial"/>
        </w:rPr>
        <w:t>e</w:t>
      </w:r>
      <w:r w:rsidRPr="00200D5B">
        <w:rPr>
          <w:rFonts w:ascii="Arial" w:hAnsi="Arial" w:cs="Arial"/>
        </w:rPr>
        <w:t xml:space="preserve"> Rady </w:t>
      </w:r>
      <w:r>
        <w:rPr>
          <w:rFonts w:ascii="Arial" w:hAnsi="Arial" w:cs="Arial"/>
        </w:rPr>
        <w:t>Ministrów z dnia 8 stycznia 200</w:t>
      </w:r>
      <w:r w:rsidRPr="00200D5B">
        <w:rPr>
          <w:rFonts w:ascii="Arial" w:hAnsi="Arial" w:cs="Arial"/>
        </w:rPr>
        <w:t>2 r. w sp</w:t>
      </w:r>
      <w:r>
        <w:rPr>
          <w:rFonts w:ascii="Arial" w:hAnsi="Arial" w:cs="Arial"/>
        </w:rPr>
        <w:t xml:space="preserve">rawie organizacji przyjmowania </w:t>
      </w:r>
      <w:r>
        <w:rPr>
          <w:rFonts w:ascii="Arial" w:hAnsi="Arial" w:cs="Arial"/>
        </w:rPr>
        <w:br/>
        <w:t>i</w:t>
      </w:r>
      <w:r w:rsidRPr="00200D5B">
        <w:rPr>
          <w:rFonts w:ascii="Arial" w:hAnsi="Arial" w:cs="Arial"/>
        </w:rPr>
        <w:t xml:space="preserve"> rozpatrywania skarg i wniosków</w:t>
      </w:r>
      <w:r w:rsidRPr="00200D5B">
        <w:rPr>
          <w:rStyle w:val="FootnoteReference"/>
          <w:rFonts w:ascii="Arial" w:hAnsi="Arial" w:cs="Arial"/>
        </w:rPr>
        <w:footnoteRef/>
      </w:r>
      <w:r w:rsidRPr="00200D5B">
        <w:rPr>
          <w:rFonts w:ascii="Arial" w:hAnsi="Arial" w:cs="Arial"/>
        </w:rPr>
        <w:t xml:space="preserve"> (Dz.U. z 2002 r. Nr 5, poz. 4</w:t>
      </w:r>
      <w:r>
        <w:rPr>
          <w:rFonts w:ascii="Arial" w:hAnsi="Arial" w:cs="Arial"/>
        </w:rPr>
        <w:t>6</w:t>
      </w:r>
      <w:r w:rsidRPr="00200D5B">
        <w:rPr>
          <w:rFonts w:ascii="Arial" w:hAnsi="Arial" w:cs="Arial"/>
        </w:rPr>
        <w:t>). Dalej</w:t>
      </w:r>
      <w:r>
        <w:rPr>
          <w:rFonts w:ascii="Arial" w:hAnsi="Arial" w:cs="Arial"/>
        </w:rPr>
        <w:t xml:space="preserve">: Rozporządzenie </w:t>
      </w:r>
      <w:r w:rsidRPr="00200D5B">
        <w:rPr>
          <w:rFonts w:ascii="Arial" w:hAnsi="Arial" w:cs="Arial"/>
        </w:rPr>
        <w:t>w sprawie</w:t>
      </w:r>
      <w:r>
        <w:rPr>
          <w:rFonts w:ascii="Arial" w:hAnsi="Arial" w:cs="Arial"/>
        </w:rPr>
        <w:t xml:space="preserve"> przyjmowania i rozpatrywania</w:t>
      </w:r>
      <w:r w:rsidRPr="00200D5B">
        <w:rPr>
          <w:rFonts w:ascii="Arial" w:hAnsi="Arial" w:cs="Arial"/>
        </w:rPr>
        <w:t xml:space="preserve"> skarg i wniosków</w:t>
      </w:r>
      <w:r>
        <w:rPr>
          <w:rFonts w:ascii="Arial" w:hAnsi="Arial" w:cs="Arial"/>
        </w:rPr>
        <w:t>.</w:t>
      </w:r>
    </w:p>
  </w:footnote>
  <w:footnote w:id="8">
    <w:p w:rsidR="00B31DF0" w:rsidRPr="00987A41" w:rsidP="00B31DF0">
      <w:pPr>
        <w:pStyle w:val="FootnoteText"/>
        <w:rPr>
          <w:rFonts w:ascii="Arial" w:hAnsi="Arial" w:cs="Arial"/>
          <w:color w:val="0070C0"/>
        </w:rPr>
      </w:pPr>
      <w:r>
        <w:rPr>
          <w:rStyle w:val="FootnoteReference"/>
        </w:rPr>
        <w:footnoteRef/>
      </w:r>
      <w:r>
        <w:t xml:space="preserve"> </w:t>
      </w:r>
      <w:r w:rsidRPr="00987A41">
        <w:rPr>
          <w:rFonts w:ascii="Arial" w:hAnsi="Arial" w:cs="Arial"/>
        </w:rPr>
        <w:t xml:space="preserve">Informacja zamieszczona na tablicy informacyjnej w budynku UM w </w:t>
      </w:r>
      <w:r>
        <w:rPr>
          <w:rFonts w:ascii="Arial" w:hAnsi="Arial" w:cs="Arial"/>
        </w:rPr>
        <w:t>Niemodlinie</w:t>
      </w:r>
      <w:r w:rsidRPr="00987A41">
        <w:rPr>
          <w:rFonts w:ascii="Arial" w:hAnsi="Arial" w:cs="Arial"/>
        </w:rPr>
        <w:t xml:space="preserve"> oraz w BIP UM </w:t>
      </w:r>
      <w:r>
        <w:rPr>
          <w:rFonts w:ascii="Arial" w:hAnsi="Arial" w:cs="Arial"/>
        </w:rPr>
        <w:br/>
      </w:r>
      <w:r w:rsidRPr="00987A41">
        <w:rPr>
          <w:rFonts w:ascii="Arial" w:hAnsi="Arial" w:cs="Arial"/>
        </w:rPr>
        <w:t xml:space="preserve">w </w:t>
      </w:r>
      <w:r>
        <w:rPr>
          <w:rFonts w:ascii="Arial" w:hAnsi="Arial" w:cs="Arial"/>
        </w:rPr>
        <w:t>Niemodlinie</w:t>
      </w:r>
    </w:p>
  </w:footnote>
  <w:footnote w:id="9">
    <w:p w:rsidR="00B31DF0" w:rsidP="00B31DF0">
      <w:pPr>
        <w:pStyle w:val="FootnoteText"/>
      </w:pPr>
      <w:r>
        <w:rPr>
          <w:rStyle w:val="FootnoteReference"/>
        </w:rPr>
        <w:footnoteRef/>
      </w:r>
      <w:r>
        <w:t xml:space="preserve"> </w:t>
      </w:r>
      <w:r w:rsidRPr="008049A3">
        <w:rPr>
          <w:rFonts w:ascii="Arial" w:hAnsi="Arial" w:cs="Arial"/>
        </w:rPr>
        <w:t>Rozporządzeni</w:t>
      </w:r>
      <w:r>
        <w:rPr>
          <w:rFonts w:ascii="Arial" w:hAnsi="Arial" w:cs="Arial"/>
        </w:rPr>
        <w:t>a</w:t>
      </w:r>
      <w:r w:rsidRPr="008049A3">
        <w:rPr>
          <w:rFonts w:ascii="Arial" w:hAnsi="Arial" w:cs="Arial"/>
        </w:rPr>
        <w:t xml:space="preserve"> Prezesa Rady Ministrów z dnia 18 stycznia 2011 r. w sprawie instrukcji kancelaryjnej, jednolitych rzeczowych wykazów akt oraz instrukcji w sprawie organizacji i zakresu działania archiwów zakładowych (Dz.U. </w:t>
      </w:r>
      <w:r>
        <w:rPr>
          <w:rFonts w:ascii="Arial" w:hAnsi="Arial" w:cs="Arial"/>
        </w:rPr>
        <w:t xml:space="preserve">z 2011 r. </w:t>
      </w:r>
      <w:r w:rsidRPr="008049A3">
        <w:rPr>
          <w:rFonts w:ascii="Arial" w:hAnsi="Arial" w:cs="Arial"/>
        </w:rPr>
        <w:t>Nr 14, poz. 67)</w:t>
      </w:r>
      <w:r>
        <w:rPr>
          <w:rFonts w:ascii="Arial" w:hAnsi="Arial" w:cs="Arial"/>
        </w:rPr>
        <w:t>; Dalej: Rozporządzenie w sprawie instrukcji kancelaryjnej.</w:t>
      </w:r>
    </w:p>
  </w:footnote>
  <w:footnote w:id="10">
    <w:p w:rsidR="00B31DF0" w:rsidRPr="008F0CA1" w:rsidP="00B31DF0">
      <w:pPr>
        <w:pStyle w:val="FootnoteText"/>
      </w:pPr>
      <w:r>
        <w:rPr>
          <w:rStyle w:val="FootnoteReference"/>
        </w:rPr>
        <w:footnoteRef/>
      </w:r>
      <w:r>
        <w:t xml:space="preserve"> </w:t>
      </w:r>
      <w:r w:rsidRPr="00B94B96">
        <w:rPr>
          <w:rFonts w:ascii="Arial" w:hAnsi="Arial" w:cs="Arial"/>
        </w:rPr>
        <w:t xml:space="preserve">Rozporządzenia Parlamentu Europejskiego i Rady (UE) 2016/679 z dnia 27 kwietnia 2016 r. </w:t>
      </w:r>
      <w:r>
        <w:rPr>
          <w:rFonts w:ascii="Arial" w:hAnsi="Arial" w:cs="Arial"/>
        </w:rPr>
        <w:br/>
      </w:r>
      <w:r w:rsidRPr="00B94B96">
        <w:rPr>
          <w:rFonts w:ascii="Arial" w:hAnsi="Arial" w:cs="Arial"/>
        </w:rPr>
        <w:t>w sprawie ochrony osób fizycznych w związku z przetwarzaniem danych osobowych i w sprawie swobodnego przepływu takich danych oraz uchylenia dyrektywy 95/46/WE [</w:t>
      </w:r>
      <w:r>
        <w:rPr>
          <w:rFonts w:ascii="Arial" w:hAnsi="Arial" w:cs="Arial"/>
        </w:rPr>
        <w:t>o</w:t>
      </w:r>
      <w:r w:rsidRPr="00B94B96">
        <w:rPr>
          <w:rFonts w:ascii="Arial" w:hAnsi="Arial" w:cs="Arial"/>
        </w:rPr>
        <w:t xml:space="preserve">gólne </w:t>
      </w:r>
      <w:r>
        <w:rPr>
          <w:rFonts w:ascii="Arial" w:hAnsi="Arial" w:cs="Arial"/>
        </w:rPr>
        <w:t>r</w:t>
      </w:r>
      <w:r w:rsidRPr="00B94B96">
        <w:rPr>
          <w:rFonts w:ascii="Arial" w:hAnsi="Arial" w:cs="Arial"/>
        </w:rPr>
        <w:t xml:space="preserve">ozporządzenie </w:t>
      </w:r>
      <w:r>
        <w:rPr>
          <w:rFonts w:ascii="Arial" w:hAnsi="Arial" w:cs="Arial"/>
        </w:rPr>
        <w:br/>
      </w:r>
      <w:r w:rsidRPr="008F0CA1">
        <w:rPr>
          <w:rFonts w:ascii="Arial" w:hAnsi="Arial" w:cs="Arial"/>
        </w:rPr>
        <w:t xml:space="preserve">o ochronie danych] (Dz. Urz. </w:t>
      </w:r>
      <w:r w:rsidRPr="008F0CA1">
        <w:rPr>
          <w:rFonts w:ascii="Arial" w:hAnsi="Arial" w:cs="Arial"/>
        </w:rPr>
        <w:t>UE.L</w:t>
      </w:r>
      <w:r w:rsidRPr="008F0CA1">
        <w:rPr>
          <w:rFonts w:ascii="Arial" w:hAnsi="Arial" w:cs="Arial"/>
        </w:rPr>
        <w:t xml:space="preserve"> Nr 119, str.1), Dalej: RODO</w:t>
      </w:r>
    </w:p>
  </w:footnote>
  <w:footnote w:id="11">
    <w:p w:rsidR="00B31DF0" w:rsidRPr="00D50031" w:rsidP="00B31DF0">
      <w:pPr>
        <w:pStyle w:val="FootnoteText"/>
        <w:rPr>
          <w:rFonts w:ascii="Arial" w:hAnsi="Arial" w:cs="Arial"/>
          <w:color w:val="FF0000"/>
        </w:rPr>
      </w:pPr>
      <w:r w:rsidRPr="008F0CA1">
        <w:rPr>
          <w:rStyle w:val="FootnoteReference"/>
        </w:rPr>
        <w:footnoteRef/>
      </w:r>
      <w:r w:rsidRPr="008F0CA1">
        <w:t xml:space="preserve"> </w:t>
      </w:r>
      <w:r w:rsidRPr="00D50031">
        <w:rPr>
          <w:rFonts w:ascii="Arial" w:hAnsi="Arial" w:cs="Arial"/>
        </w:rPr>
        <w:t>https</w:t>
      </w:r>
      <w:r w:rsidRPr="00D50031">
        <w:rPr>
          <w:rFonts w:ascii="Arial" w:hAnsi="Arial" w:cs="Arial"/>
        </w:rPr>
        <w:t>;//</w:t>
      </w:r>
      <w:r>
        <w:rPr>
          <w:rFonts w:ascii="Arial" w:hAnsi="Arial" w:cs="Arial"/>
        </w:rPr>
        <w:t>www.</w:t>
      </w:r>
      <w:r w:rsidRPr="00D50031">
        <w:rPr>
          <w:rFonts w:ascii="Arial" w:hAnsi="Arial" w:cs="Arial"/>
        </w:rPr>
        <w:t>bip.</w:t>
      </w:r>
      <w:r>
        <w:rPr>
          <w:rFonts w:ascii="Arial" w:hAnsi="Arial" w:cs="Arial"/>
        </w:rPr>
        <w:t>niemodlin</w:t>
      </w:r>
      <w:r w:rsidRPr="00D50031">
        <w:rPr>
          <w:rFonts w:ascii="Arial" w:hAnsi="Arial" w:cs="Arial"/>
        </w:rPr>
        <w:t>.pl</w:t>
      </w:r>
      <w:r>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55B21172"/>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2D927C88"/>
    <w:multiLevelType w:val="hybridMultilevel"/>
    <w:tmpl w:val="E45A1500"/>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
    <w:nsid w:val="2F586F83"/>
    <w:multiLevelType w:val="hybridMultilevel"/>
    <w:tmpl w:val="ADFE80D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4BB10C77"/>
    <w:multiLevelType w:val="multilevel"/>
    <w:tmpl w:val="6316E082"/>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4">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nsid w:val="64EA3886"/>
    <w:multiLevelType w:val="hybridMultilevel"/>
    <w:tmpl w:val="4678C522"/>
    <w:lvl w:ilvl="0">
      <w:start w:val="1"/>
      <w:numFmt w:val="lowerLetter"/>
      <w:lvlText w:val="%1)"/>
      <w:lvlJc w:val="left"/>
      <w:pPr>
        <w:ind w:left="975" w:hanging="360"/>
      </w:p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6">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TekstprzypisudolnegoZnak">
    <w:name w:val="Tekst przypisu dolnego Znak"/>
    <w:basedOn w:val="DefaultParagraphFont"/>
    <w:link w:val="FootnoteText"/>
    <w:qFormat/>
    <w:rsid w:val="00B31DF0"/>
  </w:style>
  <w:style w:type="paragraph" w:styleId="FootnoteText">
    <w:name w:val="footnote text"/>
    <w:basedOn w:val="Normal"/>
    <w:link w:val="TekstprzypisudolnegoZnak"/>
    <w:unhideWhenUsed/>
    <w:rsid w:val="00B31DF0"/>
  </w:style>
  <w:style w:type="character" w:customStyle="1" w:styleId="TekstprzypisudolnegoZnak1">
    <w:name w:val="Tekst przypisu dolnego Znak1"/>
    <w:basedOn w:val="DefaultParagraphFont"/>
    <w:semiHidden/>
    <w:rsid w:val="00B31DF0"/>
  </w:style>
  <w:style w:type="character" w:styleId="FootnoteReference">
    <w:name w:val="footnote reference"/>
    <w:basedOn w:val="DefaultParagraphFont"/>
    <w:uiPriority w:val="99"/>
    <w:semiHidden/>
    <w:unhideWhenUsed/>
    <w:rsid w:val="00B31DF0"/>
    <w:rPr>
      <w:vertAlign w:val="superscript"/>
    </w:rPr>
  </w:style>
  <w:style w:type="character" w:customStyle="1" w:styleId="StopkaZnak">
    <w:name w:val="Stopka Znak"/>
    <w:basedOn w:val="DefaultParagraphFont"/>
    <w:link w:val="Footer"/>
    <w:uiPriority w:val="99"/>
    <w:rsid w:val="00B31DF0"/>
  </w:style>
  <w:style w:type="paragraph" w:customStyle="1" w:styleId="Style18">
    <w:name w:val="Style18"/>
    <w:basedOn w:val="Normal"/>
    <w:uiPriority w:val="99"/>
    <w:rsid w:val="00ED0652"/>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2931</Words>
  <Characters>17592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Estera Kołodziej</cp:lastModifiedBy>
  <cp:revision>7</cp:revision>
  <dcterms:created xsi:type="dcterms:W3CDTF">2024-12-18T07:46:00Z</dcterms:created>
  <dcterms:modified xsi:type="dcterms:W3CDTF">2025-02-10T07:59:00Z</dcterms:modified>
</cp:coreProperties>
</file>