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B1A" w:rsidRPr="00AC2978" w:rsidRDefault="00135B1A" w:rsidP="00AC2978">
      <w:pPr>
        <w:spacing w:after="0" w:line="240" w:lineRule="auto"/>
        <w:jc w:val="center"/>
        <w:rPr>
          <w:rFonts w:ascii="Arial" w:hAnsi="Arial" w:cs="Arial"/>
          <w:b/>
          <w:lang w:val="pl-PL"/>
        </w:rPr>
      </w:pPr>
      <w:r w:rsidRPr="00AC2978">
        <w:rPr>
          <w:rFonts w:ascii="Arial" w:hAnsi="Arial" w:cs="Arial"/>
          <w:b/>
          <w:lang w:val="pl-PL"/>
        </w:rPr>
        <w:t>Rezolucja Zgromadzenia Parlamentarnego Rady Europy nr 1823(2011)</w:t>
      </w:r>
      <w:r w:rsidR="00AC2978">
        <w:rPr>
          <w:rStyle w:val="Odwoanieprzypisudolnego"/>
          <w:rFonts w:ascii="Arial" w:hAnsi="Arial" w:cs="Arial"/>
          <w:b/>
          <w:lang w:val="pl-PL"/>
        </w:rPr>
        <w:footnoteReference w:id="1"/>
      </w:r>
    </w:p>
    <w:p w:rsidR="00BB715E" w:rsidRPr="00AC2978" w:rsidRDefault="00BB715E" w:rsidP="00AC2978">
      <w:pPr>
        <w:spacing w:after="0" w:line="240" w:lineRule="auto"/>
        <w:jc w:val="center"/>
        <w:rPr>
          <w:rFonts w:ascii="Arial" w:hAnsi="Arial" w:cs="Arial"/>
          <w:b/>
          <w:lang w:val="pl-PL"/>
        </w:rPr>
      </w:pPr>
    </w:p>
    <w:p w:rsidR="00135B1A" w:rsidRPr="00AC2978" w:rsidRDefault="00135B1A" w:rsidP="00AC2978">
      <w:pPr>
        <w:spacing w:after="0" w:line="240" w:lineRule="auto"/>
        <w:jc w:val="center"/>
        <w:rPr>
          <w:rFonts w:ascii="Arial" w:hAnsi="Arial" w:cs="Arial"/>
          <w:b/>
          <w:lang w:val="pl-PL"/>
        </w:rPr>
      </w:pPr>
      <w:r w:rsidRPr="00AC2978">
        <w:rPr>
          <w:rFonts w:ascii="Arial" w:hAnsi="Arial" w:cs="Arial"/>
          <w:b/>
          <w:lang w:val="pl-PL"/>
        </w:rPr>
        <w:t>Parlamenty krajowe: gwaranci praw człowieka w Europie</w:t>
      </w:r>
    </w:p>
    <w:p w:rsidR="00BB715E" w:rsidRPr="00BB715E" w:rsidRDefault="00BB715E" w:rsidP="00BB715E">
      <w:pPr>
        <w:spacing w:after="0" w:line="240" w:lineRule="auto"/>
        <w:jc w:val="both"/>
        <w:rPr>
          <w:rFonts w:ascii="Arial" w:hAnsi="Arial" w:cs="Arial"/>
          <w:lang w:val="pl-PL"/>
        </w:rPr>
      </w:pPr>
    </w:p>
    <w:p w:rsidR="00135B1A" w:rsidRDefault="00135B1A" w:rsidP="00BB715E">
      <w:pPr>
        <w:pStyle w:val="Akapitzlist"/>
        <w:numPr>
          <w:ilvl w:val="0"/>
          <w:numId w:val="1"/>
        </w:numPr>
        <w:spacing w:after="0" w:line="240" w:lineRule="auto"/>
        <w:ind w:left="426"/>
        <w:jc w:val="both"/>
        <w:rPr>
          <w:rFonts w:ascii="Arial" w:hAnsi="Arial" w:cs="Arial"/>
          <w:lang w:val="pl-PL"/>
        </w:rPr>
      </w:pPr>
      <w:r w:rsidRPr="00BB715E">
        <w:rPr>
          <w:rFonts w:ascii="Arial" w:hAnsi="Arial" w:cs="Arial"/>
          <w:lang w:val="pl-PL"/>
        </w:rPr>
        <w:t xml:space="preserve">Zgromadzenie Parlamentarne przypomina, że państwa członkowskie Rady Europy </w:t>
      </w:r>
      <w:r w:rsidR="00CE000F">
        <w:rPr>
          <w:rFonts w:ascii="Arial" w:hAnsi="Arial" w:cs="Arial"/>
          <w:lang w:val="pl-PL"/>
        </w:rPr>
        <w:br/>
      </w:r>
      <w:r w:rsidRPr="00BB715E">
        <w:rPr>
          <w:rFonts w:ascii="Arial" w:hAnsi="Arial" w:cs="Arial"/>
          <w:lang w:val="pl-PL"/>
        </w:rPr>
        <w:t xml:space="preserve">są odpowiedzialne za skuteczne wdrożenie międzynarodowych standardów praw człowieka, pod którymi się podpisały, w szczególności Europejskiej Konwencji </w:t>
      </w:r>
      <w:r w:rsidR="00CE000F">
        <w:rPr>
          <w:rFonts w:ascii="Arial" w:hAnsi="Arial" w:cs="Arial"/>
          <w:lang w:val="pl-PL"/>
        </w:rPr>
        <w:br/>
      </w:r>
      <w:r w:rsidRPr="00BB715E">
        <w:rPr>
          <w:rFonts w:ascii="Arial" w:hAnsi="Arial" w:cs="Arial"/>
          <w:lang w:val="pl-PL"/>
        </w:rPr>
        <w:t xml:space="preserve">o ochronie praw człowieka i podstawowych wolności (ETS nr 5, zwana </w:t>
      </w:r>
      <w:r w:rsidR="00CE000F">
        <w:rPr>
          <w:rFonts w:ascii="Arial" w:hAnsi="Arial" w:cs="Arial"/>
          <w:lang w:val="pl-PL"/>
        </w:rPr>
        <w:t xml:space="preserve">dalej </w:t>
      </w:r>
      <w:r w:rsidRPr="00BB715E">
        <w:rPr>
          <w:rFonts w:ascii="Arial" w:hAnsi="Arial" w:cs="Arial"/>
          <w:lang w:val="pl-PL"/>
        </w:rPr>
        <w:t xml:space="preserve">„Konwencją”). Obowiązek ten dotyczy wszystkich organów państwowych, </w:t>
      </w:r>
      <w:r w:rsidR="00CE000F">
        <w:rPr>
          <w:rFonts w:ascii="Arial" w:hAnsi="Arial" w:cs="Arial"/>
          <w:lang w:val="pl-PL"/>
        </w:rPr>
        <w:br/>
      </w:r>
      <w:r w:rsidRPr="00BB715E">
        <w:rPr>
          <w:rFonts w:ascii="Arial" w:hAnsi="Arial" w:cs="Arial"/>
          <w:lang w:val="pl-PL"/>
        </w:rPr>
        <w:t>tak wykonawczych, sądowych, jak i ustawodawczych.</w:t>
      </w:r>
    </w:p>
    <w:p w:rsidR="00BB715E" w:rsidRPr="00BB715E" w:rsidRDefault="00BB715E" w:rsidP="00BB715E">
      <w:pPr>
        <w:pStyle w:val="Akapitzlist"/>
        <w:spacing w:after="0" w:line="240" w:lineRule="auto"/>
        <w:ind w:left="426"/>
        <w:jc w:val="both"/>
        <w:rPr>
          <w:rFonts w:ascii="Arial" w:hAnsi="Arial" w:cs="Arial"/>
          <w:lang w:val="pl-PL"/>
        </w:rPr>
      </w:pPr>
    </w:p>
    <w:p w:rsidR="00135B1A" w:rsidRDefault="00135B1A" w:rsidP="00BB715E">
      <w:pPr>
        <w:pStyle w:val="Akapitzlist"/>
        <w:numPr>
          <w:ilvl w:val="0"/>
          <w:numId w:val="1"/>
        </w:numPr>
        <w:spacing w:after="0" w:line="240" w:lineRule="auto"/>
        <w:ind w:left="426"/>
        <w:jc w:val="both"/>
        <w:rPr>
          <w:rFonts w:ascii="Arial" w:hAnsi="Arial" w:cs="Arial"/>
          <w:lang w:val="pl-PL"/>
        </w:rPr>
      </w:pPr>
      <w:r w:rsidRPr="00BB715E">
        <w:rPr>
          <w:rFonts w:ascii="Arial" w:hAnsi="Arial" w:cs="Arial"/>
          <w:lang w:val="pl-PL"/>
        </w:rPr>
        <w:t xml:space="preserve">Parlamenty krajowe są często pomijane w tym kontekście. Ich potencjał powinien zostać bardziej zbadany. Stanowią one klucz do skutecznego wdrażania międzynarodowych standardów praw człowieka na poziomie krajowym i wypełniają swój obowiązek ochrony praw człowiek poprzez ustawodawstwo (w tym weryfikowanie projektów ustaw), udział </w:t>
      </w:r>
      <w:r w:rsidR="00CE000F">
        <w:rPr>
          <w:rFonts w:ascii="Arial" w:hAnsi="Arial" w:cs="Arial"/>
          <w:lang w:val="pl-PL"/>
        </w:rPr>
        <w:br/>
      </w:r>
      <w:r w:rsidRPr="00BB715E">
        <w:rPr>
          <w:rFonts w:ascii="Arial" w:hAnsi="Arial" w:cs="Arial"/>
          <w:lang w:val="pl-PL"/>
        </w:rPr>
        <w:t xml:space="preserve">w ratyfikacji międzynarodowych traktatów praw człowieka, rozliczanie władzy wykonawczej, utrzymywanie kontaktu z krajowymi instytucjami praw człowieka </w:t>
      </w:r>
      <w:r w:rsidR="00CE000F">
        <w:rPr>
          <w:rFonts w:ascii="Arial" w:hAnsi="Arial" w:cs="Arial"/>
          <w:lang w:val="pl-PL"/>
        </w:rPr>
        <w:br/>
      </w:r>
      <w:r w:rsidRPr="00BB715E">
        <w:rPr>
          <w:rFonts w:ascii="Arial" w:hAnsi="Arial" w:cs="Arial"/>
          <w:lang w:val="pl-PL"/>
        </w:rPr>
        <w:t>i wspieranie tworzenia wszechobecnej kultury praw człowieka.</w:t>
      </w:r>
    </w:p>
    <w:p w:rsidR="00BB715E" w:rsidRPr="00BB715E" w:rsidRDefault="00BB715E" w:rsidP="00BB715E">
      <w:pPr>
        <w:pStyle w:val="Akapitzlist"/>
        <w:rPr>
          <w:rFonts w:ascii="Arial" w:hAnsi="Arial" w:cs="Arial"/>
          <w:lang w:val="pl-PL"/>
        </w:rPr>
      </w:pPr>
    </w:p>
    <w:p w:rsidR="00135B1A" w:rsidRPr="00BB715E" w:rsidRDefault="00135B1A" w:rsidP="00BB715E">
      <w:pPr>
        <w:pStyle w:val="Akapitzlist"/>
        <w:numPr>
          <w:ilvl w:val="0"/>
          <w:numId w:val="1"/>
        </w:numPr>
        <w:spacing w:after="0" w:line="240" w:lineRule="auto"/>
        <w:ind w:left="426"/>
        <w:jc w:val="both"/>
        <w:rPr>
          <w:rFonts w:ascii="Arial" w:hAnsi="Arial" w:cs="Arial"/>
          <w:lang w:val="pl-PL"/>
        </w:rPr>
      </w:pPr>
      <w:r w:rsidRPr="00BB715E">
        <w:rPr>
          <w:rFonts w:ascii="Arial" w:hAnsi="Arial" w:cs="Arial"/>
          <w:lang w:val="pl-PL"/>
        </w:rPr>
        <w:t xml:space="preserve">Członkowie Zgromadzenia, posiadając podwójny mandat – jako członkowie Zgromadzenia oraz swych poszczególnych parlamentów krajowych – mają </w:t>
      </w:r>
      <w:r w:rsidR="001A6208">
        <w:rPr>
          <w:rFonts w:ascii="Arial" w:hAnsi="Arial" w:cs="Arial"/>
          <w:lang w:val="pl-PL"/>
        </w:rPr>
        <w:t>szczególny obowiązek przyczyniania</w:t>
      </w:r>
      <w:r w:rsidRPr="00BB715E">
        <w:rPr>
          <w:rFonts w:ascii="Arial" w:hAnsi="Arial" w:cs="Arial"/>
          <w:lang w:val="pl-PL"/>
        </w:rPr>
        <w:t xml:space="preserve"> się do takiego działania.</w:t>
      </w:r>
    </w:p>
    <w:p w:rsidR="00BB715E" w:rsidRDefault="00BB715E" w:rsidP="00BB715E">
      <w:pPr>
        <w:pStyle w:val="Akapitzlist"/>
        <w:spacing w:after="0" w:line="240" w:lineRule="auto"/>
        <w:ind w:left="426"/>
        <w:jc w:val="both"/>
        <w:rPr>
          <w:rFonts w:ascii="Arial" w:hAnsi="Arial" w:cs="Arial"/>
          <w:lang w:val="pl-PL"/>
        </w:rPr>
      </w:pPr>
    </w:p>
    <w:p w:rsidR="00135B1A" w:rsidRDefault="00135B1A" w:rsidP="00BB715E">
      <w:pPr>
        <w:pStyle w:val="Akapitzlist"/>
        <w:numPr>
          <w:ilvl w:val="0"/>
          <w:numId w:val="1"/>
        </w:numPr>
        <w:spacing w:after="0" w:line="240" w:lineRule="auto"/>
        <w:ind w:left="426"/>
        <w:jc w:val="both"/>
        <w:rPr>
          <w:rFonts w:ascii="Arial" w:hAnsi="Arial" w:cs="Arial"/>
          <w:lang w:val="pl-PL"/>
        </w:rPr>
      </w:pPr>
      <w:r w:rsidRPr="00BB715E">
        <w:rPr>
          <w:rFonts w:ascii="Arial" w:hAnsi="Arial" w:cs="Arial"/>
          <w:lang w:val="pl-PL"/>
        </w:rPr>
        <w:t>Zgromadzenie odnotowuje, że „Zasady Paryskie” Narodów Zjednoczonych z 1993 r. stały się akceptowanym międzynarodowo wzorcem podstawowych, minimalnych standardów dotyczących roli i funkcjonowania niezależnych krajowych instytucji praw człowieka; podobny wzorzec powinien zostać opracowany dla organów parlamentarnych.</w:t>
      </w:r>
    </w:p>
    <w:p w:rsidR="00BB715E" w:rsidRPr="00BB715E" w:rsidRDefault="00BB715E" w:rsidP="00BB715E">
      <w:pPr>
        <w:pStyle w:val="Akapitzlist"/>
        <w:rPr>
          <w:rFonts w:ascii="Arial" w:hAnsi="Arial" w:cs="Arial"/>
          <w:lang w:val="pl-PL"/>
        </w:rPr>
      </w:pPr>
    </w:p>
    <w:p w:rsidR="00135B1A" w:rsidRDefault="00135B1A" w:rsidP="00BB715E">
      <w:pPr>
        <w:pStyle w:val="Akapitzlist"/>
        <w:numPr>
          <w:ilvl w:val="0"/>
          <w:numId w:val="1"/>
        </w:numPr>
        <w:spacing w:after="0" w:line="240" w:lineRule="auto"/>
        <w:ind w:left="426"/>
        <w:jc w:val="both"/>
        <w:rPr>
          <w:rFonts w:ascii="Arial" w:hAnsi="Arial" w:cs="Arial"/>
          <w:lang w:val="pl-PL"/>
        </w:rPr>
      </w:pPr>
      <w:r w:rsidRPr="00BB715E">
        <w:rPr>
          <w:rFonts w:ascii="Arial" w:hAnsi="Arial" w:cs="Arial"/>
          <w:lang w:val="pl-PL"/>
        </w:rPr>
        <w:t xml:space="preserve">W odniesieniu do wdrażania wyroków Europejskiego Trybunału Praw Człowieka </w:t>
      </w:r>
      <w:r w:rsidR="00CE000F">
        <w:rPr>
          <w:rFonts w:ascii="Arial" w:hAnsi="Arial" w:cs="Arial"/>
          <w:lang w:val="pl-PL"/>
        </w:rPr>
        <w:br/>
      </w:r>
      <w:r w:rsidRPr="00BB715E">
        <w:rPr>
          <w:rFonts w:ascii="Arial" w:hAnsi="Arial" w:cs="Arial"/>
          <w:lang w:val="pl-PL"/>
        </w:rPr>
        <w:t>(dalej zwanego „Trybunałem”) Zgromadzenie:</w:t>
      </w:r>
    </w:p>
    <w:p w:rsidR="00BB715E" w:rsidRPr="00BB715E" w:rsidRDefault="00BB715E" w:rsidP="00BB715E">
      <w:pPr>
        <w:pStyle w:val="Akapitzlist"/>
        <w:spacing w:after="0" w:line="240" w:lineRule="auto"/>
        <w:ind w:left="426"/>
        <w:jc w:val="both"/>
        <w:rPr>
          <w:rFonts w:ascii="Arial" w:hAnsi="Arial" w:cs="Arial"/>
          <w:lang w:val="pl-PL"/>
        </w:rPr>
      </w:pPr>
    </w:p>
    <w:p w:rsidR="00135B1A" w:rsidRDefault="00135B1A" w:rsidP="00BB715E">
      <w:pPr>
        <w:pStyle w:val="Akapitzlist"/>
        <w:numPr>
          <w:ilvl w:val="1"/>
          <w:numId w:val="1"/>
        </w:numPr>
        <w:spacing w:after="0" w:line="240" w:lineRule="auto"/>
        <w:ind w:left="993" w:hanging="567"/>
        <w:jc w:val="both"/>
        <w:rPr>
          <w:rFonts w:ascii="Arial" w:hAnsi="Arial" w:cs="Arial"/>
          <w:lang w:val="pl-PL"/>
        </w:rPr>
      </w:pPr>
      <w:r w:rsidRPr="00BB715E">
        <w:rPr>
          <w:rFonts w:ascii="Arial" w:hAnsi="Arial" w:cs="Arial"/>
          <w:lang w:val="pl-PL"/>
        </w:rPr>
        <w:t xml:space="preserve">wierzy, że parlamenty krajowe są wyjątkowo usytuowanie, by rozliczać rządy </w:t>
      </w:r>
      <w:r w:rsidR="00CE000F">
        <w:rPr>
          <w:rFonts w:ascii="Arial" w:hAnsi="Arial" w:cs="Arial"/>
          <w:lang w:val="pl-PL"/>
        </w:rPr>
        <w:br/>
      </w:r>
      <w:r w:rsidRPr="00BB715E">
        <w:rPr>
          <w:rFonts w:ascii="Arial" w:hAnsi="Arial" w:cs="Arial"/>
          <w:lang w:val="pl-PL"/>
        </w:rPr>
        <w:t>za sprawne i skuteczne wykonywanie wyroków Trybunału, jak też by sprawnie przyjmować konieczne zmiany ustawowe;</w:t>
      </w:r>
    </w:p>
    <w:p w:rsidR="00BB715E" w:rsidRPr="00BB715E" w:rsidRDefault="00BB715E" w:rsidP="00BB715E">
      <w:pPr>
        <w:pStyle w:val="Akapitzlist"/>
        <w:spacing w:after="0" w:line="240" w:lineRule="auto"/>
        <w:ind w:left="993"/>
        <w:jc w:val="both"/>
        <w:rPr>
          <w:rFonts w:ascii="Arial" w:hAnsi="Arial" w:cs="Arial"/>
          <w:lang w:val="pl-PL"/>
        </w:rPr>
      </w:pPr>
    </w:p>
    <w:p w:rsidR="00135B1A" w:rsidRDefault="00135B1A" w:rsidP="00BB715E">
      <w:pPr>
        <w:pStyle w:val="Akapitzlist"/>
        <w:numPr>
          <w:ilvl w:val="1"/>
          <w:numId w:val="1"/>
        </w:numPr>
        <w:spacing w:after="0" w:line="240" w:lineRule="auto"/>
        <w:ind w:left="993" w:hanging="567"/>
        <w:jc w:val="both"/>
        <w:rPr>
          <w:rFonts w:ascii="Arial" w:hAnsi="Arial" w:cs="Arial"/>
          <w:lang w:val="pl-PL"/>
        </w:rPr>
      </w:pPr>
      <w:r w:rsidRPr="00BB715E">
        <w:rPr>
          <w:rFonts w:ascii="Arial" w:hAnsi="Arial" w:cs="Arial"/>
          <w:lang w:val="pl-PL"/>
        </w:rPr>
        <w:t xml:space="preserve">wyraża żal, że w procesie po konferencji w </w:t>
      </w:r>
      <w:proofErr w:type="spellStart"/>
      <w:r w:rsidRPr="00BB715E">
        <w:rPr>
          <w:rFonts w:ascii="Arial" w:hAnsi="Arial" w:cs="Arial"/>
          <w:lang w:val="pl-PL"/>
        </w:rPr>
        <w:t>Interlaken</w:t>
      </w:r>
      <w:proofErr w:type="spellEnd"/>
      <w:r w:rsidRPr="00BB715E">
        <w:rPr>
          <w:rFonts w:ascii="Arial" w:hAnsi="Arial" w:cs="Arial"/>
          <w:lang w:val="pl-PL"/>
        </w:rPr>
        <w:t xml:space="preserve"> debata na temat przyszłości systemu Konwencji nie uwzględnia wystarczająco potencjalnie ważnej roli parlamentów, i ubolewa, że Deklaracja z Izmiru milczy na ten temat;</w:t>
      </w:r>
    </w:p>
    <w:p w:rsidR="00BB715E" w:rsidRPr="00BB715E" w:rsidRDefault="00BB715E" w:rsidP="00BB715E">
      <w:pPr>
        <w:pStyle w:val="Akapitzlist"/>
        <w:rPr>
          <w:rFonts w:ascii="Arial" w:hAnsi="Arial" w:cs="Arial"/>
          <w:lang w:val="pl-PL"/>
        </w:rPr>
      </w:pPr>
    </w:p>
    <w:p w:rsidR="00135B1A" w:rsidRDefault="00135B1A" w:rsidP="00BB715E">
      <w:pPr>
        <w:pStyle w:val="Akapitzlist"/>
        <w:numPr>
          <w:ilvl w:val="1"/>
          <w:numId w:val="1"/>
        </w:numPr>
        <w:spacing w:after="0" w:line="240" w:lineRule="auto"/>
        <w:ind w:left="993" w:hanging="567"/>
        <w:jc w:val="both"/>
        <w:rPr>
          <w:rFonts w:ascii="Arial" w:hAnsi="Arial" w:cs="Arial"/>
          <w:lang w:val="pl-PL"/>
        </w:rPr>
      </w:pPr>
      <w:r w:rsidRPr="00BB715E">
        <w:rPr>
          <w:rFonts w:ascii="Arial" w:hAnsi="Arial" w:cs="Arial"/>
          <w:lang w:val="pl-PL"/>
        </w:rPr>
        <w:t xml:space="preserve">wskazuje na pozytywne przykłady </w:t>
      </w:r>
      <w:r w:rsidR="001A6208">
        <w:rPr>
          <w:rFonts w:ascii="Arial" w:hAnsi="Arial" w:cs="Arial"/>
          <w:lang w:val="pl-PL"/>
        </w:rPr>
        <w:t>kilku państw,</w:t>
      </w:r>
      <w:r w:rsidRPr="00BB715E">
        <w:rPr>
          <w:rFonts w:ascii="Arial" w:hAnsi="Arial" w:cs="Arial"/>
          <w:lang w:val="pl-PL"/>
        </w:rPr>
        <w:t xml:space="preserve"> w szczególności Wielkiej Brytanii, Holandii, Niem</w:t>
      </w:r>
      <w:r w:rsidR="001A6208">
        <w:rPr>
          <w:rFonts w:ascii="Arial" w:hAnsi="Arial" w:cs="Arial"/>
          <w:lang w:val="pl-PL"/>
        </w:rPr>
        <w:t>iec</w:t>
      </w:r>
      <w:r w:rsidRPr="00BB715E">
        <w:rPr>
          <w:rFonts w:ascii="Arial" w:hAnsi="Arial" w:cs="Arial"/>
          <w:lang w:val="pl-PL"/>
        </w:rPr>
        <w:t xml:space="preserve">, Finlandii i Rumunii, które utworzyły struktury parlamentarne </w:t>
      </w:r>
      <w:r w:rsidR="001A6208">
        <w:rPr>
          <w:rFonts w:ascii="Arial" w:hAnsi="Arial" w:cs="Arial"/>
          <w:lang w:val="pl-PL"/>
        </w:rPr>
        <w:br/>
      </w:r>
      <w:r w:rsidRPr="00BB715E">
        <w:rPr>
          <w:rFonts w:ascii="Arial" w:hAnsi="Arial" w:cs="Arial"/>
          <w:lang w:val="pl-PL"/>
        </w:rPr>
        <w:t>do monitorowania wykonywania wyroków Trybunału.</w:t>
      </w:r>
    </w:p>
    <w:p w:rsidR="00BB715E" w:rsidRPr="00BB715E" w:rsidRDefault="00BB715E" w:rsidP="00BB715E">
      <w:pPr>
        <w:pStyle w:val="Akapitzlist"/>
        <w:rPr>
          <w:rFonts w:ascii="Arial" w:hAnsi="Arial" w:cs="Arial"/>
          <w:lang w:val="pl-PL"/>
        </w:rPr>
      </w:pPr>
    </w:p>
    <w:p w:rsidR="00135B1A" w:rsidRDefault="00135B1A" w:rsidP="00BB715E">
      <w:pPr>
        <w:pStyle w:val="Akapitzlist"/>
        <w:numPr>
          <w:ilvl w:val="0"/>
          <w:numId w:val="1"/>
        </w:numPr>
        <w:spacing w:after="0" w:line="240" w:lineRule="auto"/>
        <w:ind w:left="426"/>
        <w:jc w:val="both"/>
        <w:rPr>
          <w:rFonts w:ascii="Arial" w:hAnsi="Arial" w:cs="Arial"/>
          <w:lang w:val="pl-PL"/>
        </w:rPr>
      </w:pPr>
      <w:r w:rsidRPr="00BB715E">
        <w:rPr>
          <w:rFonts w:ascii="Arial" w:hAnsi="Arial" w:cs="Arial"/>
          <w:lang w:val="pl-PL"/>
        </w:rPr>
        <w:t>Ponadto, Zgromadzenie:</w:t>
      </w:r>
    </w:p>
    <w:p w:rsidR="00BB715E" w:rsidRPr="00BB715E" w:rsidRDefault="00BB715E" w:rsidP="00BB715E">
      <w:pPr>
        <w:pStyle w:val="Akapitzlist"/>
        <w:spacing w:after="0" w:line="240" w:lineRule="auto"/>
        <w:ind w:left="426"/>
        <w:jc w:val="both"/>
        <w:rPr>
          <w:rFonts w:ascii="Arial" w:hAnsi="Arial" w:cs="Arial"/>
          <w:lang w:val="pl-PL"/>
        </w:rPr>
      </w:pPr>
    </w:p>
    <w:p w:rsidR="00135B1A" w:rsidRDefault="00135B1A" w:rsidP="00BB715E">
      <w:pPr>
        <w:pStyle w:val="Akapitzlist"/>
        <w:numPr>
          <w:ilvl w:val="1"/>
          <w:numId w:val="1"/>
        </w:numPr>
        <w:spacing w:after="0" w:line="240" w:lineRule="auto"/>
        <w:ind w:left="993" w:hanging="567"/>
        <w:jc w:val="both"/>
        <w:rPr>
          <w:rFonts w:ascii="Arial" w:hAnsi="Arial" w:cs="Arial"/>
          <w:lang w:val="pl-PL"/>
        </w:rPr>
      </w:pPr>
      <w:r w:rsidRPr="00BB715E">
        <w:rPr>
          <w:rFonts w:ascii="Arial" w:hAnsi="Arial" w:cs="Arial"/>
          <w:lang w:val="pl-PL"/>
        </w:rPr>
        <w:t>zachęca parlamentarzystów do monitorowania determinacji i wdrażania standardów praw człowieka przez krajowe organy sądowe i administracyjne;</w:t>
      </w:r>
    </w:p>
    <w:p w:rsidR="00BB715E" w:rsidRPr="00BB715E" w:rsidRDefault="00BB715E" w:rsidP="00BB715E">
      <w:pPr>
        <w:pStyle w:val="Akapitzlist"/>
        <w:spacing w:after="0" w:line="240" w:lineRule="auto"/>
        <w:ind w:left="993"/>
        <w:jc w:val="both"/>
        <w:rPr>
          <w:rFonts w:ascii="Arial" w:hAnsi="Arial" w:cs="Arial"/>
          <w:lang w:val="pl-PL"/>
        </w:rPr>
      </w:pPr>
    </w:p>
    <w:p w:rsidR="00135B1A" w:rsidRDefault="00135B1A" w:rsidP="00BB715E">
      <w:pPr>
        <w:pStyle w:val="Akapitzlist"/>
        <w:numPr>
          <w:ilvl w:val="1"/>
          <w:numId w:val="1"/>
        </w:numPr>
        <w:spacing w:after="0" w:line="240" w:lineRule="auto"/>
        <w:ind w:left="993" w:hanging="567"/>
        <w:jc w:val="both"/>
        <w:rPr>
          <w:rFonts w:ascii="Arial" w:hAnsi="Arial" w:cs="Arial"/>
          <w:lang w:val="pl-PL"/>
        </w:rPr>
      </w:pPr>
      <w:r w:rsidRPr="00BB715E">
        <w:rPr>
          <w:rFonts w:ascii="Arial" w:hAnsi="Arial" w:cs="Arial"/>
          <w:lang w:val="pl-PL"/>
        </w:rPr>
        <w:lastRenderedPageBreak/>
        <w:t xml:space="preserve">nakłania parlamentarzystów do realizacji ich odpowiedzialności za staranne analizowanie działania władz wykonawczych w ich krajach w odniesieniu </w:t>
      </w:r>
      <w:r w:rsidR="00FB6E6C">
        <w:rPr>
          <w:rFonts w:ascii="Arial" w:hAnsi="Arial" w:cs="Arial"/>
          <w:lang w:val="pl-PL"/>
        </w:rPr>
        <w:br/>
      </w:r>
      <w:r w:rsidRPr="00BB715E">
        <w:rPr>
          <w:rFonts w:ascii="Arial" w:hAnsi="Arial" w:cs="Arial"/>
          <w:lang w:val="pl-PL"/>
        </w:rPr>
        <w:t xml:space="preserve">do wdrażania, </w:t>
      </w:r>
      <w:r w:rsidR="001A6208">
        <w:rPr>
          <w:rFonts w:ascii="Arial" w:hAnsi="Arial" w:cs="Arial"/>
          <w:lang w:val="pl-PL"/>
        </w:rPr>
        <w:t>zwłaszcza,</w:t>
      </w:r>
      <w:r w:rsidRPr="00BB715E">
        <w:rPr>
          <w:rFonts w:ascii="Arial" w:hAnsi="Arial" w:cs="Arial"/>
          <w:lang w:val="pl-PL"/>
        </w:rPr>
        <w:t xml:space="preserve"> międzynarodowych standardów praw człowieka;</w:t>
      </w:r>
    </w:p>
    <w:p w:rsidR="00BB715E" w:rsidRPr="00BB715E" w:rsidRDefault="00BB715E" w:rsidP="00BB715E">
      <w:pPr>
        <w:pStyle w:val="Akapitzlist"/>
        <w:rPr>
          <w:rFonts w:ascii="Arial" w:hAnsi="Arial" w:cs="Arial"/>
          <w:lang w:val="pl-PL"/>
        </w:rPr>
      </w:pPr>
    </w:p>
    <w:p w:rsidR="00135B1A" w:rsidRDefault="00135B1A" w:rsidP="00BB715E">
      <w:pPr>
        <w:pStyle w:val="Akapitzlist"/>
        <w:numPr>
          <w:ilvl w:val="1"/>
          <w:numId w:val="1"/>
        </w:numPr>
        <w:spacing w:after="0" w:line="240" w:lineRule="auto"/>
        <w:ind w:left="993" w:hanging="567"/>
        <w:jc w:val="both"/>
        <w:rPr>
          <w:rFonts w:ascii="Arial" w:hAnsi="Arial" w:cs="Arial"/>
          <w:lang w:val="pl-PL"/>
        </w:rPr>
      </w:pPr>
      <w:r w:rsidRPr="00BB715E">
        <w:rPr>
          <w:rFonts w:ascii="Arial" w:hAnsi="Arial" w:cs="Arial"/>
          <w:lang w:val="pl-PL"/>
        </w:rPr>
        <w:t>wzywa rządy do włączenia parlamentów krajowych do procesu negocjowania międzynarodowych porozumień w sprawie praw człowieka oraz do procesu wdrażania wyroków Europejskiego Trybunału Praw Człowieka;</w:t>
      </w:r>
    </w:p>
    <w:p w:rsidR="00BB715E" w:rsidRPr="00BB715E" w:rsidRDefault="00BB715E" w:rsidP="00BB715E">
      <w:pPr>
        <w:pStyle w:val="Akapitzlist"/>
        <w:rPr>
          <w:rFonts w:ascii="Arial" w:hAnsi="Arial" w:cs="Arial"/>
          <w:lang w:val="pl-PL"/>
        </w:rPr>
      </w:pPr>
    </w:p>
    <w:p w:rsidR="00135B1A" w:rsidRDefault="00135B1A" w:rsidP="00BB715E">
      <w:pPr>
        <w:pStyle w:val="Akapitzlist"/>
        <w:numPr>
          <w:ilvl w:val="1"/>
          <w:numId w:val="1"/>
        </w:numPr>
        <w:spacing w:after="0" w:line="240" w:lineRule="auto"/>
        <w:ind w:left="993" w:hanging="567"/>
        <w:jc w:val="both"/>
        <w:rPr>
          <w:rFonts w:ascii="Arial" w:hAnsi="Arial" w:cs="Arial"/>
          <w:lang w:val="pl-PL"/>
        </w:rPr>
      </w:pPr>
      <w:r w:rsidRPr="00BB715E">
        <w:rPr>
          <w:rFonts w:ascii="Arial" w:hAnsi="Arial" w:cs="Arial"/>
          <w:lang w:val="pl-PL"/>
        </w:rPr>
        <w:t>wzywa wszystkie państwa członkowskie do zapewnienia odpowiednich procedur parlamentarnych w celu systematycznego weryfikowania zgodności projektów ustawodawstwa ze standardami Konwencji oraz unikania przyszłych naruszeń Konwencji, w tym regularnego monitorowania wszystkich wyroków, które mogą potencjalnie wpływać na poszczególne porządki prawne;</w:t>
      </w:r>
    </w:p>
    <w:p w:rsidR="00BB715E" w:rsidRPr="00BB715E" w:rsidRDefault="00BB715E" w:rsidP="00BB715E">
      <w:pPr>
        <w:pStyle w:val="Akapitzlist"/>
        <w:rPr>
          <w:rFonts w:ascii="Arial" w:hAnsi="Arial" w:cs="Arial"/>
          <w:lang w:val="pl-PL"/>
        </w:rPr>
      </w:pPr>
    </w:p>
    <w:p w:rsidR="00135B1A" w:rsidRDefault="008B689E" w:rsidP="00BB715E">
      <w:pPr>
        <w:pStyle w:val="Akapitzlist"/>
        <w:numPr>
          <w:ilvl w:val="1"/>
          <w:numId w:val="1"/>
        </w:numPr>
        <w:spacing w:after="0" w:line="240" w:lineRule="auto"/>
        <w:ind w:left="993" w:hanging="567"/>
        <w:jc w:val="both"/>
        <w:rPr>
          <w:rFonts w:ascii="Arial" w:hAnsi="Arial" w:cs="Arial"/>
          <w:lang w:val="pl-PL"/>
        </w:rPr>
      </w:pPr>
      <w:r w:rsidRPr="008B689E">
        <w:rPr>
          <w:rFonts w:ascii="Arial" w:hAnsi="Arial" w:cs="Arial"/>
          <w:lang w:val="pl-PL"/>
        </w:rPr>
        <w:t>nakłania parlamentarzystów do zwiększenia ich wysiłków na rzecz wspierania procesu nadzorowania wyroków Trybunału poprzez kontrolowanie kroków podejmowanych przez właściwe władze w celu wykonania wyroków stwierdzających naruszenia, w tym poprzez badanie rzeczywiście podejmowanych środków</w:t>
      </w:r>
      <w:r w:rsidR="00135B1A" w:rsidRPr="00BB715E">
        <w:rPr>
          <w:rFonts w:ascii="Arial" w:hAnsi="Arial" w:cs="Arial"/>
          <w:lang w:val="pl-PL"/>
        </w:rPr>
        <w:t>;</w:t>
      </w:r>
    </w:p>
    <w:p w:rsidR="00BB715E" w:rsidRPr="00BB715E" w:rsidRDefault="00BB715E" w:rsidP="00BB715E">
      <w:pPr>
        <w:pStyle w:val="Akapitzlist"/>
        <w:rPr>
          <w:rFonts w:ascii="Arial" w:hAnsi="Arial" w:cs="Arial"/>
          <w:lang w:val="pl-PL"/>
        </w:rPr>
      </w:pPr>
    </w:p>
    <w:p w:rsidR="00135B1A" w:rsidRDefault="00A812E4" w:rsidP="00A812E4">
      <w:pPr>
        <w:pStyle w:val="Akapitzlist"/>
        <w:numPr>
          <w:ilvl w:val="1"/>
          <w:numId w:val="1"/>
        </w:numPr>
        <w:spacing w:after="0" w:line="240" w:lineRule="auto"/>
        <w:ind w:left="993" w:hanging="567"/>
        <w:jc w:val="both"/>
        <w:rPr>
          <w:rFonts w:ascii="Arial" w:hAnsi="Arial" w:cs="Arial"/>
          <w:lang w:val="pl-PL"/>
        </w:rPr>
      </w:pPr>
      <w:r w:rsidRPr="00A812E4">
        <w:rPr>
          <w:rFonts w:ascii="Arial" w:hAnsi="Arial" w:cs="Arial"/>
          <w:lang w:val="pl-PL"/>
        </w:rPr>
        <w:t>wzywa parlamenty do utworzenia i/lub wzmocnienia struktur, które pozwoliłyby na włączenie do głównego nurtu prac i wnikliwe nadzorowanie ich międzynarodowych zobowiązań w zakresie praw człowieka, na podstawie wskazanych niżej zasad</w:t>
      </w:r>
      <w:r w:rsidR="00135B1A" w:rsidRPr="00BB715E">
        <w:rPr>
          <w:rFonts w:ascii="Arial" w:hAnsi="Arial" w:cs="Arial"/>
          <w:lang w:val="pl-PL"/>
        </w:rPr>
        <w:t>.</w:t>
      </w:r>
    </w:p>
    <w:p w:rsidR="00BB715E" w:rsidRPr="00BB715E" w:rsidRDefault="00BB715E" w:rsidP="00BB715E">
      <w:pPr>
        <w:pStyle w:val="Akapitzlist"/>
        <w:rPr>
          <w:rFonts w:ascii="Arial" w:hAnsi="Arial" w:cs="Arial"/>
          <w:lang w:val="pl-PL"/>
        </w:rPr>
      </w:pPr>
    </w:p>
    <w:p w:rsidR="00135B1A" w:rsidRPr="00BB715E" w:rsidRDefault="00135B1A" w:rsidP="00BB715E">
      <w:pPr>
        <w:pStyle w:val="Akapitzlist"/>
        <w:numPr>
          <w:ilvl w:val="0"/>
          <w:numId w:val="1"/>
        </w:numPr>
        <w:spacing w:after="0" w:line="240" w:lineRule="auto"/>
        <w:ind w:left="426"/>
        <w:jc w:val="both"/>
        <w:rPr>
          <w:rFonts w:ascii="Arial" w:hAnsi="Arial" w:cs="Arial"/>
          <w:lang w:val="pl-PL"/>
        </w:rPr>
      </w:pPr>
      <w:r w:rsidRPr="00BB715E">
        <w:rPr>
          <w:rFonts w:ascii="Arial" w:hAnsi="Arial" w:cs="Arial"/>
          <w:lang w:val="pl-PL"/>
        </w:rPr>
        <w:t xml:space="preserve">Zgromadzenie zaprasza więc parlamentarzystów do wdrożenia następujących podstawowych zasad na rzecz parlamentarnego nadzoru nad międzynarodowymi standardami praw człowieka. </w:t>
      </w:r>
    </w:p>
    <w:p w:rsidR="00135B1A" w:rsidRPr="00BB715E" w:rsidRDefault="00135B1A" w:rsidP="00BB715E">
      <w:pPr>
        <w:spacing w:after="0" w:line="240" w:lineRule="auto"/>
        <w:ind w:left="426"/>
        <w:jc w:val="both"/>
        <w:rPr>
          <w:rFonts w:ascii="Arial" w:hAnsi="Arial" w:cs="Arial"/>
          <w:lang w:val="pl-PL"/>
        </w:rPr>
      </w:pPr>
    </w:p>
    <w:p w:rsidR="006C1F14" w:rsidRDefault="006C1F14" w:rsidP="00BB715E">
      <w:pPr>
        <w:spacing w:after="0" w:line="240" w:lineRule="auto"/>
        <w:ind w:left="426"/>
        <w:jc w:val="right"/>
        <w:rPr>
          <w:rFonts w:ascii="Arial" w:hAnsi="Arial" w:cs="Arial"/>
          <w:b/>
          <w:lang w:val="pl-PL"/>
        </w:rPr>
      </w:pPr>
    </w:p>
    <w:p w:rsidR="00BB715E" w:rsidRDefault="00135B1A" w:rsidP="00BB715E">
      <w:pPr>
        <w:spacing w:after="0" w:line="240" w:lineRule="auto"/>
        <w:ind w:left="426"/>
        <w:jc w:val="right"/>
        <w:rPr>
          <w:rFonts w:ascii="Arial" w:hAnsi="Arial" w:cs="Arial"/>
          <w:b/>
          <w:lang w:val="pl-PL"/>
        </w:rPr>
      </w:pPr>
      <w:r w:rsidRPr="00BB715E">
        <w:rPr>
          <w:rFonts w:ascii="Arial" w:hAnsi="Arial" w:cs="Arial"/>
          <w:b/>
          <w:lang w:val="pl-PL"/>
        </w:rPr>
        <w:t xml:space="preserve">Załącznik </w:t>
      </w:r>
    </w:p>
    <w:p w:rsidR="00BB715E" w:rsidRDefault="00BB715E" w:rsidP="00BB715E">
      <w:pPr>
        <w:spacing w:after="0" w:line="240" w:lineRule="auto"/>
        <w:ind w:left="426"/>
        <w:jc w:val="right"/>
        <w:rPr>
          <w:rFonts w:ascii="Arial" w:hAnsi="Arial" w:cs="Arial"/>
          <w:b/>
          <w:lang w:val="pl-PL"/>
        </w:rPr>
      </w:pPr>
    </w:p>
    <w:p w:rsidR="00135B1A" w:rsidRDefault="00135B1A" w:rsidP="00BB715E">
      <w:pPr>
        <w:spacing w:after="0" w:line="240" w:lineRule="auto"/>
        <w:ind w:left="426"/>
        <w:jc w:val="center"/>
        <w:rPr>
          <w:rFonts w:ascii="Arial" w:hAnsi="Arial" w:cs="Arial"/>
          <w:b/>
          <w:lang w:val="pl-PL"/>
        </w:rPr>
      </w:pPr>
      <w:r w:rsidRPr="00BB715E">
        <w:rPr>
          <w:rFonts w:ascii="Arial" w:hAnsi="Arial" w:cs="Arial"/>
          <w:b/>
          <w:lang w:val="pl-PL"/>
        </w:rPr>
        <w:t xml:space="preserve">Podstawowe zasady parlamentarnego nadzoru </w:t>
      </w:r>
      <w:r w:rsidR="00BB715E">
        <w:rPr>
          <w:rFonts w:ascii="Arial" w:hAnsi="Arial" w:cs="Arial"/>
          <w:b/>
          <w:lang w:val="pl-PL"/>
        </w:rPr>
        <w:br/>
      </w:r>
      <w:r w:rsidRPr="00BB715E">
        <w:rPr>
          <w:rFonts w:ascii="Arial" w:hAnsi="Arial" w:cs="Arial"/>
          <w:b/>
          <w:lang w:val="pl-PL"/>
        </w:rPr>
        <w:t>nad międzynarodowymi standardami praw człowieka</w:t>
      </w:r>
    </w:p>
    <w:p w:rsidR="00BB715E" w:rsidRPr="00BB715E" w:rsidRDefault="00BB715E" w:rsidP="00BB715E">
      <w:pPr>
        <w:spacing w:after="0" w:line="240" w:lineRule="auto"/>
        <w:ind w:left="426"/>
        <w:jc w:val="center"/>
        <w:rPr>
          <w:rFonts w:ascii="Arial" w:hAnsi="Arial" w:cs="Arial"/>
          <w:b/>
          <w:lang w:val="pl-PL"/>
        </w:rPr>
      </w:pPr>
    </w:p>
    <w:p w:rsidR="00135B1A" w:rsidRPr="00BB715E" w:rsidRDefault="00135B1A" w:rsidP="00BB715E">
      <w:pPr>
        <w:spacing w:after="0" w:line="240" w:lineRule="auto"/>
        <w:ind w:left="426"/>
        <w:jc w:val="both"/>
        <w:rPr>
          <w:rFonts w:ascii="Arial" w:hAnsi="Arial" w:cs="Arial"/>
          <w:lang w:val="pl-PL"/>
        </w:rPr>
      </w:pPr>
    </w:p>
    <w:p w:rsidR="00135B1A" w:rsidRDefault="00135B1A" w:rsidP="00BB715E">
      <w:pPr>
        <w:pStyle w:val="Akapitzlist"/>
        <w:numPr>
          <w:ilvl w:val="0"/>
          <w:numId w:val="2"/>
        </w:numPr>
        <w:spacing w:after="0" w:line="240" w:lineRule="auto"/>
        <w:ind w:left="426"/>
        <w:jc w:val="both"/>
        <w:rPr>
          <w:rFonts w:ascii="Arial" w:hAnsi="Arial" w:cs="Arial"/>
          <w:b/>
          <w:lang w:val="pl-PL"/>
        </w:rPr>
      </w:pPr>
      <w:r w:rsidRPr="00BB715E">
        <w:rPr>
          <w:rFonts w:ascii="Arial" w:hAnsi="Arial" w:cs="Arial"/>
          <w:b/>
          <w:lang w:val="pl-PL"/>
        </w:rPr>
        <w:t>Odpowiednie ramy oraz odpowiedzialność</w:t>
      </w:r>
    </w:p>
    <w:p w:rsidR="00BB715E" w:rsidRPr="00BB715E" w:rsidRDefault="00BB715E" w:rsidP="00BB715E">
      <w:pPr>
        <w:pStyle w:val="Akapitzlist"/>
        <w:spacing w:after="0" w:line="240" w:lineRule="auto"/>
        <w:ind w:left="426"/>
        <w:jc w:val="both"/>
        <w:rPr>
          <w:rFonts w:ascii="Arial" w:hAnsi="Arial" w:cs="Arial"/>
          <w:b/>
          <w:lang w:val="pl-PL"/>
        </w:rPr>
      </w:pPr>
    </w:p>
    <w:p w:rsidR="00135B1A" w:rsidRDefault="0083152E" w:rsidP="0083152E">
      <w:pPr>
        <w:spacing w:after="0" w:line="240" w:lineRule="auto"/>
        <w:ind w:left="426"/>
        <w:jc w:val="both"/>
        <w:rPr>
          <w:rFonts w:ascii="Arial" w:hAnsi="Arial" w:cs="Arial"/>
          <w:lang w:val="pl-PL"/>
        </w:rPr>
      </w:pPr>
      <w:r w:rsidRPr="0083152E">
        <w:rPr>
          <w:rFonts w:ascii="Arial" w:hAnsi="Arial" w:cs="Arial"/>
          <w:lang w:val="pl-PL"/>
        </w:rPr>
        <w:t xml:space="preserve">Parlamenty krajowe utworzą odpowiednie struktury parlamentarne w celu zapewnienia wnikliwego </w:t>
      </w:r>
      <w:bookmarkStart w:id="0" w:name="_GoBack"/>
      <w:bookmarkEnd w:id="0"/>
      <w:r w:rsidRPr="0083152E">
        <w:rPr>
          <w:rFonts w:ascii="Arial" w:hAnsi="Arial" w:cs="Arial"/>
          <w:lang w:val="pl-PL"/>
        </w:rPr>
        <w:t>i regularnego monitorowania zgodności z, i nadzorowania nad, międzynarodowymi zobowiązaniami w zakresie praw człowieka, takie jak dedykowane do tego celu komisje praw człowieka lub odpowiednie, analogiczne struktury, których mandaty zostaną w jasny sposób określone i uregulowane w prawie</w:t>
      </w:r>
      <w:r w:rsidR="00135B1A" w:rsidRPr="00BB715E">
        <w:rPr>
          <w:rFonts w:ascii="Arial" w:hAnsi="Arial" w:cs="Arial"/>
          <w:lang w:val="pl-PL"/>
        </w:rPr>
        <w:t xml:space="preserve">. </w:t>
      </w:r>
    </w:p>
    <w:p w:rsidR="00BB715E" w:rsidRPr="00BB715E" w:rsidRDefault="00BB715E" w:rsidP="00BB715E">
      <w:pPr>
        <w:spacing w:after="0" w:line="240" w:lineRule="auto"/>
        <w:ind w:left="426"/>
        <w:jc w:val="both"/>
        <w:rPr>
          <w:rFonts w:ascii="Arial" w:hAnsi="Arial" w:cs="Arial"/>
          <w:lang w:val="pl-PL"/>
        </w:rPr>
      </w:pPr>
    </w:p>
    <w:p w:rsidR="00135B1A" w:rsidRDefault="00135B1A" w:rsidP="00BB715E">
      <w:pPr>
        <w:spacing w:after="0" w:line="240" w:lineRule="auto"/>
        <w:ind w:left="426"/>
        <w:jc w:val="both"/>
        <w:rPr>
          <w:rFonts w:ascii="Arial" w:hAnsi="Arial" w:cs="Arial"/>
          <w:lang w:val="pl-PL"/>
        </w:rPr>
      </w:pPr>
      <w:r w:rsidRPr="00BB715E">
        <w:rPr>
          <w:rFonts w:ascii="Arial" w:hAnsi="Arial" w:cs="Arial"/>
          <w:lang w:val="pl-PL"/>
        </w:rPr>
        <w:t>Mandaty te powinny obejmować, między innymi:</w:t>
      </w:r>
    </w:p>
    <w:p w:rsidR="00AC2978" w:rsidRPr="00BB715E" w:rsidRDefault="00AC2978" w:rsidP="00BB715E">
      <w:pPr>
        <w:spacing w:after="0" w:line="240" w:lineRule="auto"/>
        <w:ind w:left="426"/>
        <w:jc w:val="both"/>
        <w:rPr>
          <w:rFonts w:ascii="Arial" w:hAnsi="Arial" w:cs="Arial"/>
          <w:lang w:val="pl-PL"/>
        </w:rPr>
      </w:pPr>
    </w:p>
    <w:p w:rsidR="00135B1A" w:rsidRPr="00BB715E" w:rsidRDefault="00135B1A" w:rsidP="00B11D5F">
      <w:pPr>
        <w:spacing w:after="120" w:line="240" w:lineRule="auto"/>
        <w:ind w:left="426"/>
        <w:jc w:val="both"/>
        <w:rPr>
          <w:rFonts w:ascii="Arial" w:hAnsi="Arial" w:cs="Arial"/>
          <w:lang w:val="pl-PL"/>
        </w:rPr>
      </w:pPr>
      <w:r w:rsidRPr="00BB715E">
        <w:rPr>
          <w:rFonts w:ascii="Arial" w:hAnsi="Arial" w:cs="Arial"/>
          <w:lang w:val="pl-PL"/>
        </w:rPr>
        <w:t xml:space="preserve">- systematyczne weryfikowanie zgodności projektów ustawodawstwa </w:t>
      </w:r>
      <w:r w:rsidR="00B11D5F">
        <w:rPr>
          <w:rFonts w:ascii="Arial" w:hAnsi="Arial" w:cs="Arial"/>
          <w:lang w:val="pl-PL"/>
        </w:rPr>
        <w:br/>
      </w:r>
      <w:r w:rsidRPr="00BB715E">
        <w:rPr>
          <w:rFonts w:ascii="Arial" w:hAnsi="Arial" w:cs="Arial"/>
          <w:lang w:val="pl-PL"/>
        </w:rPr>
        <w:t>z międzynarodowymi zobowiązaniami w zakresie praw człowieka;</w:t>
      </w:r>
    </w:p>
    <w:p w:rsidR="00135B1A" w:rsidRPr="00BB715E" w:rsidRDefault="00135B1A" w:rsidP="00B11D5F">
      <w:pPr>
        <w:spacing w:after="120" w:line="240" w:lineRule="auto"/>
        <w:ind w:left="426"/>
        <w:jc w:val="both"/>
        <w:rPr>
          <w:rFonts w:ascii="Arial" w:hAnsi="Arial" w:cs="Arial"/>
          <w:lang w:val="pl-PL"/>
        </w:rPr>
      </w:pPr>
      <w:r w:rsidRPr="00BB715E">
        <w:rPr>
          <w:rFonts w:ascii="Arial" w:hAnsi="Arial" w:cs="Arial"/>
          <w:lang w:val="pl-PL"/>
        </w:rPr>
        <w:t>- wymóg regularnego przedstawiania przez rządy sprawozdań na temat właściwych wyroków Europejskiego Trybunału Praw Człowieka i ich wdrażania;</w:t>
      </w:r>
    </w:p>
    <w:p w:rsidR="00135B1A" w:rsidRPr="00BB715E" w:rsidRDefault="00135B1A" w:rsidP="00B11D5F">
      <w:pPr>
        <w:spacing w:after="120" w:line="240" w:lineRule="auto"/>
        <w:ind w:left="426"/>
        <w:jc w:val="both"/>
        <w:rPr>
          <w:rFonts w:ascii="Arial" w:hAnsi="Arial" w:cs="Arial"/>
          <w:lang w:val="pl-PL"/>
        </w:rPr>
      </w:pPr>
      <w:r w:rsidRPr="00BB715E">
        <w:rPr>
          <w:rFonts w:ascii="Arial" w:hAnsi="Arial" w:cs="Arial"/>
          <w:lang w:val="pl-PL"/>
        </w:rPr>
        <w:t>- inicjowanie propozycji ustawodawczych i zmian w prawie;</w:t>
      </w:r>
    </w:p>
    <w:p w:rsidR="00135B1A" w:rsidRDefault="00135B1A" w:rsidP="00BB715E">
      <w:pPr>
        <w:spacing w:after="0" w:line="240" w:lineRule="auto"/>
        <w:ind w:left="426"/>
        <w:jc w:val="both"/>
        <w:rPr>
          <w:rFonts w:ascii="Arial" w:hAnsi="Arial" w:cs="Arial"/>
          <w:lang w:val="pl-PL"/>
        </w:rPr>
      </w:pPr>
      <w:r w:rsidRPr="00BB715E">
        <w:rPr>
          <w:rFonts w:ascii="Arial" w:hAnsi="Arial" w:cs="Arial"/>
          <w:lang w:val="pl-PL"/>
        </w:rPr>
        <w:t xml:space="preserve">- uprawnienia w zakresie wzywania świadków i żądania dokumentów w zakresie </w:t>
      </w:r>
      <w:r w:rsidR="008B7F59">
        <w:rPr>
          <w:rFonts w:ascii="Arial" w:hAnsi="Arial" w:cs="Arial"/>
          <w:lang w:val="pl-PL"/>
        </w:rPr>
        <w:br/>
      </w:r>
      <w:r w:rsidRPr="00BB715E">
        <w:rPr>
          <w:rFonts w:ascii="Arial" w:hAnsi="Arial" w:cs="Arial"/>
          <w:lang w:val="pl-PL"/>
        </w:rPr>
        <w:t>ich mandatu.</w:t>
      </w:r>
    </w:p>
    <w:p w:rsidR="00BB715E" w:rsidRPr="00BB715E" w:rsidRDefault="00BB715E" w:rsidP="00BB715E">
      <w:pPr>
        <w:spacing w:after="0" w:line="240" w:lineRule="auto"/>
        <w:ind w:left="426"/>
        <w:jc w:val="both"/>
        <w:rPr>
          <w:rFonts w:ascii="Arial" w:hAnsi="Arial" w:cs="Arial"/>
          <w:lang w:val="pl-PL"/>
        </w:rPr>
      </w:pPr>
    </w:p>
    <w:p w:rsidR="008B7F59" w:rsidRDefault="00135B1A" w:rsidP="00BB715E">
      <w:pPr>
        <w:spacing w:after="0" w:line="240" w:lineRule="auto"/>
        <w:ind w:left="426"/>
        <w:jc w:val="both"/>
        <w:rPr>
          <w:rFonts w:ascii="Arial" w:hAnsi="Arial" w:cs="Arial"/>
          <w:lang w:val="pl-PL"/>
        </w:rPr>
      </w:pPr>
      <w:r w:rsidRPr="00BB715E">
        <w:rPr>
          <w:rFonts w:ascii="Arial" w:hAnsi="Arial" w:cs="Arial"/>
          <w:lang w:val="pl-PL"/>
        </w:rPr>
        <w:lastRenderedPageBreak/>
        <w:t xml:space="preserve">Komisje takie będą ponosiły odpowiedzialność za zapewnianie parlamentom odpowiedniego doradztwa oraz informacji na temat praw człowieka. </w:t>
      </w:r>
    </w:p>
    <w:p w:rsidR="008B7F59" w:rsidRDefault="008B7F59" w:rsidP="00BB715E">
      <w:pPr>
        <w:spacing w:after="0" w:line="240" w:lineRule="auto"/>
        <w:ind w:left="426"/>
        <w:jc w:val="both"/>
        <w:rPr>
          <w:rFonts w:ascii="Arial" w:hAnsi="Arial" w:cs="Arial"/>
          <w:lang w:val="pl-PL"/>
        </w:rPr>
      </w:pPr>
    </w:p>
    <w:p w:rsidR="00BB715E" w:rsidRDefault="00135B1A" w:rsidP="00BB715E">
      <w:pPr>
        <w:spacing w:after="0" w:line="240" w:lineRule="auto"/>
        <w:ind w:left="426"/>
        <w:jc w:val="both"/>
        <w:rPr>
          <w:rFonts w:ascii="Arial" w:hAnsi="Arial" w:cs="Arial"/>
          <w:lang w:val="pl-PL"/>
        </w:rPr>
      </w:pPr>
      <w:r w:rsidRPr="00BB715E">
        <w:rPr>
          <w:rFonts w:ascii="Arial" w:hAnsi="Arial" w:cs="Arial"/>
          <w:lang w:val="pl-PL"/>
        </w:rPr>
        <w:t xml:space="preserve">Szkolenie w zakresie praw człowieka zostanie również zapewnione </w:t>
      </w:r>
      <w:r w:rsidR="008B7F59">
        <w:rPr>
          <w:rFonts w:ascii="Arial" w:hAnsi="Arial" w:cs="Arial"/>
          <w:lang w:val="pl-PL"/>
        </w:rPr>
        <w:br/>
      </w:r>
      <w:r w:rsidRPr="00BB715E">
        <w:rPr>
          <w:rFonts w:ascii="Arial" w:hAnsi="Arial" w:cs="Arial"/>
          <w:lang w:val="pl-PL"/>
        </w:rPr>
        <w:t>dla parlamentarzystów oraz ich personelu.</w:t>
      </w:r>
    </w:p>
    <w:p w:rsidR="00135B1A" w:rsidRPr="00BB715E" w:rsidRDefault="00135B1A" w:rsidP="00BB715E">
      <w:pPr>
        <w:spacing w:after="0" w:line="240" w:lineRule="auto"/>
        <w:ind w:left="426"/>
        <w:jc w:val="both"/>
        <w:rPr>
          <w:rFonts w:ascii="Arial" w:hAnsi="Arial" w:cs="Arial"/>
          <w:lang w:val="pl-PL"/>
        </w:rPr>
      </w:pPr>
      <w:r w:rsidRPr="00BB715E">
        <w:rPr>
          <w:rFonts w:ascii="Arial" w:hAnsi="Arial" w:cs="Arial"/>
          <w:lang w:val="pl-PL"/>
        </w:rPr>
        <w:t xml:space="preserve"> </w:t>
      </w:r>
    </w:p>
    <w:p w:rsidR="00135B1A" w:rsidRDefault="00135B1A" w:rsidP="00BB715E">
      <w:pPr>
        <w:pStyle w:val="Akapitzlist"/>
        <w:numPr>
          <w:ilvl w:val="0"/>
          <w:numId w:val="2"/>
        </w:numPr>
        <w:spacing w:after="0" w:line="240" w:lineRule="auto"/>
        <w:ind w:left="426"/>
        <w:jc w:val="both"/>
        <w:rPr>
          <w:rFonts w:ascii="Arial" w:hAnsi="Arial" w:cs="Arial"/>
          <w:b/>
          <w:lang w:val="pl-PL"/>
        </w:rPr>
      </w:pPr>
      <w:r w:rsidRPr="00BB715E">
        <w:rPr>
          <w:rFonts w:ascii="Arial" w:hAnsi="Arial" w:cs="Arial"/>
          <w:b/>
          <w:lang w:val="pl-PL"/>
        </w:rPr>
        <w:t>Niezależne doradztwo</w:t>
      </w:r>
    </w:p>
    <w:p w:rsidR="00BB715E" w:rsidRPr="00BB715E" w:rsidRDefault="00BB715E" w:rsidP="00BB715E">
      <w:pPr>
        <w:pStyle w:val="Akapitzlist"/>
        <w:spacing w:after="0" w:line="240" w:lineRule="auto"/>
        <w:ind w:left="426"/>
        <w:jc w:val="both"/>
        <w:rPr>
          <w:rFonts w:ascii="Arial" w:hAnsi="Arial" w:cs="Arial"/>
          <w:b/>
          <w:lang w:val="pl-PL"/>
        </w:rPr>
      </w:pPr>
    </w:p>
    <w:p w:rsidR="008B7F59" w:rsidRDefault="00135B1A" w:rsidP="00BB715E">
      <w:pPr>
        <w:spacing w:after="0" w:line="240" w:lineRule="auto"/>
        <w:ind w:left="426"/>
        <w:jc w:val="both"/>
        <w:rPr>
          <w:rFonts w:ascii="Arial" w:hAnsi="Arial" w:cs="Arial"/>
          <w:lang w:val="pl-PL"/>
        </w:rPr>
      </w:pPr>
      <w:r w:rsidRPr="00BB715E">
        <w:rPr>
          <w:rFonts w:ascii="Arial" w:hAnsi="Arial" w:cs="Arial"/>
          <w:lang w:val="pl-PL"/>
        </w:rPr>
        <w:t xml:space="preserve">Komisje do spraw praw człowieka lub odpowiednie analogiczne struktury będą miały dostęp do niezależnej opinii eksperckiej na temat praw człowieka. </w:t>
      </w:r>
    </w:p>
    <w:p w:rsidR="008B7F59" w:rsidRDefault="008B7F59" w:rsidP="00BB715E">
      <w:pPr>
        <w:spacing w:after="0" w:line="240" w:lineRule="auto"/>
        <w:ind w:left="426"/>
        <w:jc w:val="both"/>
        <w:rPr>
          <w:rFonts w:ascii="Arial" w:hAnsi="Arial" w:cs="Arial"/>
          <w:lang w:val="pl-PL"/>
        </w:rPr>
      </w:pPr>
    </w:p>
    <w:p w:rsidR="00135B1A" w:rsidRDefault="00135B1A" w:rsidP="00BB715E">
      <w:pPr>
        <w:spacing w:after="0" w:line="240" w:lineRule="auto"/>
        <w:ind w:left="426"/>
        <w:jc w:val="both"/>
        <w:rPr>
          <w:rFonts w:ascii="Arial" w:hAnsi="Arial" w:cs="Arial"/>
          <w:lang w:val="pl-PL"/>
        </w:rPr>
      </w:pPr>
      <w:r w:rsidRPr="00BB715E">
        <w:rPr>
          <w:rFonts w:ascii="Arial" w:hAnsi="Arial" w:cs="Arial"/>
          <w:lang w:val="pl-PL"/>
        </w:rPr>
        <w:t>Odpowiednie środki będą również dostępne dla zapewnienia wsparcia ze strony wyspecjalizowanego sekretariatu.</w:t>
      </w:r>
    </w:p>
    <w:p w:rsidR="00BB715E" w:rsidRDefault="00BB715E" w:rsidP="00BB715E">
      <w:pPr>
        <w:spacing w:after="0" w:line="240" w:lineRule="auto"/>
        <w:ind w:left="426"/>
        <w:jc w:val="both"/>
        <w:rPr>
          <w:rFonts w:ascii="Arial" w:hAnsi="Arial" w:cs="Arial"/>
          <w:lang w:val="pl-PL"/>
        </w:rPr>
      </w:pPr>
    </w:p>
    <w:p w:rsidR="00135B1A" w:rsidRDefault="00135B1A" w:rsidP="00BB715E">
      <w:pPr>
        <w:pStyle w:val="Akapitzlist"/>
        <w:numPr>
          <w:ilvl w:val="0"/>
          <w:numId w:val="2"/>
        </w:numPr>
        <w:spacing w:after="0" w:line="240" w:lineRule="auto"/>
        <w:ind w:left="426"/>
        <w:jc w:val="both"/>
        <w:rPr>
          <w:rFonts w:ascii="Arial" w:hAnsi="Arial" w:cs="Arial"/>
          <w:b/>
          <w:lang w:val="pl-PL"/>
        </w:rPr>
      </w:pPr>
      <w:r w:rsidRPr="00BB715E">
        <w:rPr>
          <w:rFonts w:ascii="Arial" w:hAnsi="Arial" w:cs="Arial"/>
          <w:b/>
          <w:lang w:val="pl-PL"/>
        </w:rPr>
        <w:t>Współpraca z innymi instytucjami i społeczeństwem obywatelskim</w:t>
      </w:r>
    </w:p>
    <w:p w:rsidR="00BB715E" w:rsidRDefault="00BB715E" w:rsidP="00BB715E">
      <w:pPr>
        <w:spacing w:after="0" w:line="240" w:lineRule="auto"/>
        <w:ind w:left="426"/>
        <w:jc w:val="both"/>
        <w:rPr>
          <w:rFonts w:ascii="Arial" w:hAnsi="Arial" w:cs="Arial"/>
          <w:lang w:val="pl-PL"/>
        </w:rPr>
      </w:pPr>
    </w:p>
    <w:p w:rsidR="00AC368D" w:rsidRPr="00BB715E" w:rsidRDefault="00135B1A" w:rsidP="00BB715E">
      <w:pPr>
        <w:spacing w:after="0" w:line="240" w:lineRule="auto"/>
        <w:ind w:left="426"/>
        <w:jc w:val="both"/>
        <w:rPr>
          <w:rFonts w:ascii="Arial" w:hAnsi="Arial" w:cs="Arial"/>
          <w:lang w:val="pl-PL"/>
        </w:rPr>
      </w:pPr>
      <w:r w:rsidRPr="00BB715E">
        <w:rPr>
          <w:rFonts w:ascii="Arial" w:hAnsi="Arial" w:cs="Arial"/>
          <w:lang w:val="pl-PL"/>
        </w:rPr>
        <w:t xml:space="preserve">Utrzymywana będzie współpraca oraz regularny dialog, jak stosowne, z właściwymi organami krajowymi (na przykład, krajowymi instytucjami praw człowieka, rzecznikami parlamentarnymi) lub międzynarodowymi (na przykład, Zgromadzeniem Parlamentarnym, Komisarzem Praw Człowieka Rady Europy, europejskimi lub innymi międzynarodowymi organami monitoringowymi praw człowieka), jak również </w:t>
      </w:r>
      <w:r w:rsidR="008B7F59">
        <w:rPr>
          <w:rFonts w:ascii="Arial" w:hAnsi="Arial" w:cs="Arial"/>
          <w:lang w:val="pl-PL"/>
        </w:rPr>
        <w:br/>
      </w:r>
      <w:r w:rsidRPr="00BB715E">
        <w:rPr>
          <w:rFonts w:ascii="Arial" w:hAnsi="Arial" w:cs="Arial"/>
          <w:lang w:val="pl-PL"/>
        </w:rPr>
        <w:t>z przedstawicielami ugruntowanych organizacji pozarządowych, które posiadają znaczące i odpowiednie doświadczenie.</w:t>
      </w:r>
    </w:p>
    <w:sectPr w:rsidR="00AC368D" w:rsidRPr="00BB715E" w:rsidSect="006C1F14">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978" w:rsidRDefault="00AC2978" w:rsidP="00AC2978">
      <w:pPr>
        <w:spacing w:after="0" w:line="240" w:lineRule="auto"/>
      </w:pPr>
      <w:r>
        <w:separator/>
      </w:r>
    </w:p>
  </w:endnote>
  <w:endnote w:type="continuationSeparator" w:id="0">
    <w:p w:rsidR="00AC2978" w:rsidRDefault="00AC2978" w:rsidP="00AC2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133595"/>
      <w:docPartObj>
        <w:docPartGallery w:val="Page Numbers (Bottom of Page)"/>
        <w:docPartUnique/>
      </w:docPartObj>
    </w:sdtPr>
    <w:sdtEndPr/>
    <w:sdtContent>
      <w:p w:rsidR="00041198" w:rsidRDefault="00041198">
        <w:pPr>
          <w:pStyle w:val="Stopka"/>
          <w:jc w:val="right"/>
        </w:pPr>
        <w:r>
          <w:fldChar w:fldCharType="begin"/>
        </w:r>
        <w:r>
          <w:instrText>PAGE   \* MERGEFORMAT</w:instrText>
        </w:r>
        <w:r>
          <w:fldChar w:fldCharType="separate"/>
        </w:r>
        <w:r w:rsidR="0083152E" w:rsidRPr="0083152E">
          <w:rPr>
            <w:noProof/>
            <w:lang w:val="pl-PL"/>
          </w:rPr>
          <w:t>3</w:t>
        </w:r>
        <w:r>
          <w:fldChar w:fldCharType="end"/>
        </w:r>
      </w:p>
    </w:sdtContent>
  </w:sdt>
  <w:p w:rsidR="00AC2978" w:rsidRDefault="00AC297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978" w:rsidRDefault="00AC2978" w:rsidP="00AC2978">
      <w:pPr>
        <w:spacing w:after="0" w:line="240" w:lineRule="auto"/>
      </w:pPr>
      <w:r>
        <w:separator/>
      </w:r>
    </w:p>
  </w:footnote>
  <w:footnote w:type="continuationSeparator" w:id="0">
    <w:p w:rsidR="00AC2978" w:rsidRDefault="00AC2978" w:rsidP="00AC2978">
      <w:pPr>
        <w:spacing w:after="0" w:line="240" w:lineRule="auto"/>
      </w:pPr>
      <w:r>
        <w:continuationSeparator/>
      </w:r>
    </w:p>
  </w:footnote>
  <w:footnote w:id="1">
    <w:p w:rsidR="00AC2978" w:rsidRPr="00041198" w:rsidRDefault="00AC2978" w:rsidP="00AC2978">
      <w:pPr>
        <w:autoSpaceDE w:val="0"/>
        <w:autoSpaceDN w:val="0"/>
        <w:adjustRightInd w:val="0"/>
        <w:spacing w:after="0" w:line="240" w:lineRule="auto"/>
        <w:jc w:val="both"/>
        <w:rPr>
          <w:rFonts w:ascii="Arial" w:hAnsi="Arial" w:cs="Arial"/>
          <w:sz w:val="18"/>
          <w:szCs w:val="18"/>
          <w:lang w:val="pl-PL"/>
        </w:rPr>
      </w:pPr>
      <w:r>
        <w:rPr>
          <w:rStyle w:val="Odwoanieprzypisudolnego"/>
        </w:rPr>
        <w:footnoteRef/>
      </w:r>
      <w:r w:rsidRPr="00AC2978">
        <w:rPr>
          <w:lang w:val="pl-PL"/>
        </w:rPr>
        <w:t xml:space="preserve"> </w:t>
      </w:r>
      <w:r w:rsidRPr="00AC2978">
        <w:rPr>
          <w:rFonts w:ascii="Arial" w:hAnsi="Arial" w:cs="Arial"/>
          <w:sz w:val="18"/>
          <w:szCs w:val="18"/>
          <w:lang w:val="pl-PL"/>
        </w:rPr>
        <w:t xml:space="preserve">Debata Zgromadzenia Parlamentarnego w dniu 23 czerwca </w:t>
      </w:r>
      <w:r w:rsidRPr="00AC2978">
        <w:rPr>
          <w:rFonts w:ascii="Arial" w:hAnsi="Arial" w:cs="Arial"/>
          <w:color w:val="000000"/>
          <w:sz w:val="18"/>
          <w:szCs w:val="18"/>
          <w:lang w:val="pl-PL"/>
        </w:rPr>
        <w:t xml:space="preserve">2011 r. (25 sesja) (zobacz </w:t>
      </w:r>
      <w:r w:rsidRPr="00AC2978">
        <w:rPr>
          <w:rFonts w:ascii="Arial" w:hAnsi="Arial" w:cs="Arial"/>
          <w:color w:val="000081"/>
          <w:sz w:val="18"/>
          <w:szCs w:val="18"/>
          <w:lang w:val="pl-PL"/>
        </w:rPr>
        <w:t>Doc. 12636</w:t>
      </w:r>
      <w:r w:rsidRPr="00AC2978">
        <w:rPr>
          <w:rFonts w:ascii="Arial" w:hAnsi="Arial" w:cs="Arial"/>
          <w:color w:val="000000"/>
          <w:sz w:val="18"/>
          <w:szCs w:val="18"/>
          <w:lang w:val="pl-PL"/>
        </w:rPr>
        <w:t xml:space="preserve">, </w:t>
      </w:r>
      <w:r w:rsidR="00CE000F">
        <w:rPr>
          <w:rFonts w:ascii="Arial" w:hAnsi="Arial" w:cs="Arial"/>
          <w:color w:val="000000"/>
          <w:sz w:val="18"/>
          <w:szCs w:val="18"/>
          <w:lang w:val="pl-PL"/>
        </w:rPr>
        <w:br/>
      </w:r>
      <w:r w:rsidRPr="00AC2978">
        <w:rPr>
          <w:rFonts w:ascii="Arial" w:hAnsi="Arial" w:cs="Arial"/>
          <w:color w:val="000000"/>
          <w:sz w:val="18"/>
          <w:szCs w:val="18"/>
          <w:lang w:val="pl-PL"/>
        </w:rPr>
        <w:t xml:space="preserve">raport Komisji Spraw Prawnych I Praw Człowieka, sprawozdawca: Pan </w:t>
      </w:r>
      <w:proofErr w:type="spellStart"/>
      <w:r w:rsidRPr="00AC2978">
        <w:rPr>
          <w:rFonts w:ascii="Arial" w:hAnsi="Arial" w:cs="Arial"/>
          <w:color w:val="000000"/>
          <w:sz w:val="18"/>
          <w:szCs w:val="18"/>
          <w:lang w:val="pl-PL"/>
        </w:rPr>
        <w:t>Pourgourides</w:t>
      </w:r>
      <w:proofErr w:type="spellEnd"/>
      <w:r w:rsidRPr="00AC2978">
        <w:rPr>
          <w:rFonts w:ascii="Arial" w:hAnsi="Arial" w:cs="Arial"/>
          <w:color w:val="000000"/>
          <w:sz w:val="18"/>
          <w:szCs w:val="18"/>
          <w:lang w:val="pl-PL"/>
        </w:rPr>
        <w:t xml:space="preserve">). Tekst przyjęty </w:t>
      </w:r>
      <w:r w:rsidR="00CE000F">
        <w:rPr>
          <w:rFonts w:ascii="Arial" w:hAnsi="Arial" w:cs="Arial"/>
          <w:color w:val="000000"/>
          <w:sz w:val="18"/>
          <w:szCs w:val="18"/>
          <w:lang w:val="pl-PL"/>
        </w:rPr>
        <w:br/>
      </w:r>
      <w:r w:rsidRPr="00AC2978">
        <w:rPr>
          <w:rFonts w:ascii="Arial" w:hAnsi="Arial" w:cs="Arial"/>
          <w:color w:val="000000"/>
          <w:sz w:val="18"/>
          <w:szCs w:val="18"/>
          <w:lang w:val="pl-PL"/>
        </w:rPr>
        <w:t>przez Zgromadzenie w dniu 23 czerwca 2011 r. (</w:t>
      </w:r>
      <w:r w:rsidRPr="00041198">
        <w:rPr>
          <w:rFonts w:ascii="Arial" w:hAnsi="Arial" w:cs="Arial"/>
          <w:color w:val="000000"/>
          <w:sz w:val="18"/>
          <w:szCs w:val="18"/>
          <w:lang w:val="pl-PL"/>
        </w:rPr>
        <w:t>25 sesja).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F14" w:rsidRDefault="006C1F14" w:rsidP="006C1F14">
    <w:pPr>
      <w:pStyle w:val="Nagwek"/>
      <w:jc w:val="right"/>
      <w:rPr>
        <w:i/>
        <w:lang w:val="pl-PL"/>
      </w:rPr>
    </w:pPr>
    <w:r w:rsidRPr="00425DA7">
      <w:rPr>
        <w:i/>
        <w:lang w:val="pl-PL"/>
      </w:rPr>
      <w:t xml:space="preserve">Tłumaczenie przygotowane </w:t>
    </w:r>
    <w:r w:rsidRPr="00425DA7">
      <w:rPr>
        <w:i/>
        <w:lang w:val="pl-PL"/>
      </w:rPr>
      <w:br/>
      <w:t>przez Ministerstwo Spraw Zagranicznych</w:t>
    </w:r>
  </w:p>
  <w:p w:rsidR="006C1F14" w:rsidRPr="00425DA7" w:rsidRDefault="006C1F14" w:rsidP="006C1F14">
    <w:pPr>
      <w:pStyle w:val="Nagwek"/>
      <w:jc w:val="right"/>
      <w:rPr>
        <w:lang w:val="pl-PL"/>
      </w:rPr>
    </w:pPr>
  </w:p>
  <w:p w:rsidR="006C1F14" w:rsidRPr="006C1F14" w:rsidRDefault="006C1F14">
    <w:pPr>
      <w:pStyle w:val="Nagwek"/>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83AC1"/>
    <w:multiLevelType w:val="hybridMultilevel"/>
    <w:tmpl w:val="5E126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7320FEB"/>
    <w:multiLevelType w:val="multilevel"/>
    <w:tmpl w:val="3C6C55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E12"/>
    <w:rsid w:val="00041198"/>
    <w:rsid w:val="00085274"/>
    <w:rsid w:val="00135B1A"/>
    <w:rsid w:val="001455AD"/>
    <w:rsid w:val="00167020"/>
    <w:rsid w:val="001A6208"/>
    <w:rsid w:val="002B41E6"/>
    <w:rsid w:val="00564277"/>
    <w:rsid w:val="005C0E12"/>
    <w:rsid w:val="006C1F14"/>
    <w:rsid w:val="0083152E"/>
    <w:rsid w:val="008B689E"/>
    <w:rsid w:val="008B7F59"/>
    <w:rsid w:val="008C7ACD"/>
    <w:rsid w:val="0094008D"/>
    <w:rsid w:val="00A71C6F"/>
    <w:rsid w:val="00A812E4"/>
    <w:rsid w:val="00AC2978"/>
    <w:rsid w:val="00AC368D"/>
    <w:rsid w:val="00AF616A"/>
    <w:rsid w:val="00B11D5F"/>
    <w:rsid w:val="00BB715E"/>
    <w:rsid w:val="00BE0C19"/>
    <w:rsid w:val="00CE000F"/>
    <w:rsid w:val="00E452FE"/>
    <w:rsid w:val="00ED0EE2"/>
    <w:rsid w:val="00F96C16"/>
    <w:rsid w:val="00FB6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C0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C0E12"/>
    <w:pPr>
      <w:ind w:left="720"/>
      <w:contextualSpacing/>
    </w:pPr>
  </w:style>
  <w:style w:type="paragraph" w:styleId="Nagwek">
    <w:name w:val="header"/>
    <w:basedOn w:val="Normalny"/>
    <w:link w:val="NagwekZnak"/>
    <w:unhideWhenUsed/>
    <w:rsid w:val="00AC2978"/>
    <w:pPr>
      <w:tabs>
        <w:tab w:val="center" w:pos="4536"/>
        <w:tab w:val="right" w:pos="9072"/>
      </w:tabs>
      <w:spacing w:after="0" w:line="240" w:lineRule="auto"/>
    </w:pPr>
  </w:style>
  <w:style w:type="character" w:customStyle="1" w:styleId="NagwekZnak">
    <w:name w:val="Nagłówek Znak"/>
    <w:basedOn w:val="Domylnaczcionkaakapitu"/>
    <w:link w:val="Nagwek"/>
    <w:rsid w:val="00AC2978"/>
  </w:style>
  <w:style w:type="paragraph" w:styleId="Stopka">
    <w:name w:val="footer"/>
    <w:basedOn w:val="Normalny"/>
    <w:link w:val="StopkaZnak"/>
    <w:uiPriority w:val="99"/>
    <w:unhideWhenUsed/>
    <w:rsid w:val="00AC29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2978"/>
  </w:style>
  <w:style w:type="paragraph" w:styleId="Tekstprzypisudolnego">
    <w:name w:val="footnote text"/>
    <w:basedOn w:val="Normalny"/>
    <w:link w:val="TekstprzypisudolnegoZnak"/>
    <w:uiPriority w:val="99"/>
    <w:semiHidden/>
    <w:unhideWhenUsed/>
    <w:rsid w:val="00AC297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C2978"/>
    <w:rPr>
      <w:sz w:val="20"/>
      <w:szCs w:val="20"/>
    </w:rPr>
  </w:style>
  <w:style w:type="character" w:styleId="Odwoanieprzypisudolnego">
    <w:name w:val="footnote reference"/>
    <w:basedOn w:val="Domylnaczcionkaakapitu"/>
    <w:uiPriority w:val="99"/>
    <w:semiHidden/>
    <w:unhideWhenUsed/>
    <w:rsid w:val="00AC29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C0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C0E12"/>
    <w:pPr>
      <w:ind w:left="720"/>
      <w:contextualSpacing/>
    </w:pPr>
  </w:style>
  <w:style w:type="paragraph" w:styleId="Nagwek">
    <w:name w:val="header"/>
    <w:basedOn w:val="Normalny"/>
    <w:link w:val="NagwekZnak"/>
    <w:unhideWhenUsed/>
    <w:rsid w:val="00AC2978"/>
    <w:pPr>
      <w:tabs>
        <w:tab w:val="center" w:pos="4536"/>
        <w:tab w:val="right" w:pos="9072"/>
      </w:tabs>
      <w:spacing w:after="0" w:line="240" w:lineRule="auto"/>
    </w:pPr>
  </w:style>
  <w:style w:type="character" w:customStyle="1" w:styleId="NagwekZnak">
    <w:name w:val="Nagłówek Znak"/>
    <w:basedOn w:val="Domylnaczcionkaakapitu"/>
    <w:link w:val="Nagwek"/>
    <w:rsid w:val="00AC2978"/>
  </w:style>
  <w:style w:type="paragraph" w:styleId="Stopka">
    <w:name w:val="footer"/>
    <w:basedOn w:val="Normalny"/>
    <w:link w:val="StopkaZnak"/>
    <w:uiPriority w:val="99"/>
    <w:unhideWhenUsed/>
    <w:rsid w:val="00AC29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2978"/>
  </w:style>
  <w:style w:type="paragraph" w:styleId="Tekstprzypisudolnego">
    <w:name w:val="footnote text"/>
    <w:basedOn w:val="Normalny"/>
    <w:link w:val="TekstprzypisudolnegoZnak"/>
    <w:uiPriority w:val="99"/>
    <w:semiHidden/>
    <w:unhideWhenUsed/>
    <w:rsid w:val="00AC297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C2978"/>
    <w:rPr>
      <w:sz w:val="20"/>
      <w:szCs w:val="20"/>
    </w:rPr>
  </w:style>
  <w:style w:type="character" w:styleId="Odwoanieprzypisudolnego">
    <w:name w:val="footnote reference"/>
    <w:basedOn w:val="Domylnaczcionkaakapitu"/>
    <w:uiPriority w:val="99"/>
    <w:semiHidden/>
    <w:unhideWhenUsed/>
    <w:rsid w:val="00AC29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F1D86-CA25-4554-B180-A16A8B17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5195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2014-07-29T11:06:00Z</dcterms:created>
  <dcterms:modified xsi:type="dcterms:W3CDTF">2017-03-14T11:16:00Z</dcterms:modified>
  <cp:contentStatus/>
</cp:coreProperties>
</file>