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2E734" w14:textId="77777777" w:rsidR="00BA05F1" w:rsidRPr="00892F24" w:rsidRDefault="003F74A3" w:rsidP="005F204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>Komisja Kodyfikacyjna Prawa Karnego</w:t>
      </w:r>
    </w:p>
    <w:p w14:paraId="749C76C7" w14:textId="77777777" w:rsidR="003F74A3" w:rsidRPr="00892F24" w:rsidRDefault="003F74A3" w:rsidP="005F204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18595AC" w14:textId="77777777" w:rsidR="001C1116" w:rsidRPr="00892F24" w:rsidRDefault="001C1116" w:rsidP="005F204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E65AE9A" w14:textId="77777777" w:rsidR="00E343F8" w:rsidRPr="00892F24" w:rsidRDefault="00E343F8" w:rsidP="005F204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3917817" w14:textId="77777777" w:rsidR="00E93067" w:rsidRPr="00892F24" w:rsidRDefault="003F74A3" w:rsidP="00E930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 xml:space="preserve">Opinia w sprawie </w:t>
      </w:r>
      <w:r w:rsidR="00E93067" w:rsidRPr="00892F24">
        <w:rPr>
          <w:rFonts w:ascii="Times New Roman" w:hAnsi="Times New Roman" w:cs="Times New Roman"/>
          <w:b/>
          <w:color w:val="000000" w:themeColor="text1"/>
        </w:rPr>
        <w:t xml:space="preserve">rozwiązań zawartych w senackim </w:t>
      </w:r>
      <w:r w:rsidRPr="00892F24">
        <w:rPr>
          <w:rFonts w:ascii="Times New Roman" w:hAnsi="Times New Roman" w:cs="Times New Roman"/>
          <w:b/>
          <w:color w:val="000000" w:themeColor="text1"/>
        </w:rPr>
        <w:t xml:space="preserve">ustawy </w:t>
      </w:r>
    </w:p>
    <w:p w14:paraId="4E3BA17C" w14:textId="108E0399" w:rsidR="003F74A3" w:rsidRPr="00892F24" w:rsidRDefault="003F74A3" w:rsidP="00E930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 xml:space="preserve">o zmianie </w:t>
      </w:r>
      <w:r w:rsidR="00E93067" w:rsidRPr="00892F24">
        <w:rPr>
          <w:rFonts w:ascii="Times New Roman" w:hAnsi="Times New Roman" w:cs="Times New Roman"/>
          <w:b/>
          <w:color w:val="000000" w:themeColor="text1"/>
        </w:rPr>
        <w:t>ustawy o Policji oraz niektórych innych ustaw (druk senacki nr 967)</w:t>
      </w:r>
    </w:p>
    <w:p w14:paraId="07263232" w14:textId="77777777" w:rsidR="002C5552" w:rsidRPr="00892F24" w:rsidRDefault="00E93067" w:rsidP="003F74A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 xml:space="preserve">dotyczących wprowadzania do postępowania karnego materiałów </w:t>
      </w:r>
    </w:p>
    <w:p w14:paraId="6F9BDD73" w14:textId="5F6055B8" w:rsidR="002C5552" w:rsidRPr="00892F24" w:rsidRDefault="00E93067" w:rsidP="003F74A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 xml:space="preserve">stanowiących tajemnice związane z wykonywaniem zawodu </w:t>
      </w:r>
      <w:r w:rsidR="002C5552" w:rsidRPr="00892F24">
        <w:rPr>
          <w:rFonts w:ascii="Times New Roman" w:hAnsi="Times New Roman" w:cs="Times New Roman"/>
          <w:b/>
          <w:color w:val="000000" w:themeColor="text1"/>
        </w:rPr>
        <w:t>i funkcji z art. 180 § 2 k.p.k.</w:t>
      </w:r>
      <w:r w:rsidRPr="00892F2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0AEE597" w14:textId="498B7C23" w:rsidR="003F74A3" w:rsidRPr="00892F24" w:rsidRDefault="00E93067" w:rsidP="003F74A3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>uzy</w:t>
      </w:r>
      <w:r w:rsidR="002C5552" w:rsidRPr="00892F24">
        <w:rPr>
          <w:rFonts w:ascii="Times New Roman" w:hAnsi="Times New Roman" w:cs="Times New Roman"/>
          <w:b/>
          <w:color w:val="000000" w:themeColor="text1"/>
        </w:rPr>
        <w:t>skanych</w:t>
      </w:r>
      <w:r w:rsidRPr="00892F24">
        <w:rPr>
          <w:rFonts w:ascii="Times New Roman" w:hAnsi="Times New Roman" w:cs="Times New Roman"/>
          <w:b/>
          <w:color w:val="000000" w:themeColor="text1"/>
        </w:rPr>
        <w:t xml:space="preserve"> w ramach czynności operacyjno-rozpoznawczych</w:t>
      </w:r>
    </w:p>
    <w:p w14:paraId="21949A4A" w14:textId="77777777" w:rsidR="00E343F8" w:rsidRPr="00892F24" w:rsidRDefault="00E343F8" w:rsidP="005F204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EFDE00" w14:textId="77777777" w:rsidR="001C1116" w:rsidRPr="00892F24" w:rsidRDefault="001C1116" w:rsidP="005F204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248D06" w14:textId="77777777" w:rsidR="003F74A3" w:rsidRPr="00892F24" w:rsidRDefault="003F74A3" w:rsidP="005F204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431605" w14:textId="3857D18A" w:rsidR="003F74A3" w:rsidRPr="00892F24" w:rsidRDefault="003F74A3" w:rsidP="00CD2F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>Przedmiot opinii</w:t>
      </w:r>
    </w:p>
    <w:p w14:paraId="4AB07497" w14:textId="0A27043F" w:rsidR="003F74A3" w:rsidRPr="00892F24" w:rsidRDefault="003F74A3" w:rsidP="003F74A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ab/>
      </w:r>
      <w:r w:rsidR="0035600C" w:rsidRPr="00892F24">
        <w:rPr>
          <w:rFonts w:ascii="Times New Roman" w:hAnsi="Times New Roman" w:cs="Times New Roman"/>
          <w:color w:val="000000" w:themeColor="text1"/>
        </w:rPr>
        <w:t>Pismem z dnia 8 lipca 2015</w:t>
      </w:r>
      <w:r w:rsidRPr="00892F24">
        <w:rPr>
          <w:rFonts w:ascii="Times New Roman" w:hAnsi="Times New Roman" w:cs="Times New Roman"/>
          <w:color w:val="000000" w:themeColor="text1"/>
        </w:rPr>
        <w:t xml:space="preserve"> r. Podsekretarz Stanu w Ministerstwie Sprawiedliwości zwrócił</w:t>
      </w:r>
      <w:r w:rsidR="0035600C"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 xml:space="preserve"> się do Komisji Kodyfikacyjnej Prawa Karnego o </w:t>
      </w:r>
      <w:r w:rsidR="0035600C" w:rsidRPr="00892F24">
        <w:rPr>
          <w:rFonts w:ascii="Times New Roman" w:hAnsi="Times New Roman" w:cs="Times New Roman"/>
          <w:color w:val="000000" w:themeColor="text1"/>
        </w:rPr>
        <w:t xml:space="preserve">przedstawienie </w:t>
      </w:r>
      <w:r w:rsidRPr="00892F24">
        <w:rPr>
          <w:rFonts w:ascii="Times New Roman" w:hAnsi="Times New Roman" w:cs="Times New Roman"/>
          <w:color w:val="000000" w:themeColor="text1"/>
        </w:rPr>
        <w:t>opini</w:t>
      </w:r>
      <w:r w:rsidR="0035600C" w:rsidRPr="00892F24">
        <w:rPr>
          <w:rFonts w:ascii="Times New Roman" w:hAnsi="Times New Roman" w:cs="Times New Roman"/>
          <w:color w:val="000000" w:themeColor="text1"/>
        </w:rPr>
        <w:t xml:space="preserve">i w </w:t>
      </w:r>
      <w:r w:rsidR="00E93067" w:rsidRPr="00892F24">
        <w:rPr>
          <w:rFonts w:ascii="Times New Roman" w:hAnsi="Times New Roman" w:cs="Times New Roman"/>
          <w:color w:val="000000" w:themeColor="text1"/>
        </w:rPr>
        <w:t>sprawie</w:t>
      </w:r>
      <w:r w:rsidR="0035600C" w:rsidRPr="00892F24">
        <w:rPr>
          <w:rFonts w:ascii="Times New Roman" w:hAnsi="Times New Roman" w:cs="Times New Roman"/>
          <w:color w:val="000000" w:themeColor="text1"/>
        </w:rPr>
        <w:t xml:space="preserve"> rozwiązań zawartych w projekcie ustawy </w:t>
      </w:r>
      <w:r w:rsidRPr="00892F24">
        <w:rPr>
          <w:rFonts w:ascii="Times New Roman" w:hAnsi="Times New Roman" w:cs="Times New Roman"/>
          <w:color w:val="000000" w:themeColor="text1"/>
        </w:rPr>
        <w:t>o zmianie ustaw</w:t>
      </w:r>
      <w:r w:rsidR="0035600C" w:rsidRPr="00892F24">
        <w:rPr>
          <w:rFonts w:ascii="Times New Roman" w:hAnsi="Times New Roman" w:cs="Times New Roman"/>
          <w:color w:val="000000" w:themeColor="text1"/>
        </w:rPr>
        <w:t xml:space="preserve">y o Policji oraz niektórych innych ustaw </w:t>
      </w:r>
      <w:r w:rsidRPr="00892F24">
        <w:rPr>
          <w:rFonts w:ascii="Times New Roman" w:hAnsi="Times New Roman" w:cs="Times New Roman"/>
          <w:color w:val="000000" w:themeColor="text1"/>
        </w:rPr>
        <w:t>(druk se</w:t>
      </w:r>
      <w:r w:rsidR="0035600C" w:rsidRPr="00892F24">
        <w:rPr>
          <w:rFonts w:ascii="Times New Roman" w:hAnsi="Times New Roman" w:cs="Times New Roman"/>
          <w:color w:val="000000" w:themeColor="text1"/>
        </w:rPr>
        <w:t xml:space="preserve">nacki </w:t>
      </w:r>
      <w:r w:rsidRPr="00892F24">
        <w:rPr>
          <w:rFonts w:ascii="Times New Roman" w:hAnsi="Times New Roman" w:cs="Times New Roman"/>
          <w:color w:val="000000" w:themeColor="text1"/>
        </w:rPr>
        <w:t xml:space="preserve">nr </w:t>
      </w:r>
      <w:r w:rsidR="0035600C" w:rsidRPr="00892F24">
        <w:rPr>
          <w:rFonts w:ascii="Times New Roman" w:hAnsi="Times New Roman" w:cs="Times New Roman"/>
          <w:color w:val="000000" w:themeColor="text1"/>
        </w:rPr>
        <w:t>967</w:t>
      </w:r>
      <w:r w:rsidRPr="00892F24">
        <w:rPr>
          <w:rFonts w:ascii="Times New Roman" w:hAnsi="Times New Roman" w:cs="Times New Roman"/>
          <w:color w:val="000000" w:themeColor="text1"/>
        </w:rPr>
        <w:t>)</w:t>
      </w:r>
      <w:r w:rsidR="0035600C" w:rsidRPr="00892F24">
        <w:rPr>
          <w:rFonts w:ascii="Times New Roman" w:hAnsi="Times New Roman" w:cs="Times New Roman"/>
          <w:color w:val="000000" w:themeColor="text1"/>
        </w:rPr>
        <w:t xml:space="preserve"> dotyczących wprowadzania do postępowania karnego materiałów stanowiących tajemnice związane z wykonywaniem zawodu i funkcji z art. 180 § 2 k.p.k., które zostały uzyskane w ramach zaprojektowanych procedur czynności operacyjno-rozpoznawczych</w:t>
      </w:r>
      <w:r w:rsidR="001C1116" w:rsidRPr="00892F24">
        <w:rPr>
          <w:rFonts w:ascii="Times New Roman" w:hAnsi="Times New Roman" w:cs="Times New Roman"/>
          <w:color w:val="000000" w:themeColor="text1"/>
        </w:rPr>
        <w:t>.</w:t>
      </w:r>
    </w:p>
    <w:p w14:paraId="2DBECE2E" w14:textId="15F24847" w:rsidR="0035600C" w:rsidRPr="00892F24" w:rsidRDefault="00DB5C02" w:rsidP="003F74A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ab/>
        <w:t xml:space="preserve">Rozwiązania mające być przedmiotem opinii zawarte są w proponowanych </w:t>
      </w:r>
      <w:r w:rsidR="00740ECE" w:rsidRPr="00892F24">
        <w:rPr>
          <w:rFonts w:ascii="Times New Roman" w:hAnsi="Times New Roman" w:cs="Times New Roman"/>
          <w:color w:val="000000" w:themeColor="text1"/>
        </w:rPr>
        <w:t xml:space="preserve">art. 19 </w:t>
      </w:r>
      <w:r w:rsidRPr="00892F24">
        <w:rPr>
          <w:rFonts w:ascii="Times New Roman" w:hAnsi="Times New Roman" w:cs="Times New Roman"/>
          <w:color w:val="000000" w:themeColor="text1"/>
        </w:rPr>
        <w:t xml:space="preserve">ust. 15f-15i, </w:t>
      </w:r>
      <w:r w:rsidR="00740ECE" w:rsidRPr="00892F24">
        <w:rPr>
          <w:rFonts w:ascii="Times New Roman" w:hAnsi="Times New Roman" w:cs="Times New Roman"/>
          <w:color w:val="000000" w:themeColor="text1"/>
        </w:rPr>
        <w:t xml:space="preserve">art. 20ca i art. 20cb, </w:t>
      </w:r>
      <w:r w:rsidRPr="00892F24">
        <w:rPr>
          <w:rFonts w:ascii="Times New Roman" w:hAnsi="Times New Roman" w:cs="Times New Roman"/>
          <w:color w:val="000000" w:themeColor="text1"/>
        </w:rPr>
        <w:t>które miałyby zostać dodane w ustaw</w:t>
      </w:r>
      <w:r w:rsidR="00740ECE" w:rsidRPr="00892F24">
        <w:rPr>
          <w:rFonts w:ascii="Times New Roman" w:hAnsi="Times New Roman" w:cs="Times New Roman"/>
          <w:color w:val="000000" w:themeColor="text1"/>
        </w:rPr>
        <w:t>ie</w:t>
      </w:r>
      <w:r w:rsidRPr="00892F24">
        <w:rPr>
          <w:rFonts w:ascii="Times New Roman" w:hAnsi="Times New Roman" w:cs="Times New Roman"/>
          <w:color w:val="000000" w:themeColor="text1"/>
        </w:rPr>
        <w:t xml:space="preserve"> z dnia 6 kwietnia 1990 r. o Policji (tekst jedn. Dz. U. z</w:t>
      </w:r>
      <w:r w:rsidR="00740ECE" w:rsidRPr="00892F24">
        <w:rPr>
          <w:rFonts w:ascii="Times New Roman" w:hAnsi="Times New Roman" w:cs="Times New Roman"/>
          <w:color w:val="000000" w:themeColor="text1"/>
        </w:rPr>
        <w:t xml:space="preserve"> 2015 r. poz. 355 z </w:t>
      </w:r>
      <w:proofErr w:type="spellStart"/>
      <w:r w:rsidR="00740ECE" w:rsidRPr="00892F24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="00740ECE" w:rsidRPr="00892F24">
        <w:rPr>
          <w:rFonts w:ascii="Times New Roman" w:hAnsi="Times New Roman" w:cs="Times New Roman"/>
          <w:color w:val="000000" w:themeColor="text1"/>
        </w:rPr>
        <w:t>. zm.). Projekt proponuje dodanie to</w:t>
      </w:r>
      <w:r w:rsidR="00740ECE" w:rsidRPr="00892F24">
        <w:rPr>
          <w:rFonts w:ascii="Times New Roman" w:hAnsi="Times New Roman" w:cs="Times New Roman"/>
          <w:color w:val="000000" w:themeColor="text1"/>
        </w:rPr>
        <w:t>ż</w:t>
      </w:r>
      <w:r w:rsidR="00740ECE" w:rsidRPr="00892F24">
        <w:rPr>
          <w:rFonts w:ascii="Times New Roman" w:hAnsi="Times New Roman" w:cs="Times New Roman"/>
          <w:color w:val="000000" w:themeColor="text1"/>
        </w:rPr>
        <w:t xml:space="preserve">samych unormowań w </w:t>
      </w:r>
      <w:r w:rsidR="00EC4E84" w:rsidRPr="00892F24">
        <w:rPr>
          <w:rFonts w:ascii="Times New Roman" w:hAnsi="Times New Roman" w:cs="Times New Roman"/>
          <w:color w:val="000000" w:themeColor="text1"/>
        </w:rPr>
        <w:t xml:space="preserve">ustawie </w:t>
      </w:r>
      <w:r w:rsidR="006D3E8E" w:rsidRPr="00892F24">
        <w:rPr>
          <w:rFonts w:ascii="Times New Roman" w:hAnsi="Times New Roman" w:cs="Times New Roman"/>
          <w:color w:val="000000" w:themeColor="text1"/>
        </w:rPr>
        <w:t xml:space="preserve">z dnia 12 października 1990 r. </w:t>
      </w:r>
      <w:r w:rsidR="00EC4E84" w:rsidRPr="00892F24">
        <w:rPr>
          <w:rFonts w:ascii="Times New Roman" w:hAnsi="Times New Roman" w:cs="Times New Roman"/>
          <w:color w:val="000000" w:themeColor="text1"/>
        </w:rPr>
        <w:t>o Straży Granicznej, ustawie</w:t>
      </w:r>
      <w:r w:rsidR="006D3E8E" w:rsidRPr="00892F24">
        <w:rPr>
          <w:rFonts w:ascii="Times New Roman" w:hAnsi="Times New Roman" w:cs="Times New Roman"/>
          <w:color w:val="000000" w:themeColor="text1"/>
        </w:rPr>
        <w:t xml:space="preserve"> z dnia 28 września 1991 r.</w:t>
      </w:r>
      <w:r w:rsidR="00EC4E84" w:rsidRPr="00892F24">
        <w:rPr>
          <w:rFonts w:ascii="Times New Roman" w:hAnsi="Times New Roman" w:cs="Times New Roman"/>
          <w:color w:val="000000" w:themeColor="text1"/>
        </w:rPr>
        <w:t xml:space="preserve"> o kontroli skarbowej, ustawie z </w:t>
      </w:r>
      <w:r w:rsidR="006D3E8E" w:rsidRPr="00892F24">
        <w:rPr>
          <w:rFonts w:ascii="Times New Roman" w:hAnsi="Times New Roman" w:cs="Times New Roman"/>
          <w:color w:val="000000" w:themeColor="text1"/>
        </w:rPr>
        <w:t xml:space="preserve">dnia </w:t>
      </w:r>
      <w:r w:rsidR="00EC4E84" w:rsidRPr="00892F24">
        <w:rPr>
          <w:rFonts w:ascii="Times New Roman" w:hAnsi="Times New Roman" w:cs="Times New Roman"/>
          <w:color w:val="000000" w:themeColor="text1"/>
        </w:rPr>
        <w:t>24 sierpnia 2001 r. o Żandarm</w:t>
      </w:r>
      <w:r w:rsidR="00EC4E84" w:rsidRPr="00892F24">
        <w:rPr>
          <w:rFonts w:ascii="Times New Roman" w:hAnsi="Times New Roman" w:cs="Times New Roman"/>
          <w:color w:val="000000" w:themeColor="text1"/>
        </w:rPr>
        <w:t>e</w:t>
      </w:r>
      <w:r w:rsidR="00EC4E84" w:rsidRPr="00892F24">
        <w:rPr>
          <w:rFonts w:ascii="Times New Roman" w:hAnsi="Times New Roman" w:cs="Times New Roman"/>
          <w:color w:val="000000" w:themeColor="text1"/>
        </w:rPr>
        <w:t xml:space="preserve">rii Wojskowej i wojskowych organach porządkowych, ustawie z </w:t>
      </w:r>
      <w:r w:rsidR="006D3E8E" w:rsidRPr="00892F24">
        <w:rPr>
          <w:rFonts w:ascii="Times New Roman" w:hAnsi="Times New Roman" w:cs="Times New Roman"/>
          <w:color w:val="000000" w:themeColor="text1"/>
        </w:rPr>
        <w:t xml:space="preserve">dnia </w:t>
      </w:r>
      <w:r w:rsidR="00EC4E84" w:rsidRPr="00892F24">
        <w:rPr>
          <w:rFonts w:ascii="Times New Roman" w:hAnsi="Times New Roman" w:cs="Times New Roman"/>
          <w:color w:val="000000" w:themeColor="text1"/>
        </w:rPr>
        <w:t xml:space="preserve">24 maja 2002 r. o Agencji Bezpieczeństwa Wewnętrznego i Agencji Wywiadu, ustawie z </w:t>
      </w:r>
      <w:r w:rsidR="006D3E8E" w:rsidRPr="00892F24">
        <w:rPr>
          <w:rFonts w:ascii="Times New Roman" w:hAnsi="Times New Roman" w:cs="Times New Roman"/>
          <w:color w:val="000000" w:themeColor="text1"/>
        </w:rPr>
        <w:t xml:space="preserve">dnia </w:t>
      </w:r>
      <w:r w:rsidR="00EC4E84" w:rsidRPr="00892F24">
        <w:rPr>
          <w:rFonts w:ascii="Times New Roman" w:hAnsi="Times New Roman" w:cs="Times New Roman"/>
          <w:color w:val="000000" w:themeColor="text1"/>
        </w:rPr>
        <w:t xml:space="preserve">9 czerwca 2006 r. o Służbie Kontrwywiadu Wojskowego i Służbie Wywiadu Wojskowego, ustawie z </w:t>
      </w:r>
      <w:r w:rsidR="006D3E8E" w:rsidRPr="00892F24">
        <w:rPr>
          <w:rFonts w:ascii="Times New Roman" w:hAnsi="Times New Roman" w:cs="Times New Roman"/>
          <w:color w:val="000000" w:themeColor="text1"/>
        </w:rPr>
        <w:t xml:space="preserve">dnia </w:t>
      </w:r>
      <w:r w:rsidR="00EC4E84" w:rsidRPr="00892F24">
        <w:rPr>
          <w:rFonts w:ascii="Times New Roman" w:hAnsi="Times New Roman" w:cs="Times New Roman"/>
          <w:color w:val="000000" w:themeColor="text1"/>
        </w:rPr>
        <w:t>9 czerwca 2006 r. o Centralnym Biurze Antykorupcyjnym</w:t>
      </w:r>
      <w:r w:rsidR="00CD2F94" w:rsidRPr="00892F24">
        <w:rPr>
          <w:rFonts w:ascii="Times New Roman" w:hAnsi="Times New Roman" w:cs="Times New Roman"/>
          <w:color w:val="000000" w:themeColor="text1"/>
        </w:rPr>
        <w:t xml:space="preserve"> oraz</w:t>
      </w:r>
      <w:r w:rsidR="006D3E8E" w:rsidRPr="00892F24">
        <w:rPr>
          <w:rFonts w:ascii="Times New Roman" w:hAnsi="Times New Roman" w:cs="Times New Roman"/>
          <w:color w:val="000000" w:themeColor="text1"/>
        </w:rPr>
        <w:t xml:space="preserve"> ustawie z dnia 27 sierpnia 2009 r. o Służbie Celnej</w:t>
      </w:r>
      <w:r w:rsidR="00740ECE" w:rsidRPr="00892F24">
        <w:rPr>
          <w:rFonts w:ascii="Times New Roman" w:hAnsi="Times New Roman" w:cs="Times New Roman"/>
          <w:color w:val="000000" w:themeColor="text1"/>
        </w:rPr>
        <w:t>.</w:t>
      </w:r>
      <w:r w:rsidR="00CD2F94" w:rsidRPr="00892F24">
        <w:rPr>
          <w:rFonts w:ascii="Times New Roman" w:hAnsi="Times New Roman" w:cs="Times New Roman"/>
          <w:color w:val="000000" w:themeColor="text1"/>
        </w:rPr>
        <w:t xml:space="preserve"> W związku z tym, że propozycje zmian w poszczególnych ustawach są takie same, dla zachowania spójności wywodu przedmiotem analizy w opinii będą propozycje dotyczące ustawy o Policji. Uwagi ich dotyczące są aktualne również w odniesieniu do o</w:t>
      </w:r>
      <w:r w:rsidR="00CD2F94" w:rsidRPr="00892F24">
        <w:rPr>
          <w:rFonts w:ascii="Times New Roman" w:hAnsi="Times New Roman" w:cs="Times New Roman"/>
          <w:color w:val="000000" w:themeColor="text1"/>
        </w:rPr>
        <w:t>d</w:t>
      </w:r>
      <w:r w:rsidR="00CD2F94" w:rsidRPr="00892F24">
        <w:rPr>
          <w:rFonts w:ascii="Times New Roman" w:hAnsi="Times New Roman" w:cs="Times New Roman"/>
          <w:color w:val="000000" w:themeColor="text1"/>
        </w:rPr>
        <w:t>powiednich propozycji zmian w pozostałych ustawach objętych projektem.</w:t>
      </w:r>
    </w:p>
    <w:p w14:paraId="061379ED" w14:textId="50FDEADC" w:rsidR="005F607A" w:rsidRPr="00892F24" w:rsidRDefault="005F607A" w:rsidP="003F74A3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lastRenderedPageBreak/>
        <w:tab/>
        <w:t>Zaznaczyć należy, że z uwagi na zakres prośby Podsekretarza Stanu o wydanie opinii, koncentruje się ona na problematyce wykorzystania w postępowaniu karnym materiałów z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wierających tajemnicę zawodową i funkcyjną uzyskanych w toku kontroli operacyjnej, a z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tem jej przedmiotu nie stanowią pozostałe rozwiązania zawarte w projekcie ustawy. Braku uwag do pozostałych rozwiązań projektu nie należy zatem odczytywać jako akceptację Kom</w:t>
      </w:r>
      <w:r w:rsidRPr="00892F24">
        <w:rPr>
          <w:rFonts w:ascii="Times New Roman" w:hAnsi="Times New Roman" w:cs="Times New Roman"/>
          <w:color w:val="000000" w:themeColor="text1"/>
        </w:rPr>
        <w:t>i</w:t>
      </w:r>
      <w:r w:rsidRPr="00892F24">
        <w:rPr>
          <w:rFonts w:ascii="Times New Roman" w:hAnsi="Times New Roman" w:cs="Times New Roman"/>
          <w:color w:val="000000" w:themeColor="text1"/>
        </w:rPr>
        <w:t>sji Kodyfikacyjnej dla nich.</w:t>
      </w:r>
    </w:p>
    <w:p w14:paraId="727CC36A" w14:textId="77777777" w:rsidR="00E343F8" w:rsidRPr="00892F24" w:rsidRDefault="00E343F8" w:rsidP="005F204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D11DDE7" w14:textId="300B4F83" w:rsidR="00CD2F94" w:rsidRPr="00892F24" w:rsidRDefault="00CD2F94" w:rsidP="00CD2F9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>Materiały zawierające informacje objęte tajemnicą zawodową uzyskane w wyn</w:t>
      </w:r>
      <w:r w:rsidRPr="00892F24">
        <w:rPr>
          <w:rFonts w:ascii="Times New Roman" w:hAnsi="Times New Roman" w:cs="Times New Roman"/>
          <w:b/>
          <w:color w:val="000000" w:themeColor="text1"/>
        </w:rPr>
        <w:t>i</w:t>
      </w:r>
      <w:r w:rsidRPr="00892F24">
        <w:rPr>
          <w:rFonts w:ascii="Times New Roman" w:hAnsi="Times New Roman" w:cs="Times New Roman"/>
          <w:b/>
          <w:color w:val="000000" w:themeColor="text1"/>
        </w:rPr>
        <w:t>ku kontroli operacyjnej</w:t>
      </w:r>
    </w:p>
    <w:p w14:paraId="3BD39779" w14:textId="377CD97A" w:rsidR="006D73D5" w:rsidRPr="00892F24" w:rsidRDefault="008318DA" w:rsidP="008318D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 xml:space="preserve">Projekt ustawy zgodnie z wnioskami, jakie </w:t>
      </w:r>
      <w:r w:rsidR="00F902EC" w:rsidRPr="00892F24">
        <w:rPr>
          <w:rFonts w:ascii="Times New Roman" w:hAnsi="Times New Roman" w:cs="Times New Roman"/>
          <w:color w:val="000000" w:themeColor="text1"/>
        </w:rPr>
        <w:t>płyną</w:t>
      </w:r>
      <w:r w:rsidRPr="00892F24">
        <w:rPr>
          <w:rFonts w:ascii="Times New Roman" w:hAnsi="Times New Roman" w:cs="Times New Roman"/>
          <w:color w:val="000000" w:themeColor="text1"/>
        </w:rPr>
        <w:t xml:space="preserve"> z wyroku Trybunału Konstytucyjn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t xml:space="preserve">go z dnia 30 lipca 2014 r., K 23/11, proponuje wprowadzenie </w:t>
      </w:r>
      <w:r w:rsidR="00F902EC" w:rsidRPr="00892F24">
        <w:rPr>
          <w:rFonts w:ascii="Times New Roman" w:hAnsi="Times New Roman" w:cs="Times New Roman"/>
          <w:color w:val="000000" w:themeColor="text1"/>
        </w:rPr>
        <w:t xml:space="preserve">sądowej </w:t>
      </w:r>
      <w:r w:rsidRPr="00892F24">
        <w:rPr>
          <w:rFonts w:ascii="Times New Roman" w:hAnsi="Times New Roman" w:cs="Times New Roman"/>
          <w:color w:val="000000" w:themeColor="text1"/>
        </w:rPr>
        <w:t>kontroli następczej m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 xml:space="preserve">teriałów uzyskanych w wyniku kontroli operacyjnej, jeżeli zajdzie przypuszczenie, że mogą one zawierać informacje stanowiące tajemnicę zawodową, o której mowa w art. 178 k.p.k. i art. 180 § 2 k.p.k. </w:t>
      </w:r>
      <w:r w:rsidR="00FD1FB7" w:rsidRPr="00892F24">
        <w:rPr>
          <w:rFonts w:ascii="Times New Roman" w:hAnsi="Times New Roman" w:cs="Times New Roman"/>
          <w:color w:val="000000" w:themeColor="text1"/>
        </w:rPr>
        <w:t xml:space="preserve">(proponowane art. 19 ust. 15f-15i ustawy o Policji). </w:t>
      </w:r>
      <w:r w:rsidR="006D73D5" w:rsidRPr="00892F24">
        <w:rPr>
          <w:rFonts w:ascii="Times New Roman" w:hAnsi="Times New Roman" w:cs="Times New Roman"/>
          <w:color w:val="000000" w:themeColor="text1"/>
        </w:rPr>
        <w:t xml:space="preserve">Propozycja </w:t>
      </w:r>
      <w:r w:rsidR="005F607A" w:rsidRPr="00892F24">
        <w:rPr>
          <w:rFonts w:ascii="Times New Roman" w:hAnsi="Times New Roman" w:cs="Times New Roman"/>
          <w:color w:val="000000" w:themeColor="text1"/>
        </w:rPr>
        <w:t>jako taka nie nasuwa zastrzeżeń.</w:t>
      </w:r>
      <w:r w:rsidR="006D73D5" w:rsidRPr="00892F24">
        <w:rPr>
          <w:rFonts w:ascii="Times New Roman" w:hAnsi="Times New Roman" w:cs="Times New Roman"/>
          <w:color w:val="000000" w:themeColor="text1"/>
        </w:rPr>
        <w:t xml:space="preserve"> </w:t>
      </w:r>
      <w:r w:rsidR="005F607A" w:rsidRPr="00892F24">
        <w:rPr>
          <w:rFonts w:ascii="Times New Roman" w:hAnsi="Times New Roman" w:cs="Times New Roman"/>
          <w:color w:val="000000" w:themeColor="text1"/>
        </w:rPr>
        <w:t xml:space="preserve">Należy jednak podkreślić, że w ocenie Komisji Kodyfikacyjnej </w:t>
      </w:r>
      <w:r w:rsidR="00740307" w:rsidRPr="00892F24">
        <w:rPr>
          <w:rFonts w:ascii="Times New Roman" w:hAnsi="Times New Roman" w:cs="Times New Roman"/>
          <w:color w:val="000000" w:themeColor="text1"/>
        </w:rPr>
        <w:t xml:space="preserve">wyrok TK w sprawie 23/11 oraz projekt ustawy jeszcze pilniejszą czynią potrzebę </w:t>
      </w:r>
      <w:r w:rsidR="005F607A" w:rsidRPr="00892F24">
        <w:rPr>
          <w:rFonts w:ascii="Times New Roman" w:hAnsi="Times New Roman" w:cs="Times New Roman"/>
          <w:color w:val="000000" w:themeColor="text1"/>
        </w:rPr>
        <w:t>kompleksowe</w:t>
      </w:r>
      <w:r w:rsidR="00740307" w:rsidRPr="00892F24">
        <w:rPr>
          <w:rFonts w:ascii="Times New Roman" w:hAnsi="Times New Roman" w:cs="Times New Roman"/>
          <w:color w:val="000000" w:themeColor="text1"/>
        </w:rPr>
        <w:t>go uregulowania</w:t>
      </w:r>
      <w:r w:rsidR="005F607A" w:rsidRPr="00892F24">
        <w:rPr>
          <w:rFonts w:ascii="Times New Roman" w:hAnsi="Times New Roman" w:cs="Times New Roman"/>
          <w:color w:val="000000" w:themeColor="text1"/>
        </w:rPr>
        <w:t xml:space="preserve"> w kodeksie postępowania karnego problematyki </w:t>
      </w:r>
      <w:r w:rsidR="00740307" w:rsidRPr="00892F24">
        <w:rPr>
          <w:rFonts w:ascii="Times New Roman" w:hAnsi="Times New Roman" w:cs="Times New Roman"/>
          <w:color w:val="000000" w:themeColor="text1"/>
        </w:rPr>
        <w:t xml:space="preserve">dowodowego </w:t>
      </w:r>
      <w:r w:rsidR="005F607A" w:rsidRPr="00892F24">
        <w:rPr>
          <w:rFonts w:ascii="Times New Roman" w:hAnsi="Times New Roman" w:cs="Times New Roman"/>
          <w:color w:val="000000" w:themeColor="text1"/>
        </w:rPr>
        <w:t>wykorzystyw</w:t>
      </w:r>
      <w:r w:rsidR="005F607A" w:rsidRPr="00892F24">
        <w:rPr>
          <w:rFonts w:ascii="Times New Roman" w:hAnsi="Times New Roman" w:cs="Times New Roman"/>
          <w:color w:val="000000" w:themeColor="text1"/>
        </w:rPr>
        <w:t>a</w:t>
      </w:r>
      <w:r w:rsidR="005F607A" w:rsidRPr="00892F24">
        <w:rPr>
          <w:rFonts w:ascii="Times New Roman" w:hAnsi="Times New Roman" w:cs="Times New Roman"/>
          <w:color w:val="000000" w:themeColor="text1"/>
        </w:rPr>
        <w:t>nia w postępowaniu karnym materiałów uzyskanych w toku kontroli operacyj</w:t>
      </w:r>
      <w:r w:rsidR="00740307" w:rsidRPr="00892F24">
        <w:rPr>
          <w:rFonts w:ascii="Times New Roman" w:hAnsi="Times New Roman" w:cs="Times New Roman"/>
          <w:color w:val="000000" w:themeColor="text1"/>
        </w:rPr>
        <w:t>nej, w tym sk</w:t>
      </w:r>
      <w:r w:rsidR="00740307" w:rsidRPr="00892F24">
        <w:rPr>
          <w:rFonts w:ascii="Times New Roman" w:hAnsi="Times New Roman" w:cs="Times New Roman"/>
          <w:color w:val="000000" w:themeColor="text1"/>
        </w:rPr>
        <w:t>u</w:t>
      </w:r>
      <w:r w:rsidR="00740307" w:rsidRPr="00892F24">
        <w:rPr>
          <w:rFonts w:ascii="Times New Roman" w:hAnsi="Times New Roman" w:cs="Times New Roman"/>
          <w:color w:val="000000" w:themeColor="text1"/>
        </w:rPr>
        <w:t>pienia tam unormowań o charakterze gwarancyjnym</w:t>
      </w:r>
      <w:r w:rsidR="00864C3B" w:rsidRPr="00892F24">
        <w:rPr>
          <w:rFonts w:ascii="Times New Roman" w:hAnsi="Times New Roman" w:cs="Times New Roman"/>
          <w:color w:val="000000" w:themeColor="text1"/>
        </w:rPr>
        <w:t xml:space="preserve"> (zwłaszcza dotyczących przesłanki pr</w:t>
      </w:r>
      <w:r w:rsidR="00864C3B" w:rsidRPr="00892F24">
        <w:rPr>
          <w:rFonts w:ascii="Times New Roman" w:hAnsi="Times New Roman" w:cs="Times New Roman"/>
          <w:color w:val="000000" w:themeColor="text1"/>
        </w:rPr>
        <w:t>o</w:t>
      </w:r>
      <w:r w:rsidR="00864C3B" w:rsidRPr="00892F24">
        <w:rPr>
          <w:rFonts w:ascii="Times New Roman" w:hAnsi="Times New Roman" w:cs="Times New Roman"/>
          <w:color w:val="000000" w:themeColor="text1"/>
        </w:rPr>
        <w:t>porcjonalności)</w:t>
      </w:r>
      <w:r w:rsidR="00740307" w:rsidRPr="00892F24">
        <w:rPr>
          <w:rFonts w:ascii="Times New Roman" w:hAnsi="Times New Roman" w:cs="Times New Roman"/>
          <w:color w:val="000000" w:themeColor="text1"/>
        </w:rPr>
        <w:t>, przy ograniczeniu regulacji w poszczególnych ustawach normujących czy</w:t>
      </w:r>
      <w:r w:rsidR="00740307" w:rsidRPr="00892F24">
        <w:rPr>
          <w:rFonts w:ascii="Times New Roman" w:hAnsi="Times New Roman" w:cs="Times New Roman"/>
          <w:color w:val="000000" w:themeColor="text1"/>
        </w:rPr>
        <w:t>n</w:t>
      </w:r>
      <w:r w:rsidR="00740307" w:rsidRPr="00892F24">
        <w:rPr>
          <w:rFonts w:ascii="Times New Roman" w:hAnsi="Times New Roman" w:cs="Times New Roman"/>
          <w:color w:val="000000" w:themeColor="text1"/>
        </w:rPr>
        <w:t>ności operacyjno-rozpoznawcze do kwestii kompetencyjnych i proceduralnych związanych z przeprowadzaniem kontroli operacyjnej.</w:t>
      </w:r>
      <w:r w:rsidR="005F607A" w:rsidRPr="00892F24">
        <w:rPr>
          <w:rFonts w:ascii="Times New Roman" w:hAnsi="Times New Roman" w:cs="Times New Roman"/>
          <w:color w:val="000000" w:themeColor="text1"/>
        </w:rPr>
        <w:t xml:space="preserve"> W konsekwencji należałoby zatem </w:t>
      </w:r>
      <w:r w:rsidR="00542D60" w:rsidRPr="00892F24">
        <w:rPr>
          <w:rFonts w:ascii="Times New Roman" w:hAnsi="Times New Roman" w:cs="Times New Roman"/>
          <w:color w:val="000000" w:themeColor="text1"/>
        </w:rPr>
        <w:t>wprowadz</w:t>
      </w:r>
      <w:r w:rsidR="005F607A" w:rsidRPr="00892F24">
        <w:rPr>
          <w:rFonts w:ascii="Times New Roman" w:hAnsi="Times New Roman" w:cs="Times New Roman"/>
          <w:color w:val="000000" w:themeColor="text1"/>
        </w:rPr>
        <w:t>ić</w:t>
      </w:r>
      <w:r w:rsidR="00542D60" w:rsidRPr="00892F24">
        <w:rPr>
          <w:rFonts w:ascii="Times New Roman" w:hAnsi="Times New Roman" w:cs="Times New Roman"/>
          <w:color w:val="000000" w:themeColor="text1"/>
        </w:rPr>
        <w:t xml:space="preserve"> do kodeksu postępowania karnego, zamiast w poszczególnych ustawach regulujących kontrolę operacyjną, synte</w:t>
      </w:r>
      <w:r w:rsidR="005F607A" w:rsidRPr="00892F24">
        <w:rPr>
          <w:rFonts w:ascii="Times New Roman" w:hAnsi="Times New Roman" w:cs="Times New Roman"/>
          <w:color w:val="000000" w:themeColor="text1"/>
        </w:rPr>
        <w:t>tyczną</w:t>
      </w:r>
      <w:r w:rsidR="00542D60" w:rsidRPr="00892F24">
        <w:rPr>
          <w:rFonts w:ascii="Times New Roman" w:hAnsi="Times New Roman" w:cs="Times New Roman"/>
          <w:color w:val="000000" w:themeColor="text1"/>
        </w:rPr>
        <w:t xml:space="preserve"> regu</w:t>
      </w:r>
      <w:r w:rsidR="005F607A" w:rsidRPr="00892F24">
        <w:rPr>
          <w:rFonts w:ascii="Times New Roman" w:hAnsi="Times New Roman" w:cs="Times New Roman"/>
          <w:color w:val="000000" w:themeColor="text1"/>
        </w:rPr>
        <w:t>lację</w:t>
      </w:r>
      <w:r w:rsidR="00542D60" w:rsidRPr="00892F24">
        <w:rPr>
          <w:rFonts w:ascii="Times New Roman" w:hAnsi="Times New Roman" w:cs="Times New Roman"/>
          <w:color w:val="000000" w:themeColor="text1"/>
        </w:rPr>
        <w:t xml:space="preserve"> określają</w:t>
      </w:r>
      <w:r w:rsidR="005F607A" w:rsidRPr="00892F24">
        <w:rPr>
          <w:rFonts w:ascii="Times New Roman" w:hAnsi="Times New Roman" w:cs="Times New Roman"/>
          <w:color w:val="000000" w:themeColor="text1"/>
        </w:rPr>
        <w:t>cą</w:t>
      </w:r>
      <w:r w:rsidR="00542D60" w:rsidRPr="00892F24">
        <w:rPr>
          <w:rFonts w:ascii="Times New Roman" w:hAnsi="Times New Roman" w:cs="Times New Roman"/>
          <w:color w:val="000000" w:themeColor="text1"/>
        </w:rPr>
        <w:t xml:space="preserve"> warunki wykorzystania uzyskanych w toku kontroli operacyjnej informacji objętych tajemnicą zawodową (np. po art. 226 k.p.k.). Przepis taki miałby zastosowanie już po wszczęciu postępowania karnego</w:t>
      </w:r>
      <w:r w:rsidR="003025D0" w:rsidRPr="00892F24">
        <w:rPr>
          <w:rFonts w:ascii="Times New Roman" w:hAnsi="Times New Roman" w:cs="Times New Roman"/>
          <w:color w:val="000000" w:themeColor="text1"/>
        </w:rPr>
        <w:t>, na etapie dopuszczania dowodu z materiałów pochodzących z kontroli operacyjnej</w:t>
      </w:r>
      <w:r w:rsidR="00542D60" w:rsidRPr="00892F24">
        <w:rPr>
          <w:rFonts w:ascii="Times New Roman" w:hAnsi="Times New Roman" w:cs="Times New Roman"/>
          <w:color w:val="000000" w:themeColor="text1"/>
        </w:rPr>
        <w:t>. P</w:t>
      </w:r>
      <w:r w:rsidR="006D73D5" w:rsidRPr="00892F24">
        <w:rPr>
          <w:rFonts w:ascii="Times New Roman" w:hAnsi="Times New Roman" w:cs="Times New Roman"/>
          <w:color w:val="000000" w:themeColor="text1"/>
        </w:rPr>
        <w:t>ewne wątpliwości pojawiają się w odniesieniu do szczegółowych rozwiązań</w:t>
      </w:r>
      <w:r w:rsidR="003025D0" w:rsidRPr="00892F24">
        <w:rPr>
          <w:rFonts w:ascii="Times New Roman" w:hAnsi="Times New Roman" w:cs="Times New Roman"/>
          <w:color w:val="000000" w:themeColor="text1"/>
        </w:rPr>
        <w:t xml:space="preserve"> projektu</w:t>
      </w:r>
      <w:r w:rsidR="006D73D5" w:rsidRPr="00892F24">
        <w:rPr>
          <w:rFonts w:ascii="Times New Roman" w:hAnsi="Times New Roman" w:cs="Times New Roman"/>
          <w:color w:val="000000" w:themeColor="text1"/>
        </w:rPr>
        <w:t>.</w:t>
      </w:r>
    </w:p>
    <w:p w14:paraId="1A0DEDA6" w14:textId="4D9F9142" w:rsidR="00CD2F94" w:rsidRPr="00892F24" w:rsidRDefault="00F902EC" w:rsidP="008318D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W pierwszej kolejności trzeba tu wskazać, że wprawdzie Trybunał Konstytucyjny we wskazanym wyroku uznał, iż nie ma podstaw do wyłączenia</w:t>
      </w:r>
      <w:r w:rsidR="00FD1FB7" w:rsidRPr="00892F24">
        <w:rPr>
          <w:rFonts w:ascii="Times New Roman" w:hAnsi="Times New Roman" w:cs="Times New Roman"/>
          <w:color w:val="000000" w:themeColor="text1"/>
        </w:rPr>
        <w:t xml:space="preserve"> – z uwagi na ochronę tajemnicy zawodowej –</w:t>
      </w:r>
      <w:r w:rsidRPr="00892F24">
        <w:rPr>
          <w:rFonts w:ascii="Times New Roman" w:hAnsi="Times New Roman" w:cs="Times New Roman"/>
          <w:color w:val="000000" w:themeColor="text1"/>
        </w:rPr>
        <w:t xml:space="preserve"> określonej</w:t>
      </w:r>
      <w:r w:rsidR="00FD1FB7" w:rsidRPr="00892F24">
        <w:rPr>
          <w:rFonts w:ascii="Times New Roman" w:hAnsi="Times New Roman" w:cs="Times New Roman"/>
          <w:color w:val="000000" w:themeColor="text1"/>
        </w:rPr>
        <w:t xml:space="preserve"> </w:t>
      </w:r>
      <w:r w:rsidRPr="00892F24">
        <w:rPr>
          <w:rFonts w:ascii="Times New Roman" w:hAnsi="Times New Roman" w:cs="Times New Roman"/>
          <w:color w:val="000000" w:themeColor="text1"/>
        </w:rPr>
        <w:t xml:space="preserve">grupy podmiotów spod kontroli operacyjnej, </w:t>
      </w:r>
      <w:r w:rsidR="00FD1FB7" w:rsidRPr="00892F24">
        <w:rPr>
          <w:rFonts w:ascii="Times New Roman" w:hAnsi="Times New Roman" w:cs="Times New Roman"/>
          <w:color w:val="000000" w:themeColor="text1"/>
        </w:rPr>
        <w:t>jednak niewątpliwie zgodne z duchem rozstrzygnięcia TK byłoby wprowadzenie przynajmniej częściowej uprze</w:t>
      </w:r>
      <w:r w:rsidR="00FD1FB7" w:rsidRPr="00892F24">
        <w:rPr>
          <w:rFonts w:ascii="Times New Roman" w:hAnsi="Times New Roman" w:cs="Times New Roman"/>
          <w:color w:val="000000" w:themeColor="text1"/>
        </w:rPr>
        <w:t>d</w:t>
      </w:r>
      <w:r w:rsidR="00FD1FB7" w:rsidRPr="00892F24">
        <w:rPr>
          <w:rFonts w:ascii="Times New Roman" w:hAnsi="Times New Roman" w:cs="Times New Roman"/>
          <w:color w:val="000000" w:themeColor="text1"/>
        </w:rPr>
        <w:t xml:space="preserve">niej kontroli dopuszczalności kontroli operacyjnej wobec osób zobowiązanych do zachowania tajemnicy zawodowej. Nie wymaga bowiem żadnego szerszego uzasadnienia, że już sama </w:t>
      </w:r>
      <w:r w:rsidR="00FD1FB7" w:rsidRPr="00892F24">
        <w:rPr>
          <w:rFonts w:ascii="Times New Roman" w:hAnsi="Times New Roman" w:cs="Times New Roman"/>
          <w:color w:val="000000" w:themeColor="text1"/>
        </w:rPr>
        <w:lastRenderedPageBreak/>
        <w:t>możliwość pozyskania informacji objętych tajemnicą zawodową przez funkcjonariuszy służb uprawnionych do kontroli operacyjnej, nawet przy braku możliwości ich procesowego wyk</w:t>
      </w:r>
      <w:r w:rsidR="00FD1FB7" w:rsidRPr="00892F24">
        <w:rPr>
          <w:rFonts w:ascii="Times New Roman" w:hAnsi="Times New Roman" w:cs="Times New Roman"/>
          <w:color w:val="000000" w:themeColor="text1"/>
        </w:rPr>
        <w:t>o</w:t>
      </w:r>
      <w:r w:rsidR="00FD1FB7" w:rsidRPr="00892F24">
        <w:rPr>
          <w:rFonts w:ascii="Times New Roman" w:hAnsi="Times New Roman" w:cs="Times New Roman"/>
          <w:color w:val="000000" w:themeColor="text1"/>
        </w:rPr>
        <w:t>rzystania, niesie</w:t>
      </w:r>
      <w:r w:rsidR="003025D0" w:rsidRPr="00892F24">
        <w:rPr>
          <w:rFonts w:ascii="Times New Roman" w:hAnsi="Times New Roman" w:cs="Times New Roman"/>
          <w:color w:val="000000" w:themeColor="text1"/>
        </w:rPr>
        <w:t xml:space="preserve"> za sobą spore niebezpieczeństwo</w:t>
      </w:r>
      <w:r w:rsidR="00FD1FB7" w:rsidRPr="00892F24">
        <w:rPr>
          <w:rFonts w:ascii="Times New Roman" w:hAnsi="Times New Roman" w:cs="Times New Roman"/>
          <w:color w:val="000000" w:themeColor="text1"/>
        </w:rPr>
        <w:t xml:space="preserve"> nadużyć. Nie jest możliwe całkowite wy</w:t>
      </w:r>
      <w:r w:rsidR="00FD1FB7" w:rsidRPr="00892F24">
        <w:rPr>
          <w:rFonts w:ascii="Times New Roman" w:hAnsi="Times New Roman" w:cs="Times New Roman"/>
          <w:color w:val="000000" w:themeColor="text1"/>
        </w:rPr>
        <w:t>e</w:t>
      </w:r>
      <w:r w:rsidR="00FD1FB7" w:rsidRPr="00892F24">
        <w:rPr>
          <w:rFonts w:ascii="Times New Roman" w:hAnsi="Times New Roman" w:cs="Times New Roman"/>
          <w:color w:val="000000" w:themeColor="text1"/>
        </w:rPr>
        <w:t>liminowanie tego niebezpieczeństwa, gdyż pozyskanie tych informacji może być całkowicie przypadkowe i trudne do przewidzenia na etapie zarządzania kontroli operacyjnej. Wydaje się jednak pożądane wyeliminowanie przynajmniej tych sytuacj</w:t>
      </w:r>
      <w:r w:rsidR="00524589" w:rsidRPr="00892F24">
        <w:rPr>
          <w:rFonts w:ascii="Times New Roman" w:hAnsi="Times New Roman" w:cs="Times New Roman"/>
          <w:color w:val="000000" w:themeColor="text1"/>
        </w:rPr>
        <w:t>i, kiedy służby zmierzałyby do pozyskania informacji objętych tajemnicą zawodową</w:t>
      </w:r>
      <w:r w:rsidR="003025D0" w:rsidRPr="00892F24">
        <w:rPr>
          <w:rFonts w:ascii="Times New Roman" w:hAnsi="Times New Roman" w:cs="Times New Roman"/>
          <w:color w:val="000000" w:themeColor="text1"/>
        </w:rPr>
        <w:t xml:space="preserve"> wbrew zakazom ją chroniącym</w:t>
      </w:r>
      <w:r w:rsidR="00D7127B" w:rsidRPr="00892F24">
        <w:rPr>
          <w:rFonts w:ascii="Times New Roman" w:hAnsi="Times New Roman" w:cs="Times New Roman"/>
          <w:color w:val="000000" w:themeColor="text1"/>
        </w:rPr>
        <w:t xml:space="preserve"> lub z pominięciem ustawowych wymogów, od których uzależnione jest uzyskanie do tych inform</w:t>
      </w:r>
      <w:r w:rsidR="00D7127B" w:rsidRPr="00892F24">
        <w:rPr>
          <w:rFonts w:ascii="Times New Roman" w:hAnsi="Times New Roman" w:cs="Times New Roman"/>
          <w:color w:val="000000" w:themeColor="text1"/>
        </w:rPr>
        <w:t>a</w:t>
      </w:r>
      <w:r w:rsidR="00D7127B" w:rsidRPr="00892F24">
        <w:rPr>
          <w:rFonts w:ascii="Times New Roman" w:hAnsi="Times New Roman" w:cs="Times New Roman"/>
          <w:color w:val="000000" w:themeColor="text1"/>
        </w:rPr>
        <w:t>cji dostępu</w:t>
      </w:r>
      <w:r w:rsidR="006C13DE" w:rsidRPr="00892F24">
        <w:rPr>
          <w:rFonts w:ascii="Times New Roman" w:hAnsi="Times New Roman" w:cs="Times New Roman"/>
          <w:color w:val="000000" w:themeColor="text1"/>
        </w:rPr>
        <w:t xml:space="preserve"> przez organ procesowy</w:t>
      </w:r>
      <w:r w:rsidR="00524589" w:rsidRPr="00892F24">
        <w:rPr>
          <w:rFonts w:ascii="Times New Roman" w:hAnsi="Times New Roman" w:cs="Times New Roman"/>
          <w:color w:val="000000" w:themeColor="text1"/>
        </w:rPr>
        <w:t>. Można to zaś uczynić poprzez wprowadzenie wymogu, aby sąd okręgowy rozstrzygający kwestię zarządzenia kontroli operacyjnej wobec osoby w</w:t>
      </w:r>
      <w:r w:rsidR="00524589" w:rsidRPr="00892F24">
        <w:rPr>
          <w:rFonts w:ascii="Times New Roman" w:hAnsi="Times New Roman" w:cs="Times New Roman"/>
          <w:color w:val="000000" w:themeColor="text1"/>
        </w:rPr>
        <w:t>y</w:t>
      </w:r>
      <w:r w:rsidR="00524589" w:rsidRPr="00892F24">
        <w:rPr>
          <w:rFonts w:ascii="Times New Roman" w:hAnsi="Times New Roman" w:cs="Times New Roman"/>
          <w:color w:val="000000" w:themeColor="text1"/>
        </w:rPr>
        <w:t>konującej zawód, o którym mowa w art. 180 § 2 badał, czy spełnione są przesłanki określone w tym przepisie.</w:t>
      </w:r>
    </w:p>
    <w:p w14:paraId="79CBE71A" w14:textId="65C4D7BA" w:rsidR="00524589" w:rsidRPr="00892F24" w:rsidRDefault="001454D9" w:rsidP="008318D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Uwagi szczegółowe do</w:t>
      </w:r>
      <w:r w:rsidR="006D73D5" w:rsidRPr="00892F24">
        <w:rPr>
          <w:rFonts w:ascii="Times New Roman" w:hAnsi="Times New Roman" w:cs="Times New Roman"/>
          <w:color w:val="000000" w:themeColor="text1"/>
        </w:rPr>
        <w:t xml:space="preserve"> rozwiązań zawartych w art. 19 ust. 15f-15i ust</w:t>
      </w:r>
      <w:r w:rsidRPr="00892F24">
        <w:rPr>
          <w:rFonts w:ascii="Times New Roman" w:hAnsi="Times New Roman" w:cs="Times New Roman"/>
          <w:color w:val="000000" w:themeColor="text1"/>
        </w:rPr>
        <w:t>awy o Policji przedstawiają się następująco:</w:t>
      </w:r>
    </w:p>
    <w:p w14:paraId="4BAF33DB" w14:textId="3F7C1362" w:rsidR="001454D9" w:rsidRPr="00892F24" w:rsidRDefault="006C13DE" w:rsidP="001454D9">
      <w:pPr>
        <w:pStyle w:val="Akapitzlist"/>
        <w:numPr>
          <w:ilvl w:val="0"/>
          <w:numId w:val="7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Zasadnicze zastrzeżenia</w:t>
      </w:r>
      <w:r w:rsidR="001454D9" w:rsidRPr="00892F24">
        <w:rPr>
          <w:rFonts w:ascii="Times New Roman" w:hAnsi="Times New Roman" w:cs="Times New Roman"/>
          <w:color w:val="000000" w:themeColor="text1"/>
        </w:rPr>
        <w:t xml:space="preserve"> budzi zróżnicowanie przesłanek zawartych w art. 19 ust. 15f, gdyż w pkt 1 mowa jest o tym, że „materiały zawierają informacje”, zaś w pkt 2, że „materiały mogą zawierać informacje”. Jeżeli uwzględnić początkowy fragment tego przepisu wymagający przypuszczenia, uzyskujemy dwie odrębne przesłanki: „zach</w:t>
      </w:r>
      <w:r w:rsidR="001454D9" w:rsidRPr="00892F24">
        <w:rPr>
          <w:rFonts w:ascii="Times New Roman" w:hAnsi="Times New Roman" w:cs="Times New Roman"/>
          <w:color w:val="000000" w:themeColor="text1"/>
        </w:rPr>
        <w:t>o</w:t>
      </w:r>
      <w:r w:rsidR="001454D9" w:rsidRPr="00892F24">
        <w:rPr>
          <w:rFonts w:ascii="Times New Roman" w:hAnsi="Times New Roman" w:cs="Times New Roman"/>
          <w:color w:val="000000" w:themeColor="text1"/>
        </w:rPr>
        <w:t>dzi przypuszczenie, że materiały zawierają informacje” oraz „zachodzi przypuszcz</w:t>
      </w:r>
      <w:r w:rsidR="001454D9" w:rsidRPr="00892F24">
        <w:rPr>
          <w:rFonts w:ascii="Times New Roman" w:hAnsi="Times New Roman" w:cs="Times New Roman"/>
          <w:color w:val="000000" w:themeColor="text1"/>
        </w:rPr>
        <w:t>e</w:t>
      </w:r>
      <w:r w:rsidR="001454D9" w:rsidRPr="00892F24">
        <w:rPr>
          <w:rFonts w:ascii="Times New Roman" w:hAnsi="Times New Roman" w:cs="Times New Roman"/>
          <w:color w:val="000000" w:themeColor="text1"/>
        </w:rPr>
        <w:t>nie, że materiały mogą zawierać informacje”. Powstaje zatem pytanie, czy między t</w:t>
      </w:r>
      <w:r w:rsidR="001454D9" w:rsidRPr="00892F24">
        <w:rPr>
          <w:rFonts w:ascii="Times New Roman" w:hAnsi="Times New Roman" w:cs="Times New Roman"/>
          <w:color w:val="000000" w:themeColor="text1"/>
        </w:rPr>
        <w:t>y</w:t>
      </w:r>
      <w:r w:rsidR="001454D9" w:rsidRPr="00892F24">
        <w:rPr>
          <w:rFonts w:ascii="Times New Roman" w:hAnsi="Times New Roman" w:cs="Times New Roman"/>
          <w:color w:val="000000" w:themeColor="text1"/>
        </w:rPr>
        <w:t xml:space="preserve">mi sytuacjami jest </w:t>
      </w:r>
      <w:r w:rsidR="00CD4320" w:rsidRPr="00892F24">
        <w:rPr>
          <w:rFonts w:ascii="Times New Roman" w:hAnsi="Times New Roman" w:cs="Times New Roman"/>
          <w:color w:val="000000" w:themeColor="text1"/>
        </w:rPr>
        <w:t>rzeczywiście na tyle</w:t>
      </w:r>
      <w:r w:rsidR="001454D9" w:rsidRPr="00892F24">
        <w:rPr>
          <w:rFonts w:ascii="Times New Roman" w:hAnsi="Times New Roman" w:cs="Times New Roman"/>
          <w:color w:val="000000" w:themeColor="text1"/>
        </w:rPr>
        <w:t xml:space="preserve"> istotna różnica</w:t>
      </w:r>
      <w:r w:rsidR="00CD4320" w:rsidRPr="00892F24">
        <w:rPr>
          <w:rFonts w:ascii="Times New Roman" w:hAnsi="Times New Roman" w:cs="Times New Roman"/>
          <w:color w:val="000000" w:themeColor="text1"/>
        </w:rPr>
        <w:t>, że uzasadnia ona</w:t>
      </w:r>
      <w:r w:rsidR="001454D9" w:rsidRPr="00892F24">
        <w:rPr>
          <w:rFonts w:ascii="Times New Roman" w:hAnsi="Times New Roman" w:cs="Times New Roman"/>
          <w:color w:val="000000" w:themeColor="text1"/>
        </w:rPr>
        <w:t xml:space="preserve"> odmienne ujęcie tych przesłanek. </w:t>
      </w:r>
      <w:r w:rsidRPr="00892F24">
        <w:rPr>
          <w:rFonts w:ascii="Times New Roman" w:hAnsi="Times New Roman" w:cs="Times New Roman"/>
          <w:color w:val="000000" w:themeColor="text1"/>
        </w:rPr>
        <w:t>W ocenie Komisji Kodyfikacyjnej różnicowanie tych przesł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nek prowadzi do absurdu, a zatem</w:t>
      </w:r>
      <w:r w:rsidR="00CD4320" w:rsidRPr="00892F24">
        <w:rPr>
          <w:rFonts w:ascii="Times New Roman" w:hAnsi="Times New Roman" w:cs="Times New Roman"/>
          <w:color w:val="000000" w:themeColor="text1"/>
        </w:rPr>
        <w:t xml:space="preserve"> brzmienie tych przepisów </w:t>
      </w:r>
      <w:r w:rsidRPr="00892F24">
        <w:rPr>
          <w:rFonts w:ascii="Times New Roman" w:hAnsi="Times New Roman" w:cs="Times New Roman"/>
          <w:color w:val="000000" w:themeColor="text1"/>
        </w:rPr>
        <w:t>należ</w:t>
      </w:r>
      <w:r w:rsidR="00324EF7" w:rsidRPr="00892F24">
        <w:rPr>
          <w:rFonts w:ascii="Times New Roman" w:hAnsi="Times New Roman" w:cs="Times New Roman"/>
          <w:color w:val="000000" w:themeColor="text1"/>
        </w:rPr>
        <w:t>ałoby</w:t>
      </w:r>
      <w:r w:rsidRPr="00892F24">
        <w:rPr>
          <w:rFonts w:ascii="Times New Roman" w:hAnsi="Times New Roman" w:cs="Times New Roman"/>
          <w:color w:val="000000" w:themeColor="text1"/>
        </w:rPr>
        <w:t xml:space="preserve"> </w:t>
      </w:r>
      <w:r w:rsidR="00CD4320" w:rsidRPr="00892F24">
        <w:rPr>
          <w:rFonts w:ascii="Times New Roman" w:hAnsi="Times New Roman" w:cs="Times New Roman"/>
          <w:color w:val="000000" w:themeColor="text1"/>
        </w:rPr>
        <w:t xml:space="preserve">ujednolicić. </w:t>
      </w:r>
      <w:r w:rsidRPr="00892F24">
        <w:rPr>
          <w:rFonts w:ascii="Times New Roman" w:hAnsi="Times New Roman" w:cs="Times New Roman"/>
          <w:color w:val="000000" w:themeColor="text1"/>
        </w:rPr>
        <w:t>Trzeba jednak też zwrócić uwagę, że</w:t>
      </w:r>
      <w:r w:rsidR="00CD4320" w:rsidRPr="00892F24">
        <w:rPr>
          <w:rFonts w:ascii="Times New Roman" w:hAnsi="Times New Roman" w:cs="Times New Roman"/>
          <w:color w:val="000000" w:themeColor="text1"/>
        </w:rPr>
        <w:t xml:space="preserve"> analizowany przepis nie obejmuje</w:t>
      </w:r>
      <w:r w:rsidRPr="00892F24">
        <w:rPr>
          <w:rFonts w:ascii="Times New Roman" w:hAnsi="Times New Roman" w:cs="Times New Roman"/>
          <w:color w:val="000000" w:themeColor="text1"/>
        </w:rPr>
        <w:t xml:space="preserve"> trzeciej mo</w:t>
      </w:r>
      <w:r w:rsidRPr="00892F24">
        <w:rPr>
          <w:rFonts w:ascii="Times New Roman" w:hAnsi="Times New Roman" w:cs="Times New Roman"/>
          <w:color w:val="000000" w:themeColor="text1"/>
        </w:rPr>
        <w:t>ż</w:t>
      </w:r>
      <w:r w:rsidRPr="00892F24">
        <w:rPr>
          <w:rFonts w:ascii="Times New Roman" w:hAnsi="Times New Roman" w:cs="Times New Roman"/>
          <w:color w:val="000000" w:themeColor="text1"/>
        </w:rPr>
        <w:t>liwej sytuacji</w:t>
      </w:r>
      <w:r w:rsidR="003025D0" w:rsidRPr="00892F24">
        <w:rPr>
          <w:rFonts w:ascii="Times New Roman" w:hAnsi="Times New Roman" w:cs="Times New Roman"/>
          <w:color w:val="000000" w:themeColor="text1"/>
        </w:rPr>
        <w:t>, a mianowicie</w:t>
      </w:r>
      <w:r w:rsidRPr="00892F24">
        <w:rPr>
          <w:rFonts w:ascii="Times New Roman" w:hAnsi="Times New Roman" w:cs="Times New Roman"/>
          <w:color w:val="000000" w:themeColor="text1"/>
        </w:rPr>
        <w:t>, gdy organ ma wątpliwości co do tego, czy</w:t>
      </w:r>
      <w:r w:rsidR="00CD4320" w:rsidRPr="00892F24">
        <w:rPr>
          <w:rFonts w:ascii="Times New Roman" w:hAnsi="Times New Roman" w:cs="Times New Roman"/>
          <w:color w:val="000000" w:themeColor="text1"/>
        </w:rPr>
        <w:t xml:space="preserve"> materiały </w:t>
      </w:r>
      <w:r w:rsidRPr="00892F24">
        <w:rPr>
          <w:rFonts w:ascii="Times New Roman" w:hAnsi="Times New Roman" w:cs="Times New Roman"/>
          <w:color w:val="000000" w:themeColor="text1"/>
        </w:rPr>
        <w:t>rz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t xml:space="preserve">czywiście </w:t>
      </w:r>
      <w:r w:rsidR="00CD4320" w:rsidRPr="00892F24">
        <w:rPr>
          <w:rFonts w:ascii="Times New Roman" w:hAnsi="Times New Roman" w:cs="Times New Roman"/>
          <w:color w:val="000000" w:themeColor="text1"/>
        </w:rPr>
        <w:t>zawie</w:t>
      </w:r>
      <w:r w:rsidRPr="00892F24">
        <w:rPr>
          <w:rFonts w:ascii="Times New Roman" w:hAnsi="Times New Roman" w:cs="Times New Roman"/>
          <w:color w:val="000000" w:themeColor="text1"/>
        </w:rPr>
        <w:t>rają</w:t>
      </w:r>
      <w:r w:rsidR="00CD4320" w:rsidRPr="00892F24">
        <w:rPr>
          <w:rFonts w:ascii="Times New Roman" w:hAnsi="Times New Roman" w:cs="Times New Roman"/>
          <w:color w:val="000000" w:themeColor="text1"/>
        </w:rPr>
        <w:t xml:space="preserve"> informacje, o których mowa w art. 178 k.p.k.</w:t>
      </w:r>
      <w:r w:rsidR="00324EF7" w:rsidRPr="00892F24">
        <w:rPr>
          <w:rFonts w:ascii="Times New Roman" w:hAnsi="Times New Roman" w:cs="Times New Roman"/>
          <w:color w:val="000000" w:themeColor="text1"/>
        </w:rPr>
        <w:t xml:space="preserve"> Nie zawsze bowiem organ prowadzący kontrolę operacyjną będzie miał podstawy, aby stwierdzić, że z d</w:t>
      </w:r>
      <w:r w:rsidR="00324EF7" w:rsidRPr="00892F24">
        <w:rPr>
          <w:rFonts w:ascii="Times New Roman" w:hAnsi="Times New Roman" w:cs="Times New Roman"/>
          <w:color w:val="000000" w:themeColor="text1"/>
        </w:rPr>
        <w:t>u</w:t>
      </w:r>
      <w:r w:rsidR="00324EF7" w:rsidRPr="00892F24">
        <w:rPr>
          <w:rFonts w:ascii="Times New Roman" w:hAnsi="Times New Roman" w:cs="Times New Roman"/>
          <w:color w:val="000000" w:themeColor="text1"/>
        </w:rPr>
        <w:t>żym prawdopodobieństwem uzyskane materiały zawierają informacje stanowiące t</w:t>
      </w:r>
      <w:r w:rsidR="00324EF7" w:rsidRPr="00892F24">
        <w:rPr>
          <w:rFonts w:ascii="Times New Roman" w:hAnsi="Times New Roman" w:cs="Times New Roman"/>
          <w:color w:val="000000" w:themeColor="text1"/>
        </w:rPr>
        <w:t>a</w:t>
      </w:r>
      <w:r w:rsidR="00324EF7" w:rsidRPr="00892F24">
        <w:rPr>
          <w:rFonts w:ascii="Times New Roman" w:hAnsi="Times New Roman" w:cs="Times New Roman"/>
          <w:color w:val="000000" w:themeColor="text1"/>
        </w:rPr>
        <w:t>jemnicę obrończą lub tajemnicę spowiedzi. Trudno zaś byłoby zaakceptować, że w r</w:t>
      </w:r>
      <w:r w:rsidR="00324EF7" w:rsidRPr="00892F24">
        <w:rPr>
          <w:rFonts w:ascii="Times New Roman" w:hAnsi="Times New Roman" w:cs="Times New Roman"/>
          <w:color w:val="000000" w:themeColor="text1"/>
        </w:rPr>
        <w:t>a</w:t>
      </w:r>
      <w:r w:rsidR="00324EF7" w:rsidRPr="00892F24">
        <w:rPr>
          <w:rFonts w:ascii="Times New Roman" w:hAnsi="Times New Roman" w:cs="Times New Roman"/>
          <w:color w:val="000000" w:themeColor="text1"/>
        </w:rPr>
        <w:t>zie jedynie przypuszczenia, że tak może być, należy zarządzić ich zniszczenie. Może to bowiem prowadzić do utraty istotnego materiału niezawierającego żadnych info</w:t>
      </w:r>
      <w:r w:rsidR="00324EF7" w:rsidRPr="00892F24">
        <w:rPr>
          <w:rFonts w:ascii="Times New Roman" w:hAnsi="Times New Roman" w:cs="Times New Roman"/>
          <w:color w:val="000000" w:themeColor="text1"/>
        </w:rPr>
        <w:t>r</w:t>
      </w:r>
      <w:r w:rsidR="00324EF7" w:rsidRPr="00892F24">
        <w:rPr>
          <w:rFonts w:ascii="Times New Roman" w:hAnsi="Times New Roman" w:cs="Times New Roman"/>
          <w:color w:val="000000" w:themeColor="text1"/>
        </w:rPr>
        <w:t>macji objętych tajemnicą z art. 178 k.p.k.</w:t>
      </w:r>
      <w:r w:rsidR="00CD4320" w:rsidRPr="00892F24">
        <w:rPr>
          <w:rFonts w:ascii="Times New Roman" w:hAnsi="Times New Roman" w:cs="Times New Roman"/>
          <w:color w:val="000000" w:themeColor="text1"/>
        </w:rPr>
        <w:t xml:space="preserve"> Skoro w analogicznej sytuacji w odniesieniu do informacji stanowiących tajemnice, o których mowa w art. 180 § 2 k.p.k. należy wystąpić do sądu o wyrażenie zgody następczej na ich wykorzystanie, to tym bardziej </w:t>
      </w:r>
      <w:r w:rsidR="00CD4320" w:rsidRPr="00892F24">
        <w:rPr>
          <w:rFonts w:ascii="Times New Roman" w:hAnsi="Times New Roman" w:cs="Times New Roman"/>
          <w:color w:val="000000" w:themeColor="text1"/>
        </w:rPr>
        <w:lastRenderedPageBreak/>
        <w:t>w razie ewentualnych wątpliwości, czy uzyskane w wyniku kontroli materiały oper</w:t>
      </w:r>
      <w:r w:rsidR="00CD4320" w:rsidRPr="00892F24">
        <w:rPr>
          <w:rFonts w:ascii="Times New Roman" w:hAnsi="Times New Roman" w:cs="Times New Roman"/>
          <w:color w:val="000000" w:themeColor="text1"/>
        </w:rPr>
        <w:t>a</w:t>
      </w:r>
      <w:r w:rsidR="00CD4320" w:rsidRPr="00892F24">
        <w:rPr>
          <w:rFonts w:ascii="Times New Roman" w:hAnsi="Times New Roman" w:cs="Times New Roman"/>
          <w:color w:val="000000" w:themeColor="text1"/>
        </w:rPr>
        <w:t>cyjne stanowią tajemnicę obrończą lub tajemnicę spowiedzi, należ</w:t>
      </w:r>
      <w:r w:rsidR="003025D0" w:rsidRPr="00892F24">
        <w:rPr>
          <w:rFonts w:ascii="Times New Roman" w:hAnsi="Times New Roman" w:cs="Times New Roman"/>
          <w:color w:val="000000" w:themeColor="text1"/>
        </w:rPr>
        <w:t>ałob</w:t>
      </w:r>
      <w:r w:rsidR="00CD4320" w:rsidRPr="00892F24">
        <w:rPr>
          <w:rFonts w:ascii="Times New Roman" w:hAnsi="Times New Roman" w:cs="Times New Roman"/>
          <w:color w:val="000000" w:themeColor="text1"/>
        </w:rPr>
        <w:t xml:space="preserve">y wystąpić do sądu o ich rozstrzygnięcie i zarządzenie ewentualnego zniszczenia lub stwierdzenie, że materiały te nie stanowią wskazanej tajemnicy. </w:t>
      </w:r>
      <w:r w:rsidR="00324EF7" w:rsidRPr="00892F24">
        <w:rPr>
          <w:rFonts w:ascii="Times New Roman" w:hAnsi="Times New Roman" w:cs="Times New Roman"/>
          <w:color w:val="000000" w:themeColor="text1"/>
        </w:rPr>
        <w:t>Możliwość zarządzenia przez Kome</w:t>
      </w:r>
      <w:r w:rsidR="00324EF7" w:rsidRPr="00892F24">
        <w:rPr>
          <w:rFonts w:ascii="Times New Roman" w:hAnsi="Times New Roman" w:cs="Times New Roman"/>
          <w:color w:val="000000" w:themeColor="text1"/>
        </w:rPr>
        <w:t>n</w:t>
      </w:r>
      <w:r w:rsidR="00324EF7" w:rsidRPr="00892F24">
        <w:rPr>
          <w:rFonts w:ascii="Times New Roman" w:hAnsi="Times New Roman" w:cs="Times New Roman"/>
          <w:color w:val="000000" w:themeColor="text1"/>
        </w:rPr>
        <w:t>danta Głównego Policji, Komendanta CBŚP oraz komendanta wojewódzkiego znis</w:t>
      </w:r>
      <w:r w:rsidR="00324EF7" w:rsidRPr="00892F24">
        <w:rPr>
          <w:rFonts w:ascii="Times New Roman" w:hAnsi="Times New Roman" w:cs="Times New Roman"/>
          <w:color w:val="000000" w:themeColor="text1"/>
        </w:rPr>
        <w:t>z</w:t>
      </w:r>
      <w:r w:rsidR="00324EF7" w:rsidRPr="00892F24">
        <w:rPr>
          <w:rFonts w:ascii="Times New Roman" w:hAnsi="Times New Roman" w:cs="Times New Roman"/>
          <w:color w:val="000000" w:themeColor="text1"/>
        </w:rPr>
        <w:t xml:space="preserve">czenia materiałów powinna zaś być ograniczona do tych sytuacji, gdy istnieje duże prawdopodobieństwo, że zawierają informacje, o których mowa w art. 178 k.p.k. </w:t>
      </w:r>
      <w:r w:rsidR="00CD4320" w:rsidRPr="00892F24">
        <w:rPr>
          <w:rFonts w:ascii="Times New Roman" w:hAnsi="Times New Roman" w:cs="Times New Roman"/>
          <w:color w:val="000000" w:themeColor="text1"/>
        </w:rPr>
        <w:t xml:space="preserve">W konsekwencji otrzymamy trzy klarowne ścieżki procedowania: jeżeli organ uznaje, że materiały </w:t>
      </w:r>
      <w:r w:rsidR="00B270E4" w:rsidRPr="00892F24">
        <w:rPr>
          <w:rFonts w:ascii="Times New Roman" w:hAnsi="Times New Roman" w:cs="Times New Roman"/>
          <w:color w:val="000000" w:themeColor="text1"/>
        </w:rPr>
        <w:t xml:space="preserve">z dużym prawdopodobieństwem </w:t>
      </w:r>
      <w:r w:rsidR="00CD4320" w:rsidRPr="00892F24">
        <w:rPr>
          <w:rFonts w:ascii="Times New Roman" w:hAnsi="Times New Roman" w:cs="Times New Roman"/>
          <w:color w:val="000000" w:themeColor="text1"/>
        </w:rPr>
        <w:t>stanowią taką tajemnicę, zarządza ich zniszczenie</w:t>
      </w:r>
      <w:r w:rsidR="0044269E" w:rsidRPr="00892F24">
        <w:rPr>
          <w:rFonts w:ascii="Times New Roman" w:hAnsi="Times New Roman" w:cs="Times New Roman"/>
          <w:color w:val="000000" w:themeColor="text1"/>
        </w:rPr>
        <w:t xml:space="preserve"> zgodnie z art. 19 ust. 15f pkt 1</w:t>
      </w:r>
      <w:r w:rsidR="00CD4320" w:rsidRPr="00892F24">
        <w:rPr>
          <w:rFonts w:ascii="Times New Roman" w:hAnsi="Times New Roman" w:cs="Times New Roman"/>
          <w:color w:val="000000" w:themeColor="text1"/>
        </w:rPr>
        <w:t>, jeżeli uznaje, że nie stanowią, podejmuje działania w celu ich procesowej „konsumpcji” zgodnie z art. 19 ust. 15 ustawy o Pol</w:t>
      </w:r>
      <w:r w:rsidR="00CD4320" w:rsidRPr="00892F24">
        <w:rPr>
          <w:rFonts w:ascii="Times New Roman" w:hAnsi="Times New Roman" w:cs="Times New Roman"/>
          <w:color w:val="000000" w:themeColor="text1"/>
        </w:rPr>
        <w:t>i</w:t>
      </w:r>
      <w:r w:rsidR="00CD4320" w:rsidRPr="00892F24">
        <w:rPr>
          <w:rFonts w:ascii="Times New Roman" w:hAnsi="Times New Roman" w:cs="Times New Roman"/>
          <w:color w:val="000000" w:themeColor="text1"/>
        </w:rPr>
        <w:t xml:space="preserve">cji, zaś jeżeli ma wątpliwości co do </w:t>
      </w:r>
      <w:r w:rsidR="0044269E" w:rsidRPr="00892F24">
        <w:rPr>
          <w:rFonts w:ascii="Times New Roman" w:hAnsi="Times New Roman" w:cs="Times New Roman"/>
          <w:color w:val="000000" w:themeColor="text1"/>
        </w:rPr>
        <w:t>charakteru tych materiałów, przekazuje je prok</w:t>
      </w:r>
      <w:r w:rsidR="0044269E" w:rsidRPr="00892F24">
        <w:rPr>
          <w:rFonts w:ascii="Times New Roman" w:hAnsi="Times New Roman" w:cs="Times New Roman"/>
          <w:color w:val="000000" w:themeColor="text1"/>
        </w:rPr>
        <w:t>u</w:t>
      </w:r>
      <w:r w:rsidR="0044269E" w:rsidRPr="00892F24">
        <w:rPr>
          <w:rFonts w:ascii="Times New Roman" w:hAnsi="Times New Roman" w:cs="Times New Roman"/>
          <w:color w:val="000000" w:themeColor="text1"/>
        </w:rPr>
        <w:t>ra</w:t>
      </w:r>
      <w:r w:rsidR="003025D0" w:rsidRPr="00892F24">
        <w:rPr>
          <w:rFonts w:ascii="Times New Roman" w:hAnsi="Times New Roman" w:cs="Times New Roman"/>
          <w:color w:val="000000" w:themeColor="text1"/>
        </w:rPr>
        <w:t>torowi, który zwraca się o i</w:t>
      </w:r>
      <w:r w:rsidR="0044269E" w:rsidRPr="00892F24">
        <w:rPr>
          <w:rFonts w:ascii="Times New Roman" w:hAnsi="Times New Roman" w:cs="Times New Roman"/>
          <w:color w:val="000000" w:themeColor="text1"/>
        </w:rPr>
        <w:t>ch rozstrzygnięcie</w:t>
      </w:r>
      <w:r w:rsidR="003025D0" w:rsidRPr="00892F24">
        <w:rPr>
          <w:rFonts w:ascii="Times New Roman" w:hAnsi="Times New Roman" w:cs="Times New Roman"/>
          <w:color w:val="000000" w:themeColor="text1"/>
        </w:rPr>
        <w:t xml:space="preserve"> do sądu okręgowego</w:t>
      </w:r>
      <w:r w:rsidR="0044269E" w:rsidRPr="00892F24">
        <w:rPr>
          <w:rFonts w:ascii="Times New Roman" w:hAnsi="Times New Roman" w:cs="Times New Roman"/>
          <w:color w:val="000000" w:themeColor="text1"/>
        </w:rPr>
        <w:t>.</w:t>
      </w:r>
    </w:p>
    <w:p w14:paraId="2C2DED77" w14:textId="4897B23E" w:rsidR="001454D9" w:rsidRPr="00892F24" w:rsidRDefault="0044269E" w:rsidP="001454D9">
      <w:pPr>
        <w:pStyle w:val="Akapitzlist"/>
        <w:numPr>
          <w:ilvl w:val="0"/>
          <w:numId w:val="7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Przepisy art. 19 ust. 15f-15i pomijają tajemnicę mediatora, o której mowa w art. 178a k.p.k. Skoro jest to bezwarunkowy zakaz dowodowy, to materiały zawierające info</w:t>
      </w:r>
      <w:r w:rsidRPr="00892F24">
        <w:rPr>
          <w:rFonts w:ascii="Times New Roman" w:hAnsi="Times New Roman" w:cs="Times New Roman"/>
          <w:color w:val="000000" w:themeColor="text1"/>
        </w:rPr>
        <w:t>r</w:t>
      </w:r>
      <w:r w:rsidRPr="00892F24">
        <w:rPr>
          <w:rFonts w:ascii="Times New Roman" w:hAnsi="Times New Roman" w:cs="Times New Roman"/>
          <w:color w:val="000000" w:themeColor="text1"/>
        </w:rPr>
        <w:t>macje stanowiące tę tajemnicę powinny zostać potraktowane analogicznie do materi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łów zawierających tajemnice, o których mowa w art. 178 k.p.k. (z wyjątkiem wskaz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nym w art. 178a k.p.k.</w:t>
      </w:r>
      <w:r w:rsidR="003025D0" w:rsidRPr="00892F24">
        <w:rPr>
          <w:rFonts w:ascii="Times New Roman" w:hAnsi="Times New Roman" w:cs="Times New Roman"/>
          <w:color w:val="000000" w:themeColor="text1"/>
        </w:rPr>
        <w:t xml:space="preserve"> w zw. z art. 240 § 1 k.k.</w:t>
      </w:r>
      <w:r w:rsidRPr="00892F24">
        <w:rPr>
          <w:rFonts w:ascii="Times New Roman" w:hAnsi="Times New Roman" w:cs="Times New Roman"/>
          <w:color w:val="000000" w:themeColor="text1"/>
        </w:rPr>
        <w:t>).</w:t>
      </w:r>
    </w:p>
    <w:p w14:paraId="3B0B567B" w14:textId="7771602B" w:rsidR="0044269E" w:rsidRPr="00892F24" w:rsidRDefault="0044269E" w:rsidP="001454D9">
      <w:pPr>
        <w:pStyle w:val="Akapitzlist"/>
        <w:numPr>
          <w:ilvl w:val="0"/>
          <w:numId w:val="7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Zwrócić należy uwagę, że przepis art. 180 § 3</w:t>
      </w:r>
      <w:r w:rsidR="008820D1" w:rsidRPr="00892F24">
        <w:rPr>
          <w:rFonts w:ascii="Times New Roman" w:hAnsi="Times New Roman" w:cs="Times New Roman"/>
          <w:color w:val="000000" w:themeColor="text1"/>
        </w:rPr>
        <w:t xml:space="preserve"> k.p.k. w zw. z art. 180 § 4 </w:t>
      </w:r>
      <w:r w:rsidR="008820D1" w:rsidRPr="00892F24">
        <w:rPr>
          <w:rFonts w:ascii="Times New Roman" w:hAnsi="Times New Roman" w:cs="Times New Roman"/>
          <w:i/>
          <w:color w:val="000000" w:themeColor="text1"/>
        </w:rPr>
        <w:t xml:space="preserve">a contrario </w:t>
      </w:r>
      <w:r w:rsidR="008820D1" w:rsidRPr="00892F24">
        <w:rPr>
          <w:rFonts w:ascii="Times New Roman" w:hAnsi="Times New Roman" w:cs="Times New Roman"/>
          <w:color w:val="000000" w:themeColor="text1"/>
        </w:rPr>
        <w:t>k.p.k. przewiduje bezwarunkowy zakaz dowodowy w odniesieniu do tajemnicy dzie</w:t>
      </w:r>
      <w:r w:rsidR="008820D1" w:rsidRPr="00892F24">
        <w:rPr>
          <w:rFonts w:ascii="Times New Roman" w:hAnsi="Times New Roman" w:cs="Times New Roman"/>
          <w:color w:val="000000" w:themeColor="text1"/>
        </w:rPr>
        <w:t>n</w:t>
      </w:r>
      <w:r w:rsidR="008820D1" w:rsidRPr="00892F24">
        <w:rPr>
          <w:rFonts w:ascii="Times New Roman" w:hAnsi="Times New Roman" w:cs="Times New Roman"/>
          <w:color w:val="000000" w:themeColor="text1"/>
        </w:rPr>
        <w:t>nikarskiej w zakresie tzw. anonimatu. Tym samym należałoby na gruncie projektow</w:t>
      </w:r>
      <w:r w:rsidR="008820D1" w:rsidRPr="00892F24">
        <w:rPr>
          <w:rFonts w:ascii="Times New Roman" w:hAnsi="Times New Roman" w:cs="Times New Roman"/>
          <w:color w:val="000000" w:themeColor="text1"/>
        </w:rPr>
        <w:t>a</w:t>
      </w:r>
      <w:r w:rsidR="008820D1" w:rsidRPr="00892F24">
        <w:rPr>
          <w:rFonts w:ascii="Times New Roman" w:hAnsi="Times New Roman" w:cs="Times New Roman"/>
          <w:color w:val="000000" w:themeColor="text1"/>
        </w:rPr>
        <w:t>nych przepisów materiały zawierające takie informacje potraktować tak samo, jak m</w:t>
      </w:r>
      <w:r w:rsidR="008820D1" w:rsidRPr="00892F24">
        <w:rPr>
          <w:rFonts w:ascii="Times New Roman" w:hAnsi="Times New Roman" w:cs="Times New Roman"/>
          <w:color w:val="000000" w:themeColor="text1"/>
        </w:rPr>
        <w:t>a</w:t>
      </w:r>
      <w:r w:rsidR="008820D1" w:rsidRPr="00892F24">
        <w:rPr>
          <w:rFonts w:ascii="Times New Roman" w:hAnsi="Times New Roman" w:cs="Times New Roman"/>
          <w:color w:val="000000" w:themeColor="text1"/>
        </w:rPr>
        <w:t>teriały zawierające informacje wskazane w art. 178 k.p.k.</w:t>
      </w:r>
    </w:p>
    <w:p w14:paraId="36EB648C" w14:textId="54B21D1E" w:rsidR="0044269E" w:rsidRPr="00892F24" w:rsidRDefault="00B270E4" w:rsidP="001454D9">
      <w:pPr>
        <w:pStyle w:val="Akapitzlist"/>
        <w:numPr>
          <w:ilvl w:val="0"/>
          <w:numId w:val="7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Z przepisów art</w:t>
      </w:r>
      <w:r w:rsidR="0044269E" w:rsidRPr="00892F24">
        <w:rPr>
          <w:rFonts w:ascii="Times New Roman" w:hAnsi="Times New Roman" w:cs="Times New Roman"/>
          <w:color w:val="000000" w:themeColor="text1"/>
        </w:rPr>
        <w:t>. 19 ust. 15</w:t>
      </w:r>
      <w:r w:rsidRPr="00892F24">
        <w:rPr>
          <w:rFonts w:ascii="Times New Roman" w:hAnsi="Times New Roman" w:cs="Times New Roman"/>
          <w:color w:val="000000" w:themeColor="text1"/>
        </w:rPr>
        <w:t>f-15h wydaje się wypływać założenie, że skoro w razie z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 xml:space="preserve">istnienia przypuszczenia, że materiały uzyskane w toku kontroli operacyjnej </w:t>
      </w:r>
      <w:r w:rsidR="0044269E" w:rsidRPr="00892F24">
        <w:rPr>
          <w:rFonts w:ascii="Times New Roman" w:hAnsi="Times New Roman" w:cs="Times New Roman"/>
          <w:color w:val="000000" w:themeColor="text1"/>
        </w:rPr>
        <w:t>zawierają informacje stanowiące tajemnicę</w:t>
      </w:r>
      <w:r w:rsidRPr="00892F24">
        <w:rPr>
          <w:rFonts w:ascii="Times New Roman" w:hAnsi="Times New Roman" w:cs="Times New Roman"/>
          <w:color w:val="000000" w:themeColor="text1"/>
        </w:rPr>
        <w:t xml:space="preserve">, o której mowa w art. 178 k.p.k. lub </w:t>
      </w:r>
      <w:r w:rsidR="0044269E" w:rsidRPr="00892F24">
        <w:rPr>
          <w:rFonts w:ascii="Times New Roman" w:hAnsi="Times New Roman" w:cs="Times New Roman"/>
          <w:color w:val="000000" w:themeColor="text1"/>
        </w:rPr>
        <w:t>art. 180 § 2 k.p.k.</w:t>
      </w:r>
      <w:r w:rsidRPr="00892F24">
        <w:rPr>
          <w:rFonts w:ascii="Times New Roman" w:hAnsi="Times New Roman" w:cs="Times New Roman"/>
          <w:color w:val="000000" w:themeColor="text1"/>
        </w:rPr>
        <w:t>, należy je przekazać sądowi, to wyłącznie sąd jest uprawniony do ich odsłuch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nia. Kwestię tę należałoby unormować w sposób wyraźny, zwłaszcza że ma ona ni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t xml:space="preserve">bagatelne znaczenie gwarancyjne. W ten sposób minimalizuje się bowiem ryzyko, że organ przeprowadzający kontrolę operacyjną uzyska informacje stanowiące tajemnicę, o której mowa w art. 178 k.p.k. lub art. 180 § 2 k.p.k. i wykorzysta je </w:t>
      </w:r>
      <w:proofErr w:type="spellStart"/>
      <w:r w:rsidRPr="00892F24">
        <w:rPr>
          <w:rFonts w:ascii="Times New Roman" w:hAnsi="Times New Roman" w:cs="Times New Roman"/>
          <w:color w:val="000000" w:themeColor="text1"/>
        </w:rPr>
        <w:t>pozaprocesowo</w:t>
      </w:r>
      <w:proofErr w:type="spellEnd"/>
      <w:r w:rsidRPr="00892F24">
        <w:rPr>
          <w:rFonts w:ascii="Times New Roman" w:hAnsi="Times New Roman" w:cs="Times New Roman"/>
          <w:color w:val="000000" w:themeColor="text1"/>
        </w:rPr>
        <w:t>, nawet jeżeli ostatecznie dojdzie do zniszczenia tych materiałów na podstawie decyzji sądu wydanej na podstawie art. 19 ust. 15h ustawy o Policji.</w:t>
      </w:r>
      <w:r w:rsidR="0044269E" w:rsidRPr="00892F24">
        <w:rPr>
          <w:rFonts w:ascii="Times New Roman" w:hAnsi="Times New Roman" w:cs="Times New Roman"/>
          <w:color w:val="000000" w:themeColor="text1"/>
        </w:rPr>
        <w:t xml:space="preserve"> </w:t>
      </w:r>
      <w:r w:rsidRPr="00892F24">
        <w:rPr>
          <w:rFonts w:ascii="Times New Roman" w:hAnsi="Times New Roman" w:cs="Times New Roman"/>
          <w:color w:val="000000" w:themeColor="text1"/>
        </w:rPr>
        <w:t>Z art. 19 ust. 15f ustawy o Policji powinien zatem wynikać nakaz, aby właściwy organ w razie powzięcia prz</w:t>
      </w:r>
      <w:r w:rsidRPr="00892F24">
        <w:rPr>
          <w:rFonts w:ascii="Times New Roman" w:hAnsi="Times New Roman" w:cs="Times New Roman"/>
          <w:color w:val="000000" w:themeColor="text1"/>
        </w:rPr>
        <w:t>y</w:t>
      </w:r>
      <w:r w:rsidRPr="00892F24">
        <w:rPr>
          <w:rFonts w:ascii="Times New Roman" w:hAnsi="Times New Roman" w:cs="Times New Roman"/>
          <w:color w:val="000000" w:themeColor="text1"/>
        </w:rPr>
        <w:lastRenderedPageBreak/>
        <w:t>puszczenia, że materiały uzyskane w toku kontroli operacyjnej zawierają informacje stanowiące tajemnicę, o której mowa w art. 178 k.p.k. lub art. 180 § 2 k.p.k., bez da</w:t>
      </w:r>
      <w:r w:rsidRPr="00892F24">
        <w:rPr>
          <w:rFonts w:ascii="Times New Roman" w:hAnsi="Times New Roman" w:cs="Times New Roman"/>
          <w:color w:val="000000" w:themeColor="text1"/>
        </w:rPr>
        <w:t>l</w:t>
      </w:r>
      <w:r w:rsidRPr="00892F24">
        <w:rPr>
          <w:rFonts w:ascii="Times New Roman" w:hAnsi="Times New Roman" w:cs="Times New Roman"/>
          <w:color w:val="000000" w:themeColor="text1"/>
        </w:rPr>
        <w:t>szego zapoznawania się z ich treścią dokonywał ich zniszczenia lub przekazywał je prokuratorowi w celu wystąpienia do sądu.</w:t>
      </w:r>
    </w:p>
    <w:p w14:paraId="2311C874" w14:textId="36A6E2F2" w:rsidR="008820D1" w:rsidRPr="00892F24" w:rsidRDefault="008820D1" w:rsidP="001454D9">
      <w:pPr>
        <w:pStyle w:val="Akapitzlist"/>
        <w:numPr>
          <w:ilvl w:val="0"/>
          <w:numId w:val="7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Przepis art. 19 ust. 15h nie określa żadnej przesłanki, jaką powinien kierować się sąd podejmując decyzję w przedmiocie dopuszczalności wykorzystania materiałów zawi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t>rających informacje stanowiące tajemnice określone w art. 180 § 2 k.p.k. Tymczasem spójność systemowa nakazuje, aby sąd kierował się tu takimi samymi przesłankami, jak określone w art. 180 § 2 k.p.k. Wprawdzie można byłoby taką regułę wyinterpr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t xml:space="preserve">tować, jednak </w:t>
      </w:r>
      <w:r w:rsidR="008566BD" w:rsidRPr="00892F24">
        <w:rPr>
          <w:rFonts w:ascii="Times New Roman" w:hAnsi="Times New Roman" w:cs="Times New Roman"/>
          <w:color w:val="000000" w:themeColor="text1"/>
        </w:rPr>
        <w:t>zarówno wnioski wynikające z wyroku TK w sprawie 23/11, jak i p</w:t>
      </w:r>
      <w:r w:rsidR="008566BD" w:rsidRPr="00892F24">
        <w:rPr>
          <w:rFonts w:ascii="Times New Roman" w:hAnsi="Times New Roman" w:cs="Times New Roman"/>
          <w:color w:val="000000" w:themeColor="text1"/>
        </w:rPr>
        <w:t>o</w:t>
      </w:r>
      <w:r w:rsidR="008566BD" w:rsidRPr="00892F24">
        <w:rPr>
          <w:rFonts w:ascii="Times New Roman" w:hAnsi="Times New Roman" w:cs="Times New Roman"/>
          <w:color w:val="000000" w:themeColor="text1"/>
        </w:rPr>
        <w:t xml:space="preserve">trzeba </w:t>
      </w:r>
      <w:r w:rsidRPr="00892F24">
        <w:rPr>
          <w:rFonts w:ascii="Times New Roman" w:hAnsi="Times New Roman" w:cs="Times New Roman"/>
          <w:color w:val="000000" w:themeColor="text1"/>
        </w:rPr>
        <w:t>przejrzy</w:t>
      </w:r>
      <w:r w:rsidR="008566BD" w:rsidRPr="00892F24">
        <w:rPr>
          <w:rFonts w:ascii="Times New Roman" w:hAnsi="Times New Roman" w:cs="Times New Roman"/>
          <w:color w:val="000000" w:themeColor="text1"/>
        </w:rPr>
        <w:t>stości</w:t>
      </w:r>
      <w:r w:rsidRPr="00892F24">
        <w:rPr>
          <w:rFonts w:ascii="Times New Roman" w:hAnsi="Times New Roman" w:cs="Times New Roman"/>
          <w:color w:val="000000" w:themeColor="text1"/>
        </w:rPr>
        <w:t xml:space="preserve"> regulacji, której w przypadku czynności operacyjno-rozpoznawczych </w:t>
      </w:r>
      <w:r w:rsidR="00162AB0" w:rsidRPr="00892F24">
        <w:rPr>
          <w:rFonts w:ascii="Times New Roman" w:hAnsi="Times New Roman" w:cs="Times New Roman"/>
          <w:color w:val="000000" w:themeColor="text1"/>
        </w:rPr>
        <w:t xml:space="preserve">nigdy za wiele, </w:t>
      </w:r>
      <w:r w:rsidR="008566BD" w:rsidRPr="00892F24">
        <w:rPr>
          <w:rFonts w:ascii="Times New Roman" w:hAnsi="Times New Roman" w:cs="Times New Roman"/>
          <w:color w:val="000000" w:themeColor="text1"/>
        </w:rPr>
        <w:t>wymagają uregulowania</w:t>
      </w:r>
      <w:r w:rsidR="00162AB0" w:rsidRPr="00892F24">
        <w:rPr>
          <w:rFonts w:ascii="Times New Roman" w:hAnsi="Times New Roman" w:cs="Times New Roman"/>
          <w:color w:val="000000" w:themeColor="text1"/>
        </w:rPr>
        <w:t xml:space="preserve"> tej kwestii wprost.</w:t>
      </w:r>
      <w:r w:rsidR="00864C3B" w:rsidRPr="00892F24">
        <w:rPr>
          <w:rFonts w:ascii="Times New Roman" w:hAnsi="Times New Roman" w:cs="Times New Roman"/>
          <w:color w:val="000000" w:themeColor="text1"/>
        </w:rPr>
        <w:t xml:space="preserve"> </w:t>
      </w:r>
      <w:r w:rsidR="00D7127B" w:rsidRPr="00892F24">
        <w:rPr>
          <w:rFonts w:ascii="Times New Roman" w:hAnsi="Times New Roman" w:cs="Times New Roman"/>
          <w:color w:val="000000" w:themeColor="text1"/>
        </w:rPr>
        <w:t>Standard konstytucyjny wyznaczany przez TK w zakresie ochrony tajemnicy zawodowej w procesie karnym prowadzi również do wniosku, że przepis art. 19 ust. 15h powinien również zawierać unormowania dotyczące kwestii jawności i zaskarżalności decyzji w przedmiocie wykorzystania materiałów zawierających tajemnicę zawodową, a więc decyzji tożsamej ze zwolnieniem z tajemnicy zawodowej na gruncie procesowym. Uwagi te jak w soczewce pokazują</w:t>
      </w:r>
      <w:r w:rsidR="00864C3B" w:rsidRPr="00892F24">
        <w:rPr>
          <w:rFonts w:ascii="Times New Roman" w:hAnsi="Times New Roman" w:cs="Times New Roman"/>
          <w:color w:val="000000" w:themeColor="text1"/>
        </w:rPr>
        <w:t>, że problematyka wykorzystania materiałów z ko</w:t>
      </w:r>
      <w:r w:rsidR="00864C3B" w:rsidRPr="00892F24">
        <w:rPr>
          <w:rFonts w:ascii="Times New Roman" w:hAnsi="Times New Roman" w:cs="Times New Roman"/>
          <w:color w:val="000000" w:themeColor="text1"/>
        </w:rPr>
        <w:t>n</w:t>
      </w:r>
      <w:r w:rsidR="00864C3B" w:rsidRPr="00892F24">
        <w:rPr>
          <w:rFonts w:ascii="Times New Roman" w:hAnsi="Times New Roman" w:cs="Times New Roman"/>
          <w:color w:val="000000" w:themeColor="text1"/>
        </w:rPr>
        <w:t>troli operacyjnej powinna być unormowana w kodeksie postępowania karnego</w:t>
      </w:r>
      <w:r w:rsidR="00D7127B" w:rsidRPr="00892F24">
        <w:rPr>
          <w:rFonts w:ascii="Times New Roman" w:hAnsi="Times New Roman" w:cs="Times New Roman"/>
          <w:color w:val="000000" w:themeColor="text1"/>
        </w:rPr>
        <w:t xml:space="preserve"> w o</w:t>
      </w:r>
      <w:r w:rsidR="00D7127B" w:rsidRPr="00892F24">
        <w:rPr>
          <w:rFonts w:ascii="Times New Roman" w:hAnsi="Times New Roman" w:cs="Times New Roman"/>
          <w:color w:val="000000" w:themeColor="text1"/>
        </w:rPr>
        <w:t>d</w:t>
      </w:r>
      <w:r w:rsidR="00D7127B" w:rsidRPr="00892F24">
        <w:rPr>
          <w:rFonts w:ascii="Times New Roman" w:hAnsi="Times New Roman" w:cs="Times New Roman"/>
          <w:color w:val="000000" w:themeColor="text1"/>
        </w:rPr>
        <w:t>niesieniu do wykorzystania materiałów w konkretnym postępowaniu karnym</w:t>
      </w:r>
      <w:r w:rsidR="00864C3B" w:rsidRPr="00892F24">
        <w:rPr>
          <w:rFonts w:ascii="Times New Roman" w:hAnsi="Times New Roman" w:cs="Times New Roman"/>
          <w:color w:val="000000" w:themeColor="text1"/>
        </w:rPr>
        <w:t>.</w:t>
      </w:r>
    </w:p>
    <w:p w14:paraId="3E52BE20" w14:textId="67FA71FC" w:rsidR="00EA6528" w:rsidRPr="00892F24" w:rsidRDefault="00162AB0" w:rsidP="00CD2F94">
      <w:pPr>
        <w:pStyle w:val="Akapitzlist"/>
        <w:numPr>
          <w:ilvl w:val="0"/>
          <w:numId w:val="7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Przepis art. 19 ust. 15h jest ujęty nieco nieporadnie. Lepsze wydaje się przeniesienie końcowego fragmentu na początek i nadanie mu brzmienia: „W terminie 14 dni od dnia złożenia wniosku przez prokuratora sąd wydaje postanowienie o stwierdzeniu dopuszczalności wykorzystania w postępowaniu karnym materiałów mogących zawi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t>rać informacje stanowiące tajemnice związane z wykonywaniem zawodu lub funkcji, o których mowa w art. 180 § 2 Kodeksu postępowania karnego, albo zarządza ich zniszczenie.”</w:t>
      </w:r>
    </w:p>
    <w:p w14:paraId="0DF3C9DC" w14:textId="0A8D71D8" w:rsidR="00162AB0" w:rsidRPr="00892F24" w:rsidRDefault="00162AB0" w:rsidP="00CD2F94">
      <w:pPr>
        <w:pStyle w:val="Akapitzlist"/>
        <w:numPr>
          <w:ilvl w:val="0"/>
          <w:numId w:val="7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Warto byłoby rozważyć wprowadzenie w art. 19 ust. 15i terminu, w jakim powinno zostać wykonane zarządzenie sądu o zniszczeniu informacji.</w:t>
      </w:r>
    </w:p>
    <w:p w14:paraId="07549956" w14:textId="77777777" w:rsidR="00EA6528" w:rsidRPr="00892F24" w:rsidRDefault="00EA6528" w:rsidP="00CD2F9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E2C3CD" w14:textId="77777777" w:rsidR="00CD2F94" w:rsidRPr="00892F24" w:rsidRDefault="00CD2F94" w:rsidP="005F20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>Dane telekomunikacyjne i pocztowe zawierające informacje objęte tajemnicą z</w:t>
      </w:r>
      <w:r w:rsidRPr="00892F24">
        <w:rPr>
          <w:rFonts w:ascii="Times New Roman" w:hAnsi="Times New Roman" w:cs="Times New Roman"/>
          <w:b/>
          <w:color w:val="000000" w:themeColor="text1"/>
        </w:rPr>
        <w:t>a</w:t>
      </w:r>
      <w:r w:rsidRPr="00892F24">
        <w:rPr>
          <w:rFonts w:ascii="Times New Roman" w:hAnsi="Times New Roman" w:cs="Times New Roman"/>
          <w:b/>
          <w:color w:val="000000" w:themeColor="text1"/>
        </w:rPr>
        <w:t>wodową</w:t>
      </w:r>
    </w:p>
    <w:p w14:paraId="53E4E0AB" w14:textId="59046227" w:rsidR="00CD2F94" w:rsidRPr="00892F24" w:rsidRDefault="00542D60" w:rsidP="00C4001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Pro</w:t>
      </w:r>
      <w:r w:rsidR="00C4001D" w:rsidRPr="00892F24">
        <w:rPr>
          <w:rFonts w:ascii="Times New Roman" w:hAnsi="Times New Roman" w:cs="Times New Roman"/>
          <w:color w:val="000000" w:themeColor="text1"/>
        </w:rPr>
        <w:t xml:space="preserve">jektowany </w:t>
      </w:r>
      <w:r w:rsidRPr="00892F24">
        <w:rPr>
          <w:rFonts w:ascii="Times New Roman" w:hAnsi="Times New Roman" w:cs="Times New Roman"/>
          <w:color w:val="000000" w:themeColor="text1"/>
        </w:rPr>
        <w:t>przepis art. 20</w:t>
      </w:r>
      <w:r w:rsidR="00C4001D" w:rsidRPr="00892F24">
        <w:rPr>
          <w:rFonts w:ascii="Times New Roman" w:hAnsi="Times New Roman" w:cs="Times New Roman"/>
          <w:color w:val="000000" w:themeColor="text1"/>
        </w:rPr>
        <w:t xml:space="preserve">ca ustawy o Policji przewiduje </w:t>
      </w:r>
      <w:r w:rsidR="00614691" w:rsidRPr="00892F24">
        <w:rPr>
          <w:rFonts w:ascii="Times New Roman" w:hAnsi="Times New Roman" w:cs="Times New Roman"/>
          <w:color w:val="000000" w:themeColor="text1"/>
        </w:rPr>
        <w:t>procedurę</w:t>
      </w:r>
      <w:r w:rsidR="00C4001D" w:rsidRPr="00892F24">
        <w:rPr>
          <w:rFonts w:ascii="Times New Roman" w:hAnsi="Times New Roman" w:cs="Times New Roman"/>
          <w:color w:val="000000" w:themeColor="text1"/>
        </w:rPr>
        <w:t xml:space="preserve"> wystąpienia do sądu o wyrażenie zgody na wykorzystanie materiałów zawierających dane telekomunikacyjne </w:t>
      </w:r>
      <w:r w:rsidR="00C4001D" w:rsidRPr="00892F24">
        <w:rPr>
          <w:rFonts w:ascii="Times New Roman" w:hAnsi="Times New Roman" w:cs="Times New Roman"/>
          <w:color w:val="000000" w:themeColor="text1"/>
        </w:rPr>
        <w:lastRenderedPageBreak/>
        <w:t>lub pocztowe dotyczące bezpośrednio osoby wykonującej zawód lub funkcję, o której mowa w art. 180 § 2 k.p.k. (kontrola następcza). Z kolei art. 20cb ustawy o Policji przewiduje ko</w:t>
      </w:r>
      <w:r w:rsidR="00C4001D" w:rsidRPr="00892F24">
        <w:rPr>
          <w:rFonts w:ascii="Times New Roman" w:hAnsi="Times New Roman" w:cs="Times New Roman"/>
          <w:color w:val="000000" w:themeColor="text1"/>
        </w:rPr>
        <w:t>n</w:t>
      </w:r>
      <w:r w:rsidR="00C4001D" w:rsidRPr="00892F24">
        <w:rPr>
          <w:rFonts w:ascii="Times New Roman" w:hAnsi="Times New Roman" w:cs="Times New Roman"/>
          <w:color w:val="000000" w:themeColor="text1"/>
        </w:rPr>
        <w:t>trolę uprzednią sądu, gdyż wymaga uzyskania zgody sądu okręgowego na pozyskanie danych telekomunikacyjnych i pocztowych dotyczących bezpośrednio osoby wykonującej zawód lub funkcję, o której mowa w art. 180 § 2 k.p.k.</w:t>
      </w:r>
      <w:r w:rsidR="00155B47" w:rsidRPr="00892F24">
        <w:rPr>
          <w:rFonts w:ascii="Times New Roman" w:hAnsi="Times New Roman" w:cs="Times New Roman"/>
          <w:color w:val="000000" w:themeColor="text1"/>
        </w:rPr>
        <w:t xml:space="preserve"> Rozwiązania te stanowią istotny krok w kierunku lepszej ochrony informacji stanowiących tajemnicę zawodową. Celem jest zabezpieczenie przed możliwością uzyskiwania </w:t>
      </w:r>
      <w:r w:rsidR="00CF6F71" w:rsidRPr="00892F24">
        <w:rPr>
          <w:rFonts w:ascii="Times New Roman" w:hAnsi="Times New Roman" w:cs="Times New Roman"/>
          <w:color w:val="000000" w:themeColor="text1"/>
        </w:rPr>
        <w:t xml:space="preserve">i wykorzystywania </w:t>
      </w:r>
      <w:r w:rsidR="00155B47" w:rsidRPr="00892F24">
        <w:rPr>
          <w:rFonts w:ascii="Times New Roman" w:hAnsi="Times New Roman" w:cs="Times New Roman"/>
          <w:color w:val="000000" w:themeColor="text1"/>
        </w:rPr>
        <w:t>danych telekomunikacyjnych</w:t>
      </w:r>
      <w:r w:rsidR="00CF6F71" w:rsidRPr="00892F24">
        <w:rPr>
          <w:rFonts w:ascii="Times New Roman" w:hAnsi="Times New Roman" w:cs="Times New Roman"/>
          <w:color w:val="000000" w:themeColor="text1"/>
        </w:rPr>
        <w:t xml:space="preserve"> i poczt</w:t>
      </w:r>
      <w:r w:rsidR="00CF6F71" w:rsidRPr="00892F24">
        <w:rPr>
          <w:rFonts w:ascii="Times New Roman" w:hAnsi="Times New Roman" w:cs="Times New Roman"/>
          <w:color w:val="000000" w:themeColor="text1"/>
        </w:rPr>
        <w:t>o</w:t>
      </w:r>
      <w:r w:rsidR="00CF6F71" w:rsidRPr="00892F24">
        <w:rPr>
          <w:rFonts w:ascii="Times New Roman" w:hAnsi="Times New Roman" w:cs="Times New Roman"/>
          <w:color w:val="000000" w:themeColor="text1"/>
        </w:rPr>
        <w:t xml:space="preserve">wych oraz </w:t>
      </w:r>
      <w:r w:rsidR="00155B47" w:rsidRPr="00892F24">
        <w:rPr>
          <w:rFonts w:ascii="Times New Roman" w:hAnsi="Times New Roman" w:cs="Times New Roman"/>
          <w:color w:val="000000" w:themeColor="text1"/>
        </w:rPr>
        <w:t>obchodzenia w ten sposób przepisów chroniących tajemnicę zawodową w procesie karnym. Z powyższych względów kierunek rozwiązań zasługuje na aprobatę, zwłaszcza wprowadzenie w art. 20cb kontroli uprzedniej.</w:t>
      </w:r>
    </w:p>
    <w:p w14:paraId="68620992" w14:textId="0766E240" w:rsidR="00155B47" w:rsidRPr="00892F24" w:rsidRDefault="00155B47" w:rsidP="00155B4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Uwagi szczegółowe do rozwiązań zawartych w art. 20ca i art. 20cb ustawy o Policji przedstawiają się następująco:</w:t>
      </w:r>
    </w:p>
    <w:p w14:paraId="302B6125" w14:textId="374D36A6" w:rsidR="00155B47" w:rsidRPr="00892F24" w:rsidRDefault="00155B47" w:rsidP="00155B47">
      <w:pPr>
        <w:pStyle w:val="Akapitzlist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Przepisy art. 20ca i art. 20cb powinny uwzględniać również tajemnicę mediatora, o której mowa w art. 178a k.p.k. Wprawdzie wąski zakres przedmiotowy tej tajemnicy powoduje, że nieczęsto będą nią objęte informacje stanowiące dane telekomunikacy</w:t>
      </w:r>
      <w:r w:rsidRPr="00892F24">
        <w:rPr>
          <w:rFonts w:ascii="Times New Roman" w:hAnsi="Times New Roman" w:cs="Times New Roman"/>
          <w:color w:val="000000" w:themeColor="text1"/>
        </w:rPr>
        <w:t>j</w:t>
      </w:r>
      <w:r w:rsidRPr="00892F24">
        <w:rPr>
          <w:rFonts w:ascii="Times New Roman" w:hAnsi="Times New Roman" w:cs="Times New Roman"/>
          <w:color w:val="000000" w:themeColor="text1"/>
        </w:rPr>
        <w:t>ne lub dane pocztowe, ale nie można tego wykluczyć.</w:t>
      </w:r>
    </w:p>
    <w:p w14:paraId="7C4F7B09" w14:textId="1FB32542" w:rsidR="00555DFF" w:rsidRPr="00892F24" w:rsidRDefault="0035460E" w:rsidP="00555DFF">
      <w:pPr>
        <w:pStyle w:val="Akapitzlist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Wydaje się, że nie ma potrzeby, aby prokurator zgodnie z art. 20ca ust. 2 zawsze m</w:t>
      </w:r>
      <w:r w:rsidRPr="00892F24">
        <w:rPr>
          <w:rFonts w:ascii="Times New Roman" w:hAnsi="Times New Roman" w:cs="Times New Roman"/>
          <w:color w:val="000000" w:themeColor="text1"/>
        </w:rPr>
        <w:t>u</w:t>
      </w:r>
      <w:r w:rsidRPr="00892F24">
        <w:rPr>
          <w:rFonts w:ascii="Times New Roman" w:hAnsi="Times New Roman" w:cs="Times New Roman"/>
          <w:color w:val="000000" w:themeColor="text1"/>
        </w:rPr>
        <w:t>siał zwracać się do sądu o wyrażenie zgody na wykorzystanie danych telekomunik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 xml:space="preserve">cyjnych i danych pocztowych dotyczących osoby wykonującej zawód lub funkcję, o której mowa w art. 180 § 2 k.p.k. </w:t>
      </w:r>
      <w:r w:rsidR="00555DFF" w:rsidRPr="00892F24">
        <w:rPr>
          <w:rFonts w:ascii="Times New Roman" w:hAnsi="Times New Roman" w:cs="Times New Roman"/>
          <w:color w:val="000000" w:themeColor="text1"/>
        </w:rPr>
        <w:t>Jeżeli uzna on, iż brak jest podstaw do ich proces</w:t>
      </w:r>
      <w:r w:rsidR="00555DFF" w:rsidRPr="00892F24">
        <w:rPr>
          <w:rFonts w:ascii="Times New Roman" w:hAnsi="Times New Roman" w:cs="Times New Roman"/>
          <w:color w:val="000000" w:themeColor="text1"/>
        </w:rPr>
        <w:t>o</w:t>
      </w:r>
      <w:r w:rsidR="00555DFF" w:rsidRPr="00892F24">
        <w:rPr>
          <w:rFonts w:ascii="Times New Roman" w:hAnsi="Times New Roman" w:cs="Times New Roman"/>
          <w:color w:val="000000" w:themeColor="text1"/>
        </w:rPr>
        <w:t xml:space="preserve">wego wykorzystania powinien mieć </w:t>
      </w:r>
      <w:r w:rsidRPr="00892F24">
        <w:rPr>
          <w:rFonts w:ascii="Times New Roman" w:hAnsi="Times New Roman" w:cs="Times New Roman"/>
          <w:color w:val="000000" w:themeColor="text1"/>
        </w:rPr>
        <w:t xml:space="preserve">prawo do zarządzenia zniszczenia </w:t>
      </w:r>
      <w:r w:rsidR="00555DFF" w:rsidRPr="00892F24">
        <w:rPr>
          <w:rFonts w:ascii="Times New Roman" w:hAnsi="Times New Roman" w:cs="Times New Roman"/>
          <w:color w:val="000000" w:themeColor="text1"/>
        </w:rPr>
        <w:t xml:space="preserve">takich </w:t>
      </w:r>
      <w:r w:rsidRPr="00892F24">
        <w:rPr>
          <w:rFonts w:ascii="Times New Roman" w:hAnsi="Times New Roman" w:cs="Times New Roman"/>
          <w:color w:val="000000" w:themeColor="text1"/>
        </w:rPr>
        <w:t>materi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łów</w:t>
      </w:r>
      <w:r w:rsidR="00555DFF" w:rsidRPr="00892F24">
        <w:rPr>
          <w:rFonts w:ascii="Times New Roman" w:hAnsi="Times New Roman" w:cs="Times New Roman"/>
          <w:color w:val="000000" w:themeColor="text1"/>
        </w:rPr>
        <w:t>.</w:t>
      </w:r>
    </w:p>
    <w:p w14:paraId="09B578EC" w14:textId="7FA3DC31" w:rsidR="00555DFF" w:rsidRPr="00892F24" w:rsidRDefault="00555DFF" w:rsidP="00555DFF">
      <w:pPr>
        <w:pStyle w:val="Akapitzlist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Przepisy art. 20ca ust 3 i art. 20cb ust. 1 powinny określać analogiczne przesłanki d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t xml:space="preserve">cyzji sądu, jak </w:t>
      </w:r>
      <w:r w:rsidR="00CF6F71" w:rsidRPr="00892F24">
        <w:rPr>
          <w:rFonts w:ascii="Times New Roman" w:hAnsi="Times New Roman" w:cs="Times New Roman"/>
          <w:color w:val="000000" w:themeColor="text1"/>
        </w:rPr>
        <w:t xml:space="preserve">przesłanki </w:t>
      </w:r>
      <w:r w:rsidRPr="00892F24">
        <w:rPr>
          <w:rFonts w:ascii="Times New Roman" w:hAnsi="Times New Roman" w:cs="Times New Roman"/>
          <w:color w:val="000000" w:themeColor="text1"/>
        </w:rPr>
        <w:t>określone w art. 180 § 2 k.p.k.</w:t>
      </w:r>
    </w:p>
    <w:p w14:paraId="6F221611" w14:textId="77777777" w:rsidR="00555DFF" w:rsidRPr="00892F24" w:rsidRDefault="00555DFF" w:rsidP="00555DFF">
      <w:pPr>
        <w:pStyle w:val="Akapitzlist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W przepisie art. 20ca ust. 3 dla lepszego ujęcia językowego tego przepisu należy  przenieść końcowy fragment na początek i nadać mu brzmienie: „W terminie 14 dni od dnia złożenia wniosku przez prokuratora sąd okręgowy wydaje postanowienie o stwierdzeniu dopuszczalności wykorzystania w postępowaniu karnym materiałów z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wierających dane, o których mowa w ust. 1 albo zarządza ich komisyjne i protokola</w:t>
      </w:r>
      <w:r w:rsidRPr="00892F24">
        <w:rPr>
          <w:rFonts w:ascii="Times New Roman" w:hAnsi="Times New Roman" w:cs="Times New Roman"/>
          <w:color w:val="000000" w:themeColor="text1"/>
        </w:rPr>
        <w:t>r</w:t>
      </w:r>
      <w:r w:rsidRPr="00892F24">
        <w:rPr>
          <w:rFonts w:ascii="Times New Roman" w:hAnsi="Times New Roman" w:cs="Times New Roman"/>
          <w:color w:val="000000" w:themeColor="text1"/>
        </w:rPr>
        <w:t>ne zniszczenie.”</w:t>
      </w:r>
    </w:p>
    <w:p w14:paraId="486364BF" w14:textId="0A1668F7" w:rsidR="0035460E" w:rsidRPr="00892F24" w:rsidRDefault="00555DFF" w:rsidP="00155B47">
      <w:pPr>
        <w:pStyle w:val="Akapitzlist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Przepis art. 20cb ust. 3 przewiduje wymóg wystąpienia do sądu z wnioskiem o wyr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żenie zgody na pozyskanie danych jednocześnie z wystąpieniem w wypadkach ni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t>cierpiących zwłoki do odpowiedniego podmiotu o przekazanie danych telekomunik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 xml:space="preserve">cyjnych lub danych pocztowych. Ze względów gwarancyjnych powinien on również </w:t>
      </w:r>
      <w:r w:rsidRPr="00892F24">
        <w:rPr>
          <w:rFonts w:ascii="Times New Roman" w:hAnsi="Times New Roman" w:cs="Times New Roman"/>
          <w:color w:val="000000" w:themeColor="text1"/>
        </w:rPr>
        <w:lastRenderedPageBreak/>
        <w:t>przewidywać sankcję uchybienia temu terminowi w postaci niedopuszczalności wyk</w:t>
      </w:r>
      <w:r w:rsidRPr="00892F24">
        <w:rPr>
          <w:rFonts w:ascii="Times New Roman" w:hAnsi="Times New Roman" w:cs="Times New Roman"/>
          <w:color w:val="000000" w:themeColor="text1"/>
        </w:rPr>
        <w:t>o</w:t>
      </w:r>
      <w:r w:rsidRPr="00892F24">
        <w:rPr>
          <w:rFonts w:ascii="Times New Roman" w:hAnsi="Times New Roman" w:cs="Times New Roman"/>
          <w:color w:val="000000" w:themeColor="text1"/>
        </w:rPr>
        <w:t xml:space="preserve">rzystania tych danych </w:t>
      </w:r>
      <w:r w:rsidR="00A54537" w:rsidRPr="00892F24">
        <w:rPr>
          <w:rFonts w:ascii="Times New Roman" w:hAnsi="Times New Roman" w:cs="Times New Roman"/>
          <w:color w:val="000000" w:themeColor="text1"/>
        </w:rPr>
        <w:t>i obowiązku ich zniszczenia</w:t>
      </w:r>
      <w:r w:rsidR="00D1782F" w:rsidRPr="00892F24">
        <w:rPr>
          <w:rFonts w:ascii="Times New Roman" w:hAnsi="Times New Roman" w:cs="Times New Roman"/>
          <w:color w:val="000000" w:themeColor="text1"/>
        </w:rPr>
        <w:t xml:space="preserve">. Można to </w:t>
      </w:r>
      <w:r w:rsidR="00CF6F71" w:rsidRPr="00892F24">
        <w:rPr>
          <w:rFonts w:ascii="Times New Roman" w:hAnsi="Times New Roman" w:cs="Times New Roman"/>
          <w:color w:val="000000" w:themeColor="text1"/>
        </w:rPr>
        <w:t>wprowadzić poprzez rozciągnięcie na tę sytuację przepisu art. 20cb ust. 5</w:t>
      </w:r>
      <w:r w:rsidR="00A54537" w:rsidRPr="00892F24">
        <w:rPr>
          <w:rFonts w:ascii="Times New Roman" w:hAnsi="Times New Roman" w:cs="Times New Roman"/>
          <w:color w:val="000000" w:themeColor="text1"/>
        </w:rPr>
        <w:t>.</w:t>
      </w:r>
    </w:p>
    <w:p w14:paraId="24216EE3" w14:textId="2CE611DE" w:rsidR="00A54537" w:rsidRPr="00892F24" w:rsidRDefault="00A54537" w:rsidP="00155B47">
      <w:pPr>
        <w:pStyle w:val="Akapitzlist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Przepis art. 20cb ust. 5 w sposób niepełny wskazuje sytuacje, kiedy należy zniszczyć uzyskane dane lub poinformować właściwy podmiot o braku zgody na ich przekaz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nie, gdyż wskazuje obejmuje sytuację, gdy nie zostało uwzględnione zażalenie Policji na decyzję sądu odmawiającą uwzględnienia wniosku złożonego w sytuacji niecie</w:t>
      </w:r>
      <w:r w:rsidRPr="00892F24">
        <w:rPr>
          <w:rFonts w:ascii="Times New Roman" w:hAnsi="Times New Roman" w:cs="Times New Roman"/>
          <w:color w:val="000000" w:themeColor="text1"/>
        </w:rPr>
        <w:t>r</w:t>
      </w:r>
      <w:r w:rsidRPr="00892F24">
        <w:rPr>
          <w:rFonts w:ascii="Times New Roman" w:hAnsi="Times New Roman" w:cs="Times New Roman"/>
          <w:color w:val="000000" w:themeColor="text1"/>
        </w:rPr>
        <w:t>piącej zwłoki. Tymczasem oczywistym jest, że tak samo powinna również przedst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 xml:space="preserve">wiać się konsekwencja wydania przez sąd postanowienia o odmowie uwzględnienia wniosku, gdy Policja zażalenia </w:t>
      </w:r>
      <w:r w:rsidR="00D1782F" w:rsidRPr="00892F24">
        <w:rPr>
          <w:rFonts w:ascii="Times New Roman" w:hAnsi="Times New Roman" w:cs="Times New Roman"/>
          <w:color w:val="000000" w:themeColor="text1"/>
        </w:rPr>
        <w:t xml:space="preserve">na decyzję odmowną </w:t>
      </w:r>
      <w:r w:rsidRPr="00892F24">
        <w:rPr>
          <w:rFonts w:ascii="Times New Roman" w:hAnsi="Times New Roman" w:cs="Times New Roman"/>
          <w:color w:val="000000" w:themeColor="text1"/>
        </w:rPr>
        <w:t>nie wniosła</w:t>
      </w:r>
      <w:r w:rsidR="00D1782F" w:rsidRPr="00892F24">
        <w:rPr>
          <w:rFonts w:ascii="Times New Roman" w:hAnsi="Times New Roman" w:cs="Times New Roman"/>
          <w:color w:val="000000" w:themeColor="text1"/>
        </w:rPr>
        <w:t>, gdyż nie ma prz</w:t>
      </w:r>
      <w:r w:rsidR="00D1782F" w:rsidRPr="00892F24">
        <w:rPr>
          <w:rFonts w:ascii="Times New Roman" w:hAnsi="Times New Roman" w:cs="Times New Roman"/>
          <w:color w:val="000000" w:themeColor="text1"/>
        </w:rPr>
        <w:t>e</w:t>
      </w:r>
      <w:r w:rsidR="00D1782F" w:rsidRPr="00892F24">
        <w:rPr>
          <w:rFonts w:ascii="Times New Roman" w:hAnsi="Times New Roman" w:cs="Times New Roman"/>
          <w:color w:val="000000" w:themeColor="text1"/>
        </w:rPr>
        <w:t>cież takiego obowiązku</w:t>
      </w:r>
      <w:r w:rsidRPr="00892F24">
        <w:rPr>
          <w:rFonts w:ascii="Times New Roman" w:hAnsi="Times New Roman" w:cs="Times New Roman"/>
          <w:color w:val="000000" w:themeColor="text1"/>
        </w:rPr>
        <w:t>.</w:t>
      </w:r>
    </w:p>
    <w:p w14:paraId="3C47F3D1" w14:textId="5A5280BD" w:rsidR="00332D7C" w:rsidRPr="00892F24" w:rsidRDefault="00A54537" w:rsidP="00D1782F">
      <w:pPr>
        <w:pStyle w:val="Akapitzlist"/>
        <w:numPr>
          <w:ilvl w:val="0"/>
          <w:numId w:val="9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Przepis art. 20cb ust. 6 powinien przewidywać obowiązek zniszczenia uzyskanych d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nych nie tylko, gdy nie zawierają one informacji mających znaczenie dla postępow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 xml:space="preserve">nia karnego, ale również wtedy, gdy zawierają one informacje, których wykorzystanie jest niedopuszczalne z uwagi na bezwarunkowe zakazy dowodowe określone w art. 178 pkt 1, art. 178a i art. 180 § 3 w zw. z art. 180 § 4 </w:t>
      </w:r>
      <w:r w:rsidRPr="00892F24">
        <w:rPr>
          <w:rFonts w:ascii="Times New Roman" w:hAnsi="Times New Roman" w:cs="Times New Roman"/>
          <w:i/>
          <w:color w:val="000000" w:themeColor="text1"/>
        </w:rPr>
        <w:t xml:space="preserve">a contrario </w:t>
      </w:r>
      <w:r w:rsidRPr="00892F24">
        <w:rPr>
          <w:rFonts w:ascii="Times New Roman" w:hAnsi="Times New Roman" w:cs="Times New Roman"/>
          <w:color w:val="000000" w:themeColor="text1"/>
        </w:rPr>
        <w:t xml:space="preserve">k.p.k. </w:t>
      </w:r>
      <w:r w:rsidR="00D1782F" w:rsidRPr="00892F24">
        <w:rPr>
          <w:rFonts w:ascii="Times New Roman" w:hAnsi="Times New Roman" w:cs="Times New Roman"/>
          <w:color w:val="000000" w:themeColor="text1"/>
        </w:rPr>
        <w:t>Jest bowiem możliwe, że sąd wyrazi na podstawie art. 20cb ust. 1 zgodę na uzyskanie tych danych wobec adwokata, mediatora i dziennikarza, jednak następnie okaże się, że dane te z</w:t>
      </w:r>
      <w:r w:rsidR="00D1782F" w:rsidRPr="00892F24">
        <w:rPr>
          <w:rFonts w:ascii="Times New Roman" w:hAnsi="Times New Roman" w:cs="Times New Roman"/>
          <w:color w:val="000000" w:themeColor="text1"/>
        </w:rPr>
        <w:t>a</w:t>
      </w:r>
      <w:r w:rsidR="00D1782F" w:rsidRPr="00892F24">
        <w:rPr>
          <w:rFonts w:ascii="Times New Roman" w:hAnsi="Times New Roman" w:cs="Times New Roman"/>
          <w:color w:val="000000" w:themeColor="text1"/>
        </w:rPr>
        <w:t>wierają informacje, na które rozciąga się bezwarunkowy zakaz dowodowy. W takim przypadku ich wykorzystanie jest niedopuszczalne, a zatem powinny one zostać znis</w:t>
      </w:r>
      <w:r w:rsidR="00D1782F" w:rsidRPr="00892F24">
        <w:rPr>
          <w:rFonts w:ascii="Times New Roman" w:hAnsi="Times New Roman" w:cs="Times New Roman"/>
          <w:color w:val="000000" w:themeColor="text1"/>
        </w:rPr>
        <w:t>z</w:t>
      </w:r>
      <w:r w:rsidR="00D1782F" w:rsidRPr="00892F24">
        <w:rPr>
          <w:rFonts w:ascii="Times New Roman" w:hAnsi="Times New Roman" w:cs="Times New Roman"/>
          <w:color w:val="000000" w:themeColor="text1"/>
        </w:rPr>
        <w:t xml:space="preserve">czone. </w:t>
      </w:r>
    </w:p>
    <w:p w14:paraId="5596B6A9" w14:textId="77777777" w:rsidR="00CD2F94" w:rsidRPr="00892F24" w:rsidRDefault="00CD2F94" w:rsidP="00CD2F94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7A92EDC" w14:textId="105C68A4" w:rsidR="00024E24" w:rsidRPr="00892F24" w:rsidRDefault="00024E24" w:rsidP="005F20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>Pozostałe uwagi</w:t>
      </w:r>
    </w:p>
    <w:p w14:paraId="663F504E" w14:textId="180BB1CF" w:rsidR="00024E24" w:rsidRPr="00892F24" w:rsidRDefault="00024E24" w:rsidP="00024E2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Komisja Kodyfikacyjna uznała za uzasadnione zwrócenie uwagi na rozwiązanie z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proponowane w art. 20cc ustawy o Policji (oraz analogicznie w pozostałych ustawach obj</w:t>
      </w:r>
      <w:r w:rsidRPr="00892F24">
        <w:rPr>
          <w:rFonts w:ascii="Times New Roman" w:hAnsi="Times New Roman" w:cs="Times New Roman"/>
          <w:color w:val="000000" w:themeColor="text1"/>
        </w:rPr>
        <w:t>ę</w:t>
      </w:r>
      <w:r w:rsidRPr="00892F24">
        <w:rPr>
          <w:rFonts w:ascii="Times New Roman" w:hAnsi="Times New Roman" w:cs="Times New Roman"/>
          <w:color w:val="000000" w:themeColor="text1"/>
        </w:rPr>
        <w:t>tych projektem), przewidujące mechanizm kontroli nad pozyskiwaniem danych telekomun</w:t>
      </w:r>
      <w:r w:rsidRPr="00892F24">
        <w:rPr>
          <w:rFonts w:ascii="Times New Roman" w:hAnsi="Times New Roman" w:cs="Times New Roman"/>
          <w:color w:val="000000" w:themeColor="text1"/>
        </w:rPr>
        <w:t>i</w:t>
      </w:r>
      <w:r w:rsidRPr="00892F24">
        <w:rPr>
          <w:rFonts w:ascii="Times New Roman" w:hAnsi="Times New Roman" w:cs="Times New Roman"/>
          <w:color w:val="000000" w:themeColor="text1"/>
        </w:rPr>
        <w:t>kacyjnych i pocztowych. Proponuje się w nim, aby mechanizm ten polegał na okresowym (co 6 miesięcy) przekazywaniu do sądów okręgowych (lub SO w Warszawie) zbiorczych danych dotyczących liczby wniosków i pozyskanych danych wraz z informacją o rodzajach prz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t>stępstw, w związku z którymi pozyskiwano dane. Rodzi to zasadnicze wątpliwości. Po pier</w:t>
      </w:r>
      <w:r w:rsidRPr="00892F24">
        <w:rPr>
          <w:rFonts w:ascii="Times New Roman" w:hAnsi="Times New Roman" w:cs="Times New Roman"/>
          <w:color w:val="000000" w:themeColor="text1"/>
        </w:rPr>
        <w:t>w</w:t>
      </w:r>
      <w:r w:rsidRPr="00892F24">
        <w:rPr>
          <w:rFonts w:ascii="Times New Roman" w:hAnsi="Times New Roman" w:cs="Times New Roman"/>
          <w:color w:val="000000" w:themeColor="text1"/>
        </w:rPr>
        <w:t>sze, dane te będą „rozczłonkowane” między poszczególne sądu okręgowe, co będzie utru</w:t>
      </w:r>
      <w:r w:rsidRPr="00892F24">
        <w:rPr>
          <w:rFonts w:ascii="Times New Roman" w:hAnsi="Times New Roman" w:cs="Times New Roman"/>
          <w:color w:val="000000" w:themeColor="text1"/>
        </w:rPr>
        <w:t>d</w:t>
      </w:r>
      <w:r w:rsidRPr="00892F24">
        <w:rPr>
          <w:rFonts w:ascii="Times New Roman" w:hAnsi="Times New Roman" w:cs="Times New Roman"/>
          <w:color w:val="000000" w:themeColor="text1"/>
        </w:rPr>
        <w:t>niało całościowe spojrzenie na zakres wykorzystywania kompetencji do gromadzenia prze</w:t>
      </w:r>
      <w:r w:rsidRPr="00892F24">
        <w:rPr>
          <w:rFonts w:ascii="Times New Roman" w:hAnsi="Times New Roman" w:cs="Times New Roman"/>
          <w:color w:val="000000" w:themeColor="text1"/>
        </w:rPr>
        <w:t>d</w:t>
      </w:r>
      <w:r w:rsidRPr="00892F24">
        <w:rPr>
          <w:rFonts w:ascii="Times New Roman" w:hAnsi="Times New Roman" w:cs="Times New Roman"/>
          <w:color w:val="000000" w:themeColor="text1"/>
        </w:rPr>
        <w:t>miotowych danych przez Policję i inne służby. Po drugie, zakres tych informacji będzie p</w:t>
      </w:r>
      <w:r w:rsidRPr="00892F24">
        <w:rPr>
          <w:rFonts w:ascii="Times New Roman" w:hAnsi="Times New Roman" w:cs="Times New Roman"/>
          <w:color w:val="000000" w:themeColor="text1"/>
        </w:rPr>
        <w:t>o</w:t>
      </w:r>
      <w:r w:rsidRPr="00892F24">
        <w:rPr>
          <w:rFonts w:ascii="Times New Roman" w:hAnsi="Times New Roman" w:cs="Times New Roman"/>
          <w:color w:val="000000" w:themeColor="text1"/>
        </w:rPr>
        <w:t>zwalał sądowi na stwierdzenie nieprawidłowości polegających jedynie na żądaniu danych t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lastRenderedPageBreak/>
        <w:t>lekomunikacyjnych poza zakresem przyznanych danym służbom kompetencji (w sprawach o przestępstwa, w których służba nie miała uprawnienia do żądania danych). Co prawda w ust. 3 tego przepisu przewidziano możliwość zapoznania się przez sąd z materiałami uzasadniaj</w:t>
      </w:r>
      <w:r w:rsidRPr="00892F24">
        <w:rPr>
          <w:rFonts w:ascii="Times New Roman" w:hAnsi="Times New Roman" w:cs="Times New Roman"/>
          <w:color w:val="000000" w:themeColor="text1"/>
        </w:rPr>
        <w:t>ą</w:t>
      </w:r>
      <w:r w:rsidRPr="00892F24">
        <w:rPr>
          <w:rFonts w:ascii="Times New Roman" w:hAnsi="Times New Roman" w:cs="Times New Roman"/>
          <w:color w:val="000000" w:themeColor="text1"/>
        </w:rPr>
        <w:t>cymi i uzyskanymi, ale po pierwsze, nie ma ani obowiązku sądu przeprowadzenia takiego b</w:t>
      </w:r>
      <w:r w:rsidRPr="00892F24">
        <w:rPr>
          <w:rFonts w:ascii="Times New Roman" w:hAnsi="Times New Roman" w:cs="Times New Roman"/>
          <w:color w:val="000000" w:themeColor="text1"/>
        </w:rPr>
        <w:t>a</w:t>
      </w:r>
      <w:r w:rsidRPr="00892F24">
        <w:rPr>
          <w:rFonts w:ascii="Times New Roman" w:hAnsi="Times New Roman" w:cs="Times New Roman"/>
          <w:color w:val="000000" w:themeColor="text1"/>
        </w:rPr>
        <w:t>dania, ani wytycznych, kiedy sąd miałby to robić, a wobec liczby wniosków, tego typu ko</w:t>
      </w:r>
      <w:r w:rsidRPr="00892F24">
        <w:rPr>
          <w:rFonts w:ascii="Times New Roman" w:hAnsi="Times New Roman" w:cs="Times New Roman"/>
          <w:color w:val="000000" w:themeColor="text1"/>
        </w:rPr>
        <w:t>n</w:t>
      </w:r>
      <w:r w:rsidRPr="00892F24">
        <w:rPr>
          <w:rFonts w:ascii="Times New Roman" w:hAnsi="Times New Roman" w:cs="Times New Roman"/>
          <w:color w:val="000000" w:themeColor="text1"/>
        </w:rPr>
        <w:t>trola była bardzo wybiórcza i przypadkowa. Czyni to cały mechanizm kontroli iluzorycznym. Tymczasem, jak wynika z pkt 10.4.4 uzasadnienia wyroku w sprawie K 23/11, Trybunałowi Konstytucyjnemu chodziło o całkowicie odmienny mechanizm kontroli. Wskazał on też w</w:t>
      </w:r>
      <w:r w:rsidRPr="00892F24">
        <w:rPr>
          <w:rFonts w:ascii="Times New Roman" w:hAnsi="Times New Roman" w:cs="Times New Roman"/>
          <w:color w:val="000000" w:themeColor="text1"/>
        </w:rPr>
        <w:t>y</w:t>
      </w:r>
      <w:r w:rsidRPr="00892F24">
        <w:rPr>
          <w:rFonts w:ascii="Times New Roman" w:hAnsi="Times New Roman" w:cs="Times New Roman"/>
          <w:color w:val="000000" w:themeColor="text1"/>
        </w:rPr>
        <w:t xml:space="preserve">raźnie, że kontrola ta nie musi być sprawowana przez sądy. </w:t>
      </w:r>
    </w:p>
    <w:p w14:paraId="1E21BD0D" w14:textId="5D2981FA" w:rsidR="00B0088C" w:rsidRPr="00892F24" w:rsidRDefault="00B0088C" w:rsidP="00024E2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Wydaje się również, że treść art. 14 projektu ustawy została ujęta w sposób zbyt sz</w:t>
      </w:r>
      <w:r w:rsidRPr="00892F24">
        <w:rPr>
          <w:rFonts w:ascii="Times New Roman" w:hAnsi="Times New Roman" w:cs="Times New Roman"/>
          <w:color w:val="000000" w:themeColor="text1"/>
        </w:rPr>
        <w:t>e</w:t>
      </w:r>
      <w:r w:rsidRPr="00892F24">
        <w:rPr>
          <w:rFonts w:ascii="Times New Roman" w:hAnsi="Times New Roman" w:cs="Times New Roman"/>
          <w:color w:val="000000" w:themeColor="text1"/>
        </w:rPr>
        <w:t xml:space="preserve">roki, gdyż wynika z niego nakaz zniszczenia wszystkich materiałów zgromadzonych podczas stosowania kontroli operacyjnej przed dniem wejścia w życie ustaw, a więc również takich, które zostały uzyskane w wyniku kontroli operacyjnej przeprowadzonej w sposób zgodny z ustawą i </w:t>
      </w:r>
      <w:r w:rsidR="008C6F5F" w:rsidRPr="00892F24">
        <w:rPr>
          <w:rFonts w:ascii="Times New Roman" w:hAnsi="Times New Roman" w:cs="Times New Roman"/>
          <w:color w:val="000000" w:themeColor="text1"/>
        </w:rPr>
        <w:t xml:space="preserve">których wykorzystanie ma </w:t>
      </w:r>
      <w:r w:rsidRPr="00892F24">
        <w:rPr>
          <w:rFonts w:ascii="Times New Roman" w:hAnsi="Times New Roman" w:cs="Times New Roman"/>
          <w:color w:val="000000" w:themeColor="text1"/>
        </w:rPr>
        <w:t xml:space="preserve">oparcie w odpowiedniej decyzji sądu. Wydaje się, że nie o taką konsekwencję </w:t>
      </w:r>
      <w:r w:rsidR="008C6F5F" w:rsidRPr="00892F24">
        <w:rPr>
          <w:rFonts w:ascii="Times New Roman" w:hAnsi="Times New Roman" w:cs="Times New Roman"/>
          <w:color w:val="000000" w:themeColor="text1"/>
        </w:rPr>
        <w:t xml:space="preserve">powinno tu chodzić, a zwłaszcza stwarza to istotne niebezpieczeństwo dla ciągłości </w:t>
      </w:r>
      <w:r w:rsidR="00864C3B" w:rsidRPr="00892F24">
        <w:rPr>
          <w:rFonts w:ascii="Times New Roman" w:hAnsi="Times New Roman" w:cs="Times New Roman"/>
          <w:color w:val="000000" w:themeColor="text1"/>
        </w:rPr>
        <w:t xml:space="preserve">prowadzonej przez poszczególne służby </w:t>
      </w:r>
      <w:r w:rsidR="008C6F5F" w:rsidRPr="00892F24">
        <w:rPr>
          <w:rFonts w:ascii="Times New Roman" w:hAnsi="Times New Roman" w:cs="Times New Roman"/>
          <w:color w:val="000000" w:themeColor="text1"/>
        </w:rPr>
        <w:t>kontroli operacyjnej.</w:t>
      </w:r>
    </w:p>
    <w:p w14:paraId="44271F8A" w14:textId="77777777" w:rsidR="00024E24" w:rsidRPr="00892F24" w:rsidRDefault="00024E24" w:rsidP="00024E2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422D0F4" w14:textId="6594D721" w:rsidR="00CC2D5B" w:rsidRPr="00892F24" w:rsidRDefault="00CD2F94" w:rsidP="005F204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92F24">
        <w:rPr>
          <w:rFonts w:ascii="Times New Roman" w:hAnsi="Times New Roman" w:cs="Times New Roman"/>
          <w:b/>
          <w:color w:val="000000" w:themeColor="text1"/>
        </w:rPr>
        <w:t>Wnios</w:t>
      </w:r>
      <w:r w:rsidR="00CC2D5B" w:rsidRPr="00892F24">
        <w:rPr>
          <w:rFonts w:ascii="Times New Roman" w:hAnsi="Times New Roman" w:cs="Times New Roman"/>
          <w:b/>
          <w:color w:val="000000" w:themeColor="text1"/>
        </w:rPr>
        <w:t>k</w:t>
      </w:r>
      <w:r w:rsidRPr="00892F24">
        <w:rPr>
          <w:rFonts w:ascii="Times New Roman" w:hAnsi="Times New Roman" w:cs="Times New Roman"/>
          <w:b/>
          <w:color w:val="000000" w:themeColor="text1"/>
        </w:rPr>
        <w:t>i</w:t>
      </w:r>
    </w:p>
    <w:p w14:paraId="4254C86F" w14:textId="11907629" w:rsidR="00A661B1" w:rsidRPr="00892F24" w:rsidRDefault="00D1782F" w:rsidP="00D1782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92F24">
        <w:rPr>
          <w:rFonts w:ascii="Times New Roman" w:hAnsi="Times New Roman" w:cs="Times New Roman"/>
          <w:color w:val="000000" w:themeColor="text1"/>
        </w:rPr>
        <w:t>Propozycje zawarte w opiniowanym projekcie ustawy dotyczące wprowadzania do postępowania karnego materiałów stanowiących tajemnice związane z wykonywaniem zaw</w:t>
      </w:r>
      <w:r w:rsidRPr="00892F24">
        <w:rPr>
          <w:rFonts w:ascii="Times New Roman" w:hAnsi="Times New Roman" w:cs="Times New Roman"/>
          <w:color w:val="000000" w:themeColor="text1"/>
        </w:rPr>
        <w:t>o</w:t>
      </w:r>
      <w:r w:rsidRPr="00892F24">
        <w:rPr>
          <w:rFonts w:ascii="Times New Roman" w:hAnsi="Times New Roman" w:cs="Times New Roman"/>
          <w:color w:val="000000" w:themeColor="text1"/>
        </w:rPr>
        <w:t xml:space="preserve">du i funkcji z art. 180 § 2 k.p.k., uzyskanych w ramach czynności operacyjno-rozpoznawczych </w:t>
      </w:r>
      <w:r w:rsidR="00132948" w:rsidRPr="00892F24">
        <w:rPr>
          <w:rFonts w:ascii="Times New Roman" w:hAnsi="Times New Roman" w:cs="Times New Roman"/>
          <w:color w:val="000000" w:themeColor="text1"/>
        </w:rPr>
        <w:t>w przeważającym zakresie</w:t>
      </w:r>
      <w:r w:rsidRPr="00892F24">
        <w:rPr>
          <w:rFonts w:ascii="Times New Roman" w:hAnsi="Times New Roman" w:cs="Times New Roman"/>
          <w:color w:val="000000" w:themeColor="text1"/>
        </w:rPr>
        <w:t xml:space="preserve"> realizują standard konstytucyjny nakreślony przez Trybunał Konstytucyjny w wyroku z dnia 30 lipca 2014 r., K 23/11, jednak wymagają szeregu szczegółowych poprawek wskazanych w treści opinii</w:t>
      </w:r>
      <w:r w:rsidR="00945D19" w:rsidRPr="00892F24">
        <w:rPr>
          <w:rFonts w:ascii="Times New Roman" w:hAnsi="Times New Roman" w:cs="Times New Roman"/>
          <w:color w:val="000000" w:themeColor="text1"/>
        </w:rPr>
        <w:t xml:space="preserve">, tak aby wskazany standard konstytucyjny zrealizowany był w </w:t>
      </w:r>
      <w:r w:rsidR="00132948" w:rsidRPr="00892F24">
        <w:rPr>
          <w:rFonts w:ascii="Times New Roman" w:hAnsi="Times New Roman" w:cs="Times New Roman"/>
          <w:color w:val="000000" w:themeColor="text1"/>
        </w:rPr>
        <w:t>sposób pełny</w:t>
      </w:r>
      <w:r w:rsidRPr="00892F24">
        <w:rPr>
          <w:rFonts w:ascii="Times New Roman" w:hAnsi="Times New Roman" w:cs="Times New Roman"/>
          <w:color w:val="000000" w:themeColor="text1"/>
        </w:rPr>
        <w:t>.</w:t>
      </w:r>
      <w:r w:rsidR="00945D19" w:rsidRPr="00892F24">
        <w:rPr>
          <w:rFonts w:ascii="Times New Roman" w:hAnsi="Times New Roman" w:cs="Times New Roman"/>
          <w:color w:val="000000" w:themeColor="text1"/>
        </w:rPr>
        <w:t xml:space="preserve"> Dotyczy to zwłaszcza potrzeby </w:t>
      </w:r>
      <w:r w:rsidR="008566BD" w:rsidRPr="00892F24">
        <w:rPr>
          <w:rFonts w:ascii="Times New Roman" w:hAnsi="Times New Roman" w:cs="Times New Roman"/>
          <w:color w:val="000000" w:themeColor="text1"/>
        </w:rPr>
        <w:t xml:space="preserve">wyraźnego </w:t>
      </w:r>
      <w:r w:rsidR="00945D19" w:rsidRPr="00892F24">
        <w:rPr>
          <w:rFonts w:ascii="Times New Roman" w:hAnsi="Times New Roman" w:cs="Times New Roman"/>
          <w:color w:val="000000" w:themeColor="text1"/>
        </w:rPr>
        <w:t xml:space="preserve">uregulowania przesłanek wykorzystania </w:t>
      </w:r>
      <w:r w:rsidR="008566BD" w:rsidRPr="00892F24">
        <w:rPr>
          <w:rFonts w:ascii="Times New Roman" w:hAnsi="Times New Roman" w:cs="Times New Roman"/>
          <w:color w:val="000000" w:themeColor="text1"/>
        </w:rPr>
        <w:t xml:space="preserve">w postępowaniu karnym </w:t>
      </w:r>
      <w:r w:rsidR="00945D19" w:rsidRPr="00892F24">
        <w:rPr>
          <w:rFonts w:ascii="Times New Roman" w:hAnsi="Times New Roman" w:cs="Times New Roman"/>
          <w:color w:val="000000" w:themeColor="text1"/>
        </w:rPr>
        <w:t>materiałów zawierających informacje stanowiące tajemnicę zawodową i funkcyjną</w:t>
      </w:r>
      <w:r w:rsidR="008566BD" w:rsidRPr="00892F24">
        <w:rPr>
          <w:rFonts w:ascii="Times New Roman" w:hAnsi="Times New Roman" w:cs="Times New Roman"/>
          <w:color w:val="000000" w:themeColor="text1"/>
        </w:rPr>
        <w:t xml:space="preserve"> uzyskanych w wyniku kontroli op</w:t>
      </w:r>
      <w:r w:rsidR="008566BD" w:rsidRPr="00892F24">
        <w:rPr>
          <w:rFonts w:ascii="Times New Roman" w:hAnsi="Times New Roman" w:cs="Times New Roman"/>
          <w:color w:val="000000" w:themeColor="text1"/>
        </w:rPr>
        <w:t>e</w:t>
      </w:r>
      <w:r w:rsidR="008566BD" w:rsidRPr="00892F24">
        <w:rPr>
          <w:rFonts w:ascii="Times New Roman" w:hAnsi="Times New Roman" w:cs="Times New Roman"/>
          <w:color w:val="000000" w:themeColor="text1"/>
        </w:rPr>
        <w:t>racyjnej</w:t>
      </w:r>
      <w:r w:rsidR="00945D19" w:rsidRPr="00892F24">
        <w:rPr>
          <w:rFonts w:ascii="Times New Roman" w:hAnsi="Times New Roman" w:cs="Times New Roman"/>
          <w:color w:val="000000" w:themeColor="text1"/>
        </w:rPr>
        <w:t>.</w:t>
      </w:r>
    </w:p>
    <w:p w14:paraId="4202632C" w14:textId="77777777" w:rsidR="00D1782F" w:rsidRPr="00892F24" w:rsidRDefault="00D1782F" w:rsidP="00D1782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0578445" w14:textId="77777777" w:rsidR="0035600C" w:rsidRPr="00892F24" w:rsidRDefault="0035600C" w:rsidP="00786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99A3266" w14:textId="77777777" w:rsidR="00A661B1" w:rsidRPr="00892F24" w:rsidRDefault="00A661B1" w:rsidP="00786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9A0BA7" w14:textId="77E47A45" w:rsidR="00786AC2" w:rsidRPr="00892F24" w:rsidRDefault="00A661B1" w:rsidP="00786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2F24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786AC2" w:rsidRPr="00892F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pracował: </w:t>
      </w:r>
    </w:p>
    <w:p w14:paraId="2DBDC2BC" w14:textId="77777777" w:rsidR="00786AC2" w:rsidRPr="00892F24" w:rsidRDefault="00786AC2" w:rsidP="00786AC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2F24">
        <w:rPr>
          <w:rFonts w:ascii="Times New Roman" w:hAnsi="Times New Roman" w:cs="Times New Roman"/>
          <w:color w:val="000000" w:themeColor="text1"/>
          <w:sz w:val="20"/>
          <w:szCs w:val="20"/>
        </w:rPr>
        <w:t>Sławomir Steinborn</w:t>
      </w:r>
    </w:p>
    <w:p w14:paraId="77B97A69" w14:textId="77777777" w:rsidR="00786AC2" w:rsidRPr="00892F24" w:rsidRDefault="00786AC2" w:rsidP="005F2049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786AC2" w:rsidRPr="00892F24" w:rsidSect="00832D98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67339" w14:textId="77777777" w:rsidR="00DC0D2F" w:rsidRDefault="00DC0D2F" w:rsidP="00E343F8">
      <w:r>
        <w:separator/>
      </w:r>
    </w:p>
  </w:endnote>
  <w:endnote w:type="continuationSeparator" w:id="0">
    <w:p w14:paraId="5B95DA59" w14:textId="77777777" w:rsidR="00DC0D2F" w:rsidRDefault="00DC0D2F" w:rsidP="00E3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743A9" w14:textId="77777777" w:rsidR="00B270E4" w:rsidRDefault="00B270E4" w:rsidP="00E34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B563A" w14:textId="77777777" w:rsidR="00B270E4" w:rsidRDefault="00B270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B31D" w14:textId="77777777" w:rsidR="00B270E4" w:rsidRDefault="00B270E4" w:rsidP="00E34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358D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24C15447" w14:textId="77777777" w:rsidR="00B270E4" w:rsidRDefault="00B270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FBE14" w14:textId="77777777" w:rsidR="00DC0D2F" w:rsidRDefault="00DC0D2F" w:rsidP="00E343F8">
      <w:r>
        <w:separator/>
      </w:r>
    </w:p>
  </w:footnote>
  <w:footnote w:type="continuationSeparator" w:id="0">
    <w:p w14:paraId="266A8976" w14:textId="77777777" w:rsidR="00DC0D2F" w:rsidRDefault="00DC0D2F" w:rsidP="00E3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898"/>
    <w:multiLevelType w:val="multilevel"/>
    <w:tmpl w:val="0700C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765A4"/>
    <w:multiLevelType w:val="hybridMultilevel"/>
    <w:tmpl w:val="2B606844"/>
    <w:lvl w:ilvl="0" w:tplc="3662C25E">
      <w:start w:val="1"/>
      <w:numFmt w:val="decimal"/>
      <w:lvlText w:val="%1)"/>
      <w:lvlJc w:val="left"/>
      <w:pPr>
        <w:ind w:left="980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0515DE"/>
    <w:multiLevelType w:val="hybridMultilevel"/>
    <w:tmpl w:val="8EBEA4D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E6E17"/>
    <w:multiLevelType w:val="hybridMultilevel"/>
    <w:tmpl w:val="FAC85880"/>
    <w:lvl w:ilvl="0" w:tplc="22125C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F03BCC"/>
    <w:multiLevelType w:val="multilevel"/>
    <w:tmpl w:val="17CC3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51609"/>
    <w:multiLevelType w:val="hybridMultilevel"/>
    <w:tmpl w:val="B3C4F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315E8"/>
    <w:multiLevelType w:val="hybridMultilevel"/>
    <w:tmpl w:val="5670915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335A7"/>
    <w:multiLevelType w:val="hybridMultilevel"/>
    <w:tmpl w:val="290ACB24"/>
    <w:lvl w:ilvl="0" w:tplc="3662C25E">
      <w:start w:val="1"/>
      <w:numFmt w:val="decimal"/>
      <w:lvlText w:val="%1)"/>
      <w:lvlJc w:val="left"/>
      <w:pPr>
        <w:ind w:left="980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86CB9"/>
    <w:multiLevelType w:val="multilevel"/>
    <w:tmpl w:val="2B606844"/>
    <w:lvl w:ilvl="0">
      <w:start w:val="1"/>
      <w:numFmt w:val="decimal"/>
      <w:lvlText w:val="%1)"/>
      <w:lvlJc w:val="left"/>
      <w:pPr>
        <w:ind w:left="980" w:hanging="9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49"/>
    <w:rsid w:val="00024E24"/>
    <w:rsid w:val="0004519C"/>
    <w:rsid w:val="00065737"/>
    <w:rsid w:val="000D6D3A"/>
    <w:rsid w:val="00132948"/>
    <w:rsid w:val="001454D9"/>
    <w:rsid w:val="00155B47"/>
    <w:rsid w:val="00162AB0"/>
    <w:rsid w:val="001C1116"/>
    <w:rsid w:val="001E3E55"/>
    <w:rsid w:val="00281DFD"/>
    <w:rsid w:val="002B0972"/>
    <w:rsid w:val="002C5552"/>
    <w:rsid w:val="003025D0"/>
    <w:rsid w:val="00324EF7"/>
    <w:rsid w:val="00332D7C"/>
    <w:rsid w:val="0035460E"/>
    <w:rsid w:val="0035600C"/>
    <w:rsid w:val="003F74A3"/>
    <w:rsid w:val="0044269E"/>
    <w:rsid w:val="00465BB5"/>
    <w:rsid w:val="004A5B7F"/>
    <w:rsid w:val="00512F7E"/>
    <w:rsid w:val="0052358D"/>
    <w:rsid w:val="00524589"/>
    <w:rsid w:val="00542D60"/>
    <w:rsid w:val="00555DFF"/>
    <w:rsid w:val="005F2049"/>
    <w:rsid w:val="005F607A"/>
    <w:rsid w:val="00614691"/>
    <w:rsid w:val="00645722"/>
    <w:rsid w:val="006C13DE"/>
    <w:rsid w:val="006D3E8E"/>
    <w:rsid w:val="006D73D5"/>
    <w:rsid w:val="00740307"/>
    <w:rsid w:val="00740ECE"/>
    <w:rsid w:val="00784077"/>
    <w:rsid w:val="00786AC2"/>
    <w:rsid w:val="00810F0D"/>
    <w:rsid w:val="008318DA"/>
    <w:rsid w:val="00832D98"/>
    <w:rsid w:val="008566BD"/>
    <w:rsid w:val="00864C3B"/>
    <w:rsid w:val="008820D1"/>
    <w:rsid w:val="00892F24"/>
    <w:rsid w:val="008C6F5F"/>
    <w:rsid w:val="00933EF4"/>
    <w:rsid w:val="00945D19"/>
    <w:rsid w:val="0096429A"/>
    <w:rsid w:val="009A2100"/>
    <w:rsid w:val="009C09D6"/>
    <w:rsid w:val="00A54537"/>
    <w:rsid w:val="00A661B1"/>
    <w:rsid w:val="00A71935"/>
    <w:rsid w:val="00B0088C"/>
    <w:rsid w:val="00B270E4"/>
    <w:rsid w:val="00BA05F1"/>
    <w:rsid w:val="00BA12EF"/>
    <w:rsid w:val="00BE7C86"/>
    <w:rsid w:val="00C07594"/>
    <w:rsid w:val="00C4001D"/>
    <w:rsid w:val="00CC2D5B"/>
    <w:rsid w:val="00CD2F94"/>
    <w:rsid w:val="00CD4320"/>
    <w:rsid w:val="00CF6F71"/>
    <w:rsid w:val="00CF732E"/>
    <w:rsid w:val="00D1782F"/>
    <w:rsid w:val="00D7127B"/>
    <w:rsid w:val="00D77738"/>
    <w:rsid w:val="00DB5C02"/>
    <w:rsid w:val="00DC0D2F"/>
    <w:rsid w:val="00E343F8"/>
    <w:rsid w:val="00E555C9"/>
    <w:rsid w:val="00E75BEC"/>
    <w:rsid w:val="00E81F44"/>
    <w:rsid w:val="00E93067"/>
    <w:rsid w:val="00EA6528"/>
    <w:rsid w:val="00EB5C93"/>
    <w:rsid w:val="00EC4E84"/>
    <w:rsid w:val="00F00401"/>
    <w:rsid w:val="00F17280"/>
    <w:rsid w:val="00F20076"/>
    <w:rsid w:val="00F27206"/>
    <w:rsid w:val="00F44AB5"/>
    <w:rsid w:val="00F61EA3"/>
    <w:rsid w:val="00F81F35"/>
    <w:rsid w:val="00F902EC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7CB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F7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34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3F8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E34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F7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34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3F8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E3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36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54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5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06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53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1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2836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Steinborn</dc:creator>
  <cp:lastModifiedBy>Domachowska Milena  (BM)</cp:lastModifiedBy>
  <cp:revision>2</cp:revision>
  <cp:lastPrinted>2015-08-25T13:59:00Z</cp:lastPrinted>
  <dcterms:created xsi:type="dcterms:W3CDTF">2015-09-17T12:32:00Z</dcterms:created>
  <dcterms:modified xsi:type="dcterms:W3CDTF">2015-09-17T12:32:00Z</dcterms:modified>
</cp:coreProperties>
</file>