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7844" w:rsidRPr="00917844" w:rsidRDefault="00917844" w:rsidP="00917844">
      <w:pPr>
        <w:jc w:val="both"/>
        <w:rPr>
          <w:rFonts w:asciiTheme="minorHAnsi" w:hAnsiTheme="minorHAnsi" w:cstheme="minorHAnsi"/>
          <w:b/>
          <w:bCs/>
          <w:sz w:val="24"/>
          <w:szCs w:val="24"/>
          <w:lang w:val="pl-PL"/>
        </w:rPr>
      </w:pPr>
      <w:bookmarkStart w:id="0" w:name="_GoBack"/>
      <w:r w:rsidRPr="00917844">
        <w:rPr>
          <w:rFonts w:asciiTheme="minorHAnsi" w:hAnsiTheme="minorHAnsi" w:cstheme="minorHAnsi"/>
          <w:b/>
          <w:bCs/>
          <w:sz w:val="24"/>
          <w:szCs w:val="24"/>
          <w:lang w:val="pl-PL"/>
        </w:rPr>
        <w:t>Jak wyjść z potrzasku?</w:t>
      </w:r>
    </w:p>
    <w:p w:rsidR="00917844" w:rsidRPr="00917844" w:rsidRDefault="00917844" w:rsidP="00917844">
      <w:pPr>
        <w:jc w:val="both"/>
        <w:rPr>
          <w:rFonts w:asciiTheme="minorHAnsi" w:hAnsiTheme="minorHAnsi" w:cstheme="minorHAnsi"/>
          <w:sz w:val="24"/>
          <w:szCs w:val="24"/>
          <w:lang w:val="pl-PL"/>
        </w:rPr>
      </w:pPr>
      <w:r w:rsidRPr="00917844">
        <w:rPr>
          <w:rFonts w:asciiTheme="minorHAnsi" w:hAnsiTheme="minorHAnsi" w:cstheme="minorHAnsi"/>
          <w:sz w:val="24"/>
          <w:szCs w:val="24"/>
          <w:lang w:val="pl-PL"/>
        </w:rPr>
        <w:t>Polsko-litewska Rzeczpospolita Obojga Narodów znalazła się w połowie XVIII wieku w potrzasku, który trudno wytłumaczyć dziś obcokrajowcom. Ustrój tego państwa, zwany potocznie „złotą wolnością szlachecką”, oparty był na wolnej elekcji królów i zasadzie jednomyślności w Sejmie (</w:t>
      </w:r>
      <w:r w:rsidRPr="00917844">
        <w:rPr>
          <w:rFonts w:asciiTheme="minorHAnsi" w:hAnsiTheme="minorHAnsi" w:cstheme="minorHAnsi"/>
          <w:i/>
          <w:iCs/>
          <w:sz w:val="24"/>
          <w:szCs w:val="24"/>
          <w:lang w:val="pl-PL"/>
        </w:rPr>
        <w:t>liberum veto</w:t>
      </w:r>
      <w:r w:rsidRPr="00917844">
        <w:rPr>
          <w:rFonts w:asciiTheme="minorHAnsi" w:hAnsiTheme="minorHAnsi" w:cstheme="minorHAnsi"/>
          <w:sz w:val="24"/>
          <w:szCs w:val="24"/>
          <w:lang w:val="pl-PL"/>
        </w:rPr>
        <w:t xml:space="preserve">). System ten zakładał, że formalnie równi przedstawiciele szlachty wybierali najlepszego kandydata do tronu, a w kwestiach największej wagi musieli się zgodzić. Praktyka rządów w Rzeczypospolitej była jednak coraz dalsza od tego ideału, ponieważ morale szlacheckich obywateli, wysokie jeszcze w XVII wieku, stopniowo się pogarszało. Najbogatsi z nich, zwani magnatami, kupowali sobie głosy posłów, a nie mogąc uzgodnić kandydata z własnego grona, szukali pretendentów do warszawskiego tronu za granicą. Zasada </w:t>
      </w:r>
      <w:r w:rsidRPr="00917844">
        <w:rPr>
          <w:rFonts w:asciiTheme="minorHAnsi" w:hAnsiTheme="minorHAnsi" w:cstheme="minorHAnsi"/>
          <w:i/>
          <w:iCs/>
          <w:sz w:val="24"/>
          <w:szCs w:val="24"/>
          <w:lang w:val="pl-PL"/>
        </w:rPr>
        <w:t>liberum veto</w:t>
      </w:r>
      <w:r w:rsidRPr="00917844">
        <w:rPr>
          <w:rFonts w:asciiTheme="minorHAnsi" w:hAnsiTheme="minorHAnsi" w:cstheme="minorHAnsi"/>
          <w:sz w:val="24"/>
          <w:szCs w:val="24"/>
          <w:lang w:val="pl-PL"/>
        </w:rPr>
        <w:t>, słuszna w kwestiach takich jak racja stanu, została odniesiona do praktyki stanowienia praw. Istniała wprawdzie instytucja konfederacji, czyli przyjmowania ustaw większością głosów, ale na jej zastosowanie trzeba było zgody posłów. Powstało błędne koło paraliżu ustawodawczego. „Złota wolność szlachecka” była dumą szlachty, a jednocześnie świetnym instrumentem ingerencji mocarstw ościennych: Austrii, Prus i Rosji, które uzgadniały między sobą, kto ma panować w Rzeczypospolitej. Za panowania królów saskich, Augusta II i Augusta III, wybranych pod naciskiem tych mocarstw, powstały próby przeciwstawienia się ich woli, ale skutkiem tego były dwie wojny domowe, w których kandydat wspierany przez Szwecję i Francję, Stanisław Leszczyński, musiał uznać porażkę na polu bitwy i uchodzić z kraju. Sytuację pogarszało stacjonowanie na terenie Rzeczypospolitej wojsk rosyjskich, które nie opuściły jej terytorium po III wojnie północnej (1700–1721), a „sejm niemy” z 1717 roku ograniczył pod presją Rosji liczebność armii Rzeczypospolitej do 24 tysięcy żołnierzy.</w:t>
      </w:r>
    </w:p>
    <w:p w:rsidR="00917844" w:rsidRPr="00917844" w:rsidRDefault="00917844" w:rsidP="00917844">
      <w:pPr>
        <w:jc w:val="both"/>
        <w:rPr>
          <w:rFonts w:asciiTheme="minorHAnsi" w:hAnsiTheme="minorHAnsi" w:cstheme="minorHAnsi"/>
          <w:sz w:val="24"/>
          <w:szCs w:val="24"/>
          <w:lang w:val="pl-PL"/>
        </w:rPr>
      </w:pPr>
    </w:p>
    <w:p w:rsidR="00917844" w:rsidRPr="00917844" w:rsidRDefault="00917844" w:rsidP="00917844">
      <w:pPr>
        <w:jc w:val="both"/>
        <w:rPr>
          <w:rFonts w:asciiTheme="minorHAnsi" w:hAnsiTheme="minorHAnsi" w:cstheme="minorHAnsi"/>
          <w:sz w:val="24"/>
          <w:szCs w:val="24"/>
          <w:lang w:val="pl-PL"/>
        </w:rPr>
      </w:pPr>
      <w:r w:rsidRPr="00917844">
        <w:rPr>
          <w:rFonts w:asciiTheme="minorHAnsi" w:hAnsiTheme="minorHAnsi" w:cstheme="minorHAnsi"/>
          <w:sz w:val="24"/>
          <w:szCs w:val="24"/>
          <w:lang w:val="pl-PL"/>
        </w:rPr>
        <w:t>Jedyną szansą przezwyciężenia tego impasu był sejm konwokacyjny, odbywający się przed elekcją króla, podczas którego ustalano kandydatów, warunki, jakie miał spełnić, oraz zasady głosowania większościowego. Sejm taki mógł uchwalić konstytucję większością głosów, bez możliwości jego zerwania jednym głosem. W drugiej połowie XVIII wieku wzrosła wśród szlachty świadomość konieczności zmiany ustroju państwa, jednak stronnictwo reformatorskie nie widziało szansy wyzwolenia kraju spod protektoratu rosyjskiego, a stronnictwo antyrosyjskie, kierowane przez inną grupę magnatów, opierało się na konserwatywnej szlachcie, popierającej „złotą wolność”. W 1764 roku na króla wybrano kandydata rosyjskiego, Stanisława Augusta Poniatowskiego. Pierwsza próba wykorzystania osłabienia Rosji wojną z Turcją w 1768 roku skończyła się klęską stronnictwa antyrosyjskiego w postaci tak zwanej konfederacji barskiej i pierwszym rozbiorem państwa przez trzy mocarstwa ościenne w 1772 roku.</w:t>
      </w:r>
    </w:p>
    <w:p w:rsidR="00917844" w:rsidRPr="00917844" w:rsidRDefault="00917844" w:rsidP="00917844">
      <w:pPr>
        <w:jc w:val="both"/>
        <w:rPr>
          <w:rFonts w:asciiTheme="minorHAnsi" w:hAnsiTheme="minorHAnsi" w:cstheme="minorHAnsi"/>
          <w:sz w:val="24"/>
          <w:szCs w:val="24"/>
          <w:lang w:val="pl-PL"/>
        </w:rPr>
      </w:pPr>
    </w:p>
    <w:p w:rsidR="00917844" w:rsidRPr="00917844" w:rsidRDefault="00917844" w:rsidP="00917844">
      <w:pPr>
        <w:jc w:val="both"/>
        <w:rPr>
          <w:rFonts w:asciiTheme="minorHAnsi" w:hAnsiTheme="minorHAnsi" w:cstheme="minorHAnsi"/>
          <w:sz w:val="24"/>
          <w:szCs w:val="24"/>
          <w:lang w:val="pl-PL"/>
        </w:rPr>
      </w:pPr>
      <w:r w:rsidRPr="00917844">
        <w:rPr>
          <w:rFonts w:asciiTheme="minorHAnsi" w:hAnsiTheme="minorHAnsi" w:cstheme="minorHAnsi"/>
          <w:sz w:val="24"/>
          <w:szCs w:val="24"/>
          <w:lang w:val="pl-PL"/>
        </w:rPr>
        <w:t>Drugą szansę stwarzała kolejna wojna rosyjsko-turecka, która wybuchła w 1787 roku. Król Stanisław August uzyskał od carycy Katarzyny zgodę na zwołanie Sejmu Czteroletniego (1788–1992). Stał się on areną walki licznych partii od optujących za pełną zależnością od Rosji, poprzez różne odłamy republikanów, mniej lub bardziej zainteresowanych reformą ustroju, aż po radykałów, dążących do jego zmiany i uniezależnienia od mocarstw ościennych. Dzięki osłabieniu Rosji udało się reformatorom doprowadzić do przyjęcia zasady sejmu konwokacyjnego, ale o konsensus ustrojowy było bardzo trudno aż do wyborów uzupełniających z 1790 roku, gdy podwojono liczbę posłów. Wobec rysującego się sojuszu angielsko-pruskiego przeciw Rosji reformatorzy uzyskali poparcie Prus dla reform, a dzięki chytremu zabiegowi przyspieszenia obrad w związku z przerwą wielkanocną zdołali przegłosować 3 maja 1791 roku konstytucję, podpisaną też przez króla.</w:t>
      </w:r>
    </w:p>
    <w:p w:rsidR="00917844" w:rsidRPr="00917844" w:rsidRDefault="00917844" w:rsidP="00917844">
      <w:pPr>
        <w:jc w:val="both"/>
        <w:rPr>
          <w:rFonts w:asciiTheme="minorHAnsi" w:hAnsiTheme="minorHAnsi" w:cstheme="minorHAnsi"/>
          <w:sz w:val="24"/>
          <w:szCs w:val="24"/>
          <w:lang w:val="pl-PL"/>
        </w:rPr>
      </w:pPr>
    </w:p>
    <w:p w:rsidR="00917844" w:rsidRPr="00917844" w:rsidRDefault="00917844" w:rsidP="00917844">
      <w:pPr>
        <w:jc w:val="both"/>
        <w:rPr>
          <w:rFonts w:asciiTheme="minorHAnsi" w:hAnsiTheme="minorHAnsi" w:cstheme="minorHAnsi"/>
          <w:sz w:val="24"/>
          <w:szCs w:val="24"/>
          <w:lang w:val="pl-PL"/>
        </w:rPr>
      </w:pPr>
      <w:r w:rsidRPr="00917844">
        <w:rPr>
          <w:rFonts w:asciiTheme="minorHAnsi" w:hAnsiTheme="minorHAnsi" w:cstheme="minorHAnsi"/>
          <w:sz w:val="24"/>
          <w:szCs w:val="24"/>
          <w:lang w:val="pl-PL"/>
        </w:rPr>
        <w:t xml:space="preserve">Konstytucja 3 maja, pierwsza na kontynencie europejskim, wprowadzała dziedziczną monarchię konstytucyjną, odbierała prawo wyborcze szlachcie nieposiadającej ziemi, częściowo zrównywała prawa osobiste mieszczan i szlachty, znosiła </w:t>
      </w:r>
      <w:r w:rsidRPr="00917844">
        <w:rPr>
          <w:rFonts w:asciiTheme="minorHAnsi" w:hAnsiTheme="minorHAnsi" w:cstheme="minorHAnsi"/>
          <w:i/>
          <w:iCs/>
          <w:sz w:val="24"/>
          <w:szCs w:val="24"/>
          <w:lang w:val="pl-PL"/>
        </w:rPr>
        <w:t>liberum veto</w:t>
      </w:r>
      <w:r w:rsidRPr="00917844">
        <w:rPr>
          <w:rFonts w:asciiTheme="minorHAnsi" w:hAnsiTheme="minorHAnsi" w:cstheme="minorHAnsi"/>
          <w:sz w:val="24"/>
          <w:szCs w:val="24"/>
          <w:lang w:val="pl-PL"/>
        </w:rPr>
        <w:t xml:space="preserve"> i ograniczenia liczebności armii oraz brała chłopów pod obronę państwa. Te dość umiarkowane zmiany były wyrazem determinacji i zdolności elity narodowej do obrony interesu państwa. Stanowiły w istocie rewolucję, gdyż wyzwalały Rzeczpospolitą z potrzasku ustrojowego. Konstytucja była na tyle niebezpieczna dla Rosji i jej klientów w Rzeczypospolitej, że założyli oni w Petersburgu konfederację, którą ogłoszono w Targowicy, do której ostatecznie przystąpił król i której </w:t>
      </w:r>
      <w:r w:rsidRPr="00917844">
        <w:rPr>
          <w:rFonts w:asciiTheme="minorHAnsi" w:hAnsiTheme="minorHAnsi" w:cstheme="minorHAnsi"/>
          <w:sz w:val="24"/>
          <w:szCs w:val="24"/>
          <w:lang w:val="pl-PL"/>
        </w:rPr>
        <w:lastRenderedPageBreak/>
        <w:t>zwolennicy z pomocą wojsk rosyjskich obalili konstytucję i dokonali II rozbioru państwa. Gwarancje pruskie okazały się fikcją, a w 1795 roku, po zdławieniu przez Rosję powstania pod wodzą Tadeusza Kościuszki, trzy mocarstwa ościenne zlikwidowały resztki Rzeczypospolitej.</w:t>
      </w:r>
    </w:p>
    <w:p w:rsidR="00917844" w:rsidRPr="00917844" w:rsidRDefault="00917844" w:rsidP="00917844">
      <w:pPr>
        <w:jc w:val="both"/>
        <w:rPr>
          <w:rFonts w:asciiTheme="minorHAnsi" w:hAnsiTheme="minorHAnsi" w:cstheme="minorHAnsi"/>
          <w:sz w:val="24"/>
          <w:szCs w:val="24"/>
          <w:lang w:val="pl-PL"/>
        </w:rPr>
      </w:pPr>
    </w:p>
    <w:p w:rsidR="00917844" w:rsidRPr="00917844" w:rsidRDefault="00917844" w:rsidP="00917844">
      <w:pPr>
        <w:jc w:val="both"/>
        <w:rPr>
          <w:rFonts w:asciiTheme="minorHAnsi" w:hAnsiTheme="minorHAnsi" w:cstheme="minorHAnsi"/>
          <w:sz w:val="24"/>
          <w:szCs w:val="24"/>
          <w:lang w:val="pl-PL"/>
        </w:rPr>
      </w:pPr>
      <w:r w:rsidRPr="00917844">
        <w:rPr>
          <w:rFonts w:asciiTheme="minorHAnsi" w:hAnsiTheme="minorHAnsi" w:cstheme="minorHAnsi"/>
          <w:sz w:val="24"/>
          <w:szCs w:val="24"/>
          <w:lang w:val="pl-PL"/>
        </w:rPr>
        <w:t>Ostatecznie więc z potrzasku nie udało się wyjść. Polski historyk Ignacy Chrzanowski porównał upadek Rzeczypospolitej do sytuacji człowieka chorego, który podjął skuteczne leczenie, ale zanim wstał z łóżka, sąsiedzi zamordowali go, by zagrabić jego majątek. Austria, Prusy i Rosja dokonały bowiem bezprecedensowej zbrodni, a w następnych dekadach usilnie pracowały nad tym, by ją zatuszować, utrwalając międzynarodową opinię, że Polacy nie potrafią się rządzić i że sami sprowadzili na siebie katastrofę. Ta fałszywa wersja historii pokutuje do dziś wśród szerokich kręgów opinii międzynarodowej.</w:t>
      </w:r>
    </w:p>
    <w:p w:rsidR="00917844" w:rsidRPr="00917844" w:rsidRDefault="00917844" w:rsidP="00917844">
      <w:pPr>
        <w:jc w:val="both"/>
        <w:rPr>
          <w:rFonts w:asciiTheme="minorHAnsi" w:hAnsiTheme="minorHAnsi" w:cstheme="minorHAnsi"/>
          <w:sz w:val="24"/>
          <w:szCs w:val="24"/>
          <w:lang w:val="pl-PL"/>
        </w:rPr>
      </w:pPr>
      <w:r w:rsidRPr="00917844">
        <w:rPr>
          <w:rFonts w:asciiTheme="minorHAnsi" w:hAnsiTheme="minorHAnsi" w:cstheme="minorHAnsi"/>
          <w:sz w:val="24"/>
          <w:szCs w:val="24"/>
          <w:lang w:val="pl-PL"/>
        </w:rPr>
        <w:t>Prof. Wojciech Roszkowski</w:t>
      </w:r>
    </w:p>
    <w:p w:rsidR="00917844" w:rsidRPr="00917844" w:rsidRDefault="00917844" w:rsidP="00917844">
      <w:pPr>
        <w:jc w:val="both"/>
        <w:rPr>
          <w:rFonts w:asciiTheme="minorHAnsi" w:hAnsiTheme="minorHAnsi" w:cstheme="minorHAnsi"/>
          <w:sz w:val="24"/>
          <w:szCs w:val="24"/>
          <w:lang w:val="pl-PL"/>
        </w:rPr>
      </w:pPr>
    </w:p>
    <w:p w:rsidR="00917844" w:rsidRPr="00917844" w:rsidRDefault="00917844" w:rsidP="00917844">
      <w:pPr>
        <w:pStyle w:val="Nagwek4"/>
        <w:keepNext w:val="0"/>
        <w:spacing w:before="0" w:after="160"/>
        <w:jc w:val="both"/>
        <w:rPr>
          <w:rFonts w:asciiTheme="minorHAnsi" w:eastAsia="Arial Unicode MS" w:hAnsiTheme="minorHAnsi" w:cstheme="minorHAnsi"/>
          <w:sz w:val="24"/>
          <w:szCs w:val="24"/>
          <w:lang w:val="pl-PL"/>
        </w:rPr>
      </w:pPr>
      <w:r w:rsidRPr="00917844">
        <w:rPr>
          <w:rFonts w:asciiTheme="minorHAnsi" w:eastAsia="Arial Unicode MS" w:hAnsiTheme="minorHAnsi" w:cstheme="minorHAnsi"/>
          <w:b w:val="0"/>
          <w:bCs w:val="0"/>
          <w:i/>
          <w:iCs/>
          <w:sz w:val="24"/>
          <w:szCs w:val="24"/>
          <w:lang w:val="pl-PL"/>
          <w14:textOutline w14:w="12700" w14:cap="flat" w14:cmpd="sng" w14:algn="ctr">
            <w14:noFill/>
            <w14:prstDash w14:val="solid"/>
            <w14:miter w14:lim="100000"/>
          </w14:textOutline>
        </w:rPr>
        <w:t>Tekst publikowany równocześnie z polskim miesięcznikiem opinii Wszystko Co Najważniejsze w ramach projektu realizowanego z Instytutem Pamięci Narodowej i KGHM.</w:t>
      </w:r>
    </w:p>
    <w:bookmarkEnd w:id="0"/>
    <w:p w:rsidR="00A555EC" w:rsidRPr="00917844" w:rsidRDefault="00A555EC" w:rsidP="00917844">
      <w:pPr>
        <w:jc w:val="both"/>
        <w:rPr>
          <w:rFonts w:asciiTheme="minorHAnsi" w:hAnsiTheme="minorHAnsi" w:cstheme="minorHAnsi"/>
          <w:sz w:val="24"/>
          <w:szCs w:val="24"/>
          <w:lang w:val="pl-PL"/>
        </w:rPr>
      </w:pPr>
    </w:p>
    <w:sectPr w:rsidR="00A555EC" w:rsidRPr="00917844" w:rsidSect="0091784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844"/>
    <w:rsid w:val="00917844"/>
    <w:rsid w:val="00A555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2C81B9-B901-4366-A9DD-ACEAC7516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17844"/>
    <w:pPr>
      <w:spacing w:after="120" w:line="240" w:lineRule="auto"/>
    </w:pPr>
    <w:rPr>
      <w:rFonts w:ascii="Times New Roman" w:eastAsia="Arial Unicode MS" w:hAnsi="Times New Roman" w:cs="Arial Unicode MS"/>
      <w:color w:val="000000"/>
      <w:sz w:val="20"/>
      <w:szCs w:val="20"/>
      <w:u w:color="000000"/>
      <w:lang w:val="en-GB" w:eastAsia="en-GB"/>
    </w:rPr>
  </w:style>
  <w:style w:type="paragraph" w:styleId="Nagwek4">
    <w:name w:val="heading 4"/>
    <w:next w:val="Normalny"/>
    <w:link w:val="Nagwek4Znak"/>
    <w:semiHidden/>
    <w:unhideWhenUsed/>
    <w:qFormat/>
    <w:rsid w:val="00917844"/>
    <w:pPr>
      <w:keepNext/>
      <w:spacing w:before="240" w:after="120" w:line="240" w:lineRule="auto"/>
      <w:outlineLvl w:val="3"/>
    </w:pPr>
    <w:rPr>
      <w:rFonts w:ascii="Arial" w:eastAsia="Times New Roman" w:hAnsi="Arial" w:cs="Arial Unicode MS"/>
      <w:b/>
      <w:bCs/>
      <w:color w:val="000000"/>
      <w:sz w:val="20"/>
      <w:szCs w:val="20"/>
      <w:u w:color="000000"/>
      <w:lang w:val="en-GB" w:eastAsia="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semiHidden/>
    <w:rsid w:val="00917844"/>
    <w:rPr>
      <w:rFonts w:ascii="Arial" w:eastAsia="Times New Roman" w:hAnsi="Arial" w:cs="Arial Unicode MS"/>
      <w:b/>
      <w:bCs/>
      <w:color w:val="000000"/>
      <w:sz w:val="20"/>
      <w:szCs w:val="20"/>
      <w:u w:color="00000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3519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832</Words>
  <Characters>4744</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Drozd Katarzyna</dc:creator>
  <cp:keywords/>
  <dc:description/>
  <cp:lastModifiedBy>Drozd Katarzyna</cp:lastModifiedBy>
  <cp:revision>1</cp:revision>
  <dcterms:created xsi:type="dcterms:W3CDTF">2021-04-30T07:14:00Z</dcterms:created>
  <dcterms:modified xsi:type="dcterms:W3CDTF">2021-04-30T07:15:00Z</dcterms:modified>
</cp:coreProperties>
</file>