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5735" w:type="dxa"/>
        <w:tblInd w:w="-1139" w:type="dxa"/>
        <w:tblLook w:val="04A0" w:firstRow="1" w:lastRow="0" w:firstColumn="1" w:lastColumn="0" w:noHBand="0" w:noVBand="1"/>
      </w:tblPr>
      <w:tblGrid>
        <w:gridCol w:w="1602"/>
        <w:gridCol w:w="1768"/>
        <w:gridCol w:w="2265"/>
        <w:gridCol w:w="10100"/>
      </w:tblGrid>
      <w:tr w:rsidR="007450DC" w:rsidRPr="005567D2" w14:paraId="7308E634" w14:textId="77777777" w:rsidTr="00501C5B">
        <w:tc>
          <w:tcPr>
            <w:tcW w:w="15735" w:type="dxa"/>
            <w:gridSpan w:val="4"/>
            <w:shd w:val="clear" w:color="auto" w:fill="D1D1D1" w:themeFill="background2" w:themeFillShade="E6"/>
          </w:tcPr>
          <w:p w14:paraId="03A343A8" w14:textId="77777777" w:rsidR="007450DC" w:rsidRPr="005567D2" w:rsidRDefault="007450DC" w:rsidP="007450DC">
            <w:pPr>
              <w:spacing w:line="240" w:lineRule="auto"/>
              <w:jc w:val="center"/>
              <w:rPr>
                <w:rFonts w:cstheme="minorHAnsi"/>
                <w:b/>
                <w:lang w:val="en-GB"/>
              </w:rPr>
            </w:pPr>
            <w:proofErr w:type="spellStart"/>
            <w:r w:rsidRPr="005567D2">
              <w:rPr>
                <w:rFonts w:cstheme="minorHAnsi"/>
                <w:b/>
                <w:lang w:val="en-GB"/>
              </w:rPr>
              <w:t>Tabela</w:t>
            </w:r>
            <w:proofErr w:type="spellEnd"/>
            <w:r w:rsidRPr="005567D2">
              <w:rPr>
                <w:rFonts w:cstheme="minorHAnsi"/>
                <w:b/>
                <w:lang w:val="en-GB"/>
              </w:rPr>
              <w:t xml:space="preserve"> </w:t>
            </w:r>
            <w:proofErr w:type="spellStart"/>
            <w:r w:rsidRPr="005567D2">
              <w:rPr>
                <w:rFonts w:cstheme="minorHAnsi"/>
                <w:b/>
                <w:lang w:val="en-GB"/>
              </w:rPr>
              <w:t>uwag</w:t>
            </w:r>
            <w:proofErr w:type="spellEnd"/>
          </w:p>
          <w:p w14:paraId="296723BA" w14:textId="77777777" w:rsidR="007450DC" w:rsidRPr="005567D2" w:rsidRDefault="007450DC" w:rsidP="007450DC">
            <w:pPr>
              <w:spacing w:line="240" w:lineRule="auto"/>
              <w:jc w:val="center"/>
              <w:rPr>
                <w:b/>
                <w:bCs/>
                <w:lang w:val="en-US"/>
              </w:rPr>
            </w:pPr>
            <w:r w:rsidRPr="005567D2">
              <w:rPr>
                <w:b/>
                <w:bCs/>
                <w:lang w:val="en-US"/>
              </w:rPr>
              <w:t xml:space="preserve">Proposal for a Regulation of the European Parliament and of the Council amending Regulations (EU) 2024/1689 and (EU) 2018/1139 as regards the simplification of the implementation of </w:t>
            </w:r>
            <w:proofErr w:type="spellStart"/>
            <w:r w:rsidRPr="005567D2">
              <w:rPr>
                <w:b/>
                <w:bCs/>
                <w:lang w:val="en-US"/>
              </w:rPr>
              <w:t>harmonised</w:t>
            </w:r>
            <w:proofErr w:type="spellEnd"/>
            <w:r w:rsidRPr="005567D2">
              <w:rPr>
                <w:b/>
                <w:bCs/>
                <w:lang w:val="en-US"/>
              </w:rPr>
              <w:t xml:space="preserve"> rules on artificial intelligence (Digital Omnibus on AI)</w:t>
            </w:r>
          </w:p>
          <w:p w14:paraId="4F5B0CDA" w14:textId="77777777" w:rsidR="007450DC" w:rsidRPr="005567D2" w:rsidRDefault="007450DC" w:rsidP="007505CB">
            <w:pPr>
              <w:spacing w:line="240" w:lineRule="auto"/>
              <w:jc w:val="center"/>
              <w:rPr>
                <w:b/>
                <w:bCs/>
              </w:rPr>
            </w:pPr>
          </w:p>
        </w:tc>
      </w:tr>
      <w:tr w:rsidR="007450DC" w:rsidRPr="005567D2" w14:paraId="7C5263F2" w14:textId="77777777" w:rsidTr="007450DC">
        <w:tc>
          <w:tcPr>
            <w:tcW w:w="1602" w:type="dxa"/>
            <w:shd w:val="clear" w:color="auto" w:fill="D1D1D1" w:themeFill="background2" w:themeFillShade="E6"/>
          </w:tcPr>
          <w:p w14:paraId="67D480C5" w14:textId="54110534" w:rsidR="007450DC" w:rsidRPr="005567D2" w:rsidRDefault="007450DC" w:rsidP="007505CB">
            <w:pPr>
              <w:spacing w:line="240" w:lineRule="auto"/>
              <w:jc w:val="center"/>
              <w:rPr>
                <w:b/>
                <w:bCs/>
              </w:rPr>
            </w:pPr>
            <w:r w:rsidRPr="005567D2">
              <w:rPr>
                <w:b/>
                <w:bCs/>
              </w:rPr>
              <w:t>Lp.</w:t>
            </w:r>
          </w:p>
        </w:tc>
        <w:tc>
          <w:tcPr>
            <w:tcW w:w="1768" w:type="dxa"/>
            <w:shd w:val="clear" w:color="auto" w:fill="D1D1D1" w:themeFill="background2" w:themeFillShade="E6"/>
            <w:vAlign w:val="center"/>
          </w:tcPr>
          <w:p w14:paraId="5E5D053E" w14:textId="7150AC29" w:rsidR="007450DC" w:rsidRPr="005567D2" w:rsidRDefault="007450DC" w:rsidP="007505CB">
            <w:pPr>
              <w:spacing w:line="240" w:lineRule="auto"/>
              <w:jc w:val="center"/>
              <w:rPr>
                <w:b/>
                <w:bCs/>
              </w:rPr>
            </w:pPr>
            <w:r w:rsidRPr="005567D2">
              <w:rPr>
                <w:rFonts w:cstheme="minorHAnsi"/>
                <w:b/>
                <w:bCs/>
              </w:rPr>
              <w:t>Podmiot wnoszący uwagi</w:t>
            </w:r>
          </w:p>
        </w:tc>
        <w:tc>
          <w:tcPr>
            <w:tcW w:w="2265" w:type="dxa"/>
            <w:shd w:val="clear" w:color="auto" w:fill="D1D1D1" w:themeFill="background2" w:themeFillShade="E6"/>
          </w:tcPr>
          <w:p w14:paraId="319F0925" w14:textId="23FE4C05" w:rsidR="007450DC" w:rsidRPr="005567D2" w:rsidRDefault="007450DC" w:rsidP="007505CB">
            <w:pPr>
              <w:spacing w:line="240" w:lineRule="auto"/>
              <w:jc w:val="center"/>
              <w:rPr>
                <w:b/>
                <w:bCs/>
              </w:rPr>
            </w:pPr>
            <w:r w:rsidRPr="005567D2">
              <w:rPr>
                <w:rFonts w:cstheme="minorHAnsi"/>
                <w:b/>
                <w:bCs/>
              </w:rPr>
              <w:t>Jednostka redakcyjna, do której wnoszone są uwagi</w:t>
            </w:r>
          </w:p>
        </w:tc>
        <w:tc>
          <w:tcPr>
            <w:tcW w:w="10100" w:type="dxa"/>
            <w:shd w:val="clear" w:color="auto" w:fill="D1D1D1" w:themeFill="background2" w:themeFillShade="E6"/>
          </w:tcPr>
          <w:p w14:paraId="3D2EA051" w14:textId="504AC391" w:rsidR="007450DC" w:rsidRPr="005567D2" w:rsidRDefault="007450DC" w:rsidP="007505CB">
            <w:pPr>
              <w:spacing w:line="240" w:lineRule="auto"/>
              <w:jc w:val="center"/>
              <w:rPr>
                <w:b/>
                <w:bCs/>
              </w:rPr>
            </w:pPr>
            <w:r w:rsidRPr="005567D2">
              <w:rPr>
                <w:b/>
                <w:bCs/>
              </w:rPr>
              <w:t>Zgłoszona uwaga</w:t>
            </w:r>
          </w:p>
        </w:tc>
      </w:tr>
      <w:tr w:rsidR="007450DC" w:rsidRPr="005567D2" w14:paraId="1844B5C3" w14:textId="77777777" w:rsidTr="007450DC">
        <w:tc>
          <w:tcPr>
            <w:tcW w:w="1602" w:type="dxa"/>
          </w:tcPr>
          <w:p w14:paraId="43B33363" w14:textId="7CA7FD98" w:rsidR="007450DC" w:rsidRPr="005567D2" w:rsidRDefault="007450DC" w:rsidP="007505CB">
            <w:pPr>
              <w:spacing w:line="240" w:lineRule="auto"/>
              <w:ind w:left="708"/>
            </w:pPr>
          </w:p>
        </w:tc>
        <w:tc>
          <w:tcPr>
            <w:tcW w:w="1768" w:type="dxa"/>
          </w:tcPr>
          <w:p w14:paraId="047430BE" w14:textId="7C9DA17C" w:rsidR="007450DC" w:rsidRPr="005567D2" w:rsidRDefault="007450DC" w:rsidP="007505CB">
            <w:pPr>
              <w:spacing w:line="240" w:lineRule="auto"/>
              <w:jc w:val="center"/>
            </w:pPr>
            <w:r w:rsidRPr="005567D2">
              <w:t>Krajowa Izba Gospodarcza</w:t>
            </w:r>
          </w:p>
        </w:tc>
        <w:tc>
          <w:tcPr>
            <w:tcW w:w="2265" w:type="dxa"/>
          </w:tcPr>
          <w:p w14:paraId="3A98D6AE" w14:textId="680C2B34" w:rsidR="007450DC" w:rsidRDefault="007450DC" w:rsidP="369C09EE">
            <w:pPr>
              <w:spacing w:line="240" w:lineRule="auto"/>
              <w:jc w:val="center"/>
            </w:pPr>
            <w:r>
              <w:t xml:space="preserve">Rozporządzenie 2024/1689 </w:t>
            </w:r>
          </w:p>
          <w:p w14:paraId="2752E895" w14:textId="334EAC4F"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601A2143" w14:textId="51C2449E" w:rsidR="007450DC" w:rsidRPr="005567D2" w:rsidRDefault="007450DC" w:rsidP="007505CB">
            <w:pPr>
              <w:spacing w:line="240" w:lineRule="auto"/>
              <w:jc w:val="center"/>
            </w:pPr>
          </w:p>
          <w:p w14:paraId="753E82BC" w14:textId="25F6CB46" w:rsidR="007450DC" w:rsidRPr="005567D2" w:rsidRDefault="007450DC" w:rsidP="007505CB">
            <w:pPr>
              <w:spacing w:line="240" w:lineRule="auto"/>
              <w:jc w:val="center"/>
            </w:pPr>
            <w:r>
              <w:t xml:space="preserve">Uwaga ogólna  </w:t>
            </w:r>
          </w:p>
        </w:tc>
        <w:tc>
          <w:tcPr>
            <w:tcW w:w="10100" w:type="dxa"/>
          </w:tcPr>
          <w:p w14:paraId="59FB812C" w14:textId="7E6BE80D" w:rsidR="007450DC" w:rsidRPr="005567D2" w:rsidRDefault="007450DC" w:rsidP="007505CB">
            <w:pPr>
              <w:spacing w:line="240" w:lineRule="auto"/>
            </w:pPr>
            <w:r w:rsidRPr="005567D2">
              <w:t xml:space="preserve">Omnibus dotyczący AI </w:t>
            </w:r>
            <w:proofErr w:type="spellStart"/>
            <w:r w:rsidRPr="005567D2">
              <w:t>Act</w:t>
            </w:r>
            <w:proofErr w:type="spellEnd"/>
            <w:r w:rsidRPr="005567D2">
              <w:t xml:space="preserve"> nie zapewnia przejrzystości regulacyjnej ani przewagi konkurencyjnej, których Europa pilnie potrzebuje. Choć poczyniono pewne postępy — takie jak rozszerzenie podstawy prawnej przetwarzania danych w celu ograniczania stronniczości, stworzenie bardziej scentralizowanego systemu egzekwowania przepisów oraz ustanowienie okresu przejściowego przed rozpoczęciem stosowania wymogów wobec systemów wysokiego ryzyka — są to jedynie drobne korekty, które nie rozwiązują problemów systemowych. Niepewność i niespójne harmonogramy wciąż stanowią problem, a jednocześnie marnowana jest szansa na stworzenie naprawdę przyszłościowych ram regulacyjnych.</w:t>
            </w:r>
          </w:p>
          <w:p w14:paraId="5EAA4A1D" w14:textId="5243228C" w:rsidR="007450DC" w:rsidRPr="005567D2" w:rsidRDefault="007450DC" w:rsidP="007505CB">
            <w:pPr>
              <w:spacing w:line="240" w:lineRule="auto"/>
            </w:pPr>
            <w:r w:rsidRPr="005567D2">
              <w:t xml:space="preserve">Opóźnienie wdrażania części przepisów dotyczących systemów wysokiego ryzyka jest reakcją na presję związaną z ich implementacją, nie rozwiązuje ono jednak szerszego </w:t>
            </w:r>
          </w:p>
          <w:p w14:paraId="197F2053" w14:textId="5F573D55" w:rsidR="007450DC" w:rsidRPr="005567D2" w:rsidRDefault="007450DC" w:rsidP="007505CB">
            <w:pPr>
              <w:spacing w:line="240" w:lineRule="auto"/>
            </w:pPr>
            <w:r w:rsidRPr="005567D2">
              <w:t xml:space="preserve">problemu nadmiernych obciążeń regulacyjnych czy braku pewności prawa, z którymi  mierzą się przedsiębiorstwa. Trudności te nie ograniczają się do systemów wysokiego ryzyka — dotyczą całego AI </w:t>
            </w:r>
            <w:proofErr w:type="spellStart"/>
            <w:r w:rsidRPr="005567D2">
              <w:t>Act</w:t>
            </w:r>
            <w:proofErr w:type="spellEnd"/>
            <w:r w:rsidRPr="005567D2">
              <w:t xml:space="preserve">, a szczególnie przepisów regulujących modele sztucznej </w:t>
            </w:r>
          </w:p>
          <w:p w14:paraId="71CC9D94" w14:textId="125BD845" w:rsidR="007450DC" w:rsidRPr="005567D2" w:rsidRDefault="007450DC" w:rsidP="007505CB">
            <w:pPr>
              <w:spacing w:line="240" w:lineRule="auto"/>
            </w:pPr>
            <w:r w:rsidRPr="005567D2">
              <w:t xml:space="preserve">inteligencji ogólnego przeznaczenia (GPAIM). Obecne regulacje dotyczące GPAIM  niewystarczająco rozgraniczają fazę tworzenia modelu od jego zastosowania w praktyce, </w:t>
            </w:r>
            <w:r>
              <w:t xml:space="preserve"> </w:t>
            </w:r>
            <w:r w:rsidRPr="005567D2">
              <w:t xml:space="preserve">odchodząc od zasady, zgodnie z którą ryzykiem należy zarządzać tam, gdzie faktycznie </w:t>
            </w:r>
          </w:p>
          <w:p w14:paraId="0BEEC0BB" w14:textId="72339764" w:rsidR="007450DC" w:rsidRPr="005567D2" w:rsidRDefault="007450DC" w:rsidP="007505CB">
            <w:pPr>
              <w:spacing w:line="240" w:lineRule="auto"/>
            </w:pPr>
            <w:r w:rsidRPr="005567D2">
              <w:t xml:space="preserve">powstaje — czyli na etapie użycia modelu. Ponieważ unijni i krajowi </w:t>
            </w:r>
            <w:proofErr w:type="spellStart"/>
            <w:r w:rsidRPr="005567D2">
              <w:t>regulatorzy</w:t>
            </w:r>
            <w:proofErr w:type="spellEnd"/>
            <w:r w:rsidRPr="005567D2">
              <w:t xml:space="preserve"> nie mają </w:t>
            </w:r>
            <w:r>
              <w:t xml:space="preserve"> </w:t>
            </w:r>
            <w:r w:rsidRPr="005567D2">
              <w:t xml:space="preserve">formalnych kompetencji do brania innowacji pod uwagę, tworzą i egzekwują przepisy </w:t>
            </w:r>
          </w:p>
          <w:p w14:paraId="03B749DC" w14:textId="0868A9A9" w:rsidR="007450DC" w:rsidRPr="005567D2" w:rsidRDefault="007450DC" w:rsidP="007505CB">
            <w:pPr>
              <w:spacing w:line="240" w:lineRule="auto"/>
            </w:pPr>
            <w:r w:rsidRPr="005567D2">
              <w:t xml:space="preserve">w sposób coraz bardziej obciążający przedsiębiorstwa. To odstrasza inwestorów i spowalnia proces przechodzenia od badań naukowych do realnych produktów, usług </w:t>
            </w:r>
            <w:r>
              <w:t xml:space="preserve"> </w:t>
            </w:r>
            <w:r w:rsidRPr="005567D2">
              <w:t>i nowych miejsc pracy.</w:t>
            </w:r>
          </w:p>
          <w:p w14:paraId="42113415" w14:textId="77777777" w:rsidR="007450DC" w:rsidRDefault="007450DC" w:rsidP="369C09EE">
            <w:pPr>
              <w:spacing w:line="240" w:lineRule="auto"/>
            </w:pPr>
            <w:r w:rsidRPr="005567D2">
              <w:t xml:space="preserve">Aby zmierzyć się z tymi wyzwaniami i dać Europie szansę na stworzenie przepisów </w:t>
            </w:r>
            <w:r>
              <w:t xml:space="preserve"> </w:t>
            </w:r>
            <w:r w:rsidRPr="005567D2">
              <w:t xml:space="preserve">sprzyjających konkurencyjności i wzrostowi, konieczne jest „zatrzymanie biegu” (Stop the </w:t>
            </w:r>
            <w:proofErr w:type="spellStart"/>
            <w:r w:rsidRPr="005567D2">
              <w:t>clock</w:t>
            </w:r>
            <w:proofErr w:type="spellEnd"/>
            <w:r w:rsidRPr="005567D2">
              <w:t xml:space="preserve">) całego AI </w:t>
            </w:r>
            <w:proofErr w:type="spellStart"/>
            <w:r w:rsidRPr="005567D2">
              <w:t>Act</w:t>
            </w:r>
            <w:proofErr w:type="spellEnd"/>
            <w:r>
              <w:t>.</w:t>
            </w:r>
          </w:p>
          <w:p w14:paraId="0C78FB9F" w14:textId="39508218" w:rsidR="007450DC" w:rsidRPr="005567D2" w:rsidRDefault="007450DC" w:rsidP="369C09EE">
            <w:pPr>
              <w:spacing w:line="240" w:lineRule="auto"/>
            </w:pPr>
          </w:p>
        </w:tc>
      </w:tr>
      <w:tr w:rsidR="007450DC" w:rsidRPr="005567D2" w14:paraId="0411421A" w14:textId="77777777" w:rsidTr="007450DC">
        <w:tc>
          <w:tcPr>
            <w:tcW w:w="1602" w:type="dxa"/>
          </w:tcPr>
          <w:p w14:paraId="576632C8" w14:textId="77777777" w:rsidR="007450DC" w:rsidRPr="005567D2" w:rsidRDefault="007450DC" w:rsidP="007505CB">
            <w:pPr>
              <w:spacing w:line="240" w:lineRule="auto"/>
              <w:ind w:left="708"/>
            </w:pPr>
          </w:p>
        </w:tc>
        <w:tc>
          <w:tcPr>
            <w:tcW w:w="1768" w:type="dxa"/>
          </w:tcPr>
          <w:p w14:paraId="06B6F9CD" w14:textId="2E554E76" w:rsidR="007450DC" w:rsidRPr="005567D2" w:rsidRDefault="007450DC" w:rsidP="007505CB">
            <w:pPr>
              <w:spacing w:line="240" w:lineRule="auto"/>
              <w:jc w:val="center"/>
            </w:pPr>
            <w:r>
              <w:t xml:space="preserve">AI </w:t>
            </w:r>
            <w:proofErr w:type="spellStart"/>
            <w:r>
              <w:t>Chamber</w:t>
            </w:r>
            <w:proofErr w:type="spellEnd"/>
          </w:p>
        </w:tc>
        <w:tc>
          <w:tcPr>
            <w:tcW w:w="2265" w:type="dxa"/>
          </w:tcPr>
          <w:p w14:paraId="4C2D5F1A" w14:textId="7404B9F8" w:rsidR="007450DC" w:rsidRPr="005567D2" w:rsidRDefault="007450DC" w:rsidP="00C05DB6">
            <w:pPr>
              <w:spacing w:line="240" w:lineRule="auto"/>
              <w:jc w:val="center"/>
            </w:pPr>
            <w:r>
              <w:t xml:space="preserve">Rozporządzenie 2024/1689 </w:t>
            </w:r>
          </w:p>
          <w:p w14:paraId="5D903D88" w14:textId="37C951E0" w:rsidR="007450DC" w:rsidRPr="005567D2" w:rsidRDefault="007450DC" w:rsidP="00C05DB6">
            <w:pPr>
              <w:spacing w:line="240" w:lineRule="auto"/>
              <w:jc w:val="center"/>
            </w:pPr>
            <w:r w:rsidRPr="005567D2">
              <w:t xml:space="preserve">(„AI </w:t>
            </w:r>
            <w:proofErr w:type="spellStart"/>
            <w:r w:rsidRPr="005567D2">
              <w:t>Act</w:t>
            </w:r>
            <w:proofErr w:type="spellEnd"/>
            <w:r w:rsidRPr="005567D2">
              <w:t>”)</w:t>
            </w:r>
          </w:p>
          <w:p w14:paraId="516717B7" w14:textId="2D26B269" w:rsidR="007450DC" w:rsidRPr="005567D2" w:rsidRDefault="007450DC" w:rsidP="00C05DB6">
            <w:pPr>
              <w:spacing w:line="240" w:lineRule="auto"/>
              <w:jc w:val="center"/>
            </w:pPr>
          </w:p>
          <w:p w14:paraId="3499EA77" w14:textId="7E2A63EE" w:rsidR="007450DC" w:rsidRPr="005567D2" w:rsidRDefault="007450DC" w:rsidP="00C05DB6">
            <w:pPr>
              <w:spacing w:line="240" w:lineRule="auto"/>
              <w:jc w:val="center"/>
            </w:pPr>
            <w:r>
              <w:t xml:space="preserve">Uwaga ogólna  </w:t>
            </w:r>
          </w:p>
        </w:tc>
        <w:tc>
          <w:tcPr>
            <w:tcW w:w="10100" w:type="dxa"/>
          </w:tcPr>
          <w:p w14:paraId="3012B43B" w14:textId="77777777" w:rsidR="007450DC" w:rsidRDefault="007450DC" w:rsidP="007A5E1D">
            <w:pPr>
              <w:spacing w:line="240" w:lineRule="auto"/>
            </w:pPr>
            <w:r w:rsidRPr="007A5E1D">
              <w:lastRenderedPageBreak/>
              <w:t xml:space="preserve">AI </w:t>
            </w:r>
            <w:proofErr w:type="spellStart"/>
            <w:r w:rsidRPr="007A5E1D">
              <w:t>Act</w:t>
            </w:r>
            <w:proofErr w:type="spellEnd"/>
            <w:r w:rsidRPr="007A5E1D">
              <w:t xml:space="preserve">, jako pierwszy na świecie kompleksowy akt regulujący sztuczną inteligencję, przyjął nadmiernie restrykcyjne, aprioryczne podejście, traktujące AI przede wszystkim jako zagrożenie. Rozbudowane zakazy oraz obciążające administracyjnie obowiązki grożą poważnym zahamowaniem innowacji i </w:t>
            </w:r>
            <w:r w:rsidRPr="007A5E1D">
              <w:lastRenderedPageBreak/>
              <w:t xml:space="preserve">postawieniem europejskich twórców oraz użytkowników w skrajnie niekorzystnej pozycji w globalnym wyścigu AI. Pilne wezwanie do „zatrzymania zegara” jest zatem konieczne, w szczególności poprzez dwuletnie odroczenie wejścia w życie pozostałych przepisów AI </w:t>
            </w:r>
            <w:proofErr w:type="spellStart"/>
            <w:r w:rsidRPr="007A5E1D">
              <w:t>Act</w:t>
            </w:r>
            <w:proofErr w:type="spellEnd"/>
            <w:r w:rsidRPr="007A5E1D">
              <w:t xml:space="preserve">, zgodnie z propozycjami inicjatyw takich jak „EU AI </w:t>
            </w:r>
            <w:proofErr w:type="spellStart"/>
            <w:r w:rsidRPr="007A5E1D">
              <w:t>Champions</w:t>
            </w:r>
            <w:proofErr w:type="spellEnd"/>
            <w:r w:rsidRPr="007A5E1D">
              <w:t xml:space="preserve">”, wspieranych przez kluczowych liderów przemysłu, w tym Airbus i Siemens. Taka przerwa dałaby europejskim firmom niezbędny czas na skuteczne wdrożenie regulacji, a jednocześnie umożliwiłaby fundamentalny przegląd i uproszczenie obecnych ram prawnych, zapobiegając dalszemu pozostawaniu Europy w tyle za globalnymi konkurentami, takimi jak Stany Zjednoczone, które aktywnie realizują strategię AI ukierunkowaną na „wygranie wyścigu”. Niezbędne jest jednoznaczne „zatrzymanie zegara” i wprowadzenie bezwarunkowego, dwuletniego odroczenia pozostałych przepisów AI </w:t>
            </w:r>
            <w:proofErr w:type="spellStart"/>
            <w:r w:rsidRPr="007A5E1D">
              <w:t>Act</w:t>
            </w:r>
            <w:proofErr w:type="spellEnd"/>
            <w:r w:rsidRPr="007A5E1D">
              <w:t>, które jeszcze nie weszły w życie.</w:t>
            </w:r>
          </w:p>
          <w:p w14:paraId="0FC4AB87" w14:textId="2ACA94B7" w:rsidR="007450DC" w:rsidRPr="005567D2" w:rsidRDefault="007450DC" w:rsidP="007A5E1D">
            <w:pPr>
              <w:spacing w:line="240" w:lineRule="auto"/>
            </w:pPr>
          </w:p>
        </w:tc>
      </w:tr>
      <w:tr w:rsidR="007450DC" w:rsidRPr="005567D2" w14:paraId="15245073" w14:textId="77777777" w:rsidTr="007450DC">
        <w:tc>
          <w:tcPr>
            <w:tcW w:w="1602" w:type="dxa"/>
          </w:tcPr>
          <w:p w14:paraId="638D2A8C" w14:textId="77777777" w:rsidR="007450DC" w:rsidRPr="005567D2" w:rsidRDefault="007450DC" w:rsidP="007505CB">
            <w:pPr>
              <w:spacing w:line="240" w:lineRule="auto"/>
              <w:ind w:left="708"/>
            </w:pPr>
          </w:p>
        </w:tc>
        <w:tc>
          <w:tcPr>
            <w:tcW w:w="1768" w:type="dxa"/>
          </w:tcPr>
          <w:p w14:paraId="39A6304A" w14:textId="4C579967" w:rsidR="007450DC" w:rsidRPr="005567D2" w:rsidRDefault="007450DC" w:rsidP="007505CB">
            <w:pPr>
              <w:spacing w:line="240" w:lineRule="auto"/>
              <w:jc w:val="center"/>
            </w:pPr>
            <w:r>
              <w:t>Panoptykon</w:t>
            </w:r>
          </w:p>
        </w:tc>
        <w:tc>
          <w:tcPr>
            <w:tcW w:w="2265" w:type="dxa"/>
          </w:tcPr>
          <w:p w14:paraId="10D27116" w14:textId="77777777" w:rsidR="007450DC" w:rsidRPr="000023C3" w:rsidRDefault="007450DC" w:rsidP="000023C3">
            <w:pPr>
              <w:spacing w:line="240" w:lineRule="auto"/>
              <w:jc w:val="center"/>
            </w:pPr>
            <w:r w:rsidRPr="000023C3">
              <w:t>Rozporządzenie 2024/1689</w:t>
            </w:r>
          </w:p>
          <w:p w14:paraId="74491741" w14:textId="77777777" w:rsidR="007450DC" w:rsidRPr="000023C3" w:rsidRDefault="007450DC" w:rsidP="000023C3">
            <w:pPr>
              <w:spacing w:line="240" w:lineRule="auto"/>
              <w:jc w:val="center"/>
            </w:pPr>
            <w:r w:rsidRPr="000023C3">
              <w:t xml:space="preserve">(„AI </w:t>
            </w:r>
            <w:proofErr w:type="spellStart"/>
            <w:r w:rsidRPr="000023C3">
              <w:t>Act</w:t>
            </w:r>
            <w:proofErr w:type="spellEnd"/>
            <w:r w:rsidRPr="000023C3">
              <w:t>”)</w:t>
            </w:r>
          </w:p>
          <w:p w14:paraId="330E16A5" w14:textId="77777777" w:rsidR="007450DC" w:rsidRPr="000023C3" w:rsidRDefault="007450DC" w:rsidP="000023C3">
            <w:pPr>
              <w:spacing w:line="240" w:lineRule="auto"/>
              <w:jc w:val="center"/>
            </w:pPr>
          </w:p>
          <w:p w14:paraId="37974693" w14:textId="7EC1696B" w:rsidR="007450DC" w:rsidRPr="005567D2" w:rsidRDefault="007450DC" w:rsidP="000023C3">
            <w:pPr>
              <w:spacing w:line="240" w:lineRule="auto"/>
              <w:jc w:val="center"/>
            </w:pPr>
            <w:r>
              <w:t>Uwaga ogólna</w:t>
            </w:r>
          </w:p>
        </w:tc>
        <w:tc>
          <w:tcPr>
            <w:tcW w:w="10100" w:type="dxa"/>
          </w:tcPr>
          <w:p w14:paraId="2BBC57A0" w14:textId="77777777" w:rsidR="007450DC" w:rsidRDefault="007450DC" w:rsidP="007505CB">
            <w:pPr>
              <w:spacing w:line="240" w:lineRule="auto"/>
            </w:pPr>
            <w:r w:rsidRPr="000023C3">
              <w:t xml:space="preserve">Komisja proponuje wydłużenie okresu przejściowego (w którym przepisy AI </w:t>
            </w:r>
            <w:proofErr w:type="spellStart"/>
            <w:r w:rsidRPr="000023C3">
              <w:t>Act</w:t>
            </w:r>
            <w:proofErr w:type="spellEnd"/>
            <w:r w:rsidRPr="000023C3">
              <w:t xml:space="preserve"> nie stosują się do systemów wysokiego ryzyka), jednocześnie zostawiając sobie furtkę do skrócenia tych terminów, jeśli uzna, że „rynek jest gotowy”. Taka konstrukcja wprowadza niepewność dla organów nadzoru, przedsiębiorców i użytkowników systemów AI, utrudniając im zaplanowanie wdrożenia nowych procedur.</w:t>
            </w:r>
          </w:p>
          <w:p w14:paraId="417B3804" w14:textId="6E868055" w:rsidR="007450DC" w:rsidRPr="005567D2" w:rsidRDefault="007450DC" w:rsidP="007505CB">
            <w:pPr>
              <w:spacing w:line="240" w:lineRule="auto"/>
            </w:pPr>
          </w:p>
        </w:tc>
      </w:tr>
      <w:tr w:rsidR="007450DC" w:rsidRPr="005567D2" w14:paraId="50411E7B" w14:textId="77777777" w:rsidTr="007450DC">
        <w:tc>
          <w:tcPr>
            <w:tcW w:w="1602" w:type="dxa"/>
          </w:tcPr>
          <w:p w14:paraId="6277F9C1" w14:textId="77777777" w:rsidR="007450DC" w:rsidRPr="005567D2" w:rsidRDefault="007450DC" w:rsidP="007505CB">
            <w:pPr>
              <w:spacing w:line="240" w:lineRule="auto"/>
              <w:ind w:left="708"/>
            </w:pPr>
          </w:p>
        </w:tc>
        <w:tc>
          <w:tcPr>
            <w:tcW w:w="1768" w:type="dxa"/>
          </w:tcPr>
          <w:p w14:paraId="7A411E88" w14:textId="05C7A74F" w:rsidR="007450DC" w:rsidRPr="005567D2" w:rsidRDefault="007450DC" w:rsidP="007505CB">
            <w:pPr>
              <w:spacing w:line="240" w:lineRule="auto"/>
              <w:jc w:val="center"/>
            </w:pPr>
            <w:r w:rsidRPr="005567D2">
              <w:t>Krajowa Izba Gospodarcza</w:t>
            </w:r>
          </w:p>
        </w:tc>
        <w:tc>
          <w:tcPr>
            <w:tcW w:w="2265" w:type="dxa"/>
          </w:tcPr>
          <w:p w14:paraId="621D7F96" w14:textId="00747FBA" w:rsidR="007450DC" w:rsidRPr="005567D2" w:rsidRDefault="007450DC" w:rsidP="007505CB">
            <w:pPr>
              <w:spacing w:line="240" w:lineRule="auto"/>
              <w:jc w:val="center"/>
            </w:pPr>
            <w:r>
              <w:t xml:space="preserve">Rozporządzenie 2024/1689 </w:t>
            </w:r>
          </w:p>
          <w:p w14:paraId="378A4526" w14:textId="6AC2093E"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71FA9161" w14:textId="4BE162D3" w:rsidR="007450DC" w:rsidRPr="005567D2" w:rsidRDefault="007450DC" w:rsidP="007505CB">
            <w:pPr>
              <w:spacing w:line="240" w:lineRule="auto"/>
              <w:jc w:val="center"/>
            </w:pPr>
          </w:p>
          <w:p w14:paraId="7C5CF193" w14:textId="28F4E14D" w:rsidR="007450DC" w:rsidRPr="005567D2" w:rsidRDefault="007450DC" w:rsidP="007505CB">
            <w:pPr>
              <w:spacing w:line="240" w:lineRule="auto"/>
              <w:jc w:val="center"/>
            </w:pPr>
            <w:r>
              <w:t xml:space="preserve">Uwaga ogólna  </w:t>
            </w:r>
          </w:p>
        </w:tc>
        <w:tc>
          <w:tcPr>
            <w:tcW w:w="10100" w:type="dxa"/>
          </w:tcPr>
          <w:p w14:paraId="583DD24C" w14:textId="3A736769" w:rsidR="007450DC" w:rsidRPr="005567D2" w:rsidRDefault="007450DC" w:rsidP="007505CB">
            <w:pPr>
              <w:spacing w:line="240" w:lineRule="auto"/>
            </w:pPr>
            <w:r w:rsidRPr="005567D2">
              <w:t>Brak mandatu regulacyjnego w zakresie wspierania innowacji</w:t>
            </w:r>
            <w:r>
              <w:t>.</w:t>
            </w:r>
          </w:p>
          <w:p w14:paraId="01E94617" w14:textId="77777777" w:rsidR="007450DC" w:rsidRDefault="007450DC" w:rsidP="007505CB">
            <w:pPr>
              <w:spacing w:line="240" w:lineRule="auto"/>
            </w:pPr>
            <w:r w:rsidRPr="005567D2">
              <w:t xml:space="preserve">Choć propozycja Omnibus zmierza w kierunku bardziej scentralizowanego modelu stosowania AI </w:t>
            </w:r>
            <w:proofErr w:type="spellStart"/>
            <w:r w:rsidRPr="005567D2">
              <w:t>Act</w:t>
            </w:r>
            <w:proofErr w:type="spellEnd"/>
            <w:r w:rsidRPr="005567D2">
              <w:t xml:space="preserve">, nadal nie wprowadza jasnego umocowania, które pozwalałoby organom regulacyjnym — zarówno unijnym, jak i krajowym — brać pod uwagę potrzebę wspierania innowacji. W praktyce żaden regulator cyfrowy, w tym organy krajowe, nie jest wyraźnie zobowiązany do promowania innowacyjności.  Mimo że art. 1 AI </w:t>
            </w:r>
            <w:proofErr w:type="spellStart"/>
            <w:r w:rsidRPr="005567D2">
              <w:t>Act</w:t>
            </w:r>
            <w:proofErr w:type="spellEnd"/>
            <w:r w:rsidRPr="005567D2">
              <w:t xml:space="preserve"> podkreśla znaczenie tworzonej z myślą o człowieku i godnej zaufania sztucznej inteligencji, podejście to nie znajduje odzwierciedlenia  w faktycznych rolach i zakresach działania organów nadzorczych. Brak takiego mandatu grozi niespójnością interpretacyjną i różnicami w egzekwowaniu przepisów, co podważa skuteczność regulacji i osłabia pozycję UE w globalnym wyścigu technologicznym. Aby sprzyjać inwestycjom, innowacjom i trwałemu wzrostowi, </w:t>
            </w:r>
            <w:proofErr w:type="spellStart"/>
            <w:r w:rsidRPr="005567D2">
              <w:t>regulatorzy</w:t>
            </w:r>
            <w:proofErr w:type="spellEnd"/>
            <w:r w:rsidRPr="005567D2">
              <w:t xml:space="preserve"> cyfrowi powinni działać według wspólnych założeń i wspólnej misji — tworzenia stabilnego, przewidywalnego i przyjaznego innowacjom otoczenia regulacyjnego.</w:t>
            </w:r>
          </w:p>
          <w:p w14:paraId="481D081F" w14:textId="3538323B" w:rsidR="007450DC" w:rsidRPr="005567D2" w:rsidRDefault="007450DC" w:rsidP="007505CB">
            <w:pPr>
              <w:spacing w:line="240" w:lineRule="auto"/>
            </w:pPr>
          </w:p>
        </w:tc>
      </w:tr>
      <w:tr w:rsidR="007450DC" w:rsidRPr="005567D2" w14:paraId="37B918FA" w14:textId="77777777" w:rsidTr="007450DC">
        <w:trPr>
          <w:trHeight w:val="300"/>
        </w:trPr>
        <w:tc>
          <w:tcPr>
            <w:tcW w:w="1602" w:type="dxa"/>
          </w:tcPr>
          <w:p w14:paraId="17AFA16B" w14:textId="77777777" w:rsidR="007450DC" w:rsidRPr="005567D2" w:rsidRDefault="007450DC" w:rsidP="007505CB">
            <w:pPr>
              <w:spacing w:line="240" w:lineRule="auto"/>
            </w:pPr>
          </w:p>
        </w:tc>
        <w:tc>
          <w:tcPr>
            <w:tcW w:w="1768" w:type="dxa"/>
          </w:tcPr>
          <w:p w14:paraId="47D04C27" w14:textId="6782A001" w:rsidR="007450DC" w:rsidRPr="005567D2" w:rsidRDefault="007450DC" w:rsidP="007505CB">
            <w:pPr>
              <w:spacing w:line="240" w:lineRule="auto"/>
              <w:jc w:val="center"/>
            </w:pPr>
            <w:r w:rsidRPr="005567D2">
              <w:t xml:space="preserve">AI </w:t>
            </w:r>
            <w:proofErr w:type="spellStart"/>
            <w:r w:rsidRPr="005567D2">
              <w:t>Chamber</w:t>
            </w:r>
            <w:proofErr w:type="spellEnd"/>
          </w:p>
        </w:tc>
        <w:tc>
          <w:tcPr>
            <w:tcW w:w="2265" w:type="dxa"/>
          </w:tcPr>
          <w:p w14:paraId="47AE64B2" w14:textId="54308D1F" w:rsidR="007450DC" w:rsidRDefault="007450DC" w:rsidP="369C09EE">
            <w:pPr>
              <w:spacing w:line="240" w:lineRule="auto"/>
              <w:jc w:val="center"/>
            </w:pPr>
            <w:r>
              <w:t xml:space="preserve">Rozporządzenie 2024/1689 </w:t>
            </w:r>
          </w:p>
          <w:p w14:paraId="50E82748" w14:textId="7686844D" w:rsidR="007450DC" w:rsidRPr="00CB6B2F" w:rsidRDefault="007450DC" w:rsidP="007505CB">
            <w:pPr>
              <w:spacing w:line="240" w:lineRule="auto"/>
              <w:jc w:val="center"/>
            </w:pPr>
            <w:r w:rsidRPr="00CB6B2F">
              <w:t xml:space="preserve">(„AI </w:t>
            </w:r>
            <w:proofErr w:type="spellStart"/>
            <w:r w:rsidRPr="00CB6B2F">
              <w:t>Act</w:t>
            </w:r>
            <w:proofErr w:type="spellEnd"/>
            <w:r w:rsidRPr="00CB6B2F">
              <w:t>”)</w:t>
            </w:r>
          </w:p>
          <w:p w14:paraId="6B191BA9" w14:textId="1C81EF6D" w:rsidR="007450DC" w:rsidRPr="00CB6B2F" w:rsidRDefault="007450DC" w:rsidP="007505CB">
            <w:pPr>
              <w:spacing w:line="240" w:lineRule="auto"/>
              <w:jc w:val="center"/>
            </w:pPr>
          </w:p>
          <w:p w14:paraId="0A2C5884" w14:textId="6B7D2E00" w:rsidR="007450DC" w:rsidRDefault="007450DC" w:rsidP="369C09EE">
            <w:pPr>
              <w:spacing w:line="240" w:lineRule="auto"/>
              <w:jc w:val="center"/>
            </w:pPr>
            <w:r>
              <w:t>Uwaga ogólna</w:t>
            </w:r>
          </w:p>
          <w:p w14:paraId="1D065C8C" w14:textId="77777777" w:rsidR="007450DC" w:rsidRPr="005567D2" w:rsidRDefault="007450DC" w:rsidP="007505CB">
            <w:pPr>
              <w:spacing w:line="240" w:lineRule="auto"/>
              <w:jc w:val="center"/>
            </w:pPr>
          </w:p>
        </w:tc>
        <w:tc>
          <w:tcPr>
            <w:tcW w:w="10100" w:type="dxa"/>
          </w:tcPr>
          <w:p w14:paraId="345EA2D9" w14:textId="77777777" w:rsidR="007450DC" w:rsidRPr="00C37558" w:rsidRDefault="007450DC" w:rsidP="007505CB">
            <w:pPr>
              <w:spacing w:line="240" w:lineRule="auto"/>
              <w:rPr>
                <w:rFonts w:ascii="Aptos" w:eastAsia="Aptos" w:hAnsi="Aptos" w:cs="Aptos"/>
              </w:rPr>
            </w:pPr>
            <w:r w:rsidRPr="00C37558">
              <w:rPr>
                <w:rFonts w:ascii="Aptos" w:eastAsia="Aptos" w:hAnsi="Aptos" w:cs="Aptos"/>
              </w:rPr>
              <w:lastRenderedPageBreak/>
              <w:t>Rosnąca złożoność regulacji UE tworzy niewidzialne bariery i narastające koszty dla przedsiębiorstw, w szczególności dla europejskich MŚP i start-</w:t>
            </w:r>
            <w:proofErr w:type="spellStart"/>
            <w:r w:rsidRPr="00C37558">
              <w:rPr>
                <w:rFonts w:ascii="Aptos" w:eastAsia="Aptos" w:hAnsi="Aptos" w:cs="Aptos"/>
              </w:rPr>
              <w:t>upów</w:t>
            </w:r>
            <w:proofErr w:type="spellEnd"/>
            <w:r w:rsidRPr="00C37558">
              <w:rPr>
                <w:rFonts w:ascii="Aptos" w:eastAsia="Aptos" w:hAnsi="Aptos" w:cs="Aptos"/>
              </w:rPr>
              <w:t xml:space="preserve">, które są motorem naszej gospodarki. Zamiast tworzyć nowe produkty, innowatorzy zmuszeni są przeznaczać znaczące zasoby na prawników i konsultantów </w:t>
            </w:r>
            <w:r w:rsidRPr="00C37558">
              <w:rPr>
                <w:rFonts w:ascii="Aptos" w:eastAsia="Aptos" w:hAnsi="Aptos" w:cs="Aptos"/>
              </w:rPr>
              <w:lastRenderedPageBreak/>
              <w:t xml:space="preserve">tylko po to, by ustalić, czy ich pomysł jest w ogóle zgodny z prawem. W rezultacie akt w sprawie sztucznej inteligencji (AI </w:t>
            </w:r>
            <w:proofErr w:type="spellStart"/>
            <w:r w:rsidRPr="00C37558">
              <w:rPr>
                <w:rFonts w:ascii="Aptos" w:eastAsia="Aptos" w:hAnsi="Aptos" w:cs="Aptos"/>
              </w:rPr>
              <w:t>Act</w:t>
            </w:r>
            <w:proofErr w:type="spellEnd"/>
            <w:r w:rsidRPr="00C37558">
              <w:rPr>
                <w:rFonts w:ascii="Aptos" w:eastAsia="Aptos" w:hAnsi="Aptos" w:cs="Aptos"/>
              </w:rPr>
              <w:t xml:space="preserve">) oraz inne niedawne propozycje UE grożą zagubieniem przedsiębiorców w gąszczu „spaghetti prawnego” - zrozumiałego wyłącznie dla wysoko opłacanych ekspertów. Europejskie MŚP potrzebują jasnych i funkcjonalnych tekstów, które wspierają innowacje. </w:t>
            </w:r>
          </w:p>
          <w:p w14:paraId="2D9A3F31" w14:textId="77777777" w:rsidR="007450DC" w:rsidRPr="00C37558" w:rsidRDefault="007450DC" w:rsidP="007505CB">
            <w:pPr>
              <w:spacing w:line="240" w:lineRule="auto"/>
              <w:rPr>
                <w:rFonts w:ascii="Aptos" w:eastAsia="Aptos" w:hAnsi="Aptos" w:cs="Aptos"/>
              </w:rPr>
            </w:pPr>
            <w:r w:rsidRPr="00C37558">
              <w:rPr>
                <w:rFonts w:ascii="Aptos" w:eastAsia="Aptos" w:hAnsi="Aptos" w:cs="Aptos"/>
              </w:rPr>
              <w:t xml:space="preserve">Dla porównania, konstytucje państw członkowskich UE wyrażają podstawowe zasady prostym, bezpośrednim językiem, zwięzłym, a jednocześnie koncepcyjnie klarownym. Problemem nie jest wyłącznie objętość współczesnego prawodawstwa, lecz także nawarstwienie rozmaitych warunków i wyjątków, które czynią je trudnym w interpretacji i stosowaniu. Przepisy przeplatane licznymi odesłaniami i zastrzeżeniami wymagają nawet od doświadczonych prawników wielokrotnego powrotu do tych samych fragmentów, aby w pełni zrozumieć ich znaczenie. </w:t>
            </w:r>
          </w:p>
          <w:p w14:paraId="7C7AE8B0" w14:textId="77777777" w:rsidR="007450DC" w:rsidRDefault="007450DC" w:rsidP="007505CB">
            <w:pPr>
              <w:spacing w:line="240" w:lineRule="auto"/>
              <w:rPr>
                <w:rFonts w:ascii="Aptos" w:eastAsia="Aptos" w:hAnsi="Aptos" w:cs="Aptos"/>
              </w:rPr>
            </w:pPr>
            <w:r w:rsidRPr="005567D2">
              <w:rPr>
                <w:rFonts w:ascii="Aptos" w:eastAsia="Aptos" w:hAnsi="Aptos" w:cs="Aptos"/>
              </w:rPr>
              <w:t xml:space="preserve">Ta nadmierna złożoność jest często niezamierzoną barierą wejścia na rynek. Przedsiębiorstwa mogą porzucać rozwój AI nie dlatego, że nie są w stanie tworzyć bezpiecznych produktów, lecz dlatego, że nie potrafią z wystarczającą pewnością stwierdzić, czy spełniają wymogi prawne. W praktyce taki efekt mrożący faworyzuje jedynie największych i najlepiej finansowanych graczy, podważając innowacyjność, którą Europa deklaruje wspierać. Aby temu zapobiec, AI </w:t>
            </w:r>
            <w:proofErr w:type="spellStart"/>
            <w:r w:rsidRPr="005567D2">
              <w:rPr>
                <w:rFonts w:ascii="Aptos" w:eastAsia="Aptos" w:hAnsi="Aptos" w:cs="Aptos"/>
              </w:rPr>
              <w:t>Act</w:t>
            </w:r>
            <w:proofErr w:type="spellEnd"/>
            <w:r w:rsidRPr="005567D2">
              <w:rPr>
                <w:rFonts w:ascii="Aptos" w:eastAsia="Aptos" w:hAnsi="Aptos" w:cs="Aptos"/>
              </w:rPr>
              <w:t xml:space="preserve"> oraz pozostałe akty prawne muszą zostać radykalnie uproszczone. Powinien ustanawiać jasne, proporcjonalne i rzeczywiście zrozumiałe ścieżki zgodności dla małych i średnich przedsiębiorstw, przy jednoczesnym utrzymaniu wysokich standardów ochrony praw podstawowych, które stanowią fundament tradycji konstytucyjnych państw członkowskich oraz całej Unii.</w:t>
            </w:r>
          </w:p>
          <w:p w14:paraId="5FADBE2D" w14:textId="77777777" w:rsidR="007450DC" w:rsidRDefault="007450DC" w:rsidP="007505CB">
            <w:pPr>
              <w:spacing w:line="240" w:lineRule="auto"/>
              <w:rPr>
                <w:rFonts w:ascii="Aptos" w:eastAsia="Aptos" w:hAnsi="Aptos" w:cs="Aptos"/>
              </w:rPr>
            </w:pPr>
          </w:p>
          <w:p w14:paraId="3D8F372D" w14:textId="77777777" w:rsidR="007450DC" w:rsidRPr="00660947" w:rsidRDefault="007450DC" w:rsidP="00660947">
            <w:pPr>
              <w:spacing w:line="240" w:lineRule="auto"/>
              <w:rPr>
                <w:rFonts w:ascii="Aptos" w:eastAsia="Aptos" w:hAnsi="Aptos" w:cs="Aptos"/>
              </w:rPr>
            </w:pPr>
            <w:r w:rsidRPr="00660947">
              <w:rPr>
                <w:rFonts w:ascii="Aptos" w:eastAsia="Aptos" w:hAnsi="Aptos" w:cs="Aptos"/>
              </w:rPr>
              <w:t>Rozwój modeli AI wymaga jasnych i elastycznych zasad prawa autorskiego, które umożliwiają wykorzystywanie chronionych utworów w procesie trenowania. Działalność w zakresie trenowania AI w Europie opiera się obecnie w dużej mierze na wyjątkach dotyczących eksploracji tekstów i danych (</w:t>
            </w:r>
            <w:proofErr w:type="spellStart"/>
            <w:r w:rsidRPr="00660947">
              <w:rPr>
                <w:rFonts w:ascii="Aptos" w:eastAsia="Aptos" w:hAnsi="Aptos" w:cs="Aptos"/>
                <w:i/>
                <w:iCs/>
              </w:rPr>
              <w:t>Text</w:t>
            </w:r>
            <w:proofErr w:type="spellEnd"/>
            <w:r w:rsidRPr="00660947">
              <w:rPr>
                <w:rFonts w:ascii="Aptos" w:eastAsia="Aptos" w:hAnsi="Aptos" w:cs="Aptos"/>
                <w:i/>
                <w:iCs/>
              </w:rPr>
              <w:t xml:space="preserve"> and Data </w:t>
            </w:r>
            <w:proofErr w:type="spellStart"/>
            <w:r w:rsidRPr="00660947">
              <w:rPr>
                <w:rFonts w:ascii="Aptos" w:eastAsia="Aptos" w:hAnsi="Aptos" w:cs="Aptos"/>
                <w:i/>
                <w:iCs/>
              </w:rPr>
              <w:t>Mining</w:t>
            </w:r>
            <w:proofErr w:type="spellEnd"/>
            <w:r w:rsidRPr="00660947">
              <w:rPr>
                <w:rFonts w:ascii="Aptos" w:eastAsia="Aptos" w:hAnsi="Aptos" w:cs="Aptos"/>
                <w:i/>
                <w:iCs/>
              </w:rPr>
              <w:t xml:space="preserve"> “TDM”</w:t>
            </w:r>
            <w:r w:rsidRPr="00660947">
              <w:rPr>
                <w:rFonts w:ascii="Aptos" w:eastAsia="Aptos" w:hAnsi="Aptos" w:cs="Aptos"/>
              </w:rPr>
              <w:t xml:space="preserve">), przewidzianych w art. 3 i 4 dyrektywy o prawie </w:t>
            </w:r>
          </w:p>
          <w:p w14:paraId="00F98309" w14:textId="0350465E" w:rsidR="007450DC" w:rsidRDefault="007450DC" w:rsidP="00660947">
            <w:pPr>
              <w:spacing w:line="240" w:lineRule="auto"/>
              <w:rPr>
                <w:rFonts w:ascii="Aptos" w:eastAsia="Aptos" w:hAnsi="Aptos" w:cs="Aptos"/>
              </w:rPr>
            </w:pPr>
            <w:r w:rsidRPr="00660947">
              <w:rPr>
                <w:rFonts w:ascii="Aptos" w:eastAsia="Aptos" w:hAnsi="Aptos" w:cs="Aptos"/>
              </w:rPr>
              <w:t xml:space="preserve">autorskim na jednolitym rynku cyfrowym (CDSM), które, choć nie są rozwiązaniem idealnym, to są wyważonym efektem trudnego kompromisu, zawartego w trakcie negocjowania tekstu Dyrektywy CDSM. W ostatnim czasie sytuacja ta jest jednak kwestionowana zarówno politycznie w Parlamencie Europejskim, jak i przez niektóre sądy państw członkowskich. Bez prawnej ochrony dla czynności przejściowego wykorzystania utworów chronionych prawem autorskim podczas trenowania modeli AI, wszelkie badania w tym obszarze w Europie zostaną wstrzymane lub co najmniej spowolnione. Byłaby to katastrofa o konsekwencjach znacznie poważniejszych niż obciążenia wynikające z AI </w:t>
            </w:r>
            <w:proofErr w:type="spellStart"/>
            <w:r w:rsidRPr="00660947">
              <w:rPr>
                <w:rFonts w:ascii="Aptos" w:eastAsia="Aptos" w:hAnsi="Aptos" w:cs="Aptos"/>
              </w:rPr>
              <w:t>Act</w:t>
            </w:r>
            <w:proofErr w:type="spellEnd"/>
            <w:r w:rsidRPr="00660947">
              <w:rPr>
                <w:rFonts w:ascii="Aptos" w:eastAsia="Aptos" w:hAnsi="Aptos" w:cs="Aptos"/>
              </w:rPr>
              <w:t xml:space="preserve"> i musi zostać za wszelką cenę uniknięta. Podstawa prawna rozwoju AI w UE zawarta w art. 3 i 4 dyrektywy CDSM ma fundamentalne znaczenie dla innowacji i musi być stanowczo chroniona przed wszelkimi próbami jej </w:t>
            </w:r>
            <w:r w:rsidRPr="00660947">
              <w:rPr>
                <w:rFonts w:ascii="Aptos" w:eastAsia="Aptos" w:hAnsi="Aptos" w:cs="Aptos"/>
              </w:rPr>
              <w:lastRenderedPageBreak/>
              <w:t>zawężenia lub podważenia. Ponadto przepisy te docelowo powinny zostać doprecyzowane i rozszerzone tak, aby zapewnić stabilną, paneuropejską podstawę prawną dla wszystkich form trenowania AI w całej UE, która byłaby konkurencyjna w stosunku do innych jurysdykcji i nie zachęcała do przenoszenia działalności badawczo-rozwojowej poza UE</w:t>
            </w:r>
            <w:r>
              <w:rPr>
                <w:rFonts w:ascii="Aptos" w:eastAsia="Aptos" w:hAnsi="Aptos" w:cs="Aptos"/>
              </w:rPr>
              <w:t>.</w:t>
            </w:r>
          </w:p>
          <w:p w14:paraId="18191B50" w14:textId="241568E7" w:rsidR="007450DC" w:rsidRPr="005168FB" w:rsidRDefault="007450DC" w:rsidP="007505CB">
            <w:pPr>
              <w:spacing w:line="240" w:lineRule="auto"/>
              <w:rPr>
                <w:rFonts w:ascii="Aptos" w:eastAsia="Aptos" w:hAnsi="Aptos" w:cs="Aptos"/>
              </w:rPr>
            </w:pPr>
          </w:p>
        </w:tc>
      </w:tr>
      <w:tr w:rsidR="007450DC" w:rsidRPr="00167A27" w14:paraId="51114521" w14:textId="77777777" w:rsidTr="007450DC">
        <w:trPr>
          <w:trHeight w:val="300"/>
        </w:trPr>
        <w:tc>
          <w:tcPr>
            <w:tcW w:w="1602" w:type="dxa"/>
          </w:tcPr>
          <w:p w14:paraId="011A930D" w14:textId="77777777" w:rsidR="007450DC" w:rsidRPr="005567D2" w:rsidRDefault="007450DC" w:rsidP="007505CB">
            <w:pPr>
              <w:spacing w:line="240" w:lineRule="auto"/>
            </w:pPr>
          </w:p>
        </w:tc>
        <w:tc>
          <w:tcPr>
            <w:tcW w:w="1768" w:type="dxa"/>
          </w:tcPr>
          <w:p w14:paraId="73880122" w14:textId="158597A0" w:rsidR="007450DC" w:rsidRPr="005567D2" w:rsidRDefault="007450DC" w:rsidP="007505CB">
            <w:pPr>
              <w:spacing w:line="240" w:lineRule="auto"/>
              <w:jc w:val="center"/>
            </w:pPr>
            <w:r>
              <w:t>Amerykańska Izba Handlowa w Polsce</w:t>
            </w:r>
          </w:p>
        </w:tc>
        <w:tc>
          <w:tcPr>
            <w:tcW w:w="2265" w:type="dxa"/>
          </w:tcPr>
          <w:p w14:paraId="2C41FD9B" w14:textId="5F6E7405" w:rsidR="007450DC" w:rsidRDefault="007450DC" w:rsidP="369C09EE">
            <w:pPr>
              <w:spacing w:line="240" w:lineRule="auto"/>
              <w:jc w:val="center"/>
            </w:pPr>
            <w:r>
              <w:t xml:space="preserve">Rozporządzenie 2024/1689 </w:t>
            </w:r>
          </w:p>
          <w:p w14:paraId="0C1A9E8E" w14:textId="2B4F5885" w:rsidR="007450DC" w:rsidRPr="00CB6B2F" w:rsidRDefault="007450DC" w:rsidP="00FC3CB8">
            <w:pPr>
              <w:spacing w:line="240" w:lineRule="auto"/>
              <w:jc w:val="center"/>
            </w:pPr>
            <w:r w:rsidRPr="00CB6B2F">
              <w:t xml:space="preserve">(„AI </w:t>
            </w:r>
            <w:proofErr w:type="spellStart"/>
            <w:r w:rsidRPr="00CB6B2F">
              <w:t>Act</w:t>
            </w:r>
            <w:proofErr w:type="spellEnd"/>
            <w:r w:rsidRPr="00CB6B2F">
              <w:t>”)</w:t>
            </w:r>
          </w:p>
          <w:p w14:paraId="0DA137B5" w14:textId="6D9EA966" w:rsidR="007450DC" w:rsidRPr="00CB6B2F" w:rsidRDefault="007450DC" w:rsidP="00FC3CB8">
            <w:pPr>
              <w:spacing w:line="240" w:lineRule="auto"/>
              <w:jc w:val="center"/>
            </w:pPr>
          </w:p>
          <w:p w14:paraId="43A06406" w14:textId="25A8D53E" w:rsidR="007450DC" w:rsidRPr="00CB6B2F" w:rsidRDefault="007450DC" w:rsidP="007505CB">
            <w:pPr>
              <w:spacing w:line="240" w:lineRule="auto"/>
              <w:jc w:val="center"/>
            </w:pPr>
            <w:r>
              <w:t>Uwaga ogólna</w:t>
            </w:r>
          </w:p>
        </w:tc>
        <w:tc>
          <w:tcPr>
            <w:tcW w:w="10100" w:type="dxa"/>
          </w:tcPr>
          <w:p w14:paraId="29EBD1F5" w14:textId="5B4A9FD8" w:rsidR="007450DC" w:rsidRPr="00555A63" w:rsidRDefault="007450DC" w:rsidP="00555A63">
            <w:pPr>
              <w:spacing w:line="240" w:lineRule="auto"/>
              <w:rPr>
                <w:rFonts w:ascii="Aptos" w:eastAsia="Aptos" w:hAnsi="Aptos" w:cs="Aptos"/>
                <w:lang w:val="en-GB"/>
              </w:rPr>
            </w:pPr>
            <w:r w:rsidRPr="00167A27">
              <w:rPr>
                <w:rFonts w:ascii="Aptos" w:eastAsia="Aptos" w:hAnsi="Aptos" w:cs="Aptos"/>
                <w:lang w:val="en-GB"/>
              </w:rPr>
              <w:t>Postponing only the High-Risk regime in the AI Act acknowledges implementation pressures</w:t>
            </w:r>
            <w:r>
              <w:rPr>
                <w:rFonts w:ascii="Aptos" w:eastAsia="Aptos" w:hAnsi="Aptos" w:cs="Aptos"/>
                <w:lang w:val="en-GB"/>
              </w:rPr>
              <w:t xml:space="preserve"> </w:t>
            </w:r>
            <w:r w:rsidRPr="00167A27">
              <w:rPr>
                <w:rFonts w:ascii="Aptos" w:eastAsia="Aptos" w:hAnsi="Aptos" w:cs="Aptos"/>
                <w:lang w:val="en-GB"/>
              </w:rPr>
              <w:t>but fails to address the broader compliance burden and persistent legal uncertainty for</w:t>
            </w:r>
            <w:r>
              <w:rPr>
                <w:rFonts w:ascii="Aptos" w:eastAsia="Aptos" w:hAnsi="Aptos" w:cs="Aptos"/>
                <w:lang w:val="en-GB"/>
              </w:rPr>
              <w:t xml:space="preserve"> </w:t>
            </w:r>
            <w:r w:rsidRPr="00167A27">
              <w:rPr>
                <w:rFonts w:ascii="Aptos" w:eastAsia="Aptos" w:hAnsi="Aptos" w:cs="Aptos"/>
                <w:lang w:val="en-GB"/>
              </w:rPr>
              <w:t>businesses in the EU. These challenges extend beyond High-Risk systems to GPAIM</w:t>
            </w:r>
            <w:r>
              <w:rPr>
                <w:rFonts w:ascii="Aptos" w:eastAsia="Aptos" w:hAnsi="Aptos" w:cs="Aptos"/>
                <w:lang w:val="en-GB"/>
              </w:rPr>
              <w:t xml:space="preserve"> </w:t>
            </w:r>
            <w:r w:rsidRPr="00555A63">
              <w:rPr>
                <w:rFonts w:ascii="Aptos" w:eastAsia="Aptos" w:hAnsi="Aptos" w:cs="Aptos"/>
                <w:lang w:val="en-GB"/>
              </w:rPr>
              <w:t>provisions, where the rules blur the line between model development and system use,</w:t>
            </w:r>
            <w:r>
              <w:rPr>
                <w:rFonts w:ascii="Aptos" w:eastAsia="Aptos" w:hAnsi="Aptos" w:cs="Aptos"/>
                <w:lang w:val="en-GB"/>
              </w:rPr>
              <w:t xml:space="preserve"> </w:t>
            </w:r>
            <w:r w:rsidRPr="00555A63">
              <w:rPr>
                <w:rFonts w:ascii="Aptos" w:eastAsia="Aptos" w:hAnsi="Aptos" w:cs="Aptos"/>
                <w:lang w:val="en-GB"/>
              </w:rPr>
              <w:t>diverging from the principle that risk should be managed at the point of use.</w:t>
            </w:r>
          </w:p>
          <w:p w14:paraId="17E98AB3" w14:textId="77777777" w:rsidR="007450DC" w:rsidRPr="00555A63" w:rsidRDefault="007450DC" w:rsidP="00555A63">
            <w:pPr>
              <w:spacing w:line="240" w:lineRule="auto"/>
              <w:rPr>
                <w:rFonts w:ascii="Aptos" w:eastAsia="Aptos" w:hAnsi="Aptos" w:cs="Aptos"/>
                <w:lang w:val="en-GB"/>
              </w:rPr>
            </w:pPr>
          </w:p>
          <w:p w14:paraId="4D579382" w14:textId="717E5DBD" w:rsidR="007450DC" w:rsidRPr="00555A63" w:rsidRDefault="007450DC" w:rsidP="00555A63">
            <w:pPr>
              <w:spacing w:line="240" w:lineRule="auto"/>
              <w:rPr>
                <w:rFonts w:ascii="Aptos" w:eastAsia="Aptos" w:hAnsi="Aptos" w:cs="Aptos"/>
                <w:lang w:val="en-GB"/>
              </w:rPr>
            </w:pPr>
            <w:r w:rsidRPr="00555A63">
              <w:rPr>
                <w:rFonts w:ascii="Aptos" w:eastAsia="Aptos" w:hAnsi="Aptos" w:cs="Aptos"/>
                <w:lang w:val="en-GB"/>
              </w:rPr>
              <w:t>Limiting the postponement of the AI Act to the High-Risk regime risks undermining the</w:t>
            </w:r>
            <w:r>
              <w:rPr>
                <w:rFonts w:ascii="Aptos" w:eastAsia="Aptos" w:hAnsi="Aptos" w:cs="Aptos"/>
                <w:lang w:val="en-GB"/>
              </w:rPr>
              <w:t xml:space="preserve"> </w:t>
            </w:r>
            <w:r w:rsidRPr="00555A63">
              <w:rPr>
                <w:rFonts w:ascii="Aptos" w:eastAsia="Aptos" w:hAnsi="Aptos" w:cs="Aptos"/>
                <w:lang w:val="en-GB"/>
              </w:rPr>
              <w:t>effectiveness of the legislative process and missing the goal of comprehensive regulation.</w:t>
            </w:r>
            <w:r>
              <w:rPr>
                <w:rFonts w:ascii="Aptos" w:eastAsia="Aptos" w:hAnsi="Aptos" w:cs="Aptos"/>
                <w:lang w:val="en-GB"/>
              </w:rPr>
              <w:t xml:space="preserve"> </w:t>
            </w:r>
            <w:r w:rsidRPr="00555A63">
              <w:rPr>
                <w:rFonts w:ascii="Aptos" w:eastAsia="Aptos" w:hAnsi="Aptos" w:cs="Aptos"/>
                <w:lang w:val="en-GB"/>
              </w:rPr>
              <w:t>Extending the grace period to GPAIM provisions is essential for legal certainty and a truly</w:t>
            </w:r>
          </w:p>
          <w:p w14:paraId="33C2BF5D" w14:textId="62E3FA22" w:rsidR="007450DC" w:rsidRPr="00555A63" w:rsidRDefault="007450DC" w:rsidP="00555A63">
            <w:pPr>
              <w:spacing w:line="240" w:lineRule="auto"/>
              <w:rPr>
                <w:rFonts w:ascii="Aptos" w:eastAsia="Aptos" w:hAnsi="Aptos" w:cs="Aptos"/>
              </w:rPr>
            </w:pPr>
            <w:proofErr w:type="spellStart"/>
            <w:r w:rsidRPr="00555A63">
              <w:rPr>
                <w:rFonts w:ascii="Aptos" w:eastAsia="Aptos" w:hAnsi="Aptos" w:cs="Aptos"/>
              </w:rPr>
              <w:t>risk-based</w:t>
            </w:r>
            <w:proofErr w:type="spellEnd"/>
            <w:r w:rsidRPr="00555A63">
              <w:rPr>
                <w:rFonts w:ascii="Aptos" w:eastAsia="Aptos" w:hAnsi="Aptos" w:cs="Aptos"/>
              </w:rPr>
              <w:t xml:space="preserve"> </w:t>
            </w:r>
            <w:proofErr w:type="spellStart"/>
            <w:r w:rsidRPr="00555A63">
              <w:rPr>
                <w:rFonts w:ascii="Aptos" w:eastAsia="Aptos" w:hAnsi="Aptos" w:cs="Aptos"/>
              </w:rPr>
              <w:t>approach</w:t>
            </w:r>
            <w:proofErr w:type="spellEnd"/>
            <w:r w:rsidRPr="00555A63">
              <w:rPr>
                <w:rFonts w:ascii="Aptos" w:eastAsia="Aptos" w:hAnsi="Aptos" w:cs="Aptos"/>
              </w:rPr>
              <w:t>.</w:t>
            </w:r>
          </w:p>
          <w:p w14:paraId="19B3C853" w14:textId="77777777" w:rsidR="007450DC" w:rsidRPr="00555A63" w:rsidRDefault="007450DC" w:rsidP="00555A63">
            <w:pPr>
              <w:spacing w:line="240" w:lineRule="auto"/>
              <w:rPr>
                <w:rFonts w:ascii="Aptos" w:eastAsia="Aptos" w:hAnsi="Aptos" w:cs="Aptos"/>
              </w:rPr>
            </w:pPr>
          </w:p>
          <w:p w14:paraId="23370BBC" w14:textId="77777777" w:rsidR="007450DC" w:rsidRDefault="007450DC" w:rsidP="007505CB">
            <w:pPr>
              <w:spacing w:line="240" w:lineRule="auto"/>
              <w:rPr>
                <w:rFonts w:ascii="Aptos" w:eastAsia="Aptos" w:hAnsi="Aptos" w:cs="Aptos"/>
                <w:lang w:val="en-GB"/>
              </w:rPr>
            </w:pPr>
            <w:r w:rsidRPr="00555A63">
              <w:rPr>
                <w:rFonts w:ascii="Aptos" w:eastAsia="Aptos" w:hAnsi="Aptos" w:cs="Aptos"/>
                <w:lang w:val="en-GB"/>
              </w:rPr>
              <w:t>The current GPAIM framework conflates model development with system deployment,</w:t>
            </w:r>
            <w:r>
              <w:rPr>
                <w:rFonts w:ascii="Aptos" w:eastAsia="Aptos" w:hAnsi="Aptos" w:cs="Aptos"/>
                <w:lang w:val="en-GB"/>
              </w:rPr>
              <w:t xml:space="preserve"> </w:t>
            </w:r>
            <w:r w:rsidRPr="00555A63">
              <w:rPr>
                <w:rFonts w:ascii="Aptos" w:eastAsia="Aptos" w:hAnsi="Aptos" w:cs="Aptos"/>
                <w:lang w:val="en-GB"/>
              </w:rPr>
              <w:t>complicating risk management and threatening regulatory stability. As such, the omnibus</w:t>
            </w:r>
            <w:r w:rsidRPr="00532691">
              <w:rPr>
                <w:rFonts w:ascii="Aptos" w:eastAsia="Aptos" w:hAnsi="Aptos" w:cs="Aptos"/>
                <w:lang w:val="en-GB"/>
              </w:rPr>
              <w:t xml:space="preserve"> </w:t>
            </w:r>
            <w:r w:rsidRPr="00555A63">
              <w:rPr>
                <w:rFonts w:ascii="Aptos" w:eastAsia="Aptos" w:hAnsi="Aptos" w:cs="Aptos"/>
                <w:lang w:val="en-GB"/>
              </w:rPr>
              <w:t>needs to broaden the grace period to also include the start of enforcement of the GPAIM rules</w:t>
            </w:r>
            <w:r w:rsidRPr="00532691">
              <w:rPr>
                <w:rFonts w:ascii="Aptos" w:eastAsia="Aptos" w:hAnsi="Aptos" w:cs="Aptos"/>
                <w:lang w:val="en-GB"/>
              </w:rPr>
              <w:t xml:space="preserve"> </w:t>
            </w:r>
            <w:r w:rsidRPr="00555A63">
              <w:rPr>
                <w:rFonts w:ascii="Aptos" w:eastAsia="Aptos" w:hAnsi="Aptos" w:cs="Aptos"/>
                <w:lang w:val="en-GB"/>
              </w:rPr>
              <w:t>to ensure consistency. Only through such decisive action can the AI Act achieve its objectives</w:t>
            </w:r>
            <w:r w:rsidRPr="00532691">
              <w:rPr>
                <w:rFonts w:ascii="Aptos" w:eastAsia="Aptos" w:hAnsi="Aptos" w:cs="Aptos"/>
                <w:lang w:val="en-GB"/>
              </w:rPr>
              <w:t xml:space="preserve"> without stifling innovation or hindering the development and deployment of transformative AI technologies in the EU.</w:t>
            </w:r>
          </w:p>
          <w:p w14:paraId="7B2A0421" w14:textId="18EFEECC" w:rsidR="007450DC" w:rsidRPr="00167A27" w:rsidRDefault="007450DC" w:rsidP="007505CB">
            <w:pPr>
              <w:spacing w:line="240" w:lineRule="auto"/>
              <w:rPr>
                <w:rFonts w:ascii="Aptos" w:eastAsia="Aptos" w:hAnsi="Aptos" w:cs="Aptos"/>
                <w:lang w:val="en-GB"/>
              </w:rPr>
            </w:pPr>
          </w:p>
        </w:tc>
      </w:tr>
      <w:tr w:rsidR="007450DC" w:rsidRPr="005168FB" w14:paraId="0C688EAF" w14:textId="77777777" w:rsidTr="007450DC">
        <w:trPr>
          <w:trHeight w:val="300"/>
        </w:trPr>
        <w:tc>
          <w:tcPr>
            <w:tcW w:w="1602" w:type="dxa"/>
          </w:tcPr>
          <w:p w14:paraId="5514F883" w14:textId="28BB89E4" w:rsidR="007450DC" w:rsidRPr="00167A27" w:rsidRDefault="007450DC" w:rsidP="007505CB">
            <w:pPr>
              <w:spacing w:line="240" w:lineRule="auto"/>
              <w:rPr>
                <w:lang w:val="en-GB"/>
              </w:rPr>
            </w:pPr>
          </w:p>
        </w:tc>
        <w:tc>
          <w:tcPr>
            <w:tcW w:w="1768" w:type="dxa"/>
          </w:tcPr>
          <w:p w14:paraId="0DC550BB" w14:textId="1A08184E" w:rsidR="007450DC" w:rsidRPr="005567D2" w:rsidRDefault="007450DC" w:rsidP="007505CB">
            <w:pPr>
              <w:spacing w:line="240" w:lineRule="auto"/>
              <w:jc w:val="center"/>
            </w:pPr>
            <w:r w:rsidRPr="005567D2">
              <w:t>Meta</w:t>
            </w:r>
          </w:p>
        </w:tc>
        <w:tc>
          <w:tcPr>
            <w:tcW w:w="2265" w:type="dxa"/>
          </w:tcPr>
          <w:p w14:paraId="4828A42A" w14:textId="46AE76D4" w:rsidR="007450DC" w:rsidRDefault="007450DC" w:rsidP="369C09EE">
            <w:pPr>
              <w:spacing w:line="240" w:lineRule="auto"/>
              <w:jc w:val="center"/>
            </w:pPr>
            <w:r>
              <w:t xml:space="preserve">Rozporządzenie 2024/1689 </w:t>
            </w:r>
          </w:p>
          <w:p w14:paraId="1103FB04" w14:textId="7B276C67" w:rsidR="007450DC" w:rsidRPr="00CB6B2F" w:rsidRDefault="007450DC" w:rsidP="007505CB">
            <w:pPr>
              <w:spacing w:line="240" w:lineRule="auto"/>
              <w:jc w:val="center"/>
            </w:pPr>
            <w:r w:rsidRPr="00CB6B2F">
              <w:t xml:space="preserve">(„AI </w:t>
            </w:r>
            <w:proofErr w:type="spellStart"/>
            <w:r w:rsidRPr="00CB6B2F">
              <w:t>Act</w:t>
            </w:r>
            <w:proofErr w:type="spellEnd"/>
            <w:r w:rsidRPr="00CB6B2F">
              <w:t>”)</w:t>
            </w:r>
          </w:p>
          <w:p w14:paraId="52322266" w14:textId="68B4A0DE" w:rsidR="007450DC" w:rsidRPr="00CB6B2F" w:rsidRDefault="007450DC" w:rsidP="007505CB">
            <w:pPr>
              <w:spacing w:line="240" w:lineRule="auto"/>
              <w:jc w:val="center"/>
            </w:pPr>
          </w:p>
          <w:p w14:paraId="57E4146D" w14:textId="0044B291" w:rsidR="007450DC" w:rsidRPr="005567D2" w:rsidRDefault="007450DC" w:rsidP="007505CB">
            <w:pPr>
              <w:spacing w:line="240" w:lineRule="auto"/>
              <w:jc w:val="center"/>
            </w:pPr>
            <w:r>
              <w:t>Uwaga ogólna</w:t>
            </w:r>
          </w:p>
        </w:tc>
        <w:tc>
          <w:tcPr>
            <w:tcW w:w="10100" w:type="dxa"/>
          </w:tcPr>
          <w:p w14:paraId="16988F9C" w14:textId="10CBC190" w:rsidR="007450DC" w:rsidRPr="005567D2" w:rsidRDefault="007450DC" w:rsidP="007505CB">
            <w:pPr>
              <w:spacing w:line="240" w:lineRule="auto"/>
              <w:rPr>
                <w:rFonts w:ascii="Aptos" w:eastAsia="Aptos" w:hAnsi="Aptos" w:cs="Aptos"/>
                <w:lang w:val="en-US"/>
              </w:rPr>
            </w:pPr>
            <w:r w:rsidRPr="005567D2">
              <w:rPr>
                <w:rFonts w:ascii="Aptos" w:eastAsia="Aptos" w:hAnsi="Aptos" w:cs="Aptos"/>
                <w:lang w:val="en-US"/>
              </w:rPr>
              <w:t>The Omnibus report on the AI Act falls short of delivering the regulatory clarity and competitive edge Europe urgently needs. While there are some steps forward - like expanding the legal basis for bias mitigation, creating a more centralized enforcement regime, and introducing a transitional period for high-risk compliance - these tweaks don’t address the bigger picture. Uncertainty and fragmented timelines persist, and the opportunity to set a truly forward-looking framework is being missed.</w:t>
            </w:r>
          </w:p>
          <w:p w14:paraId="46F68CC5" w14:textId="3E7C8459" w:rsidR="007450DC" w:rsidRPr="005567D2" w:rsidRDefault="007450DC" w:rsidP="007505CB">
            <w:pPr>
              <w:spacing w:line="240" w:lineRule="auto"/>
              <w:rPr>
                <w:rFonts w:ascii="Aptos" w:eastAsia="Aptos" w:hAnsi="Aptos" w:cs="Aptos"/>
                <w:lang w:val="en-US"/>
              </w:rPr>
            </w:pPr>
            <w:r w:rsidRPr="005567D2">
              <w:rPr>
                <w:rFonts w:ascii="Aptos" w:eastAsia="Aptos" w:hAnsi="Aptos" w:cs="Aptos"/>
                <w:lang w:val="en-US"/>
              </w:rPr>
              <w:t>Delaying parts of the High-Risk regime is a nod to implementation pressure, but it doesn’t solve the wider compliance burden or the lack of legal certainty facing businesses. These challenges aren’t limited to high-risk systems; they run through the entire AI Act, especially the rules for General Purpose AI Models (GPAIM).</w:t>
            </w:r>
          </w:p>
          <w:p w14:paraId="4FCB187C" w14:textId="49F6DAF8" w:rsidR="007450DC" w:rsidRPr="005567D2" w:rsidRDefault="007450DC" w:rsidP="007505CB">
            <w:pPr>
              <w:spacing w:line="240" w:lineRule="auto"/>
              <w:rPr>
                <w:rFonts w:ascii="Aptos" w:eastAsia="Aptos" w:hAnsi="Aptos" w:cs="Aptos"/>
                <w:lang w:val="en-US"/>
              </w:rPr>
            </w:pPr>
            <w:r w:rsidRPr="005567D2">
              <w:rPr>
                <w:rFonts w:ascii="Aptos" w:eastAsia="Aptos" w:hAnsi="Aptos" w:cs="Aptos"/>
                <w:lang w:val="en-US"/>
              </w:rPr>
              <w:lastRenderedPageBreak/>
              <w:t>Crucially, EU and national regulators still don’t have a clear mandate to promote innovation. Without that, Europe risks piling up obligations that deter investment and slow the path from research excellence to world-class products, services, and jobs.</w:t>
            </w:r>
          </w:p>
          <w:p w14:paraId="3700832D" w14:textId="77777777" w:rsidR="007450DC" w:rsidRDefault="007450DC" w:rsidP="007505CB">
            <w:pPr>
              <w:spacing w:line="240" w:lineRule="auto"/>
              <w:rPr>
                <w:rFonts w:ascii="Aptos" w:eastAsia="Aptos" w:hAnsi="Aptos" w:cs="Aptos"/>
                <w:lang w:val="en-US"/>
              </w:rPr>
            </w:pPr>
            <w:r w:rsidRPr="005567D2">
              <w:rPr>
                <w:rFonts w:ascii="Aptos" w:eastAsia="Aptos" w:hAnsi="Aptos" w:cs="Aptos"/>
                <w:lang w:val="en-US"/>
              </w:rPr>
              <w:t>A ‘Stop the clock’ on the AI Act as a whole, is needed to address these issues head-on and give Europe the chance to get this legislation right for competitiveness and growth.</w:t>
            </w:r>
          </w:p>
          <w:p w14:paraId="4B4C3CB5" w14:textId="22A72C61" w:rsidR="007450DC" w:rsidRPr="005168FB" w:rsidRDefault="007450DC" w:rsidP="007505CB">
            <w:pPr>
              <w:spacing w:line="240" w:lineRule="auto"/>
              <w:rPr>
                <w:rFonts w:ascii="Aptos" w:eastAsia="Aptos" w:hAnsi="Aptos" w:cs="Aptos"/>
                <w:lang w:val="en-US"/>
              </w:rPr>
            </w:pPr>
          </w:p>
        </w:tc>
      </w:tr>
      <w:tr w:rsidR="007450DC" w:rsidRPr="005567D2" w14:paraId="582AB055" w14:textId="77777777" w:rsidTr="007450DC">
        <w:trPr>
          <w:trHeight w:val="300"/>
        </w:trPr>
        <w:tc>
          <w:tcPr>
            <w:tcW w:w="1602" w:type="dxa"/>
          </w:tcPr>
          <w:p w14:paraId="23495F6A" w14:textId="710A7F14" w:rsidR="007450DC" w:rsidRPr="005168FB" w:rsidRDefault="007450DC" w:rsidP="007505CB">
            <w:pPr>
              <w:spacing w:line="240" w:lineRule="auto"/>
              <w:rPr>
                <w:lang w:val="en-GB"/>
              </w:rPr>
            </w:pPr>
          </w:p>
        </w:tc>
        <w:tc>
          <w:tcPr>
            <w:tcW w:w="1768" w:type="dxa"/>
          </w:tcPr>
          <w:p w14:paraId="4A3D1BD5" w14:textId="0CA5BA3D" w:rsidR="007450DC" w:rsidRPr="005567D2" w:rsidRDefault="007450DC" w:rsidP="007505CB">
            <w:pPr>
              <w:spacing w:line="240" w:lineRule="auto"/>
              <w:jc w:val="center"/>
              <w:rPr>
                <w:rFonts w:ascii="Aptos" w:eastAsia="Aptos" w:hAnsi="Aptos" w:cs="Aptos"/>
              </w:rPr>
            </w:pPr>
            <w:r w:rsidRPr="005567D2">
              <w:rPr>
                <w:rFonts w:ascii="Aptos" w:eastAsia="Aptos" w:hAnsi="Aptos" w:cs="Aptos"/>
                <w:color w:val="000000" w:themeColor="text1"/>
              </w:rPr>
              <w:t>Polska Izba Informatyki i Telekomunikacji (PIIT)</w:t>
            </w:r>
          </w:p>
        </w:tc>
        <w:tc>
          <w:tcPr>
            <w:tcW w:w="2265" w:type="dxa"/>
          </w:tcPr>
          <w:p w14:paraId="4E35C245" w14:textId="7A400C93" w:rsidR="007450DC" w:rsidRDefault="007450DC" w:rsidP="369C09EE">
            <w:pPr>
              <w:spacing w:line="240" w:lineRule="auto"/>
              <w:jc w:val="center"/>
            </w:pPr>
            <w:r>
              <w:t xml:space="preserve">Rozporządzenie 2024/1689 </w:t>
            </w:r>
          </w:p>
          <w:p w14:paraId="64E33FE3" w14:textId="7587937B"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6602CE62" w14:textId="46672825" w:rsidR="007450DC" w:rsidRPr="005567D2" w:rsidRDefault="007450DC" w:rsidP="007505CB">
            <w:pPr>
              <w:spacing w:line="240" w:lineRule="auto"/>
              <w:jc w:val="center"/>
            </w:pPr>
          </w:p>
          <w:p w14:paraId="25F620FA" w14:textId="03FA2F85" w:rsidR="007450DC" w:rsidRPr="005567D2" w:rsidRDefault="007450DC" w:rsidP="007505CB">
            <w:pPr>
              <w:spacing w:line="240" w:lineRule="auto"/>
              <w:jc w:val="center"/>
            </w:pPr>
            <w:r>
              <w:t>Uwaga ogólna</w:t>
            </w:r>
          </w:p>
        </w:tc>
        <w:tc>
          <w:tcPr>
            <w:tcW w:w="10100" w:type="dxa"/>
          </w:tcPr>
          <w:p w14:paraId="46771709" w14:textId="12A36643" w:rsidR="007450DC" w:rsidRPr="005567D2" w:rsidRDefault="007450DC" w:rsidP="007505CB">
            <w:pPr>
              <w:spacing w:line="240" w:lineRule="auto"/>
            </w:pPr>
            <w:r w:rsidRPr="005567D2">
              <w:t>Co do zasady popieramy wszelkie inicjatywy zmierzające do ograniczenia obciążeń nakładanych na przedsiębiorców rozwijających lub wdrażających sztuczną inteligencję. Jednakże proponowane zmiany generują po stronie przedsiębiorców dodatkową niepewność. Nie wiadomo bowiem, czy proponowane zmiany zostaną przyjęte przed wejściem w życie wymagań dotyczących systemów AI wysokiego ryzyka. Dodatkowo projekt nowego harmonogramu – zakładający np. opóźnienie we wdrażaniu obowiązków o 6 miesięcy dla niektórych systemów, a o 12 miesięcy dla innych – wprowadza niepotrzebne komplikacje. Znacznie łatwiej byłoby, gdyby zarówno dla systemów z Załącznika I, jak i Załącznika III okres ten wynosił 12 miesięcy. Niemniej, aby proponowane zmiany wprowadzały rzeczywiste ułatwienia dla przedsiębiorców, proces legislacyjny musi przebiegać bardzo sprawnie i w szybkim tempie.</w:t>
            </w:r>
          </w:p>
          <w:p w14:paraId="2AE82E70" w14:textId="57E0823D" w:rsidR="007450DC" w:rsidRPr="005567D2" w:rsidRDefault="007450DC" w:rsidP="007505CB">
            <w:pPr>
              <w:spacing w:line="240" w:lineRule="auto"/>
            </w:pPr>
            <w:r w:rsidRPr="005567D2">
              <w:t>W obszarze obowiązków regulacyjnych wobec przedsiębiorstw korzystających z GPAI warto rozważyć deregulację przede wszystkim tam, gdzie przepisy nakładają na użytkowników wtórnych de facto obowiązki, które powinny spoczywać na dostawcach modeli. Przedsiębiorstwa, które jedynie integrują lub wykorzystują gotowy model GPAI w swoich procesach, nie powinny być obciążane rozbudowanymi wymogami transparentności, technicznej dokumentacji modelu, audytów danych treningowych czy szczegółowych analiz wpływu na prawa podstawowe – to obszary, do których mają realny dostęp i wiedzę przede wszystkim twórcy GPAI. Użytkownik końcowy, bez względu na jego miejsce w łańcuchu podmiotów, do których adresowany jest AI ACT, powinien mieć uproszczone obowiązki oparte na zasadzie korzystania zgodnie z przeznaczeniem i udostępnioną dokumentacją zamiast powielać kontrole i analizy wykonane już na poziomie dostawcy.</w:t>
            </w:r>
          </w:p>
          <w:p w14:paraId="28373B7E" w14:textId="77777777" w:rsidR="007450DC" w:rsidRDefault="007450DC" w:rsidP="007505CB">
            <w:pPr>
              <w:spacing w:line="240" w:lineRule="auto"/>
            </w:pPr>
            <w:r w:rsidRPr="005567D2">
              <w:t xml:space="preserve">ograniczenie nadmiernie sformalizowanych wymogów zgłaszanego i raportowanego ryzyka w przypadkach, gdy przedsiębiorstwo wykorzystuje GPAI do zastosowań o niskim wpływie na prawa podstawowe i bezpieczeństwo (np. wsparcie wewnętrzne w pisaniu notatek, organizacji zadań, analityce pomocniczej). Zamiast wymagać od przedsiębiorstw stosujących technologię wielostronicowych ocen ryzyka, rejestrów, procedur eskalacji i stałego raportowania, można zastosować progi zwalniające lub lekkie, szablonowe wymogi dla zastosowań niskiego ryzyka. Takie podejście pozwoliłoby przedsiębiorstwom technologicznym skupić zasoby na realnym bezpieczeństwie i etycznym wdrożeniu narzędzi AI, zamiast na biurokratycznym spełnianiu obowiązków, przy jednoczesnym zachowaniu pełnej </w:t>
            </w:r>
            <w:r w:rsidRPr="005567D2">
              <w:lastRenderedPageBreak/>
              <w:t>surowości wobec podmiotów rozwijających i udostępniających potężne modele GPAI wykorzystywane w zastosowaniach wysokiego ryzyka.</w:t>
            </w:r>
          </w:p>
          <w:p w14:paraId="69EBB54F" w14:textId="02900FE1" w:rsidR="007450DC" w:rsidRPr="005567D2" w:rsidRDefault="007450DC" w:rsidP="007505CB">
            <w:pPr>
              <w:spacing w:line="240" w:lineRule="auto"/>
            </w:pPr>
          </w:p>
        </w:tc>
      </w:tr>
      <w:tr w:rsidR="007450DC" w:rsidRPr="005567D2" w14:paraId="16D493E0" w14:textId="77777777" w:rsidTr="007450DC">
        <w:trPr>
          <w:trHeight w:val="300"/>
        </w:trPr>
        <w:tc>
          <w:tcPr>
            <w:tcW w:w="1602" w:type="dxa"/>
          </w:tcPr>
          <w:p w14:paraId="5E25D14E" w14:textId="38F983E0" w:rsidR="007450DC" w:rsidRPr="005567D2" w:rsidRDefault="007450DC" w:rsidP="007505CB">
            <w:pPr>
              <w:pStyle w:val="Akapitzlist"/>
              <w:spacing w:line="240" w:lineRule="auto"/>
              <w:rPr>
                <w:sz w:val="22"/>
                <w:szCs w:val="22"/>
              </w:rPr>
            </w:pPr>
          </w:p>
        </w:tc>
        <w:tc>
          <w:tcPr>
            <w:tcW w:w="1768" w:type="dxa"/>
          </w:tcPr>
          <w:p w14:paraId="577576C1" w14:textId="11BB1542" w:rsidR="007450DC" w:rsidRPr="005567D2" w:rsidRDefault="007450DC" w:rsidP="007505CB">
            <w:pPr>
              <w:spacing w:line="240" w:lineRule="auto"/>
              <w:jc w:val="center"/>
              <w:rPr>
                <w:rFonts w:ascii="Aptos" w:eastAsia="Aptos" w:hAnsi="Aptos" w:cs="Aptos"/>
                <w:color w:val="000000" w:themeColor="text1"/>
              </w:rPr>
            </w:pPr>
            <w:r w:rsidRPr="005567D2">
              <w:rPr>
                <w:rFonts w:ascii="Aptos" w:eastAsia="Aptos" w:hAnsi="Aptos" w:cs="Aptos"/>
                <w:color w:val="000000" w:themeColor="text1"/>
              </w:rPr>
              <w:t>ZAIKS</w:t>
            </w:r>
          </w:p>
        </w:tc>
        <w:tc>
          <w:tcPr>
            <w:tcW w:w="2265" w:type="dxa"/>
          </w:tcPr>
          <w:p w14:paraId="668D9847" w14:textId="0F2EB4F7" w:rsidR="007450DC" w:rsidRPr="005567D2" w:rsidRDefault="007450DC" w:rsidP="007505CB">
            <w:pPr>
              <w:spacing w:line="240" w:lineRule="auto"/>
              <w:jc w:val="center"/>
            </w:pPr>
            <w:r>
              <w:t xml:space="preserve">Rozporządzenie 2024/1689 </w:t>
            </w:r>
          </w:p>
          <w:p w14:paraId="0238F1C5" w14:textId="2B6F3658"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6F697821" w14:textId="11BB0C59" w:rsidR="007450DC" w:rsidRPr="005567D2" w:rsidRDefault="007450DC" w:rsidP="007505CB">
            <w:pPr>
              <w:spacing w:line="240" w:lineRule="auto"/>
              <w:jc w:val="center"/>
            </w:pPr>
          </w:p>
          <w:p w14:paraId="5EFC2262" w14:textId="20F13F05" w:rsidR="007450DC" w:rsidRPr="005567D2" w:rsidRDefault="007450DC" w:rsidP="007505CB">
            <w:pPr>
              <w:spacing w:line="240" w:lineRule="auto"/>
              <w:jc w:val="center"/>
            </w:pPr>
            <w:r>
              <w:t xml:space="preserve">Uwaga ogólna  </w:t>
            </w:r>
          </w:p>
        </w:tc>
        <w:tc>
          <w:tcPr>
            <w:tcW w:w="10100" w:type="dxa"/>
          </w:tcPr>
          <w:p w14:paraId="4F043A15" w14:textId="04891841" w:rsidR="007450DC" w:rsidRPr="005567D2" w:rsidRDefault="007450DC" w:rsidP="007505CB">
            <w:pPr>
              <w:spacing w:line="240" w:lineRule="auto"/>
            </w:pPr>
            <w:r w:rsidRPr="005567D2">
              <w:t>Z rozczarowaniem przyjmujemy brak działań ze strony Komisji</w:t>
            </w:r>
          </w:p>
          <w:p w14:paraId="0928E86B" w14:textId="77777777" w:rsidR="007450DC" w:rsidRDefault="007450DC" w:rsidP="007505CB">
            <w:pPr>
              <w:spacing w:line="240" w:lineRule="auto"/>
            </w:pPr>
            <w:r w:rsidRPr="005567D2">
              <w:t>Europejskiej zmierzających do zapewnienia odpowiedniego poziomu ochrony praw autorów i artystów, których twórczość nieprzerwanie od lat bezprawnie wykorzystywana jest przez dostawców technologii generatywnej Al na potrzeby trenowania i udoskonalania oferowanych przez nich narzędzi.</w:t>
            </w:r>
          </w:p>
          <w:p w14:paraId="4C08BCE7" w14:textId="42F1531C" w:rsidR="007450DC" w:rsidRPr="005567D2" w:rsidRDefault="007450DC" w:rsidP="007505CB">
            <w:pPr>
              <w:spacing w:line="240" w:lineRule="auto"/>
            </w:pPr>
          </w:p>
        </w:tc>
      </w:tr>
      <w:tr w:rsidR="007450DC" w:rsidRPr="005567D2" w14:paraId="202EAC31" w14:textId="77777777" w:rsidTr="007450DC">
        <w:trPr>
          <w:trHeight w:val="300"/>
        </w:trPr>
        <w:tc>
          <w:tcPr>
            <w:tcW w:w="1602" w:type="dxa"/>
          </w:tcPr>
          <w:p w14:paraId="2237FA42" w14:textId="52330CA0" w:rsidR="007450DC" w:rsidRPr="005567D2" w:rsidRDefault="007450DC" w:rsidP="007505CB">
            <w:pPr>
              <w:pStyle w:val="Akapitzlist"/>
              <w:spacing w:line="240" w:lineRule="auto"/>
              <w:rPr>
                <w:sz w:val="22"/>
                <w:szCs w:val="22"/>
              </w:rPr>
            </w:pPr>
          </w:p>
        </w:tc>
        <w:tc>
          <w:tcPr>
            <w:tcW w:w="1768" w:type="dxa"/>
          </w:tcPr>
          <w:p w14:paraId="1D5ABEA2" w14:textId="5D6897B2" w:rsidR="007450DC" w:rsidRPr="005567D2" w:rsidRDefault="007450DC" w:rsidP="007505CB">
            <w:pPr>
              <w:spacing w:line="240" w:lineRule="auto"/>
              <w:jc w:val="center"/>
              <w:rPr>
                <w:rFonts w:ascii="Aptos" w:eastAsia="Aptos" w:hAnsi="Aptos" w:cs="Aptos"/>
                <w:color w:val="000000" w:themeColor="text1"/>
              </w:rPr>
            </w:pPr>
            <w:r w:rsidRPr="005567D2">
              <w:rPr>
                <w:rFonts w:ascii="Aptos" w:eastAsia="Aptos" w:hAnsi="Aptos" w:cs="Aptos"/>
                <w:color w:val="000000" w:themeColor="text1"/>
              </w:rPr>
              <w:t>e-izba</w:t>
            </w:r>
          </w:p>
        </w:tc>
        <w:tc>
          <w:tcPr>
            <w:tcW w:w="2265" w:type="dxa"/>
          </w:tcPr>
          <w:p w14:paraId="79E956BD" w14:textId="7A0F6D75" w:rsidR="007450DC" w:rsidRDefault="007450DC" w:rsidP="369C09EE">
            <w:pPr>
              <w:spacing w:line="240" w:lineRule="auto"/>
              <w:jc w:val="center"/>
            </w:pPr>
            <w:r>
              <w:t xml:space="preserve">Rozporządzenie 2024/1689 </w:t>
            </w:r>
          </w:p>
          <w:p w14:paraId="720CB769" w14:textId="72796987"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61D28A55" w14:textId="16190C4C" w:rsidR="007450DC" w:rsidRPr="005567D2" w:rsidRDefault="007450DC" w:rsidP="007505CB">
            <w:pPr>
              <w:spacing w:line="240" w:lineRule="auto"/>
              <w:jc w:val="center"/>
            </w:pPr>
          </w:p>
          <w:p w14:paraId="2D8D2FE0" w14:textId="5461EB60" w:rsidR="007450DC" w:rsidRDefault="007450DC" w:rsidP="369C09EE">
            <w:pPr>
              <w:spacing w:line="240" w:lineRule="auto"/>
              <w:jc w:val="center"/>
            </w:pPr>
            <w:r>
              <w:t>Uwaga ogólna</w:t>
            </w:r>
          </w:p>
          <w:p w14:paraId="32C3E73C" w14:textId="265C786B" w:rsidR="007450DC" w:rsidRPr="005567D2" w:rsidRDefault="007450DC" w:rsidP="007505CB">
            <w:pPr>
              <w:spacing w:line="240" w:lineRule="auto"/>
              <w:jc w:val="center"/>
            </w:pPr>
          </w:p>
        </w:tc>
        <w:tc>
          <w:tcPr>
            <w:tcW w:w="10100" w:type="dxa"/>
          </w:tcPr>
          <w:p w14:paraId="15743DCD" w14:textId="31CB2AEE" w:rsidR="007450DC" w:rsidRPr="005567D2" w:rsidRDefault="007450DC" w:rsidP="007505CB">
            <w:pPr>
              <w:spacing w:line="240" w:lineRule="auto"/>
            </w:pPr>
            <w:r w:rsidRPr="005567D2">
              <w:t>Wdrożenie Aktu o AI w kontekście biznesowym jest obecnie utrudnione przez znaczną niepewność regulacyjną, często zmuszającą firmy do podejmowania ryzykownych założeń. Kluczowe definicje – takie jak definicja AI czy „istotna ogólność ogólnego modelu AI” – są zbyt niejasne. Ponadto niektóre przepisy, np. wymóg mierzenia liczby FLOPS wykorzystanych do trenowania modelu w przypadku modeli dostrajanych, są nierealistyczne i w praktyce niemożliwe do wiarygodnego wdrożenia w całej branży.</w:t>
            </w:r>
          </w:p>
          <w:p w14:paraId="49AC3077" w14:textId="60469DE2" w:rsidR="007450DC" w:rsidRPr="005567D2" w:rsidRDefault="007450DC" w:rsidP="007505CB">
            <w:pPr>
              <w:spacing w:line="240" w:lineRule="auto"/>
            </w:pPr>
            <w:r w:rsidRPr="005567D2">
              <w:t>Niejasności te wzmacniają wewnętrzne niespójności rozporządzenia, w którym deklarowane cele regulacyjne rozmijają się z faktycznym brzmieniem przepisów lub z towarzyszącymi im oficjalnymi wytycznymi (np. sugestia, że model jednomodalny może być uznany za model ogólny). Tego rodzaju niepewność, połączona z opóźnieniami we wdrażaniu oraz potencjalnymi różnicami w implementacji krajowej w poszczególnych państwach UE, znacząco utrudnia planowanie strategiczne i operacyjne dużym przedsiębiorstwom międzynarodowym. Aby uniknąć sytuacji, w której obecne brzmienie przepisów przypadkowo blokowałoby działalność biznesową lub sprzyjało niezamierzonej niezgodności, wszystkie definicje i obowiązki powinny zostać uproszczone i jednoznacznie doprecyzowane. W szczególności warto rozważyć usunięcie nadmiernie szczegółowych kryteriów trudnych do pomiaru lub egzekwowania, zwłaszcza tych dotyczących ryzyka systemowego. Co równie istotne, wszystkie przepisy oraz oficjalne materiały wyjaśniające muszą być spójne, a przejrzysta, wiążąca mapa drogowa wdrażania powinna zostać jasno opublikowana i konsekwentnie przestrzegana przez instytucje nadzorcze. Tylko w ten sposób przedsiębiorcy będą mogli działać w stabilnym otoczeniu regulacyjnym i skutecznie zapewniać zgodność z przepisami.</w:t>
            </w:r>
          </w:p>
        </w:tc>
      </w:tr>
      <w:tr w:rsidR="007450DC" w:rsidRPr="00104DEC" w14:paraId="41A056A7" w14:textId="77777777" w:rsidTr="007450DC">
        <w:trPr>
          <w:trHeight w:val="300"/>
        </w:trPr>
        <w:tc>
          <w:tcPr>
            <w:tcW w:w="1602" w:type="dxa"/>
          </w:tcPr>
          <w:p w14:paraId="6C385BB1" w14:textId="77777777" w:rsidR="007450DC" w:rsidRPr="005567D2" w:rsidRDefault="007450DC" w:rsidP="007505CB">
            <w:pPr>
              <w:pStyle w:val="Akapitzlist"/>
              <w:spacing w:line="240" w:lineRule="auto"/>
              <w:rPr>
                <w:sz w:val="22"/>
                <w:szCs w:val="22"/>
              </w:rPr>
            </w:pPr>
          </w:p>
        </w:tc>
        <w:tc>
          <w:tcPr>
            <w:tcW w:w="1768" w:type="dxa"/>
          </w:tcPr>
          <w:p w14:paraId="492289D0" w14:textId="56612C97" w:rsidR="007450DC" w:rsidRPr="005567D2" w:rsidRDefault="007450DC" w:rsidP="007505CB">
            <w:pPr>
              <w:spacing w:line="240" w:lineRule="auto"/>
              <w:jc w:val="center"/>
              <w:rPr>
                <w:rFonts w:ascii="Aptos" w:eastAsia="Aptos" w:hAnsi="Aptos" w:cs="Aptos"/>
                <w:color w:val="000000" w:themeColor="text1"/>
              </w:rPr>
            </w:pPr>
            <w:r>
              <w:rPr>
                <w:rFonts w:ascii="Aptos" w:eastAsia="Aptos" w:hAnsi="Aptos" w:cs="Aptos"/>
                <w:color w:val="000000" w:themeColor="text1"/>
              </w:rPr>
              <w:t>Amerykańska Izba Handlowa w Polsce</w:t>
            </w:r>
          </w:p>
        </w:tc>
        <w:tc>
          <w:tcPr>
            <w:tcW w:w="2265" w:type="dxa"/>
          </w:tcPr>
          <w:p w14:paraId="74DD0D87" w14:textId="23E78390" w:rsidR="007450DC" w:rsidRDefault="007450DC" w:rsidP="369C09EE">
            <w:pPr>
              <w:spacing w:line="240" w:lineRule="auto"/>
              <w:jc w:val="center"/>
            </w:pPr>
            <w:r>
              <w:t xml:space="preserve">Rozporządzenie 2024/1689 </w:t>
            </w:r>
          </w:p>
          <w:p w14:paraId="1FD8146B" w14:textId="2CDA46B1" w:rsidR="007450DC" w:rsidRDefault="007450DC" w:rsidP="369C09EE">
            <w:pPr>
              <w:spacing w:line="240" w:lineRule="auto"/>
              <w:jc w:val="center"/>
            </w:pPr>
            <w:r>
              <w:t xml:space="preserve">(„AI </w:t>
            </w:r>
            <w:proofErr w:type="spellStart"/>
            <w:r>
              <w:t>Act</w:t>
            </w:r>
            <w:proofErr w:type="spellEnd"/>
            <w:r>
              <w:t>”)</w:t>
            </w:r>
          </w:p>
          <w:p w14:paraId="2977042F" w14:textId="10FABF41" w:rsidR="007450DC" w:rsidRDefault="007450DC" w:rsidP="369C09EE">
            <w:pPr>
              <w:spacing w:line="240" w:lineRule="auto"/>
              <w:jc w:val="center"/>
            </w:pPr>
          </w:p>
          <w:p w14:paraId="4D0DDBC9" w14:textId="757A0FA9" w:rsidR="007450DC" w:rsidRPr="005567D2" w:rsidRDefault="007450DC" w:rsidP="007505CB">
            <w:pPr>
              <w:spacing w:line="240" w:lineRule="auto"/>
              <w:jc w:val="center"/>
            </w:pPr>
            <w:r>
              <w:t>Uwaga ogólna</w:t>
            </w:r>
          </w:p>
        </w:tc>
        <w:tc>
          <w:tcPr>
            <w:tcW w:w="10100" w:type="dxa"/>
          </w:tcPr>
          <w:p w14:paraId="14218D0A" w14:textId="77777777" w:rsidR="007450DC" w:rsidRDefault="007450DC" w:rsidP="003233A3">
            <w:pPr>
              <w:spacing w:line="240" w:lineRule="auto"/>
              <w:rPr>
                <w:lang w:val="en-GB"/>
              </w:rPr>
            </w:pPr>
            <w:r w:rsidRPr="369C09EE">
              <w:rPr>
                <w:lang w:val="en-GB"/>
              </w:rPr>
              <w:t xml:space="preserve">Allowing providers to submit a single interoperable notification that is automatically routed to the relevant authorities and national market-surveillance authorities (MSAs) would prevent up to 27 parallel investigations and inconsistent or uninformed queries. It can also offer clear efficiency and oversight benefits for governments and national authorities. By routing notifications through a single-entry point with national CSIRTs docked in, authorities can more easily identify cross-sectoral trends, detect cross-border risks, and coordinate responses. This approach also eliminates the need for Member States to </w:t>
            </w:r>
            <w:r w:rsidRPr="369C09EE">
              <w:rPr>
                <w:lang w:val="en-GB"/>
              </w:rPr>
              <w:lastRenderedPageBreak/>
              <w:t xml:space="preserve">manually disambiguate overlapping legislative requirements and accelerates information-sharing between various cyber, AI, and product-safety regulators. Over time, it could support a more coherent understanding of emerging risks, including clarifying the boundary between </w:t>
            </w:r>
            <w:proofErr w:type="spellStart"/>
            <w:r w:rsidRPr="369C09EE">
              <w:rPr>
                <w:lang w:val="en-GB"/>
              </w:rPr>
              <w:t>modellevel</w:t>
            </w:r>
            <w:proofErr w:type="spellEnd"/>
            <w:r w:rsidRPr="369C09EE">
              <w:rPr>
                <w:lang w:val="en-GB"/>
              </w:rPr>
              <w:t xml:space="preserve"> and system-level incidents.</w:t>
            </w:r>
          </w:p>
          <w:p w14:paraId="27B58517" w14:textId="3E797FF7" w:rsidR="007450DC" w:rsidRPr="003233A3" w:rsidRDefault="007450DC" w:rsidP="003233A3">
            <w:pPr>
              <w:spacing w:line="240" w:lineRule="auto"/>
              <w:rPr>
                <w:lang w:val="en-GB"/>
              </w:rPr>
            </w:pPr>
          </w:p>
        </w:tc>
      </w:tr>
      <w:tr w:rsidR="007450DC" w:rsidRPr="005567D2" w14:paraId="2EDDC300" w14:textId="77777777" w:rsidTr="007450DC">
        <w:trPr>
          <w:trHeight w:val="300"/>
        </w:trPr>
        <w:tc>
          <w:tcPr>
            <w:tcW w:w="1602" w:type="dxa"/>
          </w:tcPr>
          <w:p w14:paraId="3073B9D2" w14:textId="77777777" w:rsidR="007450DC" w:rsidRPr="00104DEC" w:rsidRDefault="007450DC" w:rsidP="007505CB">
            <w:pPr>
              <w:pStyle w:val="Akapitzlist"/>
              <w:spacing w:line="240" w:lineRule="auto"/>
              <w:ind w:left="1080"/>
              <w:rPr>
                <w:sz w:val="22"/>
                <w:szCs w:val="22"/>
                <w:lang w:val="en-GB"/>
              </w:rPr>
            </w:pPr>
          </w:p>
        </w:tc>
        <w:tc>
          <w:tcPr>
            <w:tcW w:w="1768" w:type="dxa"/>
          </w:tcPr>
          <w:p w14:paraId="62AC85C7" w14:textId="77777777" w:rsidR="007450DC" w:rsidRPr="00104DEC" w:rsidRDefault="007450DC" w:rsidP="007505CB">
            <w:pPr>
              <w:spacing w:line="240" w:lineRule="auto"/>
              <w:jc w:val="center"/>
              <w:rPr>
                <w:rFonts w:ascii="Aptos" w:eastAsia="Aptos" w:hAnsi="Aptos" w:cs="Aptos"/>
                <w:color w:val="000000" w:themeColor="text1"/>
                <w:lang w:val="en-GB"/>
              </w:rPr>
            </w:pPr>
          </w:p>
        </w:tc>
        <w:tc>
          <w:tcPr>
            <w:tcW w:w="2265" w:type="dxa"/>
          </w:tcPr>
          <w:p w14:paraId="47FAEB52" w14:textId="0B59C374" w:rsidR="007450DC" w:rsidRDefault="007450DC" w:rsidP="369C09EE">
            <w:pPr>
              <w:spacing w:line="240" w:lineRule="auto"/>
              <w:jc w:val="center"/>
            </w:pPr>
            <w:r>
              <w:t xml:space="preserve">Rozporządzenie 2024/1689 </w:t>
            </w:r>
          </w:p>
          <w:p w14:paraId="79DB50F2" w14:textId="548C59A5" w:rsidR="007450DC" w:rsidRPr="005567D2" w:rsidRDefault="007450DC" w:rsidP="00275363">
            <w:pPr>
              <w:spacing w:line="240" w:lineRule="auto"/>
              <w:jc w:val="center"/>
            </w:pPr>
            <w:r w:rsidRPr="005567D2">
              <w:t xml:space="preserve">(„AI </w:t>
            </w:r>
            <w:proofErr w:type="spellStart"/>
            <w:r w:rsidRPr="005567D2">
              <w:t>Act</w:t>
            </w:r>
            <w:proofErr w:type="spellEnd"/>
            <w:r w:rsidRPr="005567D2">
              <w:t>”)</w:t>
            </w:r>
          </w:p>
          <w:p w14:paraId="020704F5" w14:textId="7FE735F7" w:rsidR="007450DC" w:rsidRPr="005567D2" w:rsidRDefault="007450DC" w:rsidP="00275363">
            <w:pPr>
              <w:spacing w:line="240" w:lineRule="auto"/>
              <w:jc w:val="center"/>
            </w:pPr>
          </w:p>
          <w:p w14:paraId="0DA4BE0A" w14:textId="2E8E681D" w:rsidR="007450DC" w:rsidRPr="005567D2" w:rsidRDefault="007450DC" w:rsidP="00275363">
            <w:pPr>
              <w:spacing w:line="240" w:lineRule="auto"/>
              <w:jc w:val="center"/>
            </w:pPr>
            <w:r>
              <w:t>Art. 49 par. 2</w:t>
            </w:r>
          </w:p>
          <w:p w14:paraId="0F9510FE" w14:textId="77777777" w:rsidR="007450DC" w:rsidRPr="005567D2" w:rsidRDefault="007450DC" w:rsidP="007505CB">
            <w:pPr>
              <w:spacing w:line="240" w:lineRule="auto"/>
              <w:jc w:val="center"/>
            </w:pPr>
          </w:p>
        </w:tc>
        <w:tc>
          <w:tcPr>
            <w:tcW w:w="10100" w:type="dxa"/>
          </w:tcPr>
          <w:p w14:paraId="2AA6C843" w14:textId="27F15F75" w:rsidR="007450DC" w:rsidRPr="00275363" w:rsidRDefault="007450DC" w:rsidP="00275363">
            <w:pPr>
              <w:spacing w:line="240" w:lineRule="auto"/>
            </w:pPr>
            <w:r>
              <w:t xml:space="preserve">Brak obowiązku zgłaszania systemu, jeśli jego dostawca uzna, że system „nie stwarza znaczącego ryzyka szkody dla zdrowia, bezpieczeństwa lub praw podstawowych”, mimo że podpada pod Aneks III AI </w:t>
            </w:r>
            <w:proofErr w:type="spellStart"/>
            <w:r>
              <w:t>Act</w:t>
            </w:r>
            <w:proofErr w:type="spellEnd"/>
            <w:r>
              <w:t xml:space="preserve"> (tj. listę obszarów wysokiego ryzyka).</w:t>
            </w:r>
          </w:p>
          <w:p w14:paraId="511F8123" w14:textId="77777777" w:rsidR="007450DC" w:rsidRDefault="007450DC" w:rsidP="00275363">
            <w:pPr>
              <w:spacing w:line="240" w:lineRule="auto"/>
            </w:pPr>
            <w:r w:rsidRPr="00275363">
              <w:t xml:space="preserve">Obecnie w takim przypadku AI </w:t>
            </w:r>
            <w:proofErr w:type="spellStart"/>
            <w:r w:rsidRPr="00275363">
              <w:t>Act</w:t>
            </w:r>
            <w:proofErr w:type="spellEnd"/>
            <w:r w:rsidRPr="00275363">
              <w:t xml:space="preserve"> zobowiązuje dostawcę do rejestrowania systemu w unijnej bazie. Chodzi o to, żeby organy nadzorcze mogły taki przypadek wyłapać i zbadać. Usunięcie tego obowiązku stworzy lukę pozwalającą dostawcom systemów AI omijać nadzór i unikać transparentności. Organy nadzorcze dowiedzą się o istnieniu takich systemów dopiero w przypadku skargi lub ujawnionego incydentu. W efekcie systemy naruszające prawa człowieka mogą trafić na rynek bez jakiejkolwiek wcześniejszej kontroli, zwiększając ryzyko dyskryminacji, błędnych decyzji i naruszeń prywatności.</w:t>
            </w:r>
          </w:p>
          <w:p w14:paraId="64B990C0" w14:textId="51018B91" w:rsidR="007450DC" w:rsidRPr="005567D2" w:rsidRDefault="007450DC" w:rsidP="00275363">
            <w:pPr>
              <w:spacing w:line="240" w:lineRule="auto"/>
            </w:pPr>
          </w:p>
        </w:tc>
      </w:tr>
      <w:tr w:rsidR="007450DC" w:rsidRPr="00D93B4D" w14:paraId="15932B3A" w14:textId="77777777" w:rsidTr="007450DC">
        <w:trPr>
          <w:trHeight w:val="300"/>
        </w:trPr>
        <w:tc>
          <w:tcPr>
            <w:tcW w:w="1602" w:type="dxa"/>
          </w:tcPr>
          <w:p w14:paraId="5552D312" w14:textId="77777777" w:rsidR="007450DC" w:rsidRPr="005567D2" w:rsidRDefault="007450DC" w:rsidP="007505CB">
            <w:pPr>
              <w:pStyle w:val="Akapitzlist"/>
              <w:spacing w:line="240" w:lineRule="auto"/>
              <w:ind w:left="1080"/>
              <w:rPr>
                <w:sz w:val="22"/>
                <w:szCs w:val="22"/>
              </w:rPr>
            </w:pPr>
          </w:p>
        </w:tc>
        <w:tc>
          <w:tcPr>
            <w:tcW w:w="1768" w:type="dxa"/>
          </w:tcPr>
          <w:p w14:paraId="65782F2E" w14:textId="4D9C302B" w:rsidR="007450DC" w:rsidRPr="005567D2" w:rsidRDefault="007450DC" w:rsidP="007505CB">
            <w:pPr>
              <w:spacing w:line="240" w:lineRule="auto"/>
              <w:jc w:val="center"/>
              <w:rPr>
                <w:rFonts w:ascii="Aptos" w:eastAsia="Aptos" w:hAnsi="Aptos" w:cs="Aptos"/>
                <w:color w:val="000000" w:themeColor="text1"/>
              </w:rPr>
            </w:pPr>
            <w:r>
              <w:rPr>
                <w:rFonts w:ascii="Aptos" w:eastAsia="Aptos" w:hAnsi="Aptos" w:cs="Aptos"/>
                <w:color w:val="000000" w:themeColor="text1"/>
              </w:rPr>
              <w:t>Amerykańska Izba Handlowa w Polsce</w:t>
            </w:r>
          </w:p>
        </w:tc>
        <w:tc>
          <w:tcPr>
            <w:tcW w:w="2265" w:type="dxa"/>
          </w:tcPr>
          <w:p w14:paraId="3C58D3D3" w14:textId="77777777" w:rsidR="007450DC" w:rsidRPr="005567D2" w:rsidRDefault="007450DC" w:rsidP="002A15D7">
            <w:pPr>
              <w:spacing w:line="240" w:lineRule="auto"/>
              <w:jc w:val="center"/>
            </w:pPr>
            <w:r w:rsidRPr="005567D2">
              <w:t>Rozporządzenie 2024/1689</w:t>
            </w:r>
          </w:p>
          <w:p w14:paraId="36C30A5D" w14:textId="77777777" w:rsidR="007450DC" w:rsidRPr="005567D2" w:rsidRDefault="007450DC" w:rsidP="002A15D7">
            <w:pPr>
              <w:spacing w:line="240" w:lineRule="auto"/>
              <w:jc w:val="center"/>
            </w:pPr>
            <w:r w:rsidRPr="005567D2">
              <w:t xml:space="preserve">(„AI </w:t>
            </w:r>
            <w:proofErr w:type="spellStart"/>
            <w:r w:rsidRPr="005567D2">
              <w:t>Act</w:t>
            </w:r>
            <w:proofErr w:type="spellEnd"/>
            <w:r w:rsidRPr="005567D2">
              <w:t>”)</w:t>
            </w:r>
          </w:p>
          <w:p w14:paraId="73715AEA" w14:textId="77777777" w:rsidR="007450DC" w:rsidRPr="005567D2" w:rsidRDefault="007450DC" w:rsidP="002A15D7">
            <w:pPr>
              <w:spacing w:line="240" w:lineRule="auto"/>
              <w:jc w:val="center"/>
            </w:pPr>
          </w:p>
          <w:p w14:paraId="5EB9A7A3" w14:textId="5DA32D25" w:rsidR="007450DC" w:rsidRPr="005567D2" w:rsidRDefault="007450DC" w:rsidP="002A15D7">
            <w:pPr>
              <w:spacing w:line="240" w:lineRule="auto"/>
              <w:jc w:val="center"/>
            </w:pPr>
            <w:r>
              <w:t>Art. 1</w:t>
            </w:r>
          </w:p>
          <w:p w14:paraId="4EB6E927" w14:textId="77777777" w:rsidR="007450DC" w:rsidRPr="005567D2" w:rsidRDefault="007450DC" w:rsidP="007505CB">
            <w:pPr>
              <w:spacing w:line="240" w:lineRule="auto"/>
              <w:jc w:val="center"/>
            </w:pPr>
          </w:p>
        </w:tc>
        <w:tc>
          <w:tcPr>
            <w:tcW w:w="10100" w:type="dxa"/>
          </w:tcPr>
          <w:p w14:paraId="539A161E" w14:textId="77777777" w:rsidR="007450DC" w:rsidRDefault="007450DC" w:rsidP="00D93B4D">
            <w:pPr>
              <w:spacing w:line="240" w:lineRule="auto"/>
              <w:rPr>
                <w:lang w:val="en-GB"/>
              </w:rPr>
            </w:pPr>
            <w:r w:rsidRPr="00D93B4D">
              <w:rPr>
                <w:lang w:val="en-GB"/>
              </w:rPr>
              <w:t>Even if the Omnibus proposal takes one step towards a more centralized approach to the AI</w:t>
            </w:r>
            <w:r>
              <w:rPr>
                <w:lang w:val="en-GB"/>
              </w:rPr>
              <w:t xml:space="preserve"> </w:t>
            </w:r>
            <w:r w:rsidRPr="00D93B4D">
              <w:rPr>
                <w:lang w:val="en-GB"/>
              </w:rPr>
              <w:t>Act, it fails to provide a clear mandate for regulators at both EU and national levels to actively</w:t>
            </w:r>
            <w:r>
              <w:rPr>
                <w:lang w:val="en-GB"/>
              </w:rPr>
              <w:t xml:space="preserve"> </w:t>
            </w:r>
            <w:r w:rsidRPr="00D93B4D">
              <w:rPr>
                <w:lang w:val="en-GB"/>
              </w:rPr>
              <w:t>promote innovation. This omission means that no digital regulator, including national</w:t>
            </w:r>
            <w:r>
              <w:rPr>
                <w:lang w:val="en-GB"/>
              </w:rPr>
              <w:t xml:space="preserve"> </w:t>
            </w:r>
            <w:r w:rsidRPr="00D93B4D">
              <w:rPr>
                <w:lang w:val="en-GB"/>
              </w:rPr>
              <w:t>competent authorities, is explicitly tasked with fostering innovation. While Article 1</w:t>
            </w:r>
            <w:r>
              <w:rPr>
                <w:lang w:val="en-GB"/>
              </w:rPr>
              <w:t xml:space="preserve"> </w:t>
            </w:r>
            <w:r w:rsidRPr="00D93B4D">
              <w:rPr>
                <w:lang w:val="en-GB"/>
              </w:rPr>
              <w:t>emphasizes the importance of human-centric and trustworthy AI, this objective is not</w:t>
            </w:r>
            <w:r>
              <w:rPr>
                <w:lang w:val="en-GB"/>
              </w:rPr>
              <w:t xml:space="preserve"> </w:t>
            </w:r>
            <w:r w:rsidRPr="00D93B4D">
              <w:rPr>
                <w:lang w:val="en-GB"/>
              </w:rPr>
              <w:t>adequately reflected in the mandates or competencies of regulatory bodies. Without a</w:t>
            </w:r>
            <w:r>
              <w:rPr>
                <w:lang w:val="en-GB"/>
              </w:rPr>
              <w:t xml:space="preserve"> </w:t>
            </w:r>
            <w:r w:rsidRPr="00D93B4D">
              <w:rPr>
                <w:lang w:val="en-GB"/>
              </w:rPr>
              <w:t>dedicated innovation mandate, the Act risks inconsistent</w:t>
            </w:r>
            <w:r>
              <w:rPr>
                <w:lang w:val="en-GB"/>
              </w:rPr>
              <w:t xml:space="preserve"> </w:t>
            </w:r>
            <w:r w:rsidRPr="00D93B4D">
              <w:rPr>
                <w:lang w:val="en-GB"/>
              </w:rPr>
              <w:t>interpretation and regulatory</w:t>
            </w:r>
            <w:r>
              <w:rPr>
                <w:lang w:val="en-GB"/>
              </w:rPr>
              <w:t xml:space="preserve"> </w:t>
            </w:r>
            <w:r w:rsidRPr="00D93B4D">
              <w:rPr>
                <w:lang w:val="en-GB"/>
              </w:rPr>
              <w:t>fragmentation, undermining effective implementation and impeding the EU’s global</w:t>
            </w:r>
            <w:r>
              <w:rPr>
                <w:lang w:val="en-GB"/>
              </w:rPr>
              <w:t xml:space="preserve"> </w:t>
            </w:r>
            <w:r w:rsidRPr="00D93B4D">
              <w:rPr>
                <w:lang w:val="en-GB"/>
              </w:rPr>
              <w:t>competitiveness in AI. To advance investment, innovation, and sustainable growth, digital</w:t>
            </w:r>
            <w:r>
              <w:rPr>
                <w:lang w:val="en-GB"/>
              </w:rPr>
              <w:t xml:space="preserve"> </w:t>
            </w:r>
            <w:r w:rsidRPr="00D93B4D">
              <w:rPr>
                <w:lang w:val="en-GB"/>
              </w:rPr>
              <w:t>regulators must be unified in their mission to create a stable and forward-looking environment.</w:t>
            </w:r>
          </w:p>
          <w:p w14:paraId="5A1B5728" w14:textId="637B3ABA" w:rsidR="007450DC" w:rsidRPr="00D93B4D" w:rsidRDefault="007450DC" w:rsidP="00D93B4D">
            <w:pPr>
              <w:spacing w:line="240" w:lineRule="auto"/>
              <w:rPr>
                <w:lang w:val="en-GB"/>
              </w:rPr>
            </w:pPr>
          </w:p>
        </w:tc>
      </w:tr>
      <w:tr w:rsidR="007450DC" w:rsidRPr="00B87EDA" w14:paraId="1CDA51E7" w14:textId="77777777" w:rsidTr="007450DC">
        <w:trPr>
          <w:trHeight w:val="300"/>
        </w:trPr>
        <w:tc>
          <w:tcPr>
            <w:tcW w:w="1602" w:type="dxa"/>
          </w:tcPr>
          <w:p w14:paraId="598F542B" w14:textId="77777777" w:rsidR="007450DC" w:rsidRPr="00D93B4D" w:rsidRDefault="007450DC" w:rsidP="007505CB">
            <w:pPr>
              <w:pStyle w:val="Akapitzlist"/>
              <w:spacing w:line="240" w:lineRule="auto"/>
              <w:ind w:left="1080"/>
              <w:rPr>
                <w:sz w:val="22"/>
                <w:szCs w:val="22"/>
                <w:lang w:val="en-GB"/>
              </w:rPr>
            </w:pPr>
          </w:p>
        </w:tc>
        <w:tc>
          <w:tcPr>
            <w:tcW w:w="1768" w:type="dxa"/>
          </w:tcPr>
          <w:p w14:paraId="6A9CE6FC" w14:textId="6812E8AA" w:rsidR="007450DC" w:rsidRPr="005567D2" w:rsidRDefault="007450DC" w:rsidP="007505CB">
            <w:pPr>
              <w:spacing w:line="240" w:lineRule="auto"/>
              <w:jc w:val="center"/>
              <w:rPr>
                <w:rFonts w:ascii="Aptos" w:eastAsia="Aptos" w:hAnsi="Aptos" w:cs="Aptos"/>
                <w:color w:val="000000" w:themeColor="text1"/>
              </w:rPr>
            </w:pPr>
            <w:r>
              <w:rPr>
                <w:rFonts w:ascii="Aptos" w:eastAsia="Aptos" w:hAnsi="Aptos" w:cs="Aptos"/>
                <w:color w:val="000000" w:themeColor="text1"/>
              </w:rPr>
              <w:t>Amerykańska Izba Handlowa w Polsce</w:t>
            </w:r>
          </w:p>
        </w:tc>
        <w:tc>
          <w:tcPr>
            <w:tcW w:w="2265" w:type="dxa"/>
          </w:tcPr>
          <w:p w14:paraId="28330296" w14:textId="77777777" w:rsidR="007450DC" w:rsidRPr="005567D2" w:rsidRDefault="007450DC" w:rsidP="002A15D7">
            <w:pPr>
              <w:spacing w:line="240" w:lineRule="auto"/>
              <w:jc w:val="center"/>
            </w:pPr>
            <w:r w:rsidRPr="005567D2">
              <w:t>Rozporządzenie 2024/1689</w:t>
            </w:r>
          </w:p>
          <w:p w14:paraId="47F7074A" w14:textId="77777777" w:rsidR="007450DC" w:rsidRPr="005567D2" w:rsidRDefault="007450DC" w:rsidP="002A15D7">
            <w:pPr>
              <w:spacing w:line="240" w:lineRule="auto"/>
              <w:jc w:val="center"/>
            </w:pPr>
            <w:r w:rsidRPr="005567D2">
              <w:t xml:space="preserve">(„AI </w:t>
            </w:r>
            <w:proofErr w:type="spellStart"/>
            <w:r w:rsidRPr="005567D2">
              <w:t>Act</w:t>
            </w:r>
            <w:proofErr w:type="spellEnd"/>
            <w:r w:rsidRPr="005567D2">
              <w:t>”)</w:t>
            </w:r>
          </w:p>
          <w:p w14:paraId="6ADF70B5" w14:textId="77777777" w:rsidR="007450DC" w:rsidRPr="005567D2" w:rsidRDefault="007450DC" w:rsidP="002A15D7">
            <w:pPr>
              <w:spacing w:line="240" w:lineRule="auto"/>
              <w:jc w:val="center"/>
            </w:pPr>
          </w:p>
          <w:p w14:paraId="18F3ACE4" w14:textId="59092B1B" w:rsidR="007450DC" w:rsidRPr="005567D2" w:rsidRDefault="007450DC" w:rsidP="002A15D7">
            <w:pPr>
              <w:spacing w:line="240" w:lineRule="auto"/>
              <w:jc w:val="center"/>
            </w:pPr>
            <w:r>
              <w:t>Art. 4</w:t>
            </w:r>
          </w:p>
          <w:p w14:paraId="20564AEF" w14:textId="77777777" w:rsidR="007450DC" w:rsidRPr="002A15D7" w:rsidRDefault="007450DC" w:rsidP="007505CB">
            <w:pPr>
              <w:spacing w:line="240" w:lineRule="auto"/>
              <w:jc w:val="center"/>
              <w:rPr>
                <w:b/>
                <w:bCs/>
              </w:rPr>
            </w:pPr>
          </w:p>
        </w:tc>
        <w:tc>
          <w:tcPr>
            <w:tcW w:w="10100" w:type="dxa"/>
          </w:tcPr>
          <w:p w14:paraId="7B6C7109" w14:textId="56492473" w:rsidR="007450DC" w:rsidRPr="00345E99" w:rsidRDefault="007450DC" w:rsidP="00345E99">
            <w:pPr>
              <w:spacing w:line="240" w:lineRule="auto"/>
              <w:rPr>
                <w:lang w:val="en-GB"/>
              </w:rPr>
            </w:pPr>
            <w:r w:rsidRPr="00345E99">
              <w:rPr>
                <w:lang w:val="en-GB"/>
              </w:rPr>
              <w:t>The Omnibus proposal’s introduction of Article 4a marks a significant and necessary shift,</w:t>
            </w:r>
            <w:r>
              <w:rPr>
                <w:lang w:val="en-GB"/>
              </w:rPr>
              <w:t xml:space="preserve"> </w:t>
            </w:r>
            <w:r w:rsidRPr="00345E99">
              <w:rPr>
                <w:lang w:val="en-GB"/>
              </w:rPr>
              <w:t>broadening the legal basis for processing Special Categories of Data (SCD) to detect and</w:t>
            </w:r>
            <w:r>
              <w:rPr>
                <w:lang w:val="en-GB"/>
              </w:rPr>
              <w:t xml:space="preserve"> </w:t>
            </w:r>
            <w:r w:rsidRPr="00345E99">
              <w:rPr>
                <w:lang w:val="en-GB"/>
              </w:rPr>
              <w:t>correct bias across all AI systems and models—not just those deemed high-risk. This is a</w:t>
            </w:r>
          </w:p>
          <w:p w14:paraId="21F2E2EB" w14:textId="516319F2" w:rsidR="007450DC" w:rsidRDefault="007450DC" w:rsidP="00345E99">
            <w:pPr>
              <w:spacing w:line="240" w:lineRule="auto"/>
              <w:rPr>
                <w:lang w:val="en-GB"/>
              </w:rPr>
            </w:pPr>
            <w:r w:rsidRPr="00345E99">
              <w:rPr>
                <w:lang w:val="en-GB"/>
              </w:rPr>
              <w:t>crucial improvement that will empower more effective AI training and support the EU’s</w:t>
            </w:r>
            <w:r>
              <w:rPr>
                <w:lang w:val="en-GB"/>
              </w:rPr>
              <w:t xml:space="preserve"> </w:t>
            </w:r>
            <w:r w:rsidRPr="00345E99">
              <w:rPr>
                <w:lang w:val="en-GB"/>
              </w:rPr>
              <w:t>commitment to fairness and responsible innovation.</w:t>
            </w:r>
          </w:p>
          <w:p w14:paraId="0D822D9E" w14:textId="77777777" w:rsidR="007450DC" w:rsidRPr="00345E99" w:rsidRDefault="007450DC" w:rsidP="00345E99">
            <w:pPr>
              <w:spacing w:line="240" w:lineRule="auto"/>
              <w:rPr>
                <w:lang w:val="en-GB"/>
              </w:rPr>
            </w:pPr>
          </w:p>
          <w:p w14:paraId="478CED78" w14:textId="0E9B54DB" w:rsidR="007450DC" w:rsidRPr="00345E99" w:rsidRDefault="007450DC" w:rsidP="00345E99">
            <w:pPr>
              <w:spacing w:line="240" w:lineRule="auto"/>
              <w:rPr>
                <w:lang w:val="en-GB"/>
              </w:rPr>
            </w:pPr>
            <w:r w:rsidRPr="00345E99">
              <w:rPr>
                <w:lang w:val="en-GB"/>
              </w:rPr>
              <w:lastRenderedPageBreak/>
              <w:t>Limiting bias mitigation to high-risk systems is fundamentally flawed, as bias is a structural</w:t>
            </w:r>
            <w:r>
              <w:rPr>
                <w:lang w:val="en-GB"/>
              </w:rPr>
              <w:t xml:space="preserve"> </w:t>
            </w:r>
            <w:r w:rsidRPr="00345E99">
              <w:rPr>
                <w:lang w:val="en-GB"/>
              </w:rPr>
              <w:t>risk present in all AI development. Every model, regardless of its classification, must be able</w:t>
            </w:r>
            <w:r>
              <w:rPr>
                <w:lang w:val="en-GB"/>
              </w:rPr>
              <w:t xml:space="preserve"> </w:t>
            </w:r>
            <w:r w:rsidRPr="00345E99">
              <w:rPr>
                <w:lang w:val="en-GB"/>
              </w:rPr>
              <w:t>to detect, measure, and correct discriminatory patterns, and this cannot be achieved without</w:t>
            </w:r>
          </w:p>
          <w:p w14:paraId="047EEFDC" w14:textId="77777777" w:rsidR="007450DC" w:rsidRDefault="007450DC" w:rsidP="00345E99">
            <w:pPr>
              <w:spacing w:line="240" w:lineRule="auto"/>
              <w:rPr>
                <w:lang w:val="en-GB"/>
              </w:rPr>
            </w:pPr>
            <w:r w:rsidRPr="00345E99">
              <w:rPr>
                <w:lang w:val="en-GB"/>
              </w:rPr>
              <w:t>access to SCD under strict safeguards.</w:t>
            </w:r>
          </w:p>
          <w:p w14:paraId="792C745C" w14:textId="77777777" w:rsidR="007450DC" w:rsidRPr="00345E99" w:rsidRDefault="007450DC" w:rsidP="00345E99">
            <w:pPr>
              <w:spacing w:line="240" w:lineRule="auto"/>
              <w:rPr>
                <w:lang w:val="en-GB"/>
              </w:rPr>
            </w:pPr>
          </w:p>
          <w:p w14:paraId="56E9FDDC" w14:textId="77777777" w:rsidR="007450DC" w:rsidRDefault="007450DC" w:rsidP="00345E99">
            <w:pPr>
              <w:spacing w:line="240" w:lineRule="auto"/>
              <w:rPr>
                <w:lang w:val="en-GB"/>
              </w:rPr>
            </w:pPr>
            <w:r w:rsidRPr="00345E99">
              <w:rPr>
                <w:lang w:val="en-GB"/>
              </w:rPr>
              <w:t>Extending this provision is not only logical and proportionate, but also essential to uphold</w:t>
            </w:r>
            <w:r>
              <w:rPr>
                <w:lang w:val="en-GB"/>
              </w:rPr>
              <w:t xml:space="preserve"> </w:t>
            </w:r>
            <w:r w:rsidRPr="00345E99">
              <w:rPr>
                <w:lang w:val="en-GB"/>
              </w:rPr>
              <w:t xml:space="preserve">equal standards of fairness and to </w:t>
            </w:r>
            <w:proofErr w:type="spellStart"/>
            <w:r w:rsidRPr="00345E99">
              <w:rPr>
                <w:lang w:val="en-GB"/>
              </w:rPr>
              <w:t>fulfill</w:t>
            </w:r>
            <w:proofErr w:type="spellEnd"/>
            <w:r w:rsidRPr="00345E99">
              <w:rPr>
                <w:lang w:val="en-GB"/>
              </w:rPr>
              <w:t xml:space="preserve"> the AI Act’s core objective of preventing harm. The</w:t>
            </w:r>
            <w:r>
              <w:rPr>
                <w:lang w:val="en-GB"/>
              </w:rPr>
              <w:t xml:space="preserve"> </w:t>
            </w:r>
            <w:r w:rsidRPr="00B87EDA">
              <w:rPr>
                <w:lang w:val="en-GB"/>
              </w:rPr>
              <w:t>proposed approach must remain in the final Omnibus text to ensure Europe’s AI sector can</w:t>
            </w:r>
            <w:r>
              <w:rPr>
                <w:lang w:val="en-GB"/>
              </w:rPr>
              <w:t xml:space="preserve"> </w:t>
            </w:r>
            <w:r w:rsidRPr="00B87EDA">
              <w:rPr>
                <w:lang w:val="en-GB"/>
              </w:rPr>
              <w:t>innovate responsibly and protect against discrimination at every level.</w:t>
            </w:r>
          </w:p>
          <w:p w14:paraId="29857031" w14:textId="24DF3C92" w:rsidR="007450DC" w:rsidRPr="00B87EDA" w:rsidRDefault="007450DC" w:rsidP="00345E99">
            <w:pPr>
              <w:spacing w:line="240" w:lineRule="auto"/>
              <w:rPr>
                <w:lang w:val="en-GB"/>
              </w:rPr>
            </w:pPr>
          </w:p>
        </w:tc>
      </w:tr>
      <w:tr w:rsidR="007450DC" w:rsidRPr="005567D2" w14:paraId="5A1760A5" w14:textId="77777777" w:rsidTr="007450DC">
        <w:trPr>
          <w:trHeight w:val="300"/>
        </w:trPr>
        <w:tc>
          <w:tcPr>
            <w:tcW w:w="1602" w:type="dxa"/>
          </w:tcPr>
          <w:p w14:paraId="007468CC" w14:textId="0E3F05A9" w:rsidR="007450DC" w:rsidRPr="00B87EDA" w:rsidRDefault="007450DC" w:rsidP="007505CB">
            <w:pPr>
              <w:pStyle w:val="Akapitzlist"/>
              <w:spacing w:line="240" w:lineRule="auto"/>
              <w:ind w:left="1080"/>
              <w:rPr>
                <w:sz w:val="22"/>
                <w:szCs w:val="22"/>
                <w:lang w:val="en-GB"/>
              </w:rPr>
            </w:pPr>
          </w:p>
        </w:tc>
        <w:tc>
          <w:tcPr>
            <w:tcW w:w="1768" w:type="dxa"/>
          </w:tcPr>
          <w:p w14:paraId="6A1E08EE" w14:textId="0CA5BA3D" w:rsidR="007450DC" w:rsidRPr="005567D2" w:rsidRDefault="007450DC" w:rsidP="007505CB">
            <w:pPr>
              <w:spacing w:line="240" w:lineRule="auto"/>
              <w:jc w:val="center"/>
              <w:rPr>
                <w:rFonts w:ascii="Aptos" w:eastAsia="Aptos" w:hAnsi="Aptos" w:cs="Aptos"/>
              </w:rPr>
            </w:pPr>
            <w:r w:rsidRPr="005567D2">
              <w:rPr>
                <w:rFonts w:ascii="Aptos" w:eastAsia="Aptos" w:hAnsi="Aptos" w:cs="Aptos"/>
                <w:color w:val="000000" w:themeColor="text1"/>
              </w:rPr>
              <w:t>Polska Izba Informatyki i Telekomunikacji (PIIT)</w:t>
            </w:r>
          </w:p>
          <w:p w14:paraId="365E5C0E" w14:textId="483A1575" w:rsidR="007450DC" w:rsidRPr="005567D2" w:rsidRDefault="007450DC" w:rsidP="007505CB">
            <w:pPr>
              <w:spacing w:line="240" w:lineRule="auto"/>
              <w:jc w:val="center"/>
            </w:pPr>
          </w:p>
        </w:tc>
        <w:tc>
          <w:tcPr>
            <w:tcW w:w="2265" w:type="dxa"/>
          </w:tcPr>
          <w:p w14:paraId="69925509" w14:textId="14DC748A" w:rsidR="007450DC" w:rsidRPr="005567D2" w:rsidRDefault="007450DC" w:rsidP="007505CB">
            <w:pPr>
              <w:spacing w:line="240" w:lineRule="auto"/>
              <w:jc w:val="center"/>
            </w:pPr>
            <w:r w:rsidRPr="005567D2">
              <w:t>Rozporządzenie 2024/1689</w:t>
            </w:r>
          </w:p>
          <w:p w14:paraId="548EFDFB" w14:textId="45AAB49E"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403AA488" w14:textId="224DA264" w:rsidR="007450DC" w:rsidRPr="005567D2" w:rsidRDefault="007450DC" w:rsidP="007505CB">
            <w:pPr>
              <w:spacing w:line="240" w:lineRule="auto"/>
              <w:jc w:val="center"/>
            </w:pPr>
          </w:p>
          <w:p w14:paraId="59260BF6" w14:textId="4F70897B" w:rsidR="007450DC" w:rsidRPr="005567D2" w:rsidRDefault="007450DC" w:rsidP="007505CB">
            <w:pPr>
              <w:spacing w:line="240" w:lineRule="auto"/>
              <w:jc w:val="center"/>
            </w:pPr>
            <w:r>
              <w:t>Art. 4</w:t>
            </w:r>
          </w:p>
          <w:p w14:paraId="598512C9" w14:textId="09821B71" w:rsidR="007450DC" w:rsidRPr="005567D2" w:rsidRDefault="007450DC" w:rsidP="007505CB">
            <w:pPr>
              <w:spacing w:line="240" w:lineRule="auto"/>
              <w:jc w:val="center"/>
            </w:pPr>
          </w:p>
        </w:tc>
        <w:tc>
          <w:tcPr>
            <w:tcW w:w="10100" w:type="dxa"/>
          </w:tcPr>
          <w:p w14:paraId="0C54EE7A" w14:textId="77777777" w:rsidR="007450DC" w:rsidRDefault="007450DC" w:rsidP="007505CB">
            <w:pPr>
              <w:spacing w:line="240" w:lineRule="auto"/>
            </w:pPr>
            <w:r w:rsidRPr="005567D2">
              <w:t>PIIT jest zwolennikiem inwestowania w podnoszenie kompetencji informatycznych, w tym tych związanych ze sztuczną inteligencją. Leży to w interesie przedsiębiorców, obywateli oraz gospodarki. Wymaga wspólnego wysiłku. Dlatego zmiana zobowiązania przedsiębiorców (art. 4 AIA) na zobowiązanie Komisji oraz administracji rządowej państw członkowskich idzie w dobrym kierunku. Lepszy jednak od przenoszenia obowiązku z jednego podmiotu na inny byłby przepis o współpracy, z uwzględnieniem dobrowolnie rozwijanych przez branże AI oraz akademię ram metodologii wiarygodnej AI (</w:t>
            </w:r>
            <w:proofErr w:type="spellStart"/>
            <w:r w:rsidRPr="005567D2">
              <w:t>frameworks</w:t>
            </w:r>
            <w:proofErr w:type="spellEnd"/>
            <w:r w:rsidRPr="005567D2">
              <w:t>).</w:t>
            </w:r>
          </w:p>
          <w:p w14:paraId="2E120FAB" w14:textId="228EB3EB" w:rsidR="007450DC" w:rsidRPr="005567D2" w:rsidRDefault="007450DC" w:rsidP="007505CB">
            <w:pPr>
              <w:spacing w:line="240" w:lineRule="auto"/>
            </w:pPr>
          </w:p>
        </w:tc>
      </w:tr>
      <w:tr w:rsidR="007450DC" w:rsidRPr="005567D2" w14:paraId="7B76D8FA" w14:textId="77777777" w:rsidTr="007450DC">
        <w:tc>
          <w:tcPr>
            <w:tcW w:w="1602" w:type="dxa"/>
          </w:tcPr>
          <w:p w14:paraId="7C1B63AC" w14:textId="77777777" w:rsidR="007450DC" w:rsidRPr="005567D2" w:rsidRDefault="007450DC" w:rsidP="003C1FA3">
            <w:pPr>
              <w:pStyle w:val="Akapitzlist"/>
              <w:spacing w:line="240" w:lineRule="auto"/>
              <w:rPr>
                <w:sz w:val="22"/>
                <w:szCs w:val="22"/>
              </w:rPr>
            </w:pPr>
          </w:p>
        </w:tc>
        <w:tc>
          <w:tcPr>
            <w:tcW w:w="1768" w:type="dxa"/>
          </w:tcPr>
          <w:p w14:paraId="7A76FC97" w14:textId="672F5B8E" w:rsidR="007450DC" w:rsidRPr="005567D2" w:rsidRDefault="007450DC" w:rsidP="007505CB">
            <w:pPr>
              <w:spacing w:line="240" w:lineRule="auto"/>
              <w:jc w:val="center"/>
            </w:pPr>
            <w:r w:rsidRPr="005567D2">
              <w:t>Krajowa Izba Gospodarcza</w:t>
            </w:r>
          </w:p>
        </w:tc>
        <w:tc>
          <w:tcPr>
            <w:tcW w:w="2265" w:type="dxa"/>
          </w:tcPr>
          <w:p w14:paraId="4944B709" w14:textId="77777777" w:rsidR="007450DC" w:rsidRPr="005567D2" w:rsidRDefault="007450DC" w:rsidP="007505CB">
            <w:pPr>
              <w:spacing w:line="240" w:lineRule="auto"/>
              <w:jc w:val="center"/>
            </w:pPr>
            <w:r w:rsidRPr="005567D2">
              <w:t>Rozporządzenie 2024/1689</w:t>
            </w:r>
          </w:p>
          <w:p w14:paraId="37F7D2FF" w14:textId="45AAB49E"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7F32B16D" w14:textId="224DA264" w:rsidR="007450DC" w:rsidRPr="005567D2" w:rsidRDefault="007450DC" w:rsidP="007505CB">
            <w:pPr>
              <w:spacing w:line="240" w:lineRule="auto"/>
              <w:jc w:val="center"/>
            </w:pPr>
          </w:p>
          <w:p w14:paraId="509F9D2D" w14:textId="124B771D" w:rsidR="007450DC" w:rsidRPr="005567D2" w:rsidRDefault="007450DC" w:rsidP="007505CB">
            <w:pPr>
              <w:spacing w:line="240" w:lineRule="auto"/>
              <w:jc w:val="center"/>
            </w:pPr>
            <w:r>
              <w:t>Art. 4</w:t>
            </w:r>
          </w:p>
          <w:p w14:paraId="638423DF" w14:textId="212ADB95" w:rsidR="007450DC" w:rsidRPr="005567D2" w:rsidRDefault="007450DC" w:rsidP="007505CB">
            <w:pPr>
              <w:spacing w:line="240" w:lineRule="auto"/>
              <w:jc w:val="center"/>
            </w:pPr>
            <w:r w:rsidRPr="005567D2">
              <w:t xml:space="preserve">AI </w:t>
            </w:r>
            <w:proofErr w:type="spellStart"/>
            <w:r w:rsidRPr="005567D2">
              <w:t>literacy</w:t>
            </w:r>
            <w:proofErr w:type="spellEnd"/>
          </w:p>
        </w:tc>
        <w:tc>
          <w:tcPr>
            <w:tcW w:w="10100" w:type="dxa"/>
          </w:tcPr>
          <w:p w14:paraId="7C6EAE72" w14:textId="77777777" w:rsidR="007450DC" w:rsidRPr="005567D2" w:rsidRDefault="007450DC" w:rsidP="007505CB">
            <w:pPr>
              <w:spacing w:line="240" w:lineRule="auto"/>
            </w:pPr>
            <w:r w:rsidRPr="005567D2">
              <w:t xml:space="preserve">Przejście od wymagań do zachęt w zakresie kompetencji AI </w:t>
            </w:r>
          </w:p>
          <w:p w14:paraId="019DC199" w14:textId="77777777" w:rsidR="007450DC" w:rsidRDefault="007450DC" w:rsidP="007505CB">
            <w:pPr>
              <w:spacing w:line="240" w:lineRule="auto"/>
            </w:pPr>
            <w:r w:rsidRPr="005567D2">
              <w:t xml:space="preserve">• Ostateczna wersja Omnibus odchodzi od sztywnych wymogów dotyczących kompetencji w obszarze sztucznej inteligencji na rzecz bardziej elastycznego podejścia. Zobowiązuje państwa członkowskie i Komisję, aby zachęcały dostawców i podmioty wdrażające do zapewniania odpowiedniego poziomu wiedzy o AI wśród personelu oraz innych osób zaangażowanych w pracę z systemami AI.  Takie rozwiązanie uwzględnia zgłaszane przez interesariuszy potrzeby, pozwala na dostosowanie wymogów do specyfiki poszczególnych sektorów i zmniejsza obciążenia regulacyjne, zwłaszcza dla mniejszych firm. To rozsądna i dobrze wyważona zmiana, którą warto utrzymać w finalnym tekście regulacji. </w:t>
            </w:r>
          </w:p>
          <w:p w14:paraId="60456801" w14:textId="47052236" w:rsidR="007450DC" w:rsidRPr="005567D2" w:rsidRDefault="007450DC" w:rsidP="007505CB">
            <w:pPr>
              <w:spacing w:line="240" w:lineRule="auto"/>
            </w:pPr>
          </w:p>
        </w:tc>
      </w:tr>
      <w:tr w:rsidR="007450DC" w:rsidRPr="005567D2" w14:paraId="7E34C1D0" w14:textId="77777777" w:rsidTr="007450DC">
        <w:tc>
          <w:tcPr>
            <w:tcW w:w="1602" w:type="dxa"/>
          </w:tcPr>
          <w:p w14:paraId="36860C6A" w14:textId="77777777" w:rsidR="007450DC" w:rsidRPr="005567D2" w:rsidRDefault="007450DC" w:rsidP="007505CB">
            <w:pPr>
              <w:spacing w:line="240" w:lineRule="auto"/>
              <w:ind w:left="708"/>
            </w:pPr>
          </w:p>
        </w:tc>
        <w:tc>
          <w:tcPr>
            <w:tcW w:w="1768" w:type="dxa"/>
          </w:tcPr>
          <w:p w14:paraId="77705F9C" w14:textId="2AED2A43" w:rsidR="007450DC" w:rsidRPr="005567D2" w:rsidRDefault="007450DC" w:rsidP="007505CB">
            <w:pPr>
              <w:spacing w:line="240" w:lineRule="auto"/>
              <w:jc w:val="center"/>
            </w:pPr>
            <w:r w:rsidRPr="005567D2">
              <w:t>Krajowa Izba Gospodarcza</w:t>
            </w:r>
          </w:p>
        </w:tc>
        <w:tc>
          <w:tcPr>
            <w:tcW w:w="2265" w:type="dxa"/>
          </w:tcPr>
          <w:p w14:paraId="393E154D" w14:textId="77777777" w:rsidR="007450DC" w:rsidRPr="005567D2" w:rsidRDefault="007450DC" w:rsidP="007505CB">
            <w:pPr>
              <w:spacing w:line="240" w:lineRule="auto"/>
              <w:jc w:val="center"/>
            </w:pPr>
            <w:r w:rsidRPr="005567D2">
              <w:t>Rozporządzenie 2024/1689</w:t>
            </w:r>
          </w:p>
          <w:p w14:paraId="2220C4AC" w14:textId="77777777"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4265108B" w14:textId="77777777" w:rsidR="007450DC" w:rsidRPr="005567D2" w:rsidRDefault="007450DC" w:rsidP="007505CB">
            <w:pPr>
              <w:spacing w:line="240" w:lineRule="auto"/>
              <w:jc w:val="center"/>
            </w:pPr>
          </w:p>
          <w:p w14:paraId="26B7DC58" w14:textId="36FE9333" w:rsidR="007450DC" w:rsidRPr="005567D2" w:rsidRDefault="007450DC" w:rsidP="007505CB">
            <w:pPr>
              <w:spacing w:line="240" w:lineRule="auto"/>
              <w:jc w:val="center"/>
            </w:pPr>
            <w:r w:rsidRPr="005567D2">
              <w:t xml:space="preserve">Art. 4a </w:t>
            </w:r>
          </w:p>
          <w:p w14:paraId="159F625E" w14:textId="09EF615B" w:rsidR="007450DC" w:rsidRPr="005567D2" w:rsidRDefault="007450DC" w:rsidP="007505CB">
            <w:pPr>
              <w:spacing w:line="240" w:lineRule="auto"/>
              <w:jc w:val="center"/>
            </w:pPr>
            <w:r w:rsidRPr="005567D2">
              <w:t>(nowy)</w:t>
            </w:r>
          </w:p>
          <w:p w14:paraId="1FA8CDF5" w14:textId="0C2D73A5" w:rsidR="007450DC" w:rsidRPr="005168FB" w:rsidRDefault="007450DC" w:rsidP="007505CB">
            <w:pPr>
              <w:spacing w:line="240" w:lineRule="auto"/>
              <w:jc w:val="center"/>
            </w:pPr>
            <w:r w:rsidRPr="369C09EE">
              <w:lastRenderedPageBreak/>
              <w:t xml:space="preserve">Processing of </w:t>
            </w:r>
            <w:proofErr w:type="spellStart"/>
            <w:r w:rsidRPr="369C09EE">
              <w:t>special</w:t>
            </w:r>
            <w:proofErr w:type="spellEnd"/>
            <w:r w:rsidRPr="369C09EE">
              <w:t xml:space="preserve"> </w:t>
            </w:r>
            <w:proofErr w:type="spellStart"/>
            <w:r w:rsidRPr="369C09EE">
              <w:t>categories</w:t>
            </w:r>
            <w:proofErr w:type="spellEnd"/>
            <w:r w:rsidRPr="369C09EE">
              <w:t xml:space="preserve"> of </w:t>
            </w:r>
            <w:proofErr w:type="spellStart"/>
            <w:r w:rsidRPr="369C09EE">
              <w:t>personal</w:t>
            </w:r>
            <w:proofErr w:type="spellEnd"/>
            <w:r w:rsidRPr="369C09EE">
              <w:t xml:space="preserve"> data for </w:t>
            </w:r>
            <w:proofErr w:type="spellStart"/>
            <w:r w:rsidRPr="369C09EE">
              <w:t>bias</w:t>
            </w:r>
            <w:proofErr w:type="spellEnd"/>
            <w:r w:rsidRPr="369C09EE">
              <w:t xml:space="preserve"> </w:t>
            </w:r>
            <w:proofErr w:type="spellStart"/>
            <w:r w:rsidRPr="369C09EE">
              <w:t>detection</w:t>
            </w:r>
            <w:proofErr w:type="spellEnd"/>
            <w:r w:rsidRPr="369C09EE">
              <w:t xml:space="preserve"> and </w:t>
            </w:r>
            <w:proofErr w:type="spellStart"/>
            <w:r w:rsidRPr="369C09EE">
              <w:t>mitigation</w:t>
            </w:r>
            <w:proofErr w:type="spellEnd"/>
          </w:p>
        </w:tc>
        <w:tc>
          <w:tcPr>
            <w:tcW w:w="10100" w:type="dxa"/>
          </w:tcPr>
          <w:p w14:paraId="000D1000" w14:textId="77777777" w:rsidR="007450DC" w:rsidRPr="005567D2" w:rsidRDefault="007450DC" w:rsidP="007505CB">
            <w:pPr>
              <w:spacing w:line="240" w:lineRule="auto"/>
            </w:pPr>
            <w:r w:rsidRPr="005567D2">
              <w:lastRenderedPageBreak/>
              <w:t xml:space="preserve">Rozszerzone odstępstwo dotyczące przetwarzania szczególnych kategorii danych w celu ograniczania stronniczości </w:t>
            </w:r>
          </w:p>
          <w:p w14:paraId="050AED69" w14:textId="77777777" w:rsidR="007450DC" w:rsidRPr="005567D2" w:rsidRDefault="007450DC" w:rsidP="007505CB">
            <w:pPr>
              <w:spacing w:line="240" w:lineRule="auto"/>
            </w:pPr>
            <w:r w:rsidRPr="005567D2">
              <w:t xml:space="preserve">• Wprowadzenie przez propozycję Omnibus art. 4a to ważna i potrzebna zmiana. Przepis ten rozszerza podstawę prawną do przetwarzania szczególnych kategorii danych osobowych (SCD) na potrzeby wykrywania i korygowania stronniczości  we wszystkich systemach i modelach AI — a nie tylko w tych uznanych za wiążące się z wysokim ryzykiem. To ważna zmiana na lepsze, która umożliwi skuteczniejsze </w:t>
            </w:r>
            <w:r w:rsidRPr="005567D2">
              <w:lastRenderedPageBreak/>
              <w:t>trenowanie modeli oraz wzmacnia unijne zobowiązanie do rozwijania technologii  z poszanowaniem zasad sprawiedliwości i odpowiedzialności.</w:t>
            </w:r>
          </w:p>
          <w:p w14:paraId="272A1F5E" w14:textId="77777777" w:rsidR="007450DC" w:rsidRPr="005567D2" w:rsidRDefault="007450DC" w:rsidP="007505CB">
            <w:pPr>
              <w:spacing w:line="240" w:lineRule="auto"/>
            </w:pPr>
            <w:r w:rsidRPr="005567D2">
              <w:t xml:space="preserve"> • Ograniczanie możliwości przeciwdziałania stronniczości wyłącznie do systemów wysokiego ryzyka jest podejściem błędnym, ponieważ stronniczość jest ryzykiem strukturalnym — może pojawić się na każdym etapie pracy nad sztuczną inteligencją. Każdy model, niezależnie od jego klasyfikacji, musi mieć możliwość wykrywania, analizowania i korygowania wzorców o charakterze dyskryminacyjnym. Nie jest to możliwe bez dostępu do danych SCD, oczywiście przy zachowaniu odpowiednich zabezpieczeń. </w:t>
            </w:r>
          </w:p>
          <w:p w14:paraId="7BFB1A39" w14:textId="77777777" w:rsidR="007450DC" w:rsidRDefault="007450DC" w:rsidP="007505CB">
            <w:pPr>
              <w:spacing w:line="240" w:lineRule="auto"/>
            </w:pPr>
            <w:r w:rsidRPr="005567D2">
              <w:t xml:space="preserve">• Rozszerzenie tego przepisu jest nie tylko uzasadnione i współmierne, ale także konieczne, aby zapewnić jednolite standardy uczciwości i realizować podstawowy cel AI </w:t>
            </w:r>
            <w:proofErr w:type="spellStart"/>
            <w:r w:rsidRPr="005567D2">
              <w:t>Act</w:t>
            </w:r>
            <w:proofErr w:type="spellEnd"/>
            <w:r w:rsidRPr="005567D2">
              <w:t xml:space="preserve">, jakim jest zapobieganie szkodom. Rozwiązanie to powinno zostać utrzymane w finalnym tekście Omnibus, aby europejski sektor AI mógł rozwijać  się odpowiedzialnie i skutecznie przeciwdziałać dyskryminacji na każdym etapie. </w:t>
            </w:r>
          </w:p>
          <w:p w14:paraId="30409F16" w14:textId="21379E65" w:rsidR="007450DC" w:rsidRPr="005567D2" w:rsidRDefault="007450DC" w:rsidP="007505CB">
            <w:pPr>
              <w:spacing w:line="240" w:lineRule="auto"/>
            </w:pPr>
          </w:p>
        </w:tc>
      </w:tr>
      <w:tr w:rsidR="007450DC" w:rsidRPr="005168FB" w14:paraId="569D9855" w14:textId="77777777" w:rsidTr="007450DC">
        <w:trPr>
          <w:trHeight w:val="300"/>
        </w:trPr>
        <w:tc>
          <w:tcPr>
            <w:tcW w:w="1602" w:type="dxa"/>
          </w:tcPr>
          <w:p w14:paraId="1C372CF0" w14:textId="00A52C95" w:rsidR="007450DC" w:rsidRPr="005567D2" w:rsidRDefault="007450DC" w:rsidP="007505CB">
            <w:pPr>
              <w:spacing w:line="240" w:lineRule="auto"/>
            </w:pPr>
          </w:p>
        </w:tc>
        <w:tc>
          <w:tcPr>
            <w:tcW w:w="1768" w:type="dxa"/>
          </w:tcPr>
          <w:p w14:paraId="125BFC85" w14:textId="7AC896F1" w:rsidR="007450DC" w:rsidRPr="005567D2" w:rsidRDefault="007450DC" w:rsidP="007505CB">
            <w:pPr>
              <w:spacing w:line="240" w:lineRule="auto"/>
              <w:jc w:val="center"/>
            </w:pPr>
            <w:r w:rsidRPr="005567D2">
              <w:t>Meta</w:t>
            </w:r>
          </w:p>
        </w:tc>
        <w:tc>
          <w:tcPr>
            <w:tcW w:w="2265" w:type="dxa"/>
          </w:tcPr>
          <w:p w14:paraId="055D9FCA" w14:textId="77777777" w:rsidR="007450DC" w:rsidRPr="005567D2" w:rsidRDefault="007450DC" w:rsidP="007505CB">
            <w:pPr>
              <w:spacing w:line="240" w:lineRule="auto"/>
              <w:jc w:val="center"/>
            </w:pPr>
            <w:r w:rsidRPr="005567D2">
              <w:t>Rozporządzenie 2024/1689</w:t>
            </w:r>
          </w:p>
          <w:p w14:paraId="26229AA7" w14:textId="77777777"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7E49ACCC" w14:textId="77777777" w:rsidR="007450DC" w:rsidRPr="005567D2" w:rsidRDefault="007450DC" w:rsidP="007505CB">
            <w:pPr>
              <w:spacing w:line="240" w:lineRule="auto"/>
              <w:jc w:val="center"/>
            </w:pPr>
          </w:p>
          <w:p w14:paraId="31DF8228" w14:textId="087ED316" w:rsidR="007450DC" w:rsidRPr="005567D2" w:rsidRDefault="007450DC" w:rsidP="007505CB">
            <w:pPr>
              <w:spacing w:line="240" w:lineRule="auto"/>
              <w:jc w:val="center"/>
            </w:pPr>
            <w:r w:rsidRPr="005567D2">
              <w:t>Art. 4a</w:t>
            </w:r>
          </w:p>
          <w:p w14:paraId="219E05CE" w14:textId="45AF1CC2" w:rsidR="007450DC" w:rsidRPr="005567D2" w:rsidRDefault="007450DC" w:rsidP="007505CB">
            <w:pPr>
              <w:spacing w:line="240" w:lineRule="auto"/>
              <w:jc w:val="center"/>
            </w:pPr>
            <w:r>
              <w:t>(nowy)</w:t>
            </w:r>
          </w:p>
        </w:tc>
        <w:tc>
          <w:tcPr>
            <w:tcW w:w="10100" w:type="dxa"/>
          </w:tcPr>
          <w:p w14:paraId="1B3A094F" w14:textId="2C8A1B17" w:rsidR="007450DC" w:rsidRPr="005168FB" w:rsidRDefault="007450DC" w:rsidP="007505CB">
            <w:pPr>
              <w:spacing w:line="240" w:lineRule="auto"/>
              <w:rPr>
                <w:rFonts w:ascii="Aptos" w:eastAsia="Aptos" w:hAnsi="Aptos" w:cs="Aptos"/>
              </w:rPr>
            </w:pPr>
            <w:r w:rsidRPr="369C09EE">
              <w:rPr>
                <w:rFonts w:ascii="Aptos" w:eastAsia="Aptos" w:hAnsi="Aptos" w:cs="Aptos"/>
              </w:rPr>
              <w:t xml:space="preserve">The Omnibus </w:t>
            </w:r>
            <w:proofErr w:type="spellStart"/>
            <w:r w:rsidRPr="369C09EE">
              <w:rPr>
                <w:rFonts w:ascii="Aptos" w:eastAsia="Aptos" w:hAnsi="Aptos" w:cs="Aptos"/>
              </w:rPr>
              <w:t>proposal’s</w:t>
            </w:r>
            <w:proofErr w:type="spellEnd"/>
            <w:r w:rsidRPr="369C09EE">
              <w:rPr>
                <w:rFonts w:ascii="Aptos" w:eastAsia="Aptos" w:hAnsi="Aptos" w:cs="Aptos"/>
              </w:rPr>
              <w:t xml:space="preserve"> </w:t>
            </w:r>
            <w:proofErr w:type="spellStart"/>
            <w:r w:rsidRPr="369C09EE">
              <w:rPr>
                <w:rFonts w:ascii="Aptos" w:eastAsia="Aptos" w:hAnsi="Aptos" w:cs="Aptos"/>
              </w:rPr>
              <w:t>introduction</w:t>
            </w:r>
            <w:proofErr w:type="spellEnd"/>
            <w:r w:rsidRPr="369C09EE">
              <w:rPr>
                <w:rFonts w:ascii="Aptos" w:eastAsia="Aptos" w:hAnsi="Aptos" w:cs="Aptos"/>
              </w:rPr>
              <w:t xml:space="preserve"> of </w:t>
            </w:r>
            <w:proofErr w:type="spellStart"/>
            <w:r w:rsidRPr="369C09EE">
              <w:rPr>
                <w:rFonts w:ascii="Aptos" w:eastAsia="Aptos" w:hAnsi="Aptos" w:cs="Aptos"/>
              </w:rPr>
              <w:t>Article</w:t>
            </w:r>
            <w:proofErr w:type="spellEnd"/>
            <w:r w:rsidRPr="369C09EE">
              <w:rPr>
                <w:rFonts w:ascii="Aptos" w:eastAsia="Aptos" w:hAnsi="Aptos" w:cs="Aptos"/>
              </w:rPr>
              <w:t xml:space="preserve"> 4a </w:t>
            </w:r>
            <w:proofErr w:type="spellStart"/>
            <w:r w:rsidRPr="369C09EE">
              <w:rPr>
                <w:rFonts w:ascii="Aptos" w:eastAsia="Aptos" w:hAnsi="Aptos" w:cs="Aptos"/>
              </w:rPr>
              <w:t>marks</w:t>
            </w:r>
            <w:proofErr w:type="spellEnd"/>
            <w:r w:rsidRPr="369C09EE">
              <w:rPr>
                <w:rFonts w:ascii="Aptos" w:eastAsia="Aptos" w:hAnsi="Aptos" w:cs="Aptos"/>
              </w:rPr>
              <w:t xml:space="preserve"> a </w:t>
            </w:r>
            <w:proofErr w:type="spellStart"/>
            <w:r w:rsidRPr="369C09EE">
              <w:rPr>
                <w:rFonts w:ascii="Aptos" w:eastAsia="Aptos" w:hAnsi="Aptos" w:cs="Aptos"/>
              </w:rPr>
              <w:t>significant</w:t>
            </w:r>
            <w:proofErr w:type="spellEnd"/>
            <w:r w:rsidRPr="369C09EE">
              <w:rPr>
                <w:rFonts w:ascii="Aptos" w:eastAsia="Aptos" w:hAnsi="Aptos" w:cs="Aptos"/>
              </w:rPr>
              <w:t xml:space="preserve"> and </w:t>
            </w:r>
            <w:proofErr w:type="spellStart"/>
            <w:r w:rsidRPr="369C09EE">
              <w:rPr>
                <w:rFonts w:ascii="Aptos" w:eastAsia="Aptos" w:hAnsi="Aptos" w:cs="Aptos"/>
              </w:rPr>
              <w:t>necessary</w:t>
            </w:r>
            <w:proofErr w:type="spellEnd"/>
            <w:r w:rsidRPr="369C09EE">
              <w:rPr>
                <w:rFonts w:ascii="Aptos" w:eastAsia="Aptos" w:hAnsi="Aptos" w:cs="Aptos"/>
              </w:rPr>
              <w:t xml:space="preserve"> </w:t>
            </w:r>
            <w:proofErr w:type="spellStart"/>
            <w:r w:rsidRPr="369C09EE">
              <w:rPr>
                <w:rFonts w:ascii="Aptos" w:eastAsia="Aptos" w:hAnsi="Aptos" w:cs="Aptos"/>
              </w:rPr>
              <w:t>shift</w:t>
            </w:r>
            <w:proofErr w:type="spellEnd"/>
            <w:r w:rsidRPr="369C09EE">
              <w:rPr>
                <w:rFonts w:ascii="Aptos" w:eastAsia="Aptos" w:hAnsi="Aptos" w:cs="Aptos"/>
              </w:rPr>
              <w:t xml:space="preserve">, </w:t>
            </w:r>
            <w:proofErr w:type="spellStart"/>
            <w:r w:rsidRPr="369C09EE">
              <w:rPr>
                <w:rFonts w:ascii="Aptos" w:eastAsia="Aptos" w:hAnsi="Aptos" w:cs="Aptos"/>
              </w:rPr>
              <w:t>broadening</w:t>
            </w:r>
            <w:proofErr w:type="spellEnd"/>
            <w:r w:rsidRPr="369C09EE">
              <w:rPr>
                <w:rFonts w:ascii="Aptos" w:eastAsia="Aptos" w:hAnsi="Aptos" w:cs="Aptos"/>
              </w:rPr>
              <w:t xml:space="preserve"> the </w:t>
            </w:r>
            <w:proofErr w:type="spellStart"/>
            <w:r w:rsidRPr="369C09EE">
              <w:rPr>
                <w:rFonts w:ascii="Aptos" w:eastAsia="Aptos" w:hAnsi="Aptos" w:cs="Aptos"/>
              </w:rPr>
              <w:t>legal</w:t>
            </w:r>
            <w:proofErr w:type="spellEnd"/>
            <w:r w:rsidRPr="369C09EE">
              <w:rPr>
                <w:rFonts w:ascii="Aptos" w:eastAsia="Aptos" w:hAnsi="Aptos" w:cs="Aptos"/>
              </w:rPr>
              <w:t xml:space="preserve"> </w:t>
            </w:r>
            <w:proofErr w:type="spellStart"/>
            <w:r w:rsidRPr="369C09EE">
              <w:rPr>
                <w:rFonts w:ascii="Aptos" w:eastAsia="Aptos" w:hAnsi="Aptos" w:cs="Aptos"/>
              </w:rPr>
              <w:t>basis</w:t>
            </w:r>
            <w:proofErr w:type="spellEnd"/>
            <w:r w:rsidRPr="369C09EE">
              <w:rPr>
                <w:rFonts w:ascii="Aptos" w:eastAsia="Aptos" w:hAnsi="Aptos" w:cs="Aptos"/>
              </w:rPr>
              <w:t xml:space="preserve"> for </w:t>
            </w:r>
            <w:proofErr w:type="spellStart"/>
            <w:r w:rsidRPr="369C09EE">
              <w:rPr>
                <w:rFonts w:ascii="Aptos" w:eastAsia="Aptos" w:hAnsi="Aptos" w:cs="Aptos"/>
              </w:rPr>
              <w:t>processing</w:t>
            </w:r>
            <w:proofErr w:type="spellEnd"/>
            <w:r w:rsidRPr="369C09EE">
              <w:rPr>
                <w:rFonts w:ascii="Aptos" w:eastAsia="Aptos" w:hAnsi="Aptos" w:cs="Aptos"/>
              </w:rPr>
              <w:t xml:space="preserve"> Special </w:t>
            </w:r>
            <w:proofErr w:type="spellStart"/>
            <w:r w:rsidRPr="369C09EE">
              <w:rPr>
                <w:rFonts w:ascii="Aptos" w:eastAsia="Aptos" w:hAnsi="Aptos" w:cs="Aptos"/>
              </w:rPr>
              <w:t>Categories</w:t>
            </w:r>
            <w:proofErr w:type="spellEnd"/>
            <w:r w:rsidRPr="369C09EE">
              <w:rPr>
                <w:rFonts w:ascii="Aptos" w:eastAsia="Aptos" w:hAnsi="Aptos" w:cs="Aptos"/>
              </w:rPr>
              <w:t xml:space="preserve"> of Data (SCD) to </w:t>
            </w:r>
            <w:proofErr w:type="spellStart"/>
            <w:r w:rsidRPr="369C09EE">
              <w:rPr>
                <w:rFonts w:ascii="Aptos" w:eastAsia="Aptos" w:hAnsi="Aptos" w:cs="Aptos"/>
              </w:rPr>
              <w:t>detect</w:t>
            </w:r>
            <w:proofErr w:type="spellEnd"/>
            <w:r w:rsidRPr="369C09EE">
              <w:rPr>
                <w:rFonts w:ascii="Aptos" w:eastAsia="Aptos" w:hAnsi="Aptos" w:cs="Aptos"/>
              </w:rPr>
              <w:t xml:space="preserve"> and </w:t>
            </w:r>
            <w:proofErr w:type="spellStart"/>
            <w:r w:rsidRPr="369C09EE">
              <w:rPr>
                <w:rFonts w:ascii="Aptos" w:eastAsia="Aptos" w:hAnsi="Aptos" w:cs="Aptos"/>
              </w:rPr>
              <w:t>correct</w:t>
            </w:r>
            <w:proofErr w:type="spellEnd"/>
            <w:r w:rsidRPr="369C09EE">
              <w:rPr>
                <w:rFonts w:ascii="Aptos" w:eastAsia="Aptos" w:hAnsi="Aptos" w:cs="Aptos"/>
              </w:rPr>
              <w:t xml:space="preserve"> </w:t>
            </w:r>
            <w:proofErr w:type="spellStart"/>
            <w:r w:rsidRPr="369C09EE">
              <w:rPr>
                <w:rFonts w:ascii="Aptos" w:eastAsia="Aptos" w:hAnsi="Aptos" w:cs="Aptos"/>
              </w:rPr>
              <w:t>bias</w:t>
            </w:r>
            <w:proofErr w:type="spellEnd"/>
            <w:r w:rsidRPr="369C09EE">
              <w:rPr>
                <w:rFonts w:ascii="Aptos" w:eastAsia="Aptos" w:hAnsi="Aptos" w:cs="Aptos"/>
              </w:rPr>
              <w:t xml:space="preserve"> </w:t>
            </w:r>
            <w:proofErr w:type="spellStart"/>
            <w:r w:rsidRPr="369C09EE">
              <w:rPr>
                <w:rFonts w:ascii="Aptos" w:eastAsia="Aptos" w:hAnsi="Aptos" w:cs="Aptos"/>
              </w:rPr>
              <w:t>across</w:t>
            </w:r>
            <w:proofErr w:type="spellEnd"/>
            <w:r w:rsidRPr="369C09EE">
              <w:rPr>
                <w:rFonts w:ascii="Aptos" w:eastAsia="Aptos" w:hAnsi="Aptos" w:cs="Aptos"/>
              </w:rPr>
              <w:t xml:space="preserve"> </w:t>
            </w:r>
            <w:proofErr w:type="spellStart"/>
            <w:r w:rsidRPr="369C09EE">
              <w:rPr>
                <w:rFonts w:ascii="Aptos" w:eastAsia="Aptos" w:hAnsi="Aptos" w:cs="Aptos"/>
              </w:rPr>
              <w:t>all</w:t>
            </w:r>
            <w:proofErr w:type="spellEnd"/>
            <w:r w:rsidRPr="369C09EE">
              <w:rPr>
                <w:rFonts w:ascii="Aptos" w:eastAsia="Aptos" w:hAnsi="Aptos" w:cs="Aptos"/>
              </w:rPr>
              <w:t xml:space="preserve"> AI </w:t>
            </w:r>
            <w:proofErr w:type="spellStart"/>
            <w:r w:rsidRPr="369C09EE">
              <w:rPr>
                <w:rFonts w:ascii="Aptos" w:eastAsia="Aptos" w:hAnsi="Aptos" w:cs="Aptos"/>
              </w:rPr>
              <w:t>systems</w:t>
            </w:r>
            <w:proofErr w:type="spellEnd"/>
            <w:r w:rsidRPr="369C09EE">
              <w:rPr>
                <w:rFonts w:ascii="Aptos" w:eastAsia="Aptos" w:hAnsi="Aptos" w:cs="Aptos"/>
              </w:rPr>
              <w:t xml:space="preserve"> and </w:t>
            </w:r>
            <w:proofErr w:type="spellStart"/>
            <w:r w:rsidRPr="369C09EE">
              <w:rPr>
                <w:rFonts w:ascii="Aptos" w:eastAsia="Aptos" w:hAnsi="Aptos" w:cs="Aptos"/>
              </w:rPr>
              <w:t>models</w:t>
            </w:r>
            <w:proofErr w:type="spellEnd"/>
            <w:r w:rsidRPr="369C09EE">
              <w:rPr>
                <w:rFonts w:ascii="Aptos" w:eastAsia="Aptos" w:hAnsi="Aptos" w:cs="Aptos"/>
              </w:rPr>
              <w:t xml:space="preserve">—not </w:t>
            </w:r>
            <w:proofErr w:type="spellStart"/>
            <w:r w:rsidRPr="369C09EE">
              <w:rPr>
                <w:rFonts w:ascii="Aptos" w:eastAsia="Aptos" w:hAnsi="Aptos" w:cs="Aptos"/>
              </w:rPr>
              <w:t>just</w:t>
            </w:r>
            <w:proofErr w:type="spellEnd"/>
            <w:r w:rsidRPr="369C09EE">
              <w:rPr>
                <w:rFonts w:ascii="Aptos" w:eastAsia="Aptos" w:hAnsi="Aptos" w:cs="Aptos"/>
              </w:rPr>
              <w:t xml:space="preserve"> </w:t>
            </w:r>
            <w:proofErr w:type="spellStart"/>
            <w:r w:rsidRPr="369C09EE">
              <w:rPr>
                <w:rFonts w:ascii="Aptos" w:eastAsia="Aptos" w:hAnsi="Aptos" w:cs="Aptos"/>
              </w:rPr>
              <w:t>those</w:t>
            </w:r>
            <w:proofErr w:type="spellEnd"/>
            <w:r w:rsidRPr="369C09EE">
              <w:rPr>
                <w:rFonts w:ascii="Aptos" w:eastAsia="Aptos" w:hAnsi="Aptos" w:cs="Aptos"/>
              </w:rPr>
              <w:t xml:space="preserve"> </w:t>
            </w:r>
            <w:proofErr w:type="spellStart"/>
            <w:r w:rsidRPr="369C09EE">
              <w:rPr>
                <w:rFonts w:ascii="Aptos" w:eastAsia="Aptos" w:hAnsi="Aptos" w:cs="Aptos"/>
              </w:rPr>
              <w:t>deemed</w:t>
            </w:r>
            <w:proofErr w:type="spellEnd"/>
            <w:r w:rsidRPr="369C09EE">
              <w:rPr>
                <w:rFonts w:ascii="Aptos" w:eastAsia="Aptos" w:hAnsi="Aptos" w:cs="Aptos"/>
              </w:rPr>
              <w:t xml:space="preserve"> high-</w:t>
            </w:r>
            <w:proofErr w:type="spellStart"/>
            <w:r w:rsidRPr="369C09EE">
              <w:rPr>
                <w:rFonts w:ascii="Aptos" w:eastAsia="Aptos" w:hAnsi="Aptos" w:cs="Aptos"/>
              </w:rPr>
              <w:t>risk</w:t>
            </w:r>
            <w:proofErr w:type="spellEnd"/>
            <w:r w:rsidRPr="369C09EE">
              <w:rPr>
                <w:rFonts w:ascii="Aptos" w:eastAsia="Aptos" w:hAnsi="Aptos" w:cs="Aptos"/>
              </w:rPr>
              <w:t>.</w:t>
            </w:r>
          </w:p>
          <w:p w14:paraId="6DCB0888" w14:textId="3C3951A9" w:rsidR="007450DC" w:rsidRPr="005168FB" w:rsidRDefault="007450DC" w:rsidP="007505CB">
            <w:pPr>
              <w:spacing w:line="240" w:lineRule="auto"/>
              <w:rPr>
                <w:rFonts w:ascii="Aptos" w:eastAsia="Aptos" w:hAnsi="Aptos" w:cs="Aptos"/>
                <w:lang w:val="en-GB"/>
              </w:rPr>
            </w:pPr>
            <w:r w:rsidRPr="005567D2">
              <w:rPr>
                <w:rFonts w:ascii="Aptos" w:eastAsia="Aptos" w:hAnsi="Aptos" w:cs="Aptos"/>
                <w:lang w:val="en-US"/>
              </w:rPr>
              <w:t>We call for: This amendment, introduced in the Omnibus, should be retained in the final text.</w:t>
            </w:r>
          </w:p>
        </w:tc>
      </w:tr>
      <w:tr w:rsidR="007450DC" w:rsidRPr="005567D2" w14:paraId="382DBF85" w14:textId="77777777" w:rsidTr="007450DC">
        <w:trPr>
          <w:trHeight w:val="300"/>
        </w:trPr>
        <w:tc>
          <w:tcPr>
            <w:tcW w:w="1602" w:type="dxa"/>
          </w:tcPr>
          <w:p w14:paraId="1E57641B" w14:textId="5C9554F6" w:rsidR="007450DC" w:rsidRPr="005168FB" w:rsidRDefault="007450DC" w:rsidP="007505CB">
            <w:pPr>
              <w:pStyle w:val="Akapitzlist"/>
              <w:spacing w:line="240" w:lineRule="auto"/>
              <w:ind w:left="1080"/>
              <w:rPr>
                <w:sz w:val="22"/>
                <w:szCs w:val="22"/>
                <w:lang w:val="en-GB"/>
              </w:rPr>
            </w:pPr>
          </w:p>
        </w:tc>
        <w:tc>
          <w:tcPr>
            <w:tcW w:w="1768" w:type="dxa"/>
          </w:tcPr>
          <w:p w14:paraId="62A8C70E" w14:textId="0CA5BA3D" w:rsidR="007450DC" w:rsidRPr="005567D2" w:rsidRDefault="007450DC" w:rsidP="007505CB">
            <w:pPr>
              <w:spacing w:line="240" w:lineRule="auto"/>
              <w:jc w:val="center"/>
              <w:rPr>
                <w:rFonts w:ascii="Aptos" w:eastAsia="Aptos" w:hAnsi="Aptos" w:cs="Aptos"/>
              </w:rPr>
            </w:pPr>
            <w:r w:rsidRPr="005567D2">
              <w:rPr>
                <w:rFonts w:ascii="Aptos" w:eastAsia="Aptos" w:hAnsi="Aptos" w:cs="Aptos"/>
                <w:color w:val="000000" w:themeColor="text1"/>
              </w:rPr>
              <w:t>Polska Izba Informatyki i Telekomunikacji (PIIT)</w:t>
            </w:r>
          </w:p>
          <w:p w14:paraId="64FB2FE9" w14:textId="12FB9FF7" w:rsidR="007450DC" w:rsidRPr="005567D2" w:rsidRDefault="007450DC" w:rsidP="007505CB">
            <w:pPr>
              <w:spacing w:line="240" w:lineRule="auto"/>
              <w:jc w:val="center"/>
            </w:pPr>
          </w:p>
        </w:tc>
        <w:tc>
          <w:tcPr>
            <w:tcW w:w="2265" w:type="dxa"/>
          </w:tcPr>
          <w:p w14:paraId="519DDE9D" w14:textId="4B88FCEF" w:rsidR="007450DC" w:rsidRPr="005567D2" w:rsidRDefault="007450DC" w:rsidP="007505CB">
            <w:pPr>
              <w:spacing w:line="240" w:lineRule="auto"/>
              <w:jc w:val="center"/>
            </w:pPr>
            <w:r w:rsidRPr="005567D2">
              <w:t>Rozporządzenie 2024/1689</w:t>
            </w:r>
          </w:p>
          <w:p w14:paraId="2500688F" w14:textId="77777777"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3708B963" w14:textId="4AC43B20" w:rsidR="007450DC" w:rsidRDefault="007450DC" w:rsidP="369C09EE">
            <w:pPr>
              <w:spacing w:line="240" w:lineRule="auto"/>
              <w:jc w:val="center"/>
            </w:pPr>
          </w:p>
          <w:p w14:paraId="077862BC" w14:textId="77777777" w:rsidR="007450DC" w:rsidRDefault="007450DC" w:rsidP="007505CB">
            <w:pPr>
              <w:spacing w:line="240" w:lineRule="auto"/>
              <w:jc w:val="center"/>
            </w:pPr>
            <w:r w:rsidRPr="005567D2">
              <w:t>Art. 15 i 16</w:t>
            </w:r>
          </w:p>
          <w:p w14:paraId="65327B37" w14:textId="54E25C41" w:rsidR="007450DC" w:rsidRPr="005567D2" w:rsidRDefault="007450DC" w:rsidP="007505CB">
            <w:pPr>
              <w:spacing w:line="240" w:lineRule="auto"/>
              <w:jc w:val="center"/>
            </w:pPr>
          </w:p>
        </w:tc>
        <w:tc>
          <w:tcPr>
            <w:tcW w:w="10100" w:type="dxa"/>
          </w:tcPr>
          <w:p w14:paraId="787396FE" w14:textId="378173D8" w:rsidR="007450DC" w:rsidRPr="005567D2" w:rsidRDefault="007450DC" w:rsidP="007505CB">
            <w:pPr>
              <w:spacing w:line="240" w:lineRule="auto"/>
              <w:jc w:val="both"/>
            </w:pPr>
            <w:r w:rsidRPr="005567D2">
              <w:t>Wbrew zapowiedzi zawartej w Komunikacie, PIIT nie ma wrażenia, by pkt. 15 oraz 16 usuwały ustawową delegację Komisji do wydania aktów wykonawczych. Dodatkowo w pkt. 16 imperatyw wspólnego działania Komisji i Rady ds. AI, jest zastąpiony decyzją wyłącznie Komisji.</w:t>
            </w:r>
          </w:p>
        </w:tc>
      </w:tr>
      <w:tr w:rsidR="007450DC" w:rsidRPr="005567D2" w14:paraId="323AE3E4" w14:textId="77777777" w:rsidTr="007450DC">
        <w:tc>
          <w:tcPr>
            <w:tcW w:w="1602" w:type="dxa"/>
          </w:tcPr>
          <w:p w14:paraId="174CBD88" w14:textId="77777777" w:rsidR="007450DC" w:rsidRPr="005567D2" w:rsidRDefault="007450DC" w:rsidP="007505CB">
            <w:pPr>
              <w:pStyle w:val="Akapitzlist"/>
              <w:numPr>
                <w:ilvl w:val="0"/>
                <w:numId w:val="11"/>
              </w:numPr>
              <w:spacing w:line="240" w:lineRule="auto"/>
              <w:rPr>
                <w:sz w:val="22"/>
                <w:szCs w:val="22"/>
              </w:rPr>
            </w:pPr>
          </w:p>
        </w:tc>
        <w:tc>
          <w:tcPr>
            <w:tcW w:w="1768" w:type="dxa"/>
          </w:tcPr>
          <w:p w14:paraId="13D1FE18" w14:textId="47272556" w:rsidR="007450DC" w:rsidRPr="005567D2" w:rsidRDefault="007450DC" w:rsidP="007505CB">
            <w:pPr>
              <w:spacing w:line="240" w:lineRule="auto"/>
              <w:jc w:val="center"/>
            </w:pPr>
            <w:r w:rsidRPr="005567D2">
              <w:t>Ogólnopolska Izba  Gospodarcza Wyrobów Medycznych POLMED</w:t>
            </w:r>
          </w:p>
          <w:p w14:paraId="1C9D8CD6" w14:textId="01B1C57C" w:rsidR="007450DC" w:rsidRPr="005567D2" w:rsidRDefault="007450DC" w:rsidP="007505CB">
            <w:pPr>
              <w:spacing w:line="240" w:lineRule="auto"/>
              <w:jc w:val="center"/>
            </w:pPr>
          </w:p>
        </w:tc>
        <w:tc>
          <w:tcPr>
            <w:tcW w:w="2265" w:type="dxa"/>
          </w:tcPr>
          <w:p w14:paraId="2D510DA4" w14:textId="4B88FCEF" w:rsidR="007450DC" w:rsidRPr="005567D2" w:rsidRDefault="007450DC" w:rsidP="007505CB">
            <w:pPr>
              <w:spacing w:line="240" w:lineRule="auto"/>
              <w:jc w:val="center"/>
            </w:pPr>
            <w:r w:rsidRPr="005567D2">
              <w:t>Rozporządzenie 2024/1689</w:t>
            </w:r>
          </w:p>
          <w:p w14:paraId="719636DC" w14:textId="77777777"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1ABB1F6A" w14:textId="2A59352D" w:rsidR="007450DC" w:rsidRPr="005567D2" w:rsidRDefault="007450DC" w:rsidP="007505CB">
            <w:pPr>
              <w:spacing w:line="240" w:lineRule="auto"/>
              <w:jc w:val="center"/>
            </w:pPr>
          </w:p>
          <w:p w14:paraId="58AA28EF" w14:textId="16A7772C" w:rsidR="007450DC" w:rsidRPr="005567D2" w:rsidRDefault="007450DC" w:rsidP="007505CB">
            <w:pPr>
              <w:spacing w:line="240" w:lineRule="auto"/>
              <w:jc w:val="center"/>
            </w:pPr>
            <w:r w:rsidRPr="005567D2">
              <w:t>Art. 28 i 29</w:t>
            </w:r>
          </w:p>
          <w:p w14:paraId="409EE7C0" w14:textId="6B264A2E" w:rsidR="007450DC" w:rsidRPr="005567D2" w:rsidRDefault="007450DC" w:rsidP="007505CB">
            <w:pPr>
              <w:spacing w:line="240" w:lineRule="auto"/>
              <w:jc w:val="center"/>
            </w:pPr>
          </w:p>
        </w:tc>
        <w:tc>
          <w:tcPr>
            <w:tcW w:w="10100" w:type="dxa"/>
          </w:tcPr>
          <w:p w14:paraId="1E678FD5" w14:textId="209EF870" w:rsidR="007450DC" w:rsidRPr="005567D2" w:rsidRDefault="007450DC" w:rsidP="007505CB">
            <w:pPr>
              <w:spacing w:line="240" w:lineRule="auto"/>
              <w:jc w:val="both"/>
            </w:pPr>
            <w:r w:rsidRPr="005567D2">
              <w:t xml:space="preserve">Wyznaczenie jednostek notyfikowanych na podstawie AI </w:t>
            </w:r>
            <w:proofErr w:type="spellStart"/>
            <w:r w:rsidRPr="005567D2">
              <w:t>Act</w:t>
            </w:r>
            <w:proofErr w:type="spellEnd"/>
            <w:r w:rsidRPr="005567D2">
              <w:t xml:space="preserve"> z wykorzystaniem kodów i zakresów desygnacji jednostek notyfikacyjnych wyznaczonych na podstawie Rozporządzenia/ Jak najszybsze opublikowanie praktycznych wytycznych wskazujących:</w:t>
            </w:r>
          </w:p>
          <w:p w14:paraId="3751901D" w14:textId="0520FFE9" w:rsidR="007450DC" w:rsidRPr="005567D2" w:rsidRDefault="007450DC" w:rsidP="007505CB">
            <w:pPr>
              <w:spacing w:line="240" w:lineRule="auto"/>
              <w:jc w:val="both"/>
            </w:pPr>
            <w:r w:rsidRPr="005567D2">
              <w:t>- sposób przeprowadzenia oceny systemów AI, które przeszły już ocenę zgodności na podstawie MDR lub IVDR;</w:t>
            </w:r>
          </w:p>
          <w:p w14:paraId="65EA032A" w14:textId="2BAAE49D" w:rsidR="007450DC" w:rsidRPr="005567D2" w:rsidRDefault="007450DC" w:rsidP="007505CB">
            <w:pPr>
              <w:spacing w:line="240" w:lineRule="auto"/>
              <w:jc w:val="both"/>
            </w:pPr>
            <w:r w:rsidRPr="005567D2">
              <w:t xml:space="preserve">- w jakim zakresie QMS i dokumentacja techniczna sporządzone na gruncie MDR lub IVDR pozwalają na spełnienie wymogów AI </w:t>
            </w:r>
            <w:proofErr w:type="spellStart"/>
            <w:r w:rsidRPr="005567D2">
              <w:t>Act</w:t>
            </w:r>
            <w:proofErr w:type="spellEnd"/>
            <w:r w:rsidRPr="005567D2">
              <w:t xml:space="preserve"> </w:t>
            </w:r>
          </w:p>
          <w:p w14:paraId="33D1EC52" w14:textId="6DBF87E1" w:rsidR="007450DC" w:rsidRPr="005567D2" w:rsidRDefault="007450DC" w:rsidP="007505CB">
            <w:pPr>
              <w:spacing w:line="240" w:lineRule="auto"/>
              <w:jc w:val="both"/>
            </w:pPr>
          </w:p>
          <w:p w14:paraId="2F3C502E" w14:textId="31E14923" w:rsidR="007450DC" w:rsidRPr="005567D2" w:rsidRDefault="007450DC" w:rsidP="007505CB">
            <w:pPr>
              <w:spacing w:line="240" w:lineRule="auto"/>
              <w:jc w:val="both"/>
            </w:pPr>
            <w:r w:rsidRPr="005567D2">
              <w:t>Obie zmiany:</w:t>
            </w:r>
          </w:p>
          <w:p w14:paraId="0CBCE8DA" w14:textId="15152FC6" w:rsidR="007450DC" w:rsidRPr="005567D2" w:rsidRDefault="007450DC" w:rsidP="007505CB">
            <w:pPr>
              <w:spacing w:line="240" w:lineRule="auto"/>
              <w:jc w:val="both"/>
            </w:pPr>
            <w:r w:rsidRPr="005567D2">
              <w:lastRenderedPageBreak/>
              <w:t xml:space="preserve">-pozwolą na jak najszybsze podjęcie działań w kierunku przeprowadzenia procedury oceny zgodności z AI </w:t>
            </w:r>
            <w:proofErr w:type="spellStart"/>
            <w:r w:rsidRPr="005567D2">
              <w:t>Act</w:t>
            </w:r>
            <w:proofErr w:type="spellEnd"/>
            <w:r w:rsidRPr="005567D2">
              <w:t xml:space="preserve"> przy udziale jednostki notyfikowanej (a więc zrealizowania obowiązku warunkującego dostępność systemu na rynku) – co daje cień szansy na utrzymanie wyrobów stosujących technologię AI na rynku;</w:t>
            </w:r>
          </w:p>
          <w:p w14:paraId="547C0BD5" w14:textId="29860B1F" w:rsidR="007450DC" w:rsidRPr="005567D2" w:rsidRDefault="007450DC" w:rsidP="007505CB">
            <w:pPr>
              <w:spacing w:line="240" w:lineRule="auto"/>
              <w:jc w:val="both"/>
            </w:pPr>
            <w:r w:rsidRPr="005567D2">
              <w:t xml:space="preserve">-ograniczą konieczność dublowania tych samych czynności, dokumentacji, procedur i audytów i tych samych schematów (w przypadku, kiedy wytyczne wskażą jasno, że realizacja części obowiązków wynikających z MDR/IVDR będzie stanowić również realizację tych samych obowiązków wynikających z AI </w:t>
            </w:r>
            <w:proofErr w:type="spellStart"/>
            <w:r w:rsidRPr="005567D2">
              <w:t>Act</w:t>
            </w:r>
            <w:proofErr w:type="spellEnd"/>
            <w:r w:rsidRPr="005567D2">
              <w:t>);</w:t>
            </w:r>
          </w:p>
          <w:p w14:paraId="714BA88F" w14:textId="364EAA94" w:rsidR="007450DC" w:rsidRPr="005567D2" w:rsidRDefault="007450DC" w:rsidP="007505CB">
            <w:pPr>
              <w:spacing w:line="240" w:lineRule="auto"/>
              <w:jc w:val="both"/>
            </w:pPr>
            <w:r w:rsidRPr="005567D2">
              <w:t>-zwiększą przewidywalność i pewność inwestycyjną w technologię AI w systemie ochrony zdrowia w Europie;</w:t>
            </w:r>
          </w:p>
          <w:p w14:paraId="41C72712" w14:textId="7D1C6476" w:rsidR="007450DC" w:rsidRPr="005567D2" w:rsidRDefault="007450DC" w:rsidP="007505CB">
            <w:pPr>
              <w:spacing w:line="240" w:lineRule="auto"/>
              <w:jc w:val="both"/>
            </w:pPr>
            <w:r w:rsidRPr="005567D2">
              <w:t>-zmniejszą liczbę zatorów jednostkach notyfikowanych oraz przyspieszą procedurę oceny zgodności – co z kolei może przyczynić się do skrócenia czasu trwania wielu certyfikacji i szybsze wejście na rynek produktów, a co za tym idzie – ograniczy ryzyko zagrożenia dostępności niektórych produktów i technologii na rynku po 2027 roku.</w:t>
            </w:r>
          </w:p>
        </w:tc>
      </w:tr>
      <w:tr w:rsidR="007450DC" w:rsidRPr="005567D2" w14:paraId="69CA91C2" w14:textId="77777777" w:rsidTr="007450DC">
        <w:trPr>
          <w:trHeight w:val="390"/>
        </w:trPr>
        <w:tc>
          <w:tcPr>
            <w:tcW w:w="1602" w:type="dxa"/>
          </w:tcPr>
          <w:p w14:paraId="080AE5C2" w14:textId="77777777" w:rsidR="007450DC" w:rsidRPr="005567D2" w:rsidRDefault="007450DC" w:rsidP="007505CB">
            <w:pPr>
              <w:pStyle w:val="Akapitzlist"/>
              <w:numPr>
                <w:ilvl w:val="0"/>
                <w:numId w:val="11"/>
              </w:numPr>
              <w:spacing w:line="240" w:lineRule="auto"/>
              <w:rPr>
                <w:sz w:val="22"/>
                <w:szCs w:val="22"/>
              </w:rPr>
            </w:pPr>
          </w:p>
        </w:tc>
        <w:tc>
          <w:tcPr>
            <w:tcW w:w="1768" w:type="dxa"/>
          </w:tcPr>
          <w:p w14:paraId="59AE02AD" w14:textId="7CC9621A" w:rsidR="007450DC" w:rsidRPr="005567D2" w:rsidRDefault="007450DC" w:rsidP="007505CB">
            <w:pPr>
              <w:spacing w:line="240" w:lineRule="auto"/>
              <w:jc w:val="center"/>
            </w:pPr>
            <w:r w:rsidRPr="005567D2">
              <w:t>Ogólnopolska Izba  Gospodarcza Wyrobów Medycznych POLMED</w:t>
            </w:r>
          </w:p>
          <w:p w14:paraId="6741EDF4" w14:textId="45453DAB" w:rsidR="007450DC" w:rsidRPr="005567D2" w:rsidRDefault="007450DC" w:rsidP="007505CB">
            <w:pPr>
              <w:spacing w:line="240" w:lineRule="auto"/>
              <w:jc w:val="center"/>
            </w:pPr>
          </w:p>
        </w:tc>
        <w:tc>
          <w:tcPr>
            <w:tcW w:w="2265" w:type="dxa"/>
          </w:tcPr>
          <w:p w14:paraId="353F480C" w14:textId="68D61D51" w:rsidR="007450DC" w:rsidRPr="005567D2" w:rsidRDefault="007450DC" w:rsidP="007505CB">
            <w:pPr>
              <w:spacing w:line="240" w:lineRule="auto"/>
              <w:jc w:val="center"/>
            </w:pPr>
            <w:r w:rsidRPr="005567D2">
              <w:t xml:space="preserve">Rozporządzenie 2024/1689 </w:t>
            </w:r>
          </w:p>
          <w:p w14:paraId="4D5BE860" w14:textId="3E9D59B2" w:rsidR="007450DC" w:rsidRPr="005567D2" w:rsidRDefault="007450DC" w:rsidP="007505CB">
            <w:pPr>
              <w:spacing w:line="240" w:lineRule="auto"/>
              <w:jc w:val="center"/>
            </w:pPr>
            <w:r w:rsidRPr="005567D2">
              <w:t xml:space="preserve"> („AI </w:t>
            </w:r>
            <w:proofErr w:type="spellStart"/>
            <w:r w:rsidRPr="005567D2">
              <w:t>Act</w:t>
            </w:r>
            <w:proofErr w:type="spellEnd"/>
            <w:r w:rsidRPr="005567D2">
              <w:t>”)</w:t>
            </w:r>
          </w:p>
          <w:p w14:paraId="0F3CEC27" w14:textId="2C633549" w:rsidR="007450DC" w:rsidRPr="005567D2" w:rsidRDefault="007450DC" w:rsidP="007505CB">
            <w:pPr>
              <w:spacing w:line="240" w:lineRule="auto"/>
              <w:jc w:val="center"/>
            </w:pPr>
          </w:p>
          <w:p w14:paraId="44D71989" w14:textId="5CB287DB" w:rsidR="007450DC" w:rsidRPr="005567D2" w:rsidRDefault="007450DC" w:rsidP="007505CB">
            <w:pPr>
              <w:spacing w:line="240" w:lineRule="auto"/>
              <w:jc w:val="center"/>
            </w:pPr>
            <w:r w:rsidRPr="005567D2">
              <w:t>Art. 43 ?</w:t>
            </w:r>
          </w:p>
        </w:tc>
        <w:tc>
          <w:tcPr>
            <w:tcW w:w="10100" w:type="dxa"/>
          </w:tcPr>
          <w:p w14:paraId="33B35727" w14:textId="29521824" w:rsidR="007450DC" w:rsidRPr="005567D2" w:rsidRDefault="007450DC" w:rsidP="007505CB">
            <w:pPr>
              <w:spacing w:line="240" w:lineRule="auto"/>
              <w:jc w:val="both"/>
            </w:pPr>
            <w:r w:rsidRPr="005567D2">
              <w:t>Dopuszczenie stosowania międzynarodowych standardów (normy ISO) dla zapewnienia zgodności regulacyjnej zamiast tworzenia „odpowiedników” w skali UE</w:t>
            </w:r>
            <w:r>
              <w:t>.</w:t>
            </w:r>
          </w:p>
          <w:p w14:paraId="0D5D817B" w14:textId="40A7A964" w:rsidR="007450DC" w:rsidRPr="005567D2" w:rsidRDefault="007450DC" w:rsidP="007505CB">
            <w:pPr>
              <w:spacing w:line="240" w:lineRule="auto"/>
              <w:jc w:val="both"/>
            </w:pPr>
            <w:r w:rsidRPr="005567D2">
              <w:t>Taka zmiana pozwoli na większą globalizację standardów, co:</w:t>
            </w:r>
          </w:p>
          <w:p w14:paraId="25D0FEF0" w14:textId="4A7E5E5D" w:rsidR="007450DC" w:rsidRPr="005567D2" w:rsidRDefault="007450DC" w:rsidP="007505CB">
            <w:pPr>
              <w:spacing w:line="240" w:lineRule="auto"/>
              <w:jc w:val="both"/>
            </w:pPr>
            <w:r w:rsidRPr="005567D2">
              <w:t>-Ułatwi i przyspiesza wdrożenie nowego produktu na rynek UE jeśli jest on dostępny globalnie;</w:t>
            </w:r>
          </w:p>
          <w:p w14:paraId="7D3E1012" w14:textId="6BDE1FA2" w:rsidR="007450DC" w:rsidRPr="005567D2" w:rsidRDefault="007450DC" w:rsidP="007505CB">
            <w:pPr>
              <w:spacing w:line="240" w:lineRule="auto"/>
              <w:jc w:val="both"/>
            </w:pPr>
            <w:r w:rsidRPr="005567D2">
              <w:t>-Zmniejsza konieczność tworzenia kolejnych „wersji” lub modeli na poszczególne rynki oraz dodatkowej dokumentacji na poszczególne rynki;</w:t>
            </w:r>
          </w:p>
          <w:p w14:paraId="2D170B9C" w14:textId="0EDDB58C" w:rsidR="007450DC" w:rsidRPr="005567D2" w:rsidRDefault="007450DC" w:rsidP="007505CB">
            <w:pPr>
              <w:spacing w:line="240" w:lineRule="auto"/>
              <w:jc w:val="both"/>
            </w:pPr>
            <w:r w:rsidRPr="005567D2">
              <w:t>-Zwiększa atrakcyjność inwestycyjną na rynku UE i zwiększa dostępność produktów dla konsumentów na rynku UE.</w:t>
            </w:r>
          </w:p>
          <w:p w14:paraId="7601BE53" w14:textId="66332171" w:rsidR="007450DC" w:rsidRPr="005567D2" w:rsidRDefault="007450DC" w:rsidP="007505CB">
            <w:pPr>
              <w:spacing w:line="240" w:lineRule="auto"/>
              <w:jc w:val="both"/>
            </w:pPr>
          </w:p>
        </w:tc>
      </w:tr>
      <w:tr w:rsidR="007450DC" w:rsidRPr="005168FB" w14:paraId="7F2A1FBA" w14:textId="77777777" w:rsidTr="007450DC">
        <w:trPr>
          <w:trHeight w:val="300"/>
        </w:trPr>
        <w:tc>
          <w:tcPr>
            <w:tcW w:w="1602" w:type="dxa"/>
          </w:tcPr>
          <w:p w14:paraId="7F6AB513" w14:textId="7EC158FD" w:rsidR="007450DC" w:rsidRPr="005567D2" w:rsidRDefault="007450DC" w:rsidP="007505CB">
            <w:pPr>
              <w:pStyle w:val="Akapitzlist"/>
              <w:spacing w:line="240" w:lineRule="auto"/>
              <w:ind w:left="1080"/>
              <w:rPr>
                <w:sz w:val="22"/>
                <w:szCs w:val="22"/>
              </w:rPr>
            </w:pPr>
          </w:p>
        </w:tc>
        <w:tc>
          <w:tcPr>
            <w:tcW w:w="1768" w:type="dxa"/>
          </w:tcPr>
          <w:p w14:paraId="41EE5D96" w14:textId="3A0ACE2C" w:rsidR="007450DC" w:rsidRPr="005567D2" w:rsidRDefault="007450DC" w:rsidP="007505CB">
            <w:pPr>
              <w:spacing w:line="240" w:lineRule="auto"/>
              <w:jc w:val="center"/>
            </w:pPr>
            <w:r w:rsidRPr="005567D2">
              <w:t>Lewiatan</w:t>
            </w:r>
          </w:p>
        </w:tc>
        <w:tc>
          <w:tcPr>
            <w:tcW w:w="2265" w:type="dxa"/>
          </w:tcPr>
          <w:p w14:paraId="72CA3151" w14:textId="4FA23EF5" w:rsidR="007450DC" w:rsidRPr="005567D2" w:rsidRDefault="007450DC" w:rsidP="007505CB">
            <w:pPr>
              <w:spacing w:line="240" w:lineRule="auto"/>
              <w:jc w:val="center"/>
            </w:pPr>
            <w:r w:rsidRPr="005567D2">
              <w:t>Rozporządzenie 2024/1689</w:t>
            </w:r>
          </w:p>
          <w:p w14:paraId="584232D6" w14:textId="4A8CC4E6"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4E857542" w14:textId="654FD511" w:rsidR="007450DC" w:rsidRPr="005567D2" w:rsidRDefault="007450DC" w:rsidP="007505CB">
            <w:pPr>
              <w:spacing w:line="240" w:lineRule="auto"/>
              <w:jc w:val="center"/>
            </w:pPr>
          </w:p>
          <w:p w14:paraId="3E247081" w14:textId="4EFF37B7" w:rsidR="007450DC" w:rsidRPr="005567D2" w:rsidRDefault="007450DC" w:rsidP="007505CB">
            <w:pPr>
              <w:spacing w:line="240" w:lineRule="auto"/>
              <w:jc w:val="center"/>
            </w:pPr>
            <w:r w:rsidRPr="005567D2">
              <w:t>Art 49 ust. 2</w:t>
            </w:r>
          </w:p>
          <w:p w14:paraId="458D75ED" w14:textId="2B5606B2" w:rsidR="007450DC" w:rsidRPr="005567D2" w:rsidRDefault="007450DC" w:rsidP="007505CB">
            <w:pPr>
              <w:spacing w:line="240" w:lineRule="auto"/>
              <w:jc w:val="center"/>
            </w:pPr>
          </w:p>
        </w:tc>
        <w:tc>
          <w:tcPr>
            <w:tcW w:w="10100" w:type="dxa"/>
          </w:tcPr>
          <w:p w14:paraId="4413614A" w14:textId="77777777" w:rsidR="007450DC" w:rsidRDefault="007450DC" w:rsidP="007505CB">
            <w:pPr>
              <w:spacing w:line="240" w:lineRule="auto"/>
              <w:jc w:val="both"/>
              <w:rPr>
                <w:lang w:val="en-US"/>
              </w:rPr>
            </w:pPr>
            <w:r w:rsidRPr="005567D2">
              <w:rPr>
                <w:lang w:val="en-US"/>
              </w:rPr>
              <w:t>We also welcome the limitation of registration obligations (Deletion of Art 49(2) of the AI Act), clarifying that AI systems which are used in high-risk areas but for which the provider has concluded that they are not high-risk as they are only used for narrow or procedural tasks will be exempted from registration. This would not only reduce administrative burden but also security risks.</w:t>
            </w:r>
          </w:p>
          <w:p w14:paraId="79996CA4" w14:textId="6DF2F077" w:rsidR="007450DC" w:rsidRPr="005567D2" w:rsidRDefault="007450DC" w:rsidP="007505CB">
            <w:pPr>
              <w:spacing w:line="240" w:lineRule="auto"/>
              <w:jc w:val="both"/>
              <w:rPr>
                <w:lang w:val="en-US"/>
              </w:rPr>
            </w:pPr>
          </w:p>
        </w:tc>
      </w:tr>
      <w:tr w:rsidR="007450DC" w:rsidRPr="0068178D" w14:paraId="5CF792F4" w14:textId="77777777" w:rsidTr="007450DC">
        <w:trPr>
          <w:trHeight w:val="390"/>
        </w:trPr>
        <w:tc>
          <w:tcPr>
            <w:tcW w:w="1602" w:type="dxa"/>
          </w:tcPr>
          <w:p w14:paraId="60135A33" w14:textId="77777777" w:rsidR="007450DC" w:rsidRPr="005168FB" w:rsidRDefault="007450DC" w:rsidP="007505CB">
            <w:pPr>
              <w:pStyle w:val="Akapitzlist"/>
              <w:spacing w:line="240" w:lineRule="auto"/>
              <w:ind w:left="1080"/>
              <w:rPr>
                <w:sz w:val="22"/>
                <w:szCs w:val="22"/>
                <w:lang w:val="en-GB"/>
              </w:rPr>
            </w:pPr>
          </w:p>
        </w:tc>
        <w:tc>
          <w:tcPr>
            <w:tcW w:w="1768" w:type="dxa"/>
          </w:tcPr>
          <w:p w14:paraId="617850F5" w14:textId="767B36B2" w:rsidR="007450DC" w:rsidRPr="005567D2" w:rsidRDefault="007450DC" w:rsidP="007505CB">
            <w:pPr>
              <w:spacing w:line="240" w:lineRule="auto"/>
              <w:jc w:val="center"/>
              <w:rPr>
                <w:rFonts w:ascii="Aptos" w:eastAsia="Aptos" w:hAnsi="Aptos" w:cs="Aptos"/>
                <w:color w:val="000000" w:themeColor="text1"/>
              </w:rPr>
            </w:pPr>
            <w:r>
              <w:rPr>
                <w:rFonts w:ascii="Aptos" w:eastAsia="Aptos" w:hAnsi="Aptos" w:cs="Aptos"/>
                <w:color w:val="000000" w:themeColor="text1"/>
              </w:rPr>
              <w:t>Amerykańska Izba Handlowa w Polsce</w:t>
            </w:r>
          </w:p>
        </w:tc>
        <w:tc>
          <w:tcPr>
            <w:tcW w:w="2265" w:type="dxa"/>
          </w:tcPr>
          <w:p w14:paraId="30B277C8" w14:textId="77777777" w:rsidR="007450DC" w:rsidRPr="005567D2" w:rsidRDefault="007450DC" w:rsidP="00753281">
            <w:pPr>
              <w:spacing w:line="240" w:lineRule="auto"/>
              <w:jc w:val="center"/>
            </w:pPr>
            <w:r w:rsidRPr="005567D2">
              <w:t>Rozporządzenie 2024/1689</w:t>
            </w:r>
          </w:p>
          <w:p w14:paraId="49AA00FB" w14:textId="77777777" w:rsidR="007450DC" w:rsidRPr="005567D2" w:rsidRDefault="007450DC" w:rsidP="00753281">
            <w:pPr>
              <w:spacing w:line="240" w:lineRule="auto"/>
              <w:jc w:val="center"/>
            </w:pPr>
            <w:r w:rsidRPr="005567D2">
              <w:t xml:space="preserve">(„AI </w:t>
            </w:r>
            <w:proofErr w:type="spellStart"/>
            <w:r w:rsidRPr="005567D2">
              <w:t>Act</w:t>
            </w:r>
            <w:proofErr w:type="spellEnd"/>
            <w:r w:rsidRPr="005567D2">
              <w:t>”)</w:t>
            </w:r>
          </w:p>
          <w:p w14:paraId="19F48869" w14:textId="77777777" w:rsidR="007450DC" w:rsidRPr="005567D2" w:rsidRDefault="007450DC" w:rsidP="00753281">
            <w:pPr>
              <w:spacing w:line="240" w:lineRule="auto"/>
              <w:jc w:val="center"/>
            </w:pPr>
          </w:p>
          <w:p w14:paraId="5521D4D9" w14:textId="77777777" w:rsidR="007450DC" w:rsidRPr="005567D2" w:rsidRDefault="007450DC" w:rsidP="00753281">
            <w:pPr>
              <w:spacing w:line="240" w:lineRule="auto"/>
              <w:jc w:val="center"/>
            </w:pPr>
            <w:r w:rsidRPr="005567D2">
              <w:t>Art 49 ust. 2</w:t>
            </w:r>
          </w:p>
          <w:p w14:paraId="5FC6BF90" w14:textId="77777777" w:rsidR="007450DC" w:rsidRPr="005567D2" w:rsidRDefault="007450DC" w:rsidP="00753281">
            <w:pPr>
              <w:spacing w:line="240" w:lineRule="auto"/>
            </w:pPr>
          </w:p>
        </w:tc>
        <w:tc>
          <w:tcPr>
            <w:tcW w:w="10100" w:type="dxa"/>
          </w:tcPr>
          <w:p w14:paraId="2F7E17AA" w14:textId="7F1EEB5D" w:rsidR="007450DC" w:rsidRPr="0068178D" w:rsidRDefault="007450DC" w:rsidP="0068178D">
            <w:pPr>
              <w:pStyle w:val="Bezodstpw"/>
              <w:rPr>
                <w:lang w:val="en-GB"/>
              </w:rPr>
            </w:pPr>
            <w:r w:rsidRPr="0068178D">
              <w:rPr>
                <w:lang w:val="en-GB"/>
              </w:rPr>
              <w:lastRenderedPageBreak/>
              <w:t>The draft regulation on simplifications to the AI Act contains specific provisions aimed at</w:t>
            </w:r>
            <w:r>
              <w:rPr>
                <w:lang w:val="en-GB"/>
              </w:rPr>
              <w:t xml:space="preserve"> </w:t>
            </w:r>
            <w:r w:rsidRPr="0068178D">
              <w:rPr>
                <w:lang w:val="en-GB"/>
              </w:rPr>
              <w:t>reducing excessive and</w:t>
            </w:r>
            <w:r>
              <w:rPr>
                <w:lang w:val="en-GB"/>
              </w:rPr>
              <w:t xml:space="preserve"> </w:t>
            </w:r>
            <w:r w:rsidRPr="0068178D">
              <w:rPr>
                <w:lang w:val="en-GB"/>
              </w:rPr>
              <w:t>disproportionate administrative burdens, such as removing the</w:t>
            </w:r>
            <w:r>
              <w:rPr>
                <w:lang w:val="en-GB"/>
              </w:rPr>
              <w:t xml:space="preserve"> </w:t>
            </w:r>
            <w:r w:rsidRPr="0068178D">
              <w:rPr>
                <w:lang w:val="en-GB"/>
              </w:rPr>
              <w:t>requirement to register AI systems that are not high risk (Article 49(2)). This approach should</w:t>
            </w:r>
            <w:r>
              <w:rPr>
                <w:lang w:val="en-GB"/>
              </w:rPr>
              <w:t xml:space="preserve"> </w:t>
            </w:r>
            <w:r w:rsidRPr="0068178D">
              <w:rPr>
                <w:lang w:val="en-GB"/>
              </w:rPr>
              <w:t>be continued and potentially applied to other excessive administrative requirements that</w:t>
            </w:r>
          </w:p>
          <w:p w14:paraId="1F213CF8" w14:textId="77777777" w:rsidR="007450DC" w:rsidRDefault="007450DC" w:rsidP="369C09EE">
            <w:pPr>
              <w:pStyle w:val="Bezodstpw"/>
              <w:rPr>
                <w:sz w:val="22"/>
                <w:szCs w:val="22"/>
                <w:lang w:val="en-GB"/>
              </w:rPr>
            </w:pPr>
            <w:r w:rsidRPr="0068178D">
              <w:rPr>
                <w:sz w:val="22"/>
                <w:szCs w:val="22"/>
                <w:lang w:val="en-GB"/>
              </w:rPr>
              <w:t>abound in EU digital legislation.</w:t>
            </w:r>
          </w:p>
          <w:p w14:paraId="66AFDB1D" w14:textId="465EAD3C" w:rsidR="007450DC" w:rsidRPr="0068178D" w:rsidRDefault="007450DC" w:rsidP="369C09EE">
            <w:pPr>
              <w:pStyle w:val="Bezodstpw"/>
              <w:rPr>
                <w:sz w:val="22"/>
                <w:szCs w:val="22"/>
                <w:lang w:val="en-GB"/>
              </w:rPr>
            </w:pPr>
          </w:p>
        </w:tc>
      </w:tr>
      <w:tr w:rsidR="007450DC" w:rsidRPr="005567D2" w14:paraId="5BA62827" w14:textId="77777777" w:rsidTr="007450DC">
        <w:trPr>
          <w:trHeight w:val="390"/>
        </w:trPr>
        <w:tc>
          <w:tcPr>
            <w:tcW w:w="1602" w:type="dxa"/>
          </w:tcPr>
          <w:p w14:paraId="20B63879" w14:textId="3452349F" w:rsidR="007450DC" w:rsidRPr="005168FB" w:rsidRDefault="007450DC" w:rsidP="007505CB">
            <w:pPr>
              <w:pStyle w:val="Akapitzlist"/>
              <w:spacing w:line="240" w:lineRule="auto"/>
              <w:ind w:left="1080"/>
              <w:rPr>
                <w:sz w:val="22"/>
                <w:szCs w:val="22"/>
                <w:lang w:val="en-GB"/>
              </w:rPr>
            </w:pPr>
          </w:p>
        </w:tc>
        <w:tc>
          <w:tcPr>
            <w:tcW w:w="1768" w:type="dxa"/>
          </w:tcPr>
          <w:p w14:paraId="7D7C8E9E" w14:textId="18031F95" w:rsidR="007450DC" w:rsidRPr="005567D2" w:rsidRDefault="007450DC" w:rsidP="007505CB">
            <w:pPr>
              <w:spacing w:line="240" w:lineRule="auto"/>
              <w:jc w:val="center"/>
              <w:rPr>
                <w:rFonts w:ascii="Aptos" w:eastAsia="Aptos" w:hAnsi="Aptos" w:cs="Aptos"/>
              </w:rPr>
            </w:pPr>
            <w:r w:rsidRPr="005567D2">
              <w:rPr>
                <w:rFonts w:ascii="Aptos" w:eastAsia="Aptos" w:hAnsi="Aptos" w:cs="Aptos"/>
                <w:color w:val="000000" w:themeColor="text1"/>
              </w:rPr>
              <w:t>Polska Izba Informatyki i Telekomunikacji (PIIT)</w:t>
            </w:r>
          </w:p>
          <w:p w14:paraId="2FB32B02" w14:textId="5BE17296" w:rsidR="007450DC" w:rsidRPr="005567D2" w:rsidRDefault="007450DC" w:rsidP="007505CB">
            <w:pPr>
              <w:spacing w:line="240" w:lineRule="auto"/>
              <w:jc w:val="center"/>
            </w:pPr>
          </w:p>
        </w:tc>
        <w:tc>
          <w:tcPr>
            <w:tcW w:w="2265" w:type="dxa"/>
          </w:tcPr>
          <w:p w14:paraId="6CA86F87" w14:textId="4FA23EF5" w:rsidR="007450DC" w:rsidRPr="005567D2" w:rsidRDefault="007450DC" w:rsidP="007505CB">
            <w:pPr>
              <w:spacing w:line="240" w:lineRule="auto"/>
              <w:jc w:val="center"/>
            </w:pPr>
            <w:r w:rsidRPr="005567D2">
              <w:t>Rozporządzenie 2024/1689</w:t>
            </w:r>
          </w:p>
          <w:p w14:paraId="7D105622" w14:textId="4A8CC4E6"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684D03DE" w14:textId="5E62E434" w:rsidR="007450DC" w:rsidRPr="005567D2" w:rsidRDefault="007450DC" w:rsidP="007505CB">
            <w:pPr>
              <w:spacing w:line="240" w:lineRule="auto"/>
              <w:jc w:val="center"/>
            </w:pPr>
            <w:r w:rsidRPr="005567D2">
              <w:t>Art. 50</w:t>
            </w:r>
          </w:p>
        </w:tc>
        <w:tc>
          <w:tcPr>
            <w:tcW w:w="10100" w:type="dxa"/>
          </w:tcPr>
          <w:p w14:paraId="2634E0E1" w14:textId="77777777" w:rsidR="007450DC" w:rsidRDefault="007450DC" w:rsidP="007505CB">
            <w:pPr>
              <w:pStyle w:val="Bezodstpw"/>
              <w:rPr>
                <w:sz w:val="22"/>
                <w:szCs w:val="22"/>
                <w:lang w:val="en-US"/>
              </w:rPr>
            </w:pPr>
            <w:r w:rsidRPr="369C09EE">
              <w:rPr>
                <w:sz w:val="22"/>
                <w:szCs w:val="22"/>
                <w:lang w:val="en-US"/>
              </w:rPr>
              <w:t xml:space="preserve">PIIT </w:t>
            </w:r>
            <w:proofErr w:type="spellStart"/>
            <w:r w:rsidRPr="369C09EE">
              <w:rPr>
                <w:sz w:val="22"/>
                <w:szCs w:val="22"/>
                <w:lang w:val="en-US"/>
              </w:rPr>
              <w:t>sygnalizuje</w:t>
            </w:r>
            <w:proofErr w:type="spellEnd"/>
            <w:r w:rsidRPr="369C09EE">
              <w:rPr>
                <w:sz w:val="22"/>
                <w:szCs w:val="22"/>
                <w:lang w:val="en-US"/>
              </w:rPr>
              <w:t xml:space="preserve">, </w:t>
            </w:r>
            <w:proofErr w:type="spellStart"/>
            <w:r w:rsidRPr="369C09EE">
              <w:rPr>
                <w:sz w:val="22"/>
                <w:szCs w:val="22"/>
                <w:lang w:val="en-US"/>
              </w:rPr>
              <w:t>że</w:t>
            </w:r>
            <w:proofErr w:type="spellEnd"/>
            <w:r w:rsidRPr="369C09EE">
              <w:rPr>
                <w:sz w:val="22"/>
                <w:szCs w:val="22"/>
                <w:lang w:val="en-US"/>
              </w:rPr>
              <w:t xml:space="preserve"> w </w:t>
            </w:r>
            <w:proofErr w:type="spellStart"/>
            <w:r w:rsidRPr="369C09EE">
              <w:rPr>
                <w:sz w:val="22"/>
                <w:szCs w:val="22"/>
                <w:lang w:val="en-US"/>
              </w:rPr>
              <w:t>zmianach</w:t>
            </w:r>
            <w:proofErr w:type="spellEnd"/>
            <w:r w:rsidRPr="369C09EE">
              <w:rPr>
                <w:sz w:val="22"/>
                <w:szCs w:val="22"/>
                <w:lang w:val="en-US"/>
              </w:rPr>
              <w:t xml:space="preserve"> AIA </w:t>
            </w:r>
            <w:proofErr w:type="spellStart"/>
            <w:r w:rsidRPr="369C09EE">
              <w:rPr>
                <w:sz w:val="22"/>
                <w:szCs w:val="22"/>
                <w:lang w:val="en-US"/>
              </w:rPr>
              <w:t>brakuje</w:t>
            </w:r>
            <w:proofErr w:type="spellEnd"/>
            <w:r w:rsidRPr="369C09EE">
              <w:rPr>
                <w:sz w:val="22"/>
                <w:szCs w:val="22"/>
                <w:lang w:val="en-US"/>
              </w:rPr>
              <w:t xml:space="preserve"> </w:t>
            </w:r>
            <w:proofErr w:type="spellStart"/>
            <w:r w:rsidRPr="369C09EE">
              <w:rPr>
                <w:sz w:val="22"/>
                <w:szCs w:val="22"/>
                <w:lang w:val="en-US"/>
              </w:rPr>
              <w:t>odniesienia</w:t>
            </w:r>
            <w:proofErr w:type="spellEnd"/>
            <w:r w:rsidRPr="369C09EE">
              <w:rPr>
                <w:sz w:val="22"/>
                <w:szCs w:val="22"/>
                <w:lang w:val="en-US"/>
              </w:rPr>
              <w:t xml:space="preserve"> </w:t>
            </w:r>
            <w:proofErr w:type="spellStart"/>
            <w:r w:rsidRPr="369C09EE">
              <w:rPr>
                <w:sz w:val="22"/>
                <w:szCs w:val="22"/>
                <w:lang w:val="en-US"/>
              </w:rPr>
              <w:t>się</w:t>
            </w:r>
            <w:proofErr w:type="spellEnd"/>
            <w:r w:rsidRPr="369C09EE">
              <w:rPr>
                <w:sz w:val="22"/>
                <w:szCs w:val="22"/>
                <w:lang w:val="en-US"/>
              </w:rPr>
              <w:t xml:space="preserve"> do </w:t>
            </w:r>
            <w:proofErr w:type="spellStart"/>
            <w:r w:rsidRPr="369C09EE">
              <w:rPr>
                <w:sz w:val="22"/>
                <w:szCs w:val="22"/>
                <w:lang w:val="en-US"/>
              </w:rPr>
              <w:t>przepisu</w:t>
            </w:r>
            <w:proofErr w:type="spellEnd"/>
            <w:r w:rsidRPr="369C09EE">
              <w:rPr>
                <w:sz w:val="22"/>
                <w:szCs w:val="22"/>
                <w:lang w:val="en-US"/>
              </w:rPr>
              <w:t xml:space="preserve"> </w:t>
            </w:r>
            <w:proofErr w:type="spellStart"/>
            <w:r w:rsidRPr="369C09EE">
              <w:rPr>
                <w:sz w:val="22"/>
                <w:szCs w:val="22"/>
                <w:lang w:val="en-US"/>
              </w:rPr>
              <w:t>dotyczącego</w:t>
            </w:r>
            <w:proofErr w:type="spellEnd"/>
            <w:r w:rsidRPr="369C09EE">
              <w:rPr>
                <w:sz w:val="22"/>
                <w:szCs w:val="22"/>
                <w:lang w:val="en-US"/>
              </w:rPr>
              <w:t xml:space="preserve"> </w:t>
            </w:r>
            <w:proofErr w:type="spellStart"/>
            <w:r w:rsidRPr="369C09EE">
              <w:rPr>
                <w:sz w:val="22"/>
                <w:szCs w:val="22"/>
                <w:lang w:val="en-US"/>
              </w:rPr>
              <w:t>oznaczania</w:t>
            </w:r>
            <w:proofErr w:type="spellEnd"/>
            <w:r w:rsidRPr="369C09EE">
              <w:rPr>
                <w:sz w:val="22"/>
                <w:szCs w:val="22"/>
                <w:lang w:val="en-US"/>
              </w:rPr>
              <w:t xml:space="preserve"> </w:t>
            </w:r>
            <w:proofErr w:type="spellStart"/>
            <w:r w:rsidRPr="369C09EE">
              <w:rPr>
                <w:sz w:val="22"/>
                <w:szCs w:val="22"/>
                <w:lang w:val="en-US"/>
              </w:rPr>
              <w:t>treści</w:t>
            </w:r>
            <w:proofErr w:type="spellEnd"/>
            <w:r w:rsidRPr="369C09EE">
              <w:rPr>
                <w:sz w:val="22"/>
                <w:szCs w:val="22"/>
                <w:lang w:val="en-US"/>
              </w:rPr>
              <w:t xml:space="preserve"> </w:t>
            </w:r>
            <w:proofErr w:type="spellStart"/>
            <w:r w:rsidRPr="369C09EE">
              <w:rPr>
                <w:sz w:val="22"/>
                <w:szCs w:val="22"/>
                <w:lang w:val="en-US"/>
              </w:rPr>
              <w:t>wytworzonych</w:t>
            </w:r>
            <w:proofErr w:type="spellEnd"/>
            <w:r w:rsidRPr="369C09EE">
              <w:rPr>
                <w:sz w:val="22"/>
                <w:szCs w:val="22"/>
                <w:lang w:val="en-US"/>
              </w:rPr>
              <w:t xml:space="preserve"> z </w:t>
            </w:r>
            <w:proofErr w:type="spellStart"/>
            <w:r w:rsidRPr="369C09EE">
              <w:rPr>
                <w:sz w:val="22"/>
                <w:szCs w:val="22"/>
                <w:lang w:val="en-US"/>
              </w:rPr>
              <w:t>pomocą</w:t>
            </w:r>
            <w:proofErr w:type="spellEnd"/>
            <w:r w:rsidRPr="369C09EE">
              <w:rPr>
                <w:sz w:val="22"/>
                <w:szCs w:val="22"/>
                <w:lang w:val="en-US"/>
              </w:rPr>
              <w:t xml:space="preserve"> </w:t>
            </w:r>
            <w:proofErr w:type="spellStart"/>
            <w:r w:rsidRPr="369C09EE">
              <w:rPr>
                <w:sz w:val="22"/>
                <w:szCs w:val="22"/>
                <w:lang w:val="en-US"/>
              </w:rPr>
              <w:t>sztucznej</w:t>
            </w:r>
            <w:proofErr w:type="spellEnd"/>
            <w:r w:rsidRPr="369C09EE">
              <w:rPr>
                <w:sz w:val="22"/>
                <w:szCs w:val="22"/>
                <w:lang w:val="en-US"/>
              </w:rPr>
              <w:t xml:space="preserve"> </w:t>
            </w:r>
            <w:proofErr w:type="spellStart"/>
            <w:r w:rsidRPr="369C09EE">
              <w:rPr>
                <w:sz w:val="22"/>
                <w:szCs w:val="22"/>
                <w:lang w:val="en-US"/>
              </w:rPr>
              <w:t>inteligencji</w:t>
            </w:r>
            <w:proofErr w:type="spellEnd"/>
            <w:r w:rsidRPr="369C09EE">
              <w:rPr>
                <w:sz w:val="22"/>
                <w:szCs w:val="22"/>
                <w:lang w:val="en-US"/>
              </w:rPr>
              <w:t xml:space="preserve">. </w:t>
            </w:r>
            <w:proofErr w:type="spellStart"/>
            <w:r w:rsidRPr="369C09EE">
              <w:rPr>
                <w:sz w:val="22"/>
                <w:szCs w:val="22"/>
                <w:lang w:val="en-US"/>
              </w:rPr>
              <w:t>Prace</w:t>
            </w:r>
            <w:proofErr w:type="spellEnd"/>
            <w:r w:rsidRPr="369C09EE">
              <w:rPr>
                <w:sz w:val="22"/>
                <w:szCs w:val="22"/>
                <w:lang w:val="en-US"/>
              </w:rPr>
              <w:t xml:space="preserve"> </w:t>
            </w:r>
            <w:proofErr w:type="spellStart"/>
            <w:r w:rsidRPr="369C09EE">
              <w:rPr>
                <w:sz w:val="22"/>
                <w:szCs w:val="22"/>
                <w:lang w:val="en-US"/>
              </w:rPr>
              <w:t>prowadzone</w:t>
            </w:r>
            <w:proofErr w:type="spellEnd"/>
            <w:r w:rsidRPr="369C09EE">
              <w:rPr>
                <w:sz w:val="22"/>
                <w:szCs w:val="22"/>
                <w:lang w:val="en-US"/>
              </w:rPr>
              <w:t xml:space="preserve"> w </w:t>
            </w:r>
            <w:proofErr w:type="spellStart"/>
            <w:r w:rsidRPr="369C09EE">
              <w:rPr>
                <w:sz w:val="22"/>
                <w:szCs w:val="22"/>
                <w:lang w:val="en-US"/>
              </w:rPr>
              <w:t>ramach</w:t>
            </w:r>
            <w:proofErr w:type="spellEnd"/>
            <w:r w:rsidRPr="369C09EE">
              <w:rPr>
                <w:sz w:val="22"/>
                <w:szCs w:val="22"/>
                <w:lang w:val="en-US"/>
              </w:rPr>
              <w:t xml:space="preserve"> </w:t>
            </w:r>
            <w:proofErr w:type="spellStart"/>
            <w:r w:rsidRPr="369C09EE">
              <w:rPr>
                <w:sz w:val="22"/>
                <w:szCs w:val="22"/>
                <w:lang w:val="en-US"/>
              </w:rPr>
              <w:t>grupy</w:t>
            </w:r>
            <w:proofErr w:type="spellEnd"/>
            <w:r w:rsidRPr="369C09EE">
              <w:rPr>
                <w:sz w:val="22"/>
                <w:szCs w:val="22"/>
                <w:lang w:val="en-US"/>
              </w:rPr>
              <w:t xml:space="preserve"> </w:t>
            </w:r>
            <w:proofErr w:type="spellStart"/>
            <w:r w:rsidRPr="369C09EE">
              <w:rPr>
                <w:sz w:val="22"/>
                <w:szCs w:val="22"/>
                <w:lang w:val="en-US"/>
              </w:rPr>
              <w:t>powołanej</w:t>
            </w:r>
            <w:proofErr w:type="spellEnd"/>
            <w:r w:rsidRPr="369C09EE">
              <w:rPr>
                <w:sz w:val="22"/>
                <w:szCs w:val="22"/>
                <w:lang w:val="en-US"/>
              </w:rPr>
              <w:t xml:space="preserve"> </w:t>
            </w:r>
            <w:proofErr w:type="spellStart"/>
            <w:r w:rsidRPr="369C09EE">
              <w:rPr>
                <w:sz w:val="22"/>
                <w:szCs w:val="22"/>
                <w:lang w:val="en-US"/>
              </w:rPr>
              <w:t>dla</w:t>
            </w:r>
            <w:proofErr w:type="spellEnd"/>
            <w:r w:rsidRPr="369C09EE">
              <w:rPr>
                <w:sz w:val="22"/>
                <w:szCs w:val="22"/>
                <w:lang w:val="en-US"/>
              </w:rPr>
              <w:t xml:space="preserve"> </w:t>
            </w:r>
            <w:proofErr w:type="spellStart"/>
            <w:r w:rsidRPr="369C09EE">
              <w:rPr>
                <w:sz w:val="22"/>
                <w:szCs w:val="22"/>
                <w:lang w:val="en-US"/>
              </w:rPr>
              <w:t>wypracowania</w:t>
            </w:r>
            <w:proofErr w:type="spellEnd"/>
            <w:r w:rsidRPr="369C09EE">
              <w:rPr>
                <w:sz w:val="22"/>
                <w:szCs w:val="22"/>
                <w:lang w:val="en-US"/>
              </w:rPr>
              <w:t xml:space="preserve"> </w:t>
            </w:r>
            <w:proofErr w:type="spellStart"/>
            <w:r w:rsidRPr="369C09EE">
              <w:rPr>
                <w:sz w:val="22"/>
                <w:szCs w:val="22"/>
                <w:lang w:val="en-US"/>
              </w:rPr>
              <w:t>wytycznych</w:t>
            </w:r>
            <w:proofErr w:type="spellEnd"/>
            <w:r w:rsidRPr="369C09EE">
              <w:rPr>
                <w:sz w:val="22"/>
                <w:szCs w:val="22"/>
                <w:lang w:val="en-US"/>
              </w:rPr>
              <w:t xml:space="preserve"> </w:t>
            </w:r>
            <w:proofErr w:type="spellStart"/>
            <w:r w:rsidRPr="369C09EE">
              <w:rPr>
                <w:sz w:val="22"/>
                <w:szCs w:val="22"/>
                <w:lang w:val="en-US"/>
              </w:rPr>
              <w:t>dla</w:t>
            </w:r>
            <w:proofErr w:type="spellEnd"/>
            <w:r w:rsidRPr="369C09EE">
              <w:rPr>
                <w:sz w:val="22"/>
                <w:szCs w:val="22"/>
                <w:lang w:val="en-US"/>
              </w:rPr>
              <w:t xml:space="preserve"> </w:t>
            </w:r>
            <w:proofErr w:type="spellStart"/>
            <w:r w:rsidRPr="369C09EE">
              <w:rPr>
                <w:sz w:val="22"/>
                <w:szCs w:val="22"/>
                <w:lang w:val="en-US"/>
              </w:rPr>
              <w:t>stosowania</w:t>
            </w:r>
            <w:proofErr w:type="spellEnd"/>
            <w:r w:rsidRPr="369C09EE">
              <w:rPr>
                <w:sz w:val="22"/>
                <w:szCs w:val="22"/>
                <w:lang w:val="en-US"/>
              </w:rPr>
              <w:t xml:space="preserve"> art. 50 </w:t>
            </w:r>
            <w:proofErr w:type="spellStart"/>
            <w:r w:rsidRPr="369C09EE">
              <w:rPr>
                <w:sz w:val="22"/>
                <w:szCs w:val="22"/>
                <w:lang w:val="en-US"/>
              </w:rPr>
              <w:t>wykazały</w:t>
            </w:r>
            <w:proofErr w:type="spellEnd"/>
            <w:r w:rsidRPr="369C09EE">
              <w:rPr>
                <w:sz w:val="22"/>
                <w:szCs w:val="22"/>
                <w:lang w:val="en-US"/>
              </w:rPr>
              <w:t xml:space="preserve">, </w:t>
            </w:r>
            <w:proofErr w:type="spellStart"/>
            <w:r w:rsidRPr="369C09EE">
              <w:rPr>
                <w:sz w:val="22"/>
                <w:szCs w:val="22"/>
                <w:lang w:val="en-US"/>
              </w:rPr>
              <w:t>że</w:t>
            </w:r>
            <w:proofErr w:type="spellEnd"/>
            <w:r w:rsidRPr="369C09EE">
              <w:rPr>
                <w:sz w:val="22"/>
                <w:szCs w:val="22"/>
                <w:lang w:val="en-US"/>
              </w:rPr>
              <w:t xml:space="preserve"> </w:t>
            </w:r>
            <w:proofErr w:type="spellStart"/>
            <w:r w:rsidRPr="369C09EE">
              <w:rPr>
                <w:sz w:val="22"/>
                <w:szCs w:val="22"/>
                <w:lang w:val="en-US"/>
              </w:rPr>
              <w:t>zakres</w:t>
            </w:r>
            <w:proofErr w:type="spellEnd"/>
            <w:r w:rsidRPr="369C09EE">
              <w:rPr>
                <w:sz w:val="22"/>
                <w:szCs w:val="22"/>
                <w:lang w:val="en-US"/>
              </w:rPr>
              <w:t xml:space="preserve"> </w:t>
            </w:r>
            <w:proofErr w:type="spellStart"/>
            <w:r w:rsidRPr="369C09EE">
              <w:rPr>
                <w:sz w:val="22"/>
                <w:szCs w:val="22"/>
                <w:lang w:val="en-US"/>
              </w:rPr>
              <w:t>przepisu</w:t>
            </w:r>
            <w:proofErr w:type="spellEnd"/>
            <w:r w:rsidRPr="369C09EE">
              <w:rPr>
                <w:sz w:val="22"/>
                <w:szCs w:val="22"/>
                <w:lang w:val="en-US"/>
              </w:rPr>
              <w:t xml:space="preserve"> – </w:t>
            </w:r>
            <w:proofErr w:type="spellStart"/>
            <w:r w:rsidRPr="369C09EE">
              <w:rPr>
                <w:sz w:val="22"/>
                <w:szCs w:val="22"/>
                <w:lang w:val="en-US"/>
              </w:rPr>
              <w:t>tworzonego</w:t>
            </w:r>
            <w:proofErr w:type="spellEnd"/>
            <w:r w:rsidRPr="369C09EE">
              <w:rPr>
                <w:sz w:val="22"/>
                <w:szCs w:val="22"/>
                <w:lang w:val="en-US"/>
              </w:rPr>
              <w:t xml:space="preserve"> </w:t>
            </w:r>
            <w:proofErr w:type="spellStart"/>
            <w:r w:rsidRPr="369C09EE">
              <w:rPr>
                <w:sz w:val="22"/>
                <w:szCs w:val="22"/>
                <w:lang w:val="en-US"/>
              </w:rPr>
              <w:t>prawdopodobnie</w:t>
            </w:r>
            <w:proofErr w:type="spellEnd"/>
            <w:r w:rsidRPr="369C09EE">
              <w:rPr>
                <w:sz w:val="22"/>
                <w:szCs w:val="22"/>
                <w:lang w:val="en-US"/>
              </w:rPr>
              <w:t xml:space="preserve"> z </w:t>
            </w:r>
            <w:proofErr w:type="spellStart"/>
            <w:r w:rsidRPr="369C09EE">
              <w:rPr>
                <w:sz w:val="22"/>
                <w:szCs w:val="22"/>
                <w:lang w:val="en-US"/>
              </w:rPr>
              <w:t>myślą</w:t>
            </w:r>
            <w:proofErr w:type="spellEnd"/>
            <w:r w:rsidRPr="369C09EE">
              <w:rPr>
                <w:sz w:val="22"/>
                <w:szCs w:val="22"/>
                <w:lang w:val="en-US"/>
              </w:rPr>
              <w:t xml:space="preserve"> o </w:t>
            </w:r>
            <w:proofErr w:type="spellStart"/>
            <w:r w:rsidRPr="369C09EE">
              <w:rPr>
                <w:sz w:val="22"/>
                <w:szCs w:val="22"/>
                <w:lang w:val="en-US"/>
              </w:rPr>
              <w:t>zwalczaniu</w:t>
            </w:r>
            <w:proofErr w:type="spellEnd"/>
            <w:r w:rsidRPr="369C09EE">
              <w:rPr>
                <w:sz w:val="22"/>
                <w:szCs w:val="22"/>
                <w:lang w:val="en-US"/>
              </w:rPr>
              <w:t xml:space="preserve"> „deep fake” – jest </w:t>
            </w:r>
            <w:proofErr w:type="spellStart"/>
            <w:r w:rsidRPr="369C09EE">
              <w:rPr>
                <w:sz w:val="22"/>
                <w:szCs w:val="22"/>
                <w:lang w:val="en-US"/>
              </w:rPr>
              <w:t>zbyt</w:t>
            </w:r>
            <w:proofErr w:type="spellEnd"/>
            <w:r w:rsidRPr="369C09EE">
              <w:rPr>
                <w:sz w:val="22"/>
                <w:szCs w:val="22"/>
                <w:lang w:val="en-US"/>
              </w:rPr>
              <w:t xml:space="preserve"> </w:t>
            </w:r>
            <w:proofErr w:type="spellStart"/>
            <w:r w:rsidRPr="369C09EE">
              <w:rPr>
                <w:sz w:val="22"/>
                <w:szCs w:val="22"/>
                <w:lang w:val="en-US"/>
              </w:rPr>
              <w:t>szeroki</w:t>
            </w:r>
            <w:proofErr w:type="spellEnd"/>
            <w:r w:rsidRPr="369C09EE">
              <w:rPr>
                <w:sz w:val="22"/>
                <w:szCs w:val="22"/>
                <w:lang w:val="en-US"/>
              </w:rPr>
              <w:t xml:space="preserve">. </w:t>
            </w:r>
            <w:proofErr w:type="spellStart"/>
            <w:r w:rsidRPr="369C09EE">
              <w:rPr>
                <w:sz w:val="22"/>
                <w:szCs w:val="22"/>
                <w:lang w:val="en-US"/>
              </w:rPr>
              <w:t>Masowe</w:t>
            </w:r>
            <w:proofErr w:type="spellEnd"/>
            <w:r w:rsidRPr="369C09EE">
              <w:rPr>
                <w:sz w:val="22"/>
                <w:szCs w:val="22"/>
                <w:lang w:val="en-US"/>
              </w:rPr>
              <w:t xml:space="preserve"> </w:t>
            </w:r>
            <w:proofErr w:type="spellStart"/>
            <w:r w:rsidRPr="369C09EE">
              <w:rPr>
                <w:sz w:val="22"/>
                <w:szCs w:val="22"/>
                <w:lang w:val="en-US"/>
              </w:rPr>
              <w:t>oznaczanie</w:t>
            </w:r>
            <w:proofErr w:type="spellEnd"/>
            <w:r w:rsidRPr="369C09EE">
              <w:rPr>
                <w:sz w:val="22"/>
                <w:szCs w:val="22"/>
                <w:lang w:val="en-US"/>
              </w:rPr>
              <w:t xml:space="preserve"> </w:t>
            </w:r>
            <w:proofErr w:type="spellStart"/>
            <w:r w:rsidRPr="369C09EE">
              <w:rPr>
                <w:sz w:val="22"/>
                <w:szCs w:val="22"/>
                <w:lang w:val="en-US"/>
              </w:rPr>
              <w:t>upublicznianych</w:t>
            </w:r>
            <w:proofErr w:type="spellEnd"/>
            <w:r w:rsidRPr="369C09EE">
              <w:rPr>
                <w:sz w:val="22"/>
                <w:szCs w:val="22"/>
                <w:lang w:val="en-US"/>
              </w:rPr>
              <w:t xml:space="preserve"> </w:t>
            </w:r>
            <w:proofErr w:type="spellStart"/>
            <w:r w:rsidRPr="369C09EE">
              <w:rPr>
                <w:sz w:val="22"/>
                <w:szCs w:val="22"/>
                <w:lang w:val="en-US"/>
              </w:rPr>
              <w:t>treści</w:t>
            </w:r>
            <w:proofErr w:type="spellEnd"/>
            <w:r w:rsidRPr="369C09EE">
              <w:rPr>
                <w:sz w:val="22"/>
                <w:szCs w:val="22"/>
                <w:lang w:val="en-US"/>
              </w:rPr>
              <w:t xml:space="preserve">, w </w:t>
            </w:r>
            <w:proofErr w:type="spellStart"/>
            <w:r w:rsidRPr="369C09EE">
              <w:rPr>
                <w:sz w:val="22"/>
                <w:szCs w:val="22"/>
                <w:lang w:val="en-US"/>
              </w:rPr>
              <w:t>tym</w:t>
            </w:r>
            <w:proofErr w:type="spellEnd"/>
            <w:r w:rsidRPr="369C09EE">
              <w:rPr>
                <w:sz w:val="22"/>
                <w:szCs w:val="22"/>
                <w:lang w:val="en-US"/>
              </w:rPr>
              <w:t xml:space="preserve"> np. </w:t>
            </w:r>
            <w:proofErr w:type="spellStart"/>
            <w:r w:rsidRPr="369C09EE">
              <w:rPr>
                <w:sz w:val="22"/>
                <w:szCs w:val="22"/>
                <w:lang w:val="en-US"/>
              </w:rPr>
              <w:t>kodu</w:t>
            </w:r>
            <w:proofErr w:type="spellEnd"/>
            <w:r w:rsidRPr="369C09EE">
              <w:rPr>
                <w:sz w:val="22"/>
                <w:szCs w:val="22"/>
                <w:lang w:val="en-US"/>
              </w:rPr>
              <w:t xml:space="preserve"> </w:t>
            </w:r>
            <w:proofErr w:type="spellStart"/>
            <w:r w:rsidRPr="369C09EE">
              <w:rPr>
                <w:sz w:val="22"/>
                <w:szCs w:val="22"/>
                <w:lang w:val="en-US"/>
              </w:rPr>
              <w:t>udostępnianego</w:t>
            </w:r>
            <w:proofErr w:type="spellEnd"/>
            <w:r w:rsidRPr="369C09EE">
              <w:rPr>
                <w:sz w:val="22"/>
                <w:szCs w:val="22"/>
                <w:lang w:val="en-US"/>
              </w:rPr>
              <w:t xml:space="preserve"> </w:t>
            </w:r>
            <w:proofErr w:type="spellStart"/>
            <w:r w:rsidRPr="369C09EE">
              <w:rPr>
                <w:sz w:val="22"/>
                <w:szCs w:val="22"/>
                <w:lang w:val="en-US"/>
              </w:rPr>
              <w:t>na</w:t>
            </w:r>
            <w:proofErr w:type="spellEnd"/>
            <w:r w:rsidRPr="369C09EE">
              <w:rPr>
                <w:sz w:val="22"/>
                <w:szCs w:val="22"/>
                <w:lang w:val="en-US"/>
              </w:rPr>
              <w:t xml:space="preserve"> </w:t>
            </w:r>
            <w:proofErr w:type="spellStart"/>
            <w:r w:rsidRPr="369C09EE">
              <w:rPr>
                <w:sz w:val="22"/>
                <w:szCs w:val="22"/>
                <w:lang w:val="en-US"/>
              </w:rPr>
              <w:t>platformie</w:t>
            </w:r>
            <w:proofErr w:type="spellEnd"/>
            <w:r w:rsidRPr="369C09EE">
              <w:rPr>
                <w:sz w:val="22"/>
                <w:szCs w:val="22"/>
                <w:lang w:val="en-US"/>
              </w:rPr>
              <w:t xml:space="preserve"> GitHub, jest </w:t>
            </w:r>
            <w:proofErr w:type="spellStart"/>
            <w:r w:rsidRPr="369C09EE">
              <w:rPr>
                <w:sz w:val="22"/>
                <w:szCs w:val="22"/>
                <w:lang w:val="en-US"/>
              </w:rPr>
              <w:t>nierealne</w:t>
            </w:r>
            <w:proofErr w:type="spellEnd"/>
            <w:r w:rsidRPr="369C09EE">
              <w:rPr>
                <w:sz w:val="22"/>
                <w:szCs w:val="22"/>
                <w:lang w:val="en-US"/>
              </w:rPr>
              <w:t xml:space="preserve"> </w:t>
            </w:r>
            <w:proofErr w:type="spellStart"/>
            <w:r w:rsidRPr="369C09EE">
              <w:rPr>
                <w:sz w:val="22"/>
                <w:szCs w:val="22"/>
                <w:lang w:val="en-US"/>
              </w:rPr>
              <w:t>i</w:t>
            </w:r>
            <w:proofErr w:type="spellEnd"/>
            <w:r w:rsidRPr="369C09EE">
              <w:rPr>
                <w:sz w:val="22"/>
                <w:szCs w:val="22"/>
                <w:lang w:val="en-US"/>
              </w:rPr>
              <w:t xml:space="preserve"> </w:t>
            </w:r>
            <w:proofErr w:type="spellStart"/>
            <w:r w:rsidRPr="369C09EE">
              <w:rPr>
                <w:sz w:val="22"/>
                <w:szCs w:val="22"/>
                <w:lang w:val="en-US"/>
              </w:rPr>
              <w:t>kontrproduktywne</w:t>
            </w:r>
            <w:proofErr w:type="spellEnd"/>
            <w:r w:rsidRPr="369C09EE">
              <w:rPr>
                <w:sz w:val="22"/>
                <w:szCs w:val="22"/>
                <w:lang w:val="en-US"/>
              </w:rPr>
              <w:t xml:space="preserve">. </w:t>
            </w:r>
            <w:proofErr w:type="spellStart"/>
            <w:r w:rsidRPr="369C09EE">
              <w:rPr>
                <w:sz w:val="22"/>
                <w:szCs w:val="22"/>
                <w:lang w:val="en-US"/>
              </w:rPr>
              <w:t>Podejście</w:t>
            </w:r>
            <w:proofErr w:type="spellEnd"/>
            <w:r w:rsidRPr="369C09EE">
              <w:rPr>
                <w:sz w:val="22"/>
                <w:szCs w:val="22"/>
                <w:lang w:val="en-US"/>
              </w:rPr>
              <w:t xml:space="preserve"> </w:t>
            </w:r>
            <w:proofErr w:type="spellStart"/>
            <w:r w:rsidRPr="369C09EE">
              <w:rPr>
                <w:sz w:val="22"/>
                <w:szCs w:val="22"/>
                <w:lang w:val="en-US"/>
              </w:rPr>
              <w:t>powinno</w:t>
            </w:r>
            <w:proofErr w:type="spellEnd"/>
            <w:r w:rsidRPr="369C09EE">
              <w:rPr>
                <w:sz w:val="22"/>
                <w:szCs w:val="22"/>
                <w:lang w:val="en-US"/>
              </w:rPr>
              <w:t xml:space="preserve"> </w:t>
            </w:r>
            <w:proofErr w:type="spellStart"/>
            <w:r w:rsidRPr="369C09EE">
              <w:rPr>
                <w:sz w:val="22"/>
                <w:szCs w:val="22"/>
                <w:lang w:val="en-US"/>
              </w:rPr>
              <w:t>być</w:t>
            </w:r>
            <w:proofErr w:type="spellEnd"/>
            <w:r w:rsidRPr="369C09EE">
              <w:rPr>
                <w:sz w:val="22"/>
                <w:szCs w:val="22"/>
                <w:lang w:val="en-US"/>
              </w:rPr>
              <w:t xml:space="preserve"> </w:t>
            </w:r>
            <w:proofErr w:type="spellStart"/>
            <w:r w:rsidRPr="369C09EE">
              <w:rPr>
                <w:sz w:val="22"/>
                <w:szCs w:val="22"/>
                <w:lang w:val="en-US"/>
              </w:rPr>
              <w:t>oparte</w:t>
            </w:r>
            <w:proofErr w:type="spellEnd"/>
            <w:r w:rsidRPr="369C09EE">
              <w:rPr>
                <w:sz w:val="22"/>
                <w:szCs w:val="22"/>
                <w:lang w:val="en-US"/>
              </w:rPr>
              <w:t xml:space="preserve"> </w:t>
            </w:r>
            <w:proofErr w:type="spellStart"/>
            <w:r w:rsidRPr="369C09EE">
              <w:rPr>
                <w:sz w:val="22"/>
                <w:szCs w:val="22"/>
                <w:lang w:val="en-US"/>
              </w:rPr>
              <w:t>na</w:t>
            </w:r>
            <w:proofErr w:type="spellEnd"/>
            <w:r w:rsidRPr="369C09EE">
              <w:rPr>
                <w:sz w:val="22"/>
                <w:szCs w:val="22"/>
                <w:lang w:val="en-US"/>
              </w:rPr>
              <w:t xml:space="preserve"> </w:t>
            </w:r>
            <w:proofErr w:type="spellStart"/>
            <w:r w:rsidRPr="369C09EE">
              <w:rPr>
                <w:sz w:val="22"/>
                <w:szCs w:val="22"/>
                <w:lang w:val="en-US"/>
              </w:rPr>
              <w:t>obowiązku</w:t>
            </w:r>
            <w:proofErr w:type="spellEnd"/>
            <w:r w:rsidRPr="369C09EE">
              <w:rPr>
                <w:sz w:val="22"/>
                <w:szCs w:val="22"/>
                <w:lang w:val="en-US"/>
              </w:rPr>
              <w:t xml:space="preserve"> </w:t>
            </w:r>
            <w:proofErr w:type="spellStart"/>
            <w:r w:rsidRPr="369C09EE">
              <w:rPr>
                <w:sz w:val="22"/>
                <w:szCs w:val="22"/>
                <w:lang w:val="en-US"/>
              </w:rPr>
              <w:t>oznaczania</w:t>
            </w:r>
            <w:proofErr w:type="spellEnd"/>
            <w:r w:rsidRPr="369C09EE">
              <w:rPr>
                <w:sz w:val="22"/>
                <w:szCs w:val="22"/>
                <w:lang w:val="en-US"/>
              </w:rPr>
              <w:t xml:space="preserve"> </w:t>
            </w:r>
            <w:proofErr w:type="spellStart"/>
            <w:r w:rsidRPr="369C09EE">
              <w:rPr>
                <w:sz w:val="22"/>
                <w:szCs w:val="22"/>
                <w:lang w:val="en-US"/>
              </w:rPr>
              <w:t>niektórych</w:t>
            </w:r>
            <w:proofErr w:type="spellEnd"/>
            <w:r w:rsidRPr="369C09EE">
              <w:rPr>
                <w:sz w:val="22"/>
                <w:szCs w:val="22"/>
                <w:lang w:val="en-US"/>
              </w:rPr>
              <w:t xml:space="preserve"> </w:t>
            </w:r>
            <w:proofErr w:type="spellStart"/>
            <w:r w:rsidRPr="369C09EE">
              <w:rPr>
                <w:sz w:val="22"/>
                <w:szCs w:val="22"/>
                <w:lang w:val="en-US"/>
              </w:rPr>
              <w:t>treści</w:t>
            </w:r>
            <w:proofErr w:type="spellEnd"/>
            <w:r w:rsidRPr="369C09EE">
              <w:rPr>
                <w:sz w:val="22"/>
                <w:szCs w:val="22"/>
                <w:lang w:val="en-US"/>
              </w:rPr>
              <w:t xml:space="preserve"> </w:t>
            </w:r>
            <w:proofErr w:type="spellStart"/>
            <w:r w:rsidRPr="369C09EE">
              <w:rPr>
                <w:sz w:val="22"/>
                <w:szCs w:val="22"/>
                <w:lang w:val="en-US"/>
              </w:rPr>
              <w:t>oraz</w:t>
            </w:r>
            <w:proofErr w:type="spellEnd"/>
            <w:r w:rsidRPr="369C09EE">
              <w:rPr>
                <w:sz w:val="22"/>
                <w:szCs w:val="22"/>
                <w:lang w:val="en-US"/>
              </w:rPr>
              <w:t xml:space="preserve"> </w:t>
            </w:r>
            <w:proofErr w:type="spellStart"/>
            <w:r w:rsidRPr="369C09EE">
              <w:rPr>
                <w:sz w:val="22"/>
                <w:szCs w:val="22"/>
                <w:lang w:val="en-US"/>
              </w:rPr>
              <w:t>na</w:t>
            </w:r>
            <w:proofErr w:type="spellEnd"/>
            <w:r w:rsidRPr="369C09EE">
              <w:rPr>
                <w:sz w:val="22"/>
                <w:szCs w:val="22"/>
                <w:lang w:val="en-US"/>
              </w:rPr>
              <w:t xml:space="preserve"> </w:t>
            </w:r>
            <w:proofErr w:type="spellStart"/>
            <w:r w:rsidRPr="369C09EE">
              <w:rPr>
                <w:sz w:val="22"/>
                <w:szCs w:val="22"/>
                <w:lang w:val="en-US"/>
              </w:rPr>
              <w:t>egzekwowaniu</w:t>
            </w:r>
            <w:proofErr w:type="spellEnd"/>
            <w:r w:rsidRPr="369C09EE">
              <w:rPr>
                <w:sz w:val="22"/>
                <w:szCs w:val="22"/>
                <w:lang w:val="en-US"/>
              </w:rPr>
              <w:t xml:space="preserve"> </w:t>
            </w:r>
            <w:proofErr w:type="spellStart"/>
            <w:r w:rsidRPr="369C09EE">
              <w:rPr>
                <w:sz w:val="22"/>
                <w:szCs w:val="22"/>
                <w:lang w:val="en-US"/>
              </w:rPr>
              <w:t>odpowiedzialności</w:t>
            </w:r>
            <w:proofErr w:type="spellEnd"/>
            <w:r w:rsidRPr="369C09EE">
              <w:rPr>
                <w:sz w:val="22"/>
                <w:szCs w:val="22"/>
                <w:lang w:val="en-US"/>
              </w:rPr>
              <w:t xml:space="preserve"> za </w:t>
            </w:r>
            <w:proofErr w:type="spellStart"/>
            <w:r w:rsidRPr="369C09EE">
              <w:rPr>
                <w:sz w:val="22"/>
                <w:szCs w:val="22"/>
                <w:lang w:val="en-US"/>
              </w:rPr>
              <w:t>brak</w:t>
            </w:r>
            <w:proofErr w:type="spellEnd"/>
            <w:r w:rsidRPr="369C09EE">
              <w:rPr>
                <w:sz w:val="22"/>
                <w:szCs w:val="22"/>
                <w:lang w:val="en-US"/>
              </w:rPr>
              <w:t xml:space="preserve"> </w:t>
            </w:r>
            <w:proofErr w:type="spellStart"/>
            <w:r w:rsidRPr="369C09EE">
              <w:rPr>
                <w:sz w:val="22"/>
                <w:szCs w:val="22"/>
                <w:lang w:val="en-US"/>
              </w:rPr>
              <w:t>takiego</w:t>
            </w:r>
            <w:proofErr w:type="spellEnd"/>
            <w:r w:rsidRPr="369C09EE">
              <w:rPr>
                <w:sz w:val="22"/>
                <w:szCs w:val="22"/>
                <w:lang w:val="en-US"/>
              </w:rPr>
              <w:t xml:space="preserve"> </w:t>
            </w:r>
            <w:proofErr w:type="spellStart"/>
            <w:r w:rsidRPr="369C09EE">
              <w:rPr>
                <w:sz w:val="22"/>
                <w:szCs w:val="22"/>
                <w:lang w:val="en-US"/>
              </w:rPr>
              <w:t>oznaczenia</w:t>
            </w:r>
            <w:proofErr w:type="spellEnd"/>
            <w:r w:rsidRPr="369C09EE">
              <w:rPr>
                <w:sz w:val="22"/>
                <w:szCs w:val="22"/>
                <w:lang w:val="en-US"/>
              </w:rPr>
              <w:t>.</w:t>
            </w:r>
          </w:p>
          <w:p w14:paraId="4E196584" w14:textId="31A7B6B8" w:rsidR="007450DC" w:rsidRPr="005168FB" w:rsidRDefault="007450DC" w:rsidP="007505CB">
            <w:pPr>
              <w:pStyle w:val="Bezodstpw"/>
              <w:rPr>
                <w:sz w:val="22"/>
                <w:szCs w:val="22"/>
                <w:lang w:val="en-US"/>
              </w:rPr>
            </w:pPr>
          </w:p>
        </w:tc>
      </w:tr>
      <w:tr w:rsidR="007450DC" w:rsidRPr="005567D2" w14:paraId="0729F175" w14:textId="77777777" w:rsidTr="007450DC">
        <w:trPr>
          <w:trHeight w:val="390"/>
        </w:trPr>
        <w:tc>
          <w:tcPr>
            <w:tcW w:w="1602" w:type="dxa"/>
          </w:tcPr>
          <w:p w14:paraId="06799FFC" w14:textId="1370C025" w:rsidR="007450DC" w:rsidRPr="005567D2" w:rsidRDefault="007450DC" w:rsidP="007505CB">
            <w:pPr>
              <w:pStyle w:val="Akapitzlist"/>
              <w:spacing w:line="240" w:lineRule="auto"/>
              <w:rPr>
                <w:sz w:val="22"/>
                <w:szCs w:val="22"/>
              </w:rPr>
            </w:pPr>
          </w:p>
        </w:tc>
        <w:tc>
          <w:tcPr>
            <w:tcW w:w="1768" w:type="dxa"/>
          </w:tcPr>
          <w:p w14:paraId="56982C74" w14:textId="01A289AD" w:rsidR="007450DC" w:rsidRPr="005567D2" w:rsidRDefault="007450DC" w:rsidP="007505CB">
            <w:pPr>
              <w:spacing w:line="240" w:lineRule="auto"/>
              <w:jc w:val="center"/>
              <w:rPr>
                <w:rFonts w:ascii="Aptos" w:eastAsia="Aptos" w:hAnsi="Aptos" w:cs="Aptos"/>
                <w:color w:val="000000" w:themeColor="text1"/>
              </w:rPr>
            </w:pPr>
            <w:r w:rsidRPr="005567D2">
              <w:rPr>
                <w:rFonts w:ascii="Aptos" w:eastAsia="Aptos" w:hAnsi="Aptos" w:cs="Aptos"/>
                <w:color w:val="000000" w:themeColor="text1"/>
              </w:rPr>
              <w:t>e-izba</w:t>
            </w:r>
          </w:p>
        </w:tc>
        <w:tc>
          <w:tcPr>
            <w:tcW w:w="2265" w:type="dxa"/>
          </w:tcPr>
          <w:p w14:paraId="09289072" w14:textId="4FA23EF5" w:rsidR="007450DC" w:rsidRPr="005567D2" w:rsidRDefault="007450DC" w:rsidP="007505CB">
            <w:pPr>
              <w:spacing w:line="240" w:lineRule="auto"/>
              <w:jc w:val="center"/>
            </w:pPr>
            <w:r w:rsidRPr="005567D2">
              <w:t>Rozporządzenie 2024/1689</w:t>
            </w:r>
          </w:p>
          <w:p w14:paraId="3A80CD8A" w14:textId="4A8CC4E6"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3DF300D7" w14:textId="3472F39A" w:rsidR="007450DC" w:rsidRPr="005567D2" w:rsidRDefault="007450DC" w:rsidP="007505CB">
            <w:pPr>
              <w:spacing w:line="240" w:lineRule="auto"/>
              <w:jc w:val="center"/>
            </w:pPr>
            <w:r w:rsidRPr="005567D2">
              <w:t>Art. 50</w:t>
            </w:r>
          </w:p>
        </w:tc>
        <w:tc>
          <w:tcPr>
            <w:tcW w:w="10100" w:type="dxa"/>
          </w:tcPr>
          <w:p w14:paraId="7C56FBFB" w14:textId="60131731" w:rsidR="007450DC" w:rsidRPr="005168FB" w:rsidRDefault="007450DC" w:rsidP="007505CB">
            <w:pPr>
              <w:pStyle w:val="Bezodstpw"/>
              <w:rPr>
                <w:sz w:val="22"/>
                <w:szCs w:val="22"/>
                <w:lang w:val="en-US"/>
              </w:rPr>
            </w:pPr>
            <w:r w:rsidRPr="369C09EE">
              <w:rPr>
                <w:sz w:val="22"/>
                <w:szCs w:val="22"/>
                <w:lang w:val="en-US"/>
              </w:rPr>
              <w:t xml:space="preserve">W art. 50 AIA </w:t>
            </w:r>
            <w:proofErr w:type="spellStart"/>
            <w:r w:rsidRPr="369C09EE">
              <w:rPr>
                <w:sz w:val="22"/>
                <w:szCs w:val="22"/>
                <w:lang w:val="en-US"/>
              </w:rPr>
              <w:t>warto</w:t>
            </w:r>
            <w:proofErr w:type="spellEnd"/>
            <w:r w:rsidRPr="369C09EE">
              <w:rPr>
                <w:sz w:val="22"/>
                <w:szCs w:val="22"/>
                <w:lang w:val="en-US"/>
              </w:rPr>
              <w:t xml:space="preserve"> </w:t>
            </w:r>
            <w:proofErr w:type="spellStart"/>
            <w:r w:rsidRPr="369C09EE">
              <w:rPr>
                <w:sz w:val="22"/>
                <w:szCs w:val="22"/>
                <w:lang w:val="en-US"/>
              </w:rPr>
              <w:t>wyraźnie</w:t>
            </w:r>
            <w:proofErr w:type="spellEnd"/>
            <w:r w:rsidRPr="369C09EE">
              <w:rPr>
                <w:sz w:val="22"/>
                <w:szCs w:val="22"/>
                <w:lang w:val="en-US"/>
              </w:rPr>
              <w:t xml:space="preserve"> </w:t>
            </w:r>
            <w:proofErr w:type="spellStart"/>
            <w:r w:rsidRPr="369C09EE">
              <w:rPr>
                <w:sz w:val="22"/>
                <w:szCs w:val="22"/>
                <w:lang w:val="en-US"/>
              </w:rPr>
              <w:t>wskazać</w:t>
            </w:r>
            <w:proofErr w:type="spellEnd"/>
            <w:r w:rsidRPr="369C09EE">
              <w:rPr>
                <w:sz w:val="22"/>
                <w:szCs w:val="22"/>
                <w:lang w:val="en-US"/>
              </w:rPr>
              <w:t xml:space="preserve">, </w:t>
            </w:r>
            <w:proofErr w:type="spellStart"/>
            <w:r w:rsidRPr="369C09EE">
              <w:rPr>
                <w:sz w:val="22"/>
                <w:szCs w:val="22"/>
                <w:lang w:val="en-US"/>
              </w:rPr>
              <w:t>że</w:t>
            </w:r>
            <w:proofErr w:type="spellEnd"/>
            <w:r w:rsidRPr="369C09EE">
              <w:rPr>
                <w:sz w:val="22"/>
                <w:szCs w:val="22"/>
                <w:lang w:val="en-US"/>
              </w:rPr>
              <w:t xml:space="preserve"> </w:t>
            </w:r>
            <w:proofErr w:type="spellStart"/>
            <w:r w:rsidRPr="369C09EE">
              <w:rPr>
                <w:sz w:val="22"/>
                <w:szCs w:val="22"/>
                <w:lang w:val="en-US"/>
              </w:rPr>
              <w:t>obowiązki</w:t>
            </w:r>
            <w:proofErr w:type="spellEnd"/>
            <w:r w:rsidRPr="369C09EE">
              <w:rPr>
                <w:sz w:val="22"/>
                <w:szCs w:val="22"/>
                <w:lang w:val="en-US"/>
              </w:rPr>
              <w:t xml:space="preserve"> </w:t>
            </w:r>
            <w:proofErr w:type="spellStart"/>
            <w:r w:rsidRPr="369C09EE">
              <w:rPr>
                <w:sz w:val="22"/>
                <w:szCs w:val="22"/>
                <w:lang w:val="en-US"/>
              </w:rPr>
              <w:t>dotyczące</w:t>
            </w:r>
            <w:proofErr w:type="spellEnd"/>
            <w:r w:rsidRPr="369C09EE">
              <w:rPr>
                <w:sz w:val="22"/>
                <w:szCs w:val="22"/>
                <w:lang w:val="en-US"/>
              </w:rPr>
              <w:t xml:space="preserve"> </w:t>
            </w:r>
            <w:proofErr w:type="spellStart"/>
            <w:r w:rsidRPr="369C09EE">
              <w:rPr>
                <w:sz w:val="22"/>
                <w:szCs w:val="22"/>
                <w:lang w:val="en-US"/>
              </w:rPr>
              <w:t>oznaczania</w:t>
            </w:r>
            <w:proofErr w:type="spellEnd"/>
            <w:r w:rsidRPr="369C09EE">
              <w:rPr>
                <w:sz w:val="22"/>
                <w:szCs w:val="22"/>
                <w:lang w:val="en-US"/>
              </w:rPr>
              <w:t xml:space="preserve"> </w:t>
            </w:r>
            <w:proofErr w:type="spellStart"/>
            <w:r w:rsidRPr="369C09EE">
              <w:rPr>
                <w:sz w:val="22"/>
                <w:szCs w:val="22"/>
                <w:lang w:val="en-US"/>
              </w:rPr>
              <w:t>wyników</w:t>
            </w:r>
            <w:proofErr w:type="spellEnd"/>
            <w:r w:rsidRPr="369C09EE">
              <w:rPr>
                <w:sz w:val="22"/>
                <w:szCs w:val="22"/>
                <w:lang w:val="en-US"/>
              </w:rPr>
              <w:t xml:space="preserve"> </w:t>
            </w:r>
            <w:proofErr w:type="spellStart"/>
            <w:r w:rsidRPr="369C09EE">
              <w:rPr>
                <w:sz w:val="22"/>
                <w:szCs w:val="22"/>
                <w:lang w:val="en-US"/>
              </w:rPr>
              <w:t>działania</w:t>
            </w:r>
            <w:proofErr w:type="spellEnd"/>
            <w:r w:rsidRPr="369C09EE">
              <w:rPr>
                <w:sz w:val="22"/>
                <w:szCs w:val="22"/>
                <w:lang w:val="en-US"/>
              </w:rPr>
              <w:t xml:space="preserve"> </w:t>
            </w:r>
            <w:proofErr w:type="spellStart"/>
            <w:r w:rsidRPr="369C09EE">
              <w:rPr>
                <w:sz w:val="22"/>
                <w:szCs w:val="22"/>
                <w:lang w:val="en-US"/>
              </w:rPr>
              <w:t>systemów</w:t>
            </w:r>
            <w:proofErr w:type="spellEnd"/>
            <w:r w:rsidRPr="369C09EE">
              <w:rPr>
                <w:sz w:val="22"/>
                <w:szCs w:val="22"/>
                <w:lang w:val="en-US"/>
              </w:rPr>
              <w:t xml:space="preserve"> AI </w:t>
            </w:r>
            <w:proofErr w:type="spellStart"/>
            <w:r w:rsidRPr="369C09EE">
              <w:rPr>
                <w:sz w:val="22"/>
                <w:szCs w:val="22"/>
                <w:lang w:val="en-US"/>
              </w:rPr>
              <w:t>jako</w:t>
            </w:r>
            <w:proofErr w:type="spellEnd"/>
            <w:r w:rsidRPr="369C09EE">
              <w:rPr>
                <w:sz w:val="22"/>
                <w:szCs w:val="22"/>
                <w:lang w:val="en-US"/>
              </w:rPr>
              <w:t xml:space="preserve"> </w:t>
            </w:r>
            <w:proofErr w:type="spellStart"/>
            <w:r w:rsidRPr="369C09EE">
              <w:rPr>
                <w:sz w:val="22"/>
                <w:szCs w:val="22"/>
                <w:lang w:val="en-US"/>
              </w:rPr>
              <w:t>sztucznie</w:t>
            </w:r>
            <w:proofErr w:type="spellEnd"/>
            <w:r w:rsidRPr="369C09EE">
              <w:rPr>
                <w:sz w:val="22"/>
                <w:szCs w:val="22"/>
                <w:lang w:val="en-US"/>
              </w:rPr>
              <w:t xml:space="preserve"> </w:t>
            </w:r>
            <w:proofErr w:type="spellStart"/>
            <w:r w:rsidRPr="369C09EE">
              <w:rPr>
                <w:sz w:val="22"/>
                <w:szCs w:val="22"/>
                <w:lang w:val="en-US"/>
              </w:rPr>
              <w:t>wygenerowanych</w:t>
            </w:r>
            <w:proofErr w:type="spellEnd"/>
            <w:r w:rsidRPr="369C09EE">
              <w:rPr>
                <w:sz w:val="22"/>
                <w:szCs w:val="22"/>
                <w:lang w:val="en-US"/>
              </w:rPr>
              <w:t xml:space="preserve"> </w:t>
            </w:r>
            <w:proofErr w:type="spellStart"/>
            <w:r w:rsidRPr="369C09EE">
              <w:rPr>
                <w:sz w:val="22"/>
                <w:szCs w:val="22"/>
                <w:lang w:val="en-US"/>
              </w:rPr>
              <w:t>lub</w:t>
            </w:r>
            <w:proofErr w:type="spellEnd"/>
            <w:r w:rsidRPr="369C09EE">
              <w:rPr>
                <w:sz w:val="22"/>
                <w:szCs w:val="22"/>
                <w:lang w:val="en-US"/>
              </w:rPr>
              <w:t xml:space="preserve"> </w:t>
            </w:r>
            <w:proofErr w:type="spellStart"/>
            <w:r w:rsidRPr="369C09EE">
              <w:rPr>
                <w:sz w:val="22"/>
                <w:szCs w:val="22"/>
                <w:lang w:val="en-US"/>
              </w:rPr>
              <w:t>zmanipulowanych</w:t>
            </w:r>
            <w:proofErr w:type="spellEnd"/>
            <w:r w:rsidRPr="369C09EE">
              <w:rPr>
                <w:sz w:val="22"/>
                <w:szCs w:val="22"/>
                <w:lang w:val="en-US"/>
              </w:rPr>
              <w:t xml:space="preserve"> </w:t>
            </w:r>
            <w:proofErr w:type="spellStart"/>
            <w:r w:rsidRPr="369C09EE">
              <w:rPr>
                <w:sz w:val="22"/>
                <w:szCs w:val="22"/>
                <w:lang w:val="en-US"/>
              </w:rPr>
              <w:t>spoczywają</w:t>
            </w:r>
            <w:proofErr w:type="spellEnd"/>
            <w:r w:rsidRPr="369C09EE">
              <w:rPr>
                <w:sz w:val="22"/>
                <w:szCs w:val="22"/>
                <w:lang w:val="en-US"/>
              </w:rPr>
              <w:t xml:space="preserve"> </w:t>
            </w:r>
            <w:proofErr w:type="spellStart"/>
            <w:r w:rsidRPr="369C09EE">
              <w:rPr>
                <w:sz w:val="22"/>
                <w:szCs w:val="22"/>
                <w:lang w:val="en-US"/>
              </w:rPr>
              <w:t>na</w:t>
            </w:r>
            <w:proofErr w:type="spellEnd"/>
            <w:r w:rsidRPr="369C09EE">
              <w:rPr>
                <w:sz w:val="22"/>
                <w:szCs w:val="22"/>
                <w:lang w:val="en-US"/>
              </w:rPr>
              <w:t xml:space="preserve"> </w:t>
            </w:r>
            <w:proofErr w:type="spellStart"/>
            <w:r w:rsidRPr="369C09EE">
              <w:rPr>
                <w:sz w:val="22"/>
                <w:szCs w:val="22"/>
                <w:lang w:val="en-US"/>
              </w:rPr>
              <w:t>dostawcach</w:t>
            </w:r>
            <w:proofErr w:type="spellEnd"/>
            <w:r w:rsidRPr="369C09EE">
              <w:rPr>
                <w:sz w:val="22"/>
                <w:szCs w:val="22"/>
                <w:lang w:val="en-US"/>
              </w:rPr>
              <w:t xml:space="preserve"> ADK, platform </w:t>
            </w:r>
            <w:proofErr w:type="spellStart"/>
            <w:r w:rsidRPr="369C09EE">
              <w:rPr>
                <w:sz w:val="22"/>
                <w:szCs w:val="22"/>
                <w:lang w:val="en-US"/>
              </w:rPr>
              <w:t>agentowych</w:t>
            </w:r>
            <w:proofErr w:type="spellEnd"/>
            <w:r w:rsidRPr="369C09EE">
              <w:rPr>
                <w:sz w:val="22"/>
                <w:szCs w:val="22"/>
                <w:lang w:val="en-US"/>
              </w:rPr>
              <w:t xml:space="preserve"> AI </w:t>
            </w:r>
            <w:proofErr w:type="spellStart"/>
            <w:r w:rsidRPr="369C09EE">
              <w:rPr>
                <w:sz w:val="22"/>
                <w:szCs w:val="22"/>
                <w:lang w:val="en-US"/>
              </w:rPr>
              <w:t>i</w:t>
            </w:r>
            <w:proofErr w:type="spellEnd"/>
            <w:r w:rsidRPr="369C09EE">
              <w:rPr>
                <w:sz w:val="22"/>
                <w:szCs w:val="22"/>
                <w:lang w:val="en-US"/>
              </w:rPr>
              <w:t xml:space="preserve"> </w:t>
            </w:r>
            <w:proofErr w:type="spellStart"/>
            <w:r w:rsidRPr="369C09EE">
              <w:rPr>
                <w:sz w:val="22"/>
                <w:szCs w:val="22"/>
                <w:lang w:val="en-US"/>
              </w:rPr>
              <w:t>frameworków</w:t>
            </w:r>
            <w:proofErr w:type="spellEnd"/>
            <w:r w:rsidRPr="369C09EE">
              <w:rPr>
                <w:sz w:val="22"/>
                <w:szCs w:val="22"/>
                <w:lang w:val="en-US"/>
              </w:rPr>
              <w:t xml:space="preserve">. </w:t>
            </w:r>
            <w:proofErr w:type="spellStart"/>
            <w:r w:rsidRPr="369C09EE">
              <w:rPr>
                <w:sz w:val="22"/>
                <w:szCs w:val="22"/>
                <w:lang w:val="en-US"/>
              </w:rPr>
              <w:t>Jeśli</w:t>
            </w:r>
            <w:proofErr w:type="spellEnd"/>
            <w:r w:rsidRPr="369C09EE">
              <w:rPr>
                <w:sz w:val="22"/>
                <w:szCs w:val="22"/>
                <w:lang w:val="en-US"/>
              </w:rPr>
              <w:t xml:space="preserve"> </w:t>
            </w:r>
            <w:proofErr w:type="spellStart"/>
            <w:r w:rsidRPr="369C09EE">
              <w:rPr>
                <w:sz w:val="22"/>
                <w:szCs w:val="22"/>
                <w:lang w:val="en-US"/>
              </w:rPr>
              <w:t>dany</w:t>
            </w:r>
            <w:proofErr w:type="spellEnd"/>
            <w:r w:rsidRPr="369C09EE">
              <w:rPr>
                <w:sz w:val="22"/>
                <w:szCs w:val="22"/>
                <w:lang w:val="en-US"/>
              </w:rPr>
              <w:t xml:space="preserve"> framework </w:t>
            </w:r>
            <w:proofErr w:type="spellStart"/>
            <w:r w:rsidRPr="369C09EE">
              <w:rPr>
                <w:sz w:val="22"/>
                <w:szCs w:val="22"/>
                <w:lang w:val="en-US"/>
              </w:rPr>
              <w:t>pozwala</w:t>
            </w:r>
            <w:proofErr w:type="spellEnd"/>
            <w:r w:rsidRPr="369C09EE">
              <w:rPr>
                <w:sz w:val="22"/>
                <w:szCs w:val="22"/>
                <w:lang w:val="en-US"/>
              </w:rPr>
              <w:t xml:space="preserve"> </w:t>
            </w:r>
            <w:proofErr w:type="spellStart"/>
            <w:r w:rsidRPr="369C09EE">
              <w:rPr>
                <w:sz w:val="22"/>
                <w:szCs w:val="22"/>
                <w:lang w:val="en-US"/>
              </w:rPr>
              <w:t>na</w:t>
            </w:r>
            <w:proofErr w:type="spellEnd"/>
            <w:r w:rsidRPr="369C09EE">
              <w:rPr>
                <w:sz w:val="22"/>
                <w:szCs w:val="22"/>
                <w:lang w:val="en-US"/>
              </w:rPr>
              <w:t xml:space="preserve"> </w:t>
            </w:r>
            <w:proofErr w:type="spellStart"/>
            <w:r w:rsidRPr="369C09EE">
              <w:rPr>
                <w:sz w:val="22"/>
                <w:szCs w:val="22"/>
                <w:lang w:val="en-US"/>
              </w:rPr>
              <w:t>tworzenie</w:t>
            </w:r>
            <w:proofErr w:type="spellEnd"/>
            <w:r w:rsidRPr="369C09EE">
              <w:rPr>
                <w:sz w:val="22"/>
                <w:szCs w:val="22"/>
                <w:lang w:val="en-US"/>
              </w:rPr>
              <w:t xml:space="preserve"> </w:t>
            </w:r>
            <w:proofErr w:type="spellStart"/>
            <w:r w:rsidRPr="369C09EE">
              <w:rPr>
                <w:sz w:val="22"/>
                <w:szCs w:val="22"/>
                <w:lang w:val="en-US"/>
              </w:rPr>
              <w:t>agentów</w:t>
            </w:r>
            <w:proofErr w:type="spellEnd"/>
            <w:r w:rsidRPr="369C09EE">
              <w:rPr>
                <w:sz w:val="22"/>
                <w:szCs w:val="22"/>
                <w:lang w:val="en-US"/>
              </w:rPr>
              <w:t xml:space="preserve"> AI, to </w:t>
            </w:r>
            <w:proofErr w:type="spellStart"/>
            <w:r w:rsidRPr="369C09EE">
              <w:rPr>
                <w:sz w:val="22"/>
                <w:szCs w:val="22"/>
                <w:lang w:val="en-US"/>
              </w:rPr>
              <w:t>jego</w:t>
            </w:r>
            <w:proofErr w:type="spellEnd"/>
            <w:r w:rsidRPr="369C09EE">
              <w:rPr>
                <w:sz w:val="22"/>
                <w:szCs w:val="22"/>
                <w:lang w:val="en-US"/>
              </w:rPr>
              <w:t xml:space="preserve"> </w:t>
            </w:r>
            <w:proofErr w:type="spellStart"/>
            <w:r w:rsidRPr="369C09EE">
              <w:rPr>
                <w:sz w:val="22"/>
                <w:szCs w:val="22"/>
                <w:lang w:val="en-US"/>
              </w:rPr>
              <w:t>dostawca</w:t>
            </w:r>
            <w:proofErr w:type="spellEnd"/>
            <w:r w:rsidRPr="369C09EE">
              <w:rPr>
                <w:sz w:val="22"/>
                <w:szCs w:val="22"/>
                <w:lang w:val="en-US"/>
              </w:rPr>
              <w:t xml:space="preserve"> </w:t>
            </w:r>
            <w:proofErr w:type="spellStart"/>
            <w:r w:rsidRPr="369C09EE">
              <w:rPr>
                <w:sz w:val="22"/>
                <w:szCs w:val="22"/>
                <w:lang w:val="en-US"/>
              </w:rPr>
              <w:t>powinien</w:t>
            </w:r>
            <w:proofErr w:type="spellEnd"/>
            <w:r w:rsidRPr="369C09EE">
              <w:rPr>
                <w:sz w:val="22"/>
                <w:szCs w:val="22"/>
                <w:lang w:val="en-US"/>
              </w:rPr>
              <w:t xml:space="preserve"> </w:t>
            </w:r>
            <w:proofErr w:type="spellStart"/>
            <w:r w:rsidRPr="369C09EE">
              <w:rPr>
                <w:sz w:val="22"/>
                <w:szCs w:val="22"/>
                <w:lang w:val="en-US"/>
              </w:rPr>
              <w:t>zapewnić</w:t>
            </w:r>
            <w:proofErr w:type="spellEnd"/>
            <w:r w:rsidRPr="369C09EE">
              <w:rPr>
                <w:sz w:val="22"/>
                <w:szCs w:val="22"/>
                <w:lang w:val="en-US"/>
              </w:rPr>
              <w:t xml:space="preserve"> </w:t>
            </w:r>
            <w:proofErr w:type="spellStart"/>
            <w:r w:rsidRPr="369C09EE">
              <w:rPr>
                <w:sz w:val="22"/>
                <w:szCs w:val="22"/>
                <w:lang w:val="en-US"/>
              </w:rPr>
              <w:t>odpowiednie</w:t>
            </w:r>
            <w:proofErr w:type="spellEnd"/>
            <w:r w:rsidRPr="369C09EE">
              <w:rPr>
                <w:sz w:val="22"/>
                <w:szCs w:val="22"/>
                <w:lang w:val="en-US"/>
              </w:rPr>
              <w:t xml:space="preserve"> </w:t>
            </w:r>
            <w:proofErr w:type="spellStart"/>
            <w:r w:rsidRPr="369C09EE">
              <w:rPr>
                <w:sz w:val="22"/>
                <w:szCs w:val="22"/>
                <w:lang w:val="en-US"/>
              </w:rPr>
              <w:t>mechanizmy</w:t>
            </w:r>
            <w:proofErr w:type="spellEnd"/>
            <w:r w:rsidRPr="369C09EE">
              <w:rPr>
                <w:sz w:val="22"/>
                <w:szCs w:val="22"/>
                <w:lang w:val="en-US"/>
              </w:rPr>
              <w:t xml:space="preserve"> </w:t>
            </w:r>
            <w:proofErr w:type="spellStart"/>
            <w:r w:rsidRPr="369C09EE">
              <w:rPr>
                <w:sz w:val="22"/>
                <w:szCs w:val="22"/>
                <w:lang w:val="en-US"/>
              </w:rPr>
              <w:t>znakowania</w:t>
            </w:r>
            <w:proofErr w:type="spellEnd"/>
            <w:r w:rsidRPr="369C09EE">
              <w:rPr>
                <w:sz w:val="22"/>
                <w:szCs w:val="22"/>
                <w:lang w:val="en-US"/>
              </w:rPr>
              <w:t xml:space="preserve"> </w:t>
            </w:r>
            <w:proofErr w:type="spellStart"/>
            <w:r w:rsidRPr="369C09EE">
              <w:rPr>
                <w:sz w:val="22"/>
                <w:szCs w:val="22"/>
                <w:lang w:val="en-US"/>
              </w:rPr>
              <w:t>wyników</w:t>
            </w:r>
            <w:proofErr w:type="spellEnd"/>
            <w:r w:rsidRPr="369C09EE">
              <w:rPr>
                <w:sz w:val="22"/>
                <w:szCs w:val="22"/>
                <w:lang w:val="en-US"/>
              </w:rPr>
              <w:t xml:space="preserve"> (</w:t>
            </w:r>
            <w:proofErr w:type="spellStart"/>
            <w:r w:rsidRPr="369C09EE">
              <w:rPr>
                <w:sz w:val="22"/>
                <w:szCs w:val="22"/>
                <w:lang w:val="en-US"/>
              </w:rPr>
              <w:t>watermarkingu</w:t>
            </w:r>
            <w:proofErr w:type="spellEnd"/>
            <w:r w:rsidRPr="369C09EE">
              <w:rPr>
                <w:sz w:val="22"/>
                <w:szCs w:val="22"/>
                <w:lang w:val="en-US"/>
              </w:rPr>
              <w:t xml:space="preserve">). Nie </w:t>
            </w:r>
            <w:proofErr w:type="spellStart"/>
            <w:r w:rsidRPr="369C09EE">
              <w:rPr>
                <w:sz w:val="22"/>
                <w:szCs w:val="22"/>
                <w:lang w:val="en-US"/>
              </w:rPr>
              <w:t>powinno</w:t>
            </w:r>
            <w:proofErr w:type="spellEnd"/>
            <w:r w:rsidRPr="369C09EE">
              <w:rPr>
                <w:sz w:val="22"/>
                <w:szCs w:val="22"/>
                <w:lang w:val="en-US"/>
              </w:rPr>
              <w:t xml:space="preserve"> </w:t>
            </w:r>
            <w:proofErr w:type="spellStart"/>
            <w:r w:rsidRPr="369C09EE">
              <w:rPr>
                <w:sz w:val="22"/>
                <w:szCs w:val="22"/>
                <w:lang w:val="en-US"/>
              </w:rPr>
              <w:t>się</w:t>
            </w:r>
            <w:proofErr w:type="spellEnd"/>
            <w:r w:rsidRPr="369C09EE">
              <w:rPr>
                <w:sz w:val="22"/>
                <w:szCs w:val="22"/>
                <w:lang w:val="en-US"/>
              </w:rPr>
              <w:t xml:space="preserve"> </w:t>
            </w:r>
            <w:proofErr w:type="spellStart"/>
            <w:r w:rsidRPr="369C09EE">
              <w:rPr>
                <w:sz w:val="22"/>
                <w:szCs w:val="22"/>
                <w:lang w:val="en-US"/>
              </w:rPr>
              <w:t>wymagać</w:t>
            </w:r>
            <w:proofErr w:type="spellEnd"/>
            <w:r w:rsidRPr="369C09EE">
              <w:rPr>
                <w:sz w:val="22"/>
                <w:szCs w:val="22"/>
                <w:lang w:val="en-US"/>
              </w:rPr>
              <w:t xml:space="preserve">, aby </w:t>
            </w:r>
            <w:proofErr w:type="spellStart"/>
            <w:r w:rsidRPr="369C09EE">
              <w:rPr>
                <w:sz w:val="22"/>
                <w:szCs w:val="22"/>
                <w:lang w:val="en-US"/>
              </w:rPr>
              <w:t>twórca</w:t>
            </w:r>
            <w:proofErr w:type="spellEnd"/>
            <w:r w:rsidRPr="369C09EE">
              <w:rPr>
                <w:sz w:val="22"/>
                <w:szCs w:val="22"/>
                <w:lang w:val="en-US"/>
              </w:rPr>
              <w:t xml:space="preserve"> </w:t>
            </w:r>
            <w:proofErr w:type="spellStart"/>
            <w:r w:rsidRPr="369C09EE">
              <w:rPr>
                <w:sz w:val="22"/>
                <w:szCs w:val="22"/>
                <w:lang w:val="en-US"/>
              </w:rPr>
              <w:t>agenta</w:t>
            </w:r>
            <w:proofErr w:type="spellEnd"/>
            <w:r w:rsidRPr="369C09EE">
              <w:rPr>
                <w:sz w:val="22"/>
                <w:szCs w:val="22"/>
                <w:lang w:val="en-US"/>
              </w:rPr>
              <w:t xml:space="preserve"> AI, </w:t>
            </w:r>
            <w:proofErr w:type="spellStart"/>
            <w:r w:rsidRPr="369C09EE">
              <w:rPr>
                <w:sz w:val="22"/>
                <w:szCs w:val="22"/>
                <w:lang w:val="en-US"/>
              </w:rPr>
              <w:t>który</w:t>
            </w:r>
            <w:proofErr w:type="spellEnd"/>
            <w:r w:rsidRPr="369C09EE">
              <w:rPr>
                <w:sz w:val="22"/>
                <w:szCs w:val="22"/>
                <w:lang w:val="en-US"/>
              </w:rPr>
              <w:t xml:space="preserve"> </w:t>
            </w:r>
            <w:proofErr w:type="spellStart"/>
            <w:r w:rsidRPr="369C09EE">
              <w:rPr>
                <w:sz w:val="22"/>
                <w:szCs w:val="22"/>
                <w:lang w:val="en-US"/>
              </w:rPr>
              <w:t>często</w:t>
            </w:r>
            <w:proofErr w:type="spellEnd"/>
            <w:r w:rsidRPr="369C09EE">
              <w:rPr>
                <w:sz w:val="22"/>
                <w:szCs w:val="22"/>
                <w:lang w:val="en-US"/>
              </w:rPr>
              <w:t xml:space="preserve"> jest </w:t>
            </w:r>
            <w:proofErr w:type="spellStart"/>
            <w:r w:rsidRPr="369C09EE">
              <w:rPr>
                <w:sz w:val="22"/>
                <w:szCs w:val="22"/>
                <w:lang w:val="en-US"/>
              </w:rPr>
              <w:t>jedynie</w:t>
            </w:r>
            <w:proofErr w:type="spellEnd"/>
            <w:r w:rsidRPr="369C09EE">
              <w:rPr>
                <w:sz w:val="22"/>
                <w:szCs w:val="22"/>
                <w:lang w:val="en-US"/>
              </w:rPr>
              <w:t xml:space="preserve"> </w:t>
            </w:r>
            <w:proofErr w:type="spellStart"/>
            <w:r w:rsidRPr="369C09EE">
              <w:rPr>
                <w:sz w:val="22"/>
                <w:szCs w:val="22"/>
                <w:lang w:val="en-US"/>
              </w:rPr>
              <w:t>użytkownikiem</w:t>
            </w:r>
            <w:proofErr w:type="spellEnd"/>
            <w:r w:rsidRPr="369C09EE">
              <w:rPr>
                <w:sz w:val="22"/>
                <w:szCs w:val="22"/>
                <w:lang w:val="en-US"/>
              </w:rPr>
              <w:t xml:space="preserve"> </w:t>
            </w:r>
            <w:proofErr w:type="spellStart"/>
            <w:r w:rsidRPr="369C09EE">
              <w:rPr>
                <w:sz w:val="22"/>
                <w:szCs w:val="22"/>
                <w:lang w:val="en-US"/>
              </w:rPr>
              <w:t>biznesowym</w:t>
            </w:r>
            <w:proofErr w:type="spellEnd"/>
            <w:r w:rsidRPr="369C09EE">
              <w:rPr>
                <w:sz w:val="22"/>
                <w:szCs w:val="22"/>
                <w:lang w:val="en-US"/>
              </w:rPr>
              <w:t xml:space="preserve"> </w:t>
            </w:r>
            <w:proofErr w:type="spellStart"/>
            <w:r w:rsidRPr="369C09EE">
              <w:rPr>
                <w:sz w:val="22"/>
                <w:szCs w:val="22"/>
                <w:lang w:val="en-US"/>
              </w:rPr>
              <w:t>i</w:t>
            </w:r>
            <w:proofErr w:type="spellEnd"/>
            <w:r w:rsidRPr="369C09EE">
              <w:rPr>
                <w:sz w:val="22"/>
                <w:szCs w:val="22"/>
                <w:lang w:val="en-US"/>
              </w:rPr>
              <w:t xml:space="preserve"> </w:t>
            </w:r>
            <w:proofErr w:type="spellStart"/>
            <w:r w:rsidRPr="369C09EE">
              <w:rPr>
                <w:sz w:val="22"/>
                <w:szCs w:val="22"/>
                <w:lang w:val="en-US"/>
              </w:rPr>
              <w:t>nie</w:t>
            </w:r>
            <w:proofErr w:type="spellEnd"/>
            <w:r w:rsidRPr="369C09EE">
              <w:rPr>
                <w:sz w:val="22"/>
                <w:szCs w:val="22"/>
                <w:lang w:val="en-US"/>
              </w:rPr>
              <w:t xml:space="preserve"> ma </w:t>
            </w:r>
            <w:proofErr w:type="spellStart"/>
            <w:r w:rsidRPr="369C09EE">
              <w:rPr>
                <w:sz w:val="22"/>
                <w:szCs w:val="22"/>
                <w:lang w:val="en-US"/>
              </w:rPr>
              <w:t>specjalistycznej</w:t>
            </w:r>
            <w:proofErr w:type="spellEnd"/>
            <w:r w:rsidRPr="369C09EE">
              <w:rPr>
                <w:sz w:val="22"/>
                <w:szCs w:val="22"/>
                <w:lang w:val="en-US"/>
              </w:rPr>
              <w:t xml:space="preserve"> </w:t>
            </w:r>
            <w:proofErr w:type="spellStart"/>
            <w:r w:rsidRPr="369C09EE">
              <w:rPr>
                <w:sz w:val="22"/>
                <w:szCs w:val="22"/>
                <w:lang w:val="en-US"/>
              </w:rPr>
              <w:t>wiedzy</w:t>
            </w:r>
            <w:proofErr w:type="spellEnd"/>
            <w:r w:rsidRPr="369C09EE">
              <w:rPr>
                <w:sz w:val="22"/>
                <w:szCs w:val="22"/>
                <w:lang w:val="en-US"/>
              </w:rPr>
              <w:t xml:space="preserve"> </w:t>
            </w:r>
            <w:proofErr w:type="spellStart"/>
            <w:r w:rsidRPr="369C09EE">
              <w:rPr>
                <w:sz w:val="22"/>
                <w:szCs w:val="22"/>
                <w:lang w:val="en-US"/>
              </w:rPr>
              <w:t>technicznej</w:t>
            </w:r>
            <w:proofErr w:type="spellEnd"/>
            <w:r w:rsidRPr="369C09EE">
              <w:rPr>
                <w:sz w:val="22"/>
                <w:szCs w:val="22"/>
                <w:lang w:val="en-US"/>
              </w:rPr>
              <w:t xml:space="preserve">, </w:t>
            </w:r>
            <w:proofErr w:type="spellStart"/>
            <w:r w:rsidRPr="369C09EE">
              <w:rPr>
                <w:sz w:val="22"/>
                <w:szCs w:val="22"/>
                <w:lang w:val="en-US"/>
              </w:rPr>
              <w:t>samodzielnie</w:t>
            </w:r>
            <w:proofErr w:type="spellEnd"/>
            <w:r w:rsidRPr="369C09EE">
              <w:rPr>
                <w:sz w:val="22"/>
                <w:szCs w:val="22"/>
                <w:lang w:val="en-US"/>
              </w:rPr>
              <w:t xml:space="preserve"> </w:t>
            </w:r>
            <w:proofErr w:type="spellStart"/>
            <w:r w:rsidRPr="369C09EE">
              <w:rPr>
                <w:sz w:val="22"/>
                <w:szCs w:val="22"/>
                <w:lang w:val="en-US"/>
              </w:rPr>
              <w:t>implementował</w:t>
            </w:r>
            <w:proofErr w:type="spellEnd"/>
            <w:r w:rsidRPr="369C09EE">
              <w:rPr>
                <w:sz w:val="22"/>
                <w:szCs w:val="22"/>
                <w:lang w:val="en-US"/>
              </w:rPr>
              <w:t xml:space="preserve"> </w:t>
            </w:r>
            <w:proofErr w:type="spellStart"/>
            <w:r w:rsidRPr="369C09EE">
              <w:rPr>
                <w:sz w:val="22"/>
                <w:szCs w:val="22"/>
                <w:lang w:val="en-US"/>
              </w:rPr>
              <w:t>takie</w:t>
            </w:r>
            <w:proofErr w:type="spellEnd"/>
            <w:r w:rsidRPr="369C09EE">
              <w:rPr>
                <w:sz w:val="22"/>
                <w:szCs w:val="22"/>
                <w:lang w:val="en-US"/>
              </w:rPr>
              <w:t xml:space="preserve"> </w:t>
            </w:r>
            <w:proofErr w:type="spellStart"/>
            <w:r w:rsidRPr="369C09EE">
              <w:rPr>
                <w:sz w:val="22"/>
                <w:szCs w:val="22"/>
                <w:lang w:val="en-US"/>
              </w:rPr>
              <w:t>rozwiązania</w:t>
            </w:r>
            <w:proofErr w:type="spellEnd"/>
            <w:r w:rsidRPr="369C09EE">
              <w:rPr>
                <w:sz w:val="22"/>
                <w:szCs w:val="22"/>
                <w:lang w:val="en-US"/>
              </w:rPr>
              <w:t xml:space="preserve">. </w:t>
            </w:r>
            <w:proofErr w:type="spellStart"/>
            <w:r w:rsidRPr="369C09EE">
              <w:rPr>
                <w:sz w:val="22"/>
                <w:szCs w:val="22"/>
                <w:lang w:val="en-US"/>
              </w:rPr>
              <w:t>Byłoby</w:t>
            </w:r>
            <w:proofErr w:type="spellEnd"/>
            <w:r w:rsidRPr="369C09EE">
              <w:rPr>
                <w:sz w:val="22"/>
                <w:szCs w:val="22"/>
                <w:lang w:val="en-US"/>
              </w:rPr>
              <w:t xml:space="preserve"> to </w:t>
            </w:r>
            <w:proofErr w:type="spellStart"/>
            <w:r w:rsidRPr="369C09EE">
              <w:rPr>
                <w:sz w:val="22"/>
                <w:szCs w:val="22"/>
                <w:lang w:val="en-US"/>
              </w:rPr>
              <w:t>nieproporcjonalne</w:t>
            </w:r>
            <w:proofErr w:type="spellEnd"/>
            <w:r w:rsidRPr="369C09EE">
              <w:rPr>
                <w:sz w:val="22"/>
                <w:szCs w:val="22"/>
                <w:lang w:val="en-US"/>
              </w:rPr>
              <w:t>.</w:t>
            </w:r>
          </w:p>
          <w:p w14:paraId="26923A39" w14:textId="0D8089C2" w:rsidR="007450DC" w:rsidRPr="005567D2" w:rsidRDefault="007450DC" w:rsidP="007505CB">
            <w:pPr>
              <w:pStyle w:val="Bezodstpw"/>
              <w:rPr>
                <w:sz w:val="22"/>
                <w:szCs w:val="22"/>
                <w:lang w:val="en-US"/>
              </w:rPr>
            </w:pPr>
            <w:r w:rsidRPr="369C09EE">
              <w:rPr>
                <w:sz w:val="22"/>
                <w:szCs w:val="22"/>
                <w:lang w:val="en-US"/>
              </w:rPr>
              <w:t xml:space="preserve">Obowiązki </w:t>
            </w:r>
            <w:proofErr w:type="spellStart"/>
            <w:r w:rsidRPr="369C09EE">
              <w:rPr>
                <w:sz w:val="22"/>
                <w:szCs w:val="22"/>
                <w:lang w:val="en-US"/>
              </w:rPr>
              <w:t>związane</w:t>
            </w:r>
            <w:proofErr w:type="spellEnd"/>
            <w:r w:rsidRPr="369C09EE">
              <w:rPr>
                <w:sz w:val="22"/>
                <w:szCs w:val="22"/>
                <w:lang w:val="en-US"/>
              </w:rPr>
              <w:t xml:space="preserve"> ze </w:t>
            </w:r>
            <w:proofErr w:type="spellStart"/>
            <w:r w:rsidRPr="369C09EE">
              <w:rPr>
                <w:sz w:val="22"/>
                <w:szCs w:val="22"/>
                <w:lang w:val="en-US"/>
              </w:rPr>
              <w:t>znakowaniem</w:t>
            </w:r>
            <w:proofErr w:type="spellEnd"/>
            <w:r w:rsidRPr="369C09EE">
              <w:rPr>
                <w:sz w:val="22"/>
                <w:szCs w:val="22"/>
                <w:lang w:val="en-US"/>
              </w:rPr>
              <w:t xml:space="preserve"> </w:t>
            </w:r>
            <w:proofErr w:type="spellStart"/>
            <w:r w:rsidRPr="369C09EE">
              <w:rPr>
                <w:sz w:val="22"/>
                <w:szCs w:val="22"/>
                <w:lang w:val="en-US"/>
              </w:rPr>
              <w:t>wyników</w:t>
            </w:r>
            <w:proofErr w:type="spellEnd"/>
            <w:r w:rsidRPr="369C09EE">
              <w:rPr>
                <w:sz w:val="22"/>
                <w:szCs w:val="22"/>
                <w:lang w:val="en-US"/>
              </w:rPr>
              <w:t xml:space="preserve"> AI w </w:t>
            </w:r>
            <w:proofErr w:type="spellStart"/>
            <w:r w:rsidRPr="369C09EE">
              <w:rPr>
                <w:sz w:val="22"/>
                <w:szCs w:val="22"/>
                <w:lang w:val="en-US"/>
              </w:rPr>
              <w:t>przypadku</w:t>
            </w:r>
            <w:proofErr w:type="spellEnd"/>
            <w:r w:rsidRPr="369C09EE">
              <w:rPr>
                <w:sz w:val="22"/>
                <w:szCs w:val="22"/>
                <w:lang w:val="en-US"/>
              </w:rPr>
              <w:t xml:space="preserve"> </w:t>
            </w:r>
            <w:proofErr w:type="spellStart"/>
            <w:r w:rsidRPr="369C09EE">
              <w:rPr>
                <w:sz w:val="22"/>
                <w:szCs w:val="22"/>
                <w:lang w:val="en-US"/>
              </w:rPr>
              <w:t>tekstów</w:t>
            </w:r>
            <w:proofErr w:type="spellEnd"/>
            <w:r w:rsidRPr="369C09EE">
              <w:rPr>
                <w:sz w:val="22"/>
                <w:szCs w:val="22"/>
                <w:lang w:val="en-US"/>
              </w:rPr>
              <w:t xml:space="preserve"> </w:t>
            </w:r>
            <w:proofErr w:type="spellStart"/>
            <w:r w:rsidRPr="369C09EE">
              <w:rPr>
                <w:sz w:val="22"/>
                <w:szCs w:val="22"/>
                <w:lang w:val="en-US"/>
              </w:rPr>
              <w:t>powinny</w:t>
            </w:r>
            <w:proofErr w:type="spellEnd"/>
            <w:r w:rsidRPr="369C09EE">
              <w:rPr>
                <w:sz w:val="22"/>
                <w:szCs w:val="22"/>
                <w:lang w:val="en-US"/>
              </w:rPr>
              <w:t xml:space="preserve"> </w:t>
            </w:r>
            <w:proofErr w:type="spellStart"/>
            <w:r w:rsidRPr="369C09EE">
              <w:rPr>
                <w:sz w:val="22"/>
                <w:szCs w:val="22"/>
                <w:lang w:val="en-US"/>
              </w:rPr>
              <w:t>być</w:t>
            </w:r>
            <w:proofErr w:type="spellEnd"/>
            <w:r w:rsidRPr="369C09EE">
              <w:rPr>
                <w:sz w:val="22"/>
                <w:szCs w:val="22"/>
                <w:lang w:val="en-US"/>
              </w:rPr>
              <w:t xml:space="preserve"> </w:t>
            </w:r>
            <w:proofErr w:type="spellStart"/>
            <w:r w:rsidRPr="369C09EE">
              <w:rPr>
                <w:sz w:val="22"/>
                <w:szCs w:val="22"/>
                <w:lang w:val="en-US"/>
              </w:rPr>
              <w:t>stosowane</w:t>
            </w:r>
            <w:proofErr w:type="spellEnd"/>
            <w:r w:rsidRPr="369C09EE">
              <w:rPr>
                <w:sz w:val="22"/>
                <w:szCs w:val="22"/>
                <w:lang w:val="en-US"/>
              </w:rPr>
              <w:t xml:space="preserve"> w </w:t>
            </w:r>
            <w:proofErr w:type="spellStart"/>
            <w:r w:rsidRPr="369C09EE">
              <w:rPr>
                <w:sz w:val="22"/>
                <w:szCs w:val="22"/>
                <w:lang w:val="en-US"/>
              </w:rPr>
              <w:t>sposób</w:t>
            </w:r>
            <w:proofErr w:type="spellEnd"/>
            <w:r w:rsidRPr="369C09EE">
              <w:rPr>
                <w:sz w:val="22"/>
                <w:szCs w:val="22"/>
                <w:lang w:val="en-US"/>
              </w:rPr>
              <w:t xml:space="preserve"> </w:t>
            </w:r>
            <w:proofErr w:type="spellStart"/>
            <w:r w:rsidRPr="369C09EE">
              <w:rPr>
                <w:sz w:val="22"/>
                <w:szCs w:val="22"/>
                <w:lang w:val="en-US"/>
              </w:rPr>
              <w:t>proporcjonalny</w:t>
            </w:r>
            <w:proofErr w:type="spellEnd"/>
            <w:r w:rsidRPr="369C09EE">
              <w:rPr>
                <w:sz w:val="22"/>
                <w:szCs w:val="22"/>
                <w:lang w:val="en-US"/>
              </w:rPr>
              <w:t xml:space="preserve">. Nie </w:t>
            </w:r>
            <w:proofErr w:type="spellStart"/>
            <w:r w:rsidRPr="369C09EE">
              <w:rPr>
                <w:sz w:val="22"/>
                <w:szCs w:val="22"/>
                <w:lang w:val="en-US"/>
              </w:rPr>
              <w:t>każdy</w:t>
            </w:r>
            <w:proofErr w:type="spellEnd"/>
            <w:r w:rsidRPr="369C09EE">
              <w:rPr>
                <w:sz w:val="22"/>
                <w:szCs w:val="22"/>
                <w:lang w:val="en-US"/>
              </w:rPr>
              <w:t xml:space="preserve"> </w:t>
            </w:r>
            <w:proofErr w:type="spellStart"/>
            <w:r w:rsidRPr="369C09EE">
              <w:rPr>
                <w:sz w:val="22"/>
                <w:szCs w:val="22"/>
                <w:lang w:val="en-US"/>
              </w:rPr>
              <w:t>tekst</w:t>
            </w:r>
            <w:proofErr w:type="spellEnd"/>
            <w:r w:rsidRPr="369C09EE">
              <w:rPr>
                <w:sz w:val="22"/>
                <w:szCs w:val="22"/>
                <w:lang w:val="en-US"/>
              </w:rPr>
              <w:t xml:space="preserve"> </w:t>
            </w:r>
            <w:proofErr w:type="spellStart"/>
            <w:r w:rsidRPr="369C09EE">
              <w:rPr>
                <w:sz w:val="22"/>
                <w:szCs w:val="22"/>
                <w:lang w:val="en-US"/>
              </w:rPr>
              <w:t>powinien</w:t>
            </w:r>
            <w:proofErr w:type="spellEnd"/>
            <w:r w:rsidRPr="369C09EE">
              <w:rPr>
                <w:sz w:val="22"/>
                <w:szCs w:val="22"/>
                <w:lang w:val="en-US"/>
              </w:rPr>
              <w:t xml:space="preserve"> </w:t>
            </w:r>
            <w:proofErr w:type="spellStart"/>
            <w:r w:rsidRPr="369C09EE">
              <w:rPr>
                <w:sz w:val="22"/>
                <w:szCs w:val="22"/>
                <w:lang w:val="en-US"/>
              </w:rPr>
              <w:t>posiadać</w:t>
            </w:r>
            <w:proofErr w:type="spellEnd"/>
            <w:r w:rsidRPr="369C09EE">
              <w:rPr>
                <w:sz w:val="22"/>
                <w:szCs w:val="22"/>
                <w:lang w:val="en-US"/>
              </w:rPr>
              <w:t xml:space="preserve"> </w:t>
            </w:r>
            <w:proofErr w:type="spellStart"/>
            <w:r w:rsidRPr="369C09EE">
              <w:rPr>
                <w:sz w:val="22"/>
                <w:szCs w:val="22"/>
                <w:lang w:val="en-US"/>
              </w:rPr>
              <w:t>techniczny</w:t>
            </w:r>
            <w:proofErr w:type="spellEnd"/>
            <w:r w:rsidRPr="369C09EE">
              <w:rPr>
                <w:sz w:val="22"/>
                <w:szCs w:val="22"/>
                <w:lang w:val="en-US"/>
              </w:rPr>
              <w:t xml:space="preserve"> </w:t>
            </w:r>
            <w:proofErr w:type="spellStart"/>
            <w:r w:rsidRPr="369C09EE">
              <w:rPr>
                <w:sz w:val="22"/>
                <w:szCs w:val="22"/>
                <w:lang w:val="en-US"/>
              </w:rPr>
              <w:t>znak</w:t>
            </w:r>
            <w:proofErr w:type="spellEnd"/>
            <w:r w:rsidRPr="369C09EE">
              <w:rPr>
                <w:sz w:val="22"/>
                <w:szCs w:val="22"/>
                <w:lang w:val="en-US"/>
              </w:rPr>
              <w:t xml:space="preserve"> </w:t>
            </w:r>
            <w:proofErr w:type="spellStart"/>
            <w:r w:rsidRPr="369C09EE">
              <w:rPr>
                <w:sz w:val="22"/>
                <w:szCs w:val="22"/>
                <w:lang w:val="en-US"/>
              </w:rPr>
              <w:t>wodny</w:t>
            </w:r>
            <w:proofErr w:type="spellEnd"/>
            <w:r w:rsidRPr="369C09EE">
              <w:rPr>
                <w:sz w:val="22"/>
                <w:szCs w:val="22"/>
                <w:lang w:val="en-US"/>
              </w:rPr>
              <w:t xml:space="preserve">. </w:t>
            </w:r>
            <w:proofErr w:type="spellStart"/>
            <w:r w:rsidRPr="369C09EE">
              <w:rPr>
                <w:sz w:val="22"/>
                <w:szCs w:val="22"/>
                <w:lang w:val="en-US"/>
              </w:rPr>
              <w:t>Jeśli</w:t>
            </w:r>
            <w:proofErr w:type="spellEnd"/>
            <w:r w:rsidRPr="369C09EE">
              <w:rPr>
                <w:sz w:val="22"/>
                <w:szCs w:val="22"/>
                <w:lang w:val="en-US"/>
              </w:rPr>
              <w:t xml:space="preserve"> agent AI </w:t>
            </w:r>
            <w:proofErr w:type="spellStart"/>
            <w:r w:rsidRPr="369C09EE">
              <w:rPr>
                <w:sz w:val="22"/>
                <w:szCs w:val="22"/>
                <w:lang w:val="en-US"/>
              </w:rPr>
              <w:t>tworzy</w:t>
            </w:r>
            <w:proofErr w:type="spellEnd"/>
            <w:r w:rsidRPr="369C09EE">
              <w:rPr>
                <w:sz w:val="22"/>
                <w:szCs w:val="22"/>
                <w:lang w:val="en-US"/>
              </w:rPr>
              <w:t xml:space="preserve"> </w:t>
            </w:r>
            <w:proofErr w:type="spellStart"/>
            <w:r w:rsidRPr="369C09EE">
              <w:rPr>
                <w:sz w:val="22"/>
                <w:szCs w:val="22"/>
                <w:lang w:val="en-US"/>
              </w:rPr>
              <w:t>raporty</w:t>
            </w:r>
            <w:proofErr w:type="spellEnd"/>
            <w:r w:rsidRPr="369C09EE">
              <w:rPr>
                <w:sz w:val="22"/>
                <w:szCs w:val="22"/>
                <w:lang w:val="en-US"/>
              </w:rPr>
              <w:t xml:space="preserve"> </w:t>
            </w:r>
            <w:proofErr w:type="spellStart"/>
            <w:r w:rsidRPr="369C09EE">
              <w:rPr>
                <w:sz w:val="22"/>
                <w:szCs w:val="22"/>
                <w:lang w:val="en-US"/>
              </w:rPr>
              <w:t>dla</w:t>
            </w:r>
            <w:proofErr w:type="spellEnd"/>
            <w:r w:rsidRPr="369C09EE">
              <w:rPr>
                <w:sz w:val="22"/>
                <w:szCs w:val="22"/>
                <w:lang w:val="en-US"/>
              </w:rPr>
              <w:t xml:space="preserve"> </w:t>
            </w:r>
            <w:proofErr w:type="spellStart"/>
            <w:r w:rsidRPr="369C09EE">
              <w:rPr>
                <w:sz w:val="22"/>
                <w:szCs w:val="22"/>
                <w:lang w:val="en-US"/>
              </w:rPr>
              <w:t>konkretnych</w:t>
            </w:r>
            <w:proofErr w:type="spellEnd"/>
            <w:r w:rsidRPr="369C09EE">
              <w:rPr>
                <w:sz w:val="22"/>
                <w:szCs w:val="22"/>
                <w:lang w:val="en-US"/>
              </w:rPr>
              <w:t xml:space="preserve"> firm, a </w:t>
            </w:r>
            <w:proofErr w:type="spellStart"/>
            <w:r w:rsidRPr="369C09EE">
              <w:rPr>
                <w:sz w:val="22"/>
                <w:szCs w:val="22"/>
                <w:lang w:val="en-US"/>
              </w:rPr>
              <w:t>raporty</w:t>
            </w:r>
            <w:proofErr w:type="spellEnd"/>
            <w:r w:rsidRPr="369C09EE">
              <w:rPr>
                <w:sz w:val="22"/>
                <w:szCs w:val="22"/>
                <w:lang w:val="en-US"/>
              </w:rPr>
              <w:t xml:space="preserve"> </w:t>
            </w:r>
            <w:proofErr w:type="spellStart"/>
            <w:r w:rsidRPr="369C09EE">
              <w:rPr>
                <w:sz w:val="22"/>
                <w:szCs w:val="22"/>
                <w:lang w:val="en-US"/>
              </w:rPr>
              <w:t>te</w:t>
            </w:r>
            <w:proofErr w:type="spellEnd"/>
            <w:r w:rsidRPr="369C09EE">
              <w:rPr>
                <w:sz w:val="22"/>
                <w:szCs w:val="22"/>
                <w:lang w:val="en-US"/>
              </w:rPr>
              <w:t xml:space="preserve"> </w:t>
            </w:r>
            <w:proofErr w:type="spellStart"/>
            <w:r w:rsidRPr="369C09EE">
              <w:rPr>
                <w:sz w:val="22"/>
                <w:szCs w:val="22"/>
                <w:lang w:val="en-US"/>
              </w:rPr>
              <w:t>zawierają</w:t>
            </w:r>
            <w:proofErr w:type="spellEnd"/>
            <w:r w:rsidRPr="369C09EE">
              <w:rPr>
                <w:sz w:val="22"/>
                <w:szCs w:val="22"/>
                <w:lang w:val="en-US"/>
              </w:rPr>
              <w:t xml:space="preserve"> </w:t>
            </w:r>
            <w:proofErr w:type="spellStart"/>
            <w:r w:rsidRPr="369C09EE">
              <w:rPr>
                <w:sz w:val="22"/>
                <w:szCs w:val="22"/>
                <w:lang w:val="en-US"/>
              </w:rPr>
              <w:t>jasną</w:t>
            </w:r>
            <w:proofErr w:type="spellEnd"/>
            <w:r w:rsidRPr="369C09EE">
              <w:rPr>
                <w:sz w:val="22"/>
                <w:szCs w:val="22"/>
                <w:lang w:val="en-US"/>
              </w:rPr>
              <w:t xml:space="preserve"> </w:t>
            </w:r>
            <w:proofErr w:type="spellStart"/>
            <w:r w:rsidRPr="369C09EE">
              <w:rPr>
                <w:sz w:val="22"/>
                <w:szCs w:val="22"/>
                <w:lang w:val="en-US"/>
              </w:rPr>
              <w:t>informację</w:t>
            </w:r>
            <w:proofErr w:type="spellEnd"/>
            <w:r w:rsidRPr="369C09EE">
              <w:rPr>
                <w:sz w:val="22"/>
                <w:szCs w:val="22"/>
                <w:lang w:val="en-US"/>
              </w:rPr>
              <w:t xml:space="preserve"> </w:t>
            </w:r>
            <w:proofErr w:type="spellStart"/>
            <w:r w:rsidRPr="369C09EE">
              <w:rPr>
                <w:sz w:val="22"/>
                <w:szCs w:val="22"/>
                <w:lang w:val="en-US"/>
              </w:rPr>
              <w:t>dla</w:t>
            </w:r>
            <w:proofErr w:type="spellEnd"/>
            <w:r w:rsidRPr="369C09EE">
              <w:rPr>
                <w:sz w:val="22"/>
                <w:szCs w:val="22"/>
                <w:lang w:val="en-US"/>
              </w:rPr>
              <w:t xml:space="preserve"> </w:t>
            </w:r>
            <w:proofErr w:type="spellStart"/>
            <w:r w:rsidRPr="369C09EE">
              <w:rPr>
                <w:sz w:val="22"/>
                <w:szCs w:val="22"/>
                <w:lang w:val="en-US"/>
              </w:rPr>
              <w:t>użytkownika</w:t>
            </w:r>
            <w:proofErr w:type="spellEnd"/>
            <w:r w:rsidRPr="369C09EE">
              <w:rPr>
                <w:sz w:val="22"/>
                <w:szCs w:val="22"/>
                <w:lang w:val="en-US"/>
              </w:rPr>
              <w:t xml:space="preserve">, </w:t>
            </w:r>
            <w:proofErr w:type="spellStart"/>
            <w:r w:rsidRPr="369C09EE">
              <w:rPr>
                <w:sz w:val="22"/>
                <w:szCs w:val="22"/>
                <w:lang w:val="en-US"/>
              </w:rPr>
              <w:t>że</w:t>
            </w:r>
            <w:proofErr w:type="spellEnd"/>
            <w:r w:rsidRPr="369C09EE">
              <w:rPr>
                <w:sz w:val="22"/>
                <w:szCs w:val="22"/>
                <w:lang w:val="en-US"/>
              </w:rPr>
              <w:t xml:space="preserve"> </w:t>
            </w:r>
            <w:proofErr w:type="spellStart"/>
            <w:r w:rsidRPr="369C09EE">
              <w:rPr>
                <w:sz w:val="22"/>
                <w:szCs w:val="22"/>
                <w:lang w:val="en-US"/>
              </w:rPr>
              <w:t>zostały</w:t>
            </w:r>
            <w:proofErr w:type="spellEnd"/>
            <w:r w:rsidRPr="369C09EE">
              <w:rPr>
                <w:sz w:val="22"/>
                <w:szCs w:val="22"/>
                <w:lang w:val="en-US"/>
              </w:rPr>
              <w:t xml:space="preserve"> </w:t>
            </w:r>
            <w:proofErr w:type="spellStart"/>
            <w:r w:rsidRPr="369C09EE">
              <w:rPr>
                <w:sz w:val="22"/>
                <w:szCs w:val="22"/>
                <w:lang w:val="en-US"/>
              </w:rPr>
              <w:t>wygenerowane</w:t>
            </w:r>
            <w:proofErr w:type="spellEnd"/>
            <w:r w:rsidRPr="369C09EE">
              <w:rPr>
                <w:sz w:val="22"/>
                <w:szCs w:val="22"/>
                <w:lang w:val="en-US"/>
              </w:rPr>
              <w:t xml:space="preserve"> </w:t>
            </w:r>
            <w:proofErr w:type="spellStart"/>
            <w:r w:rsidRPr="369C09EE">
              <w:rPr>
                <w:sz w:val="22"/>
                <w:szCs w:val="22"/>
                <w:lang w:val="en-US"/>
              </w:rPr>
              <w:t>przez</w:t>
            </w:r>
            <w:proofErr w:type="spellEnd"/>
            <w:r w:rsidRPr="369C09EE">
              <w:rPr>
                <w:sz w:val="22"/>
                <w:szCs w:val="22"/>
                <w:lang w:val="en-US"/>
              </w:rPr>
              <w:t xml:space="preserve"> AI </w:t>
            </w:r>
            <w:proofErr w:type="spellStart"/>
            <w:r w:rsidRPr="369C09EE">
              <w:rPr>
                <w:sz w:val="22"/>
                <w:szCs w:val="22"/>
                <w:lang w:val="en-US"/>
              </w:rPr>
              <w:t>i</w:t>
            </w:r>
            <w:proofErr w:type="spellEnd"/>
            <w:r w:rsidRPr="369C09EE">
              <w:rPr>
                <w:sz w:val="22"/>
                <w:szCs w:val="22"/>
                <w:lang w:val="en-US"/>
              </w:rPr>
              <w:t xml:space="preserve"> </w:t>
            </w:r>
            <w:proofErr w:type="spellStart"/>
            <w:r w:rsidRPr="369C09EE">
              <w:rPr>
                <w:sz w:val="22"/>
                <w:szCs w:val="22"/>
                <w:lang w:val="en-US"/>
              </w:rPr>
              <w:t>sama</w:t>
            </w:r>
            <w:proofErr w:type="spellEnd"/>
            <w:r w:rsidRPr="369C09EE">
              <w:rPr>
                <w:sz w:val="22"/>
                <w:szCs w:val="22"/>
                <w:lang w:val="en-US"/>
              </w:rPr>
              <w:t xml:space="preserve"> </w:t>
            </w:r>
            <w:proofErr w:type="spellStart"/>
            <w:r w:rsidRPr="369C09EE">
              <w:rPr>
                <w:sz w:val="22"/>
                <w:szCs w:val="22"/>
                <w:lang w:val="en-US"/>
              </w:rPr>
              <w:t>architektura</w:t>
            </w:r>
            <w:proofErr w:type="spellEnd"/>
            <w:r w:rsidRPr="369C09EE">
              <w:rPr>
                <w:sz w:val="22"/>
                <w:szCs w:val="22"/>
                <w:lang w:val="en-US"/>
              </w:rPr>
              <w:t xml:space="preserve"> </w:t>
            </w:r>
            <w:proofErr w:type="spellStart"/>
            <w:r w:rsidRPr="369C09EE">
              <w:rPr>
                <w:sz w:val="22"/>
                <w:szCs w:val="22"/>
                <w:lang w:val="en-US"/>
              </w:rPr>
              <w:t>danych</w:t>
            </w:r>
            <w:proofErr w:type="spellEnd"/>
            <w:r w:rsidRPr="369C09EE">
              <w:rPr>
                <w:sz w:val="22"/>
                <w:szCs w:val="22"/>
                <w:lang w:val="en-US"/>
              </w:rPr>
              <w:t xml:space="preserve"> </w:t>
            </w:r>
            <w:proofErr w:type="spellStart"/>
            <w:r w:rsidRPr="369C09EE">
              <w:rPr>
                <w:sz w:val="22"/>
                <w:szCs w:val="22"/>
                <w:lang w:val="en-US"/>
              </w:rPr>
              <w:t>pokazuje</w:t>
            </w:r>
            <w:proofErr w:type="spellEnd"/>
            <w:r w:rsidRPr="369C09EE">
              <w:rPr>
                <w:sz w:val="22"/>
                <w:szCs w:val="22"/>
                <w:lang w:val="en-US"/>
              </w:rPr>
              <w:t xml:space="preserve">, </w:t>
            </w:r>
            <w:proofErr w:type="spellStart"/>
            <w:r w:rsidRPr="369C09EE">
              <w:rPr>
                <w:sz w:val="22"/>
                <w:szCs w:val="22"/>
                <w:lang w:val="en-US"/>
              </w:rPr>
              <w:t>które</w:t>
            </w:r>
            <w:proofErr w:type="spellEnd"/>
            <w:r w:rsidRPr="369C09EE">
              <w:rPr>
                <w:sz w:val="22"/>
                <w:szCs w:val="22"/>
                <w:lang w:val="en-US"/>
              </w:rPr>
              <w:t xml:space="preserve"> </w:t>
            </w:r>
            <w:proofErr w:type="spellStart"/>
            <w:r w:rsidRPr="369C09EE">
              <w:rPr>
                <w:sz w:val="22"/>
                <w:szCs w:val="22"/>
                <w:lang w:val="en-US"/>
              </w:rPr>
              <w:t>zasoby</w:t>
            </w:r>
            <w:proofErr w:type="spellEnd"/>
            <w:r w:rsidRPr="369C09EE">
              <w:rPr>
                <w:sz w:val="22"/>
                <w:szCs w:val="22"/>
                <w:lang w:val="en-US"/>
              </w:rPr>
              <w:t xml:space="preserve"> </w:t>
            </w:r>
            <w:proofErr w:type="spellStart"/>
            <w:r w:rsidRPr="369C09EE">
              <w:rPr>
                <w:sz w:val="22"/>
                <w:szCs w:val="22"/>
                <w:lang w:val="en-US"/>
              </w:rPr>
              <w:t>powstały</w:t>
            </w:r>
            <w:proofErr w:type="spellEnd"/>
            <w:r w:rsidRPr="369C09EE">
              <w:rPr>
                <w:sz w:val="22"/>
                <w:szCs w:val="22"/>
                <w:lang w:val="en-US"/>
              </w:rPr>
              <w:t xml:space="preserve"> z </w:t>
            </w:r>
            <w:proofErr w:type="spellStart"/>
            <w:r w:rsidRPr="369C09EE">
              <w:rPr>
                <w:sz w:val="22"/>
                <w:szCs w:val="22"/>
                <w:lang w:val="en-US"/>
              </w:rPr>
              <w:t>wykorzystaniem</w:t>
            </w:r>
            <w:proofErr w:type="spellEnd"/>
            <w:r w:rsidRPr="369C09EE">
              <w:rPr>
                <w:sz w:val="22"/>
                <w:szCs w:val="22"/>
                <w:lang w:val="en-US"/>
              </w:rPr>
              <w:t xml:space="preserve"> AI, </w:t>
            </w:r>
            <w:proofErr w:type="spellStart"/>
            <w:r w:rsidRPr="369C09EE">
              <w:rPr>
                <w:sz w:val="22"/>
                <w:szCs w:val="22"/>
                <w:lang w:val="en-US"/>
              </w:rPr>
              <w:t>dodatkowe</w:t>
            </w:r>
            <w:proofErr w:type="spellEnd"/>
            <w:r w:rsidRPr="369C09EE">
              <w:rPr>
                <w:sz w:val="22"/>
                <w:szCs w:val="22"/>
                <w:lang w:val="en-US"/>
              </w:rPr>
              <w:t xml:space="preserve"> </w:t>
            </w:r>
            <w:proofErr w:type="spellStart"/>
            <w:r w:rsidRPr="369C09EE">
              <w:rPr>
                <w:sz w:val="22"/>
                <w:szCs w:val="22"/>
                <w:lang w:val="en-US"/>
              </w:rPr>
              <w:t>techniczne</w:t>
            </w:r>
            <w:proofErr w:type="spellEnd"/>
            <w:r w:rsidRPr="369C09EE">
              <w:rPr>
                <w:sz w:val="22"/>
                <w:szCs w:val="22"/>
                <w:lang w:val="en-US"/>
              </w:rPr>
              <w:t xml:space="preserve"> </w:t>
            </w:r>
            <w:proofErr w:type="spellStart"/>
            <w:r w:rsidRPr="369C09EE">
              <w:rPr>
                <w:sz w:val="22"/>
                <w:szCs w:val="22"/>
                <w:lang w:val="en-US"/>
              </w:rPr>
              <w:t>oznaczenia</w:t>
            </w:r>
            <w:proofErr w:type="spellEnd"/>
            <w:r w:rsidRPr="369C09EE">
              <w:rPr>
                <w:sz w:val="22"/>
                <w:szCs w:val="22"/>
                <w:lang w:val="en-US"/>
              </w:rPr>
              <w:t xml:space="preserve"> </w:t>
            </w:r>
            <w:proofErr w:type="spellStart"/>
            <w:r w:rsidRPr="369C09EE">
              <w:rPr>
                <w:sz w:val="22"/>
                <w:szCs w:val="22"/>
                <w:lang w:val="en-US"/>
              </w:rPr>
              <w:t>nie</w:t>
            </w:r>
            <w:proofErr w:type="spellEnd"/>
            <w:r w:rsidRPr="369C09EE">
              <w:rPr>
                <w:sz w:val="22"/>
                <w:szCs w:val="22"/>
                <w:lang w:val="en-US"/>
              </w:rPr>
              <w:t xml:space="preserve"> </w:t>
            </w:r>
            <w:proofErr w:type="spellStart"/>
            <w:r w:rsidRPr="369C09EE">
              <w:rPr>
                <w:sz w:val="22"/>
                <w:szCs w:val="22"/>
                <w:lang w:val="en-US"/>
              </w:rPr>
              <w:t>są</w:t>
            </w:r>
            <w:proofErr w:type="spellEnd"/>
            <w:r w:rsidRPr="369C09EE">
              <w:rPr>
                <w:sz w:val="22"/>
                <w:szCs w:val="22"/>
                <w:lang w:val="en-US"/>
              </w:rPr>
              <w:t xml:space="preserve"> </w:t>
            </w:r>
            <w:proofErr w:type="spellStart"/>
            <w:r w:rsidRPr="369C09EE">
              <w:rPr>
                <w:sz w:val="22"/>
                <w:szCs w:val="22"/>
                <w:lang w:val="en-US"/>
              </w:rPr>
              <w:t>niezbędne</w:t>
            </w:r>
            <w:proofErr w:type="spellEnd"/>
            <w:r w:rsidRPr="369C09EE">
              <w:rPr>
                <w:sz w:val="22"/>
                <w:szCs w:val="22"/>
                <w:lang w:val="en-US"/>
              </w:rPr>
              <w:t xml:space="preserve">. </w:t>
            </w:r>
            <w:proofErr w:type="spellStart"/>
            <w:r w:rsidRPr="369C09EE">
              <w:rPr>
                <w:sz w:val="22"/>
                <w:szCs w:val="22"/>
                <w:lang w:val="en-US"/>
              </w:rPr>
              <w:t>Jeśli</w:t>
            </w:r>
            <w:proofErr w:type="spellEnd"/>
            <w:r w:rsidRPr="369C09EE">
              <w:rPr>
                <w:sz w:val="22"/>
                <w:szCs w:val="22"/>
                <w:lang w:val="en-US"/>
              </w:rPr>
              <w:t xml:space="preserve"> </w:t>
            </w:r>
            <w:proofErr w:type="spellStart"/>
            <w:r w:rsidRPr="369C09EE">
              <w:rPr>
                <w:sz w:val="22"/>
                <w:szCs w:val="22"/>
                <w:lang w:val="en-US"/>
              </w:rPr>
              <w:t>tekst</w:t>
            </w:r>
            <w:proofErr w:type="spellEnd"/>
            <w:r w:rsidRPr="369C09EE">
              <w:rPr>
                <w:sz w:val="22"/>
                <w:szCs w:val="22"/>
                <w:lang w:val="en-US"/>
              </w:rPr>
              <w:t xml:space="preserve"> jest </w:t>
            </w:r>
            <w:proofErr w:type="spellStart"/>
            <w:r w:rsidRPr="369C09EE">
              <w:rPr>
                <w:sz w:val="22"/>
                <w:szCs w:val="22"/>
                <w:lang w:val="en-US"/>
              </w:rPr>
              <w:t>wykorzystywany</w:t>
            </w:r>
            <w:proofErr w:type="spellEnd"/>
            <w:r w:rsidRPr="369C09EE">
              <w:rPr>
                <w:sz w:val="22"/>
                <w:szCs w:val="22"/>
                <w:lang w:val="en-US"/>
              </w:rPr>
              <w:t xml:space="preserve"> </w:t>
            </w:r>
            <w:proofErr w:type="spellStart"/>
            <w:r w:rsidRPr="369C09EE">
              <w:rPr>
                <w:sz w:val="22"/>
                <w:szCs w:val="22"/>
                <w:lang w:val="en-US"/>
              </w:rPr>
              <w:t>jako</w:t>
            </w:r>
            <w:proofErr w:type="spellEnd"/>
            <w:r w:rsidRPr="369C09EE">
              <w:rPr>
                <w:sz w:val="22"/>
                <w:szCs w:val="22"/>
                <w:lang w:val="en-US"/>
              </w:rPr>
              <w:t xml:space="preserve"> </w:t>
            </w:r>
            <w:proofErr w:type="spellStart"/>
            <w:r w:rsidRPr="369C09EE">
              <w:rPr>
                <w:sz w:val="22"/>
                <w:szCs w:val="22"/>
                <w:lang w:val="en-US"/>
              </w:rPr>
              <w:t>artykuł</w:t>
            </w:r>
            <w:proofErr w:type="spellEnd"/>
            <w:r w:rsidRPr="369C09EE">
              <w:rPr>
                <w:sz w:val="22"/>
                <w:szCs w:val="22"/>
                <w:lang w:val="en-US"/>
              </w:rPr>
              <w:t xml:space="preserve"> </w:t>
            </w:r>
            <w:proofErr w:type="spellStart"/>
            <w:r w:rsidRPr="369C09EE">
              <w:rPr>
                <w:sz w:val="22"/>
                <w:szCs w:val="22"/>
                <w:lang w:val="en-US"/>
              </w:rPr>
              <w:t>na</w:t>
            </w:r>
            <w:proofErr w:type="spellEnd"/>
            <w:r w:rsidRPr="369C09EE">
              <w:rPr>
                <w:sz w:val="22"/>
                <w:szCs w:val="22"/>
                <w:lang w:val="en-US"/>
              </w:rPr>
              <w:t xml:space="preserve"> </w:t>
            </w:r>
            <w:proofErr w:type="spellStart"/>
            <w:r w:rsidRPr="369C09EE">
              <w:rPr>
                <w:sz w:val="22"/>
                <w:szCs w:val="22"/>
                <w:lang w:val="en-US"/>
              </w:rPr>
              <w:t>blogu</w:t>
            </w:r>
            <w:proofErr w:type="spellEnd"/>
            <w:r w:rsidRPr="369C09EE">
              <w:rPr>
                <w:sz w:val="22"/>
                <w:szCs w:val="22"/>
                <w:lang w:val="en-US"/>
              </w:rPr>
              <w:t xml:space="preserve"> </w:t>
            </w:r>
            <w:proofErr w:type="spellStart"/>
            <w:r w:rsidRPr="369C09EE">
              <w:rPr>
                <w:sz w:val="22"/>
                <w:szCs w:val="22"/>
                <w:lang w:val="en-US"/>
              </w:rPr>
              <w:t>lub</w:t>
            </w:r>
            <w:proofErr w:type="spellEnd"/>
            <w:r w:rsidRPr="369C09EE">
              <w:rPr>
                <w:sz w:val="22"/>
                <w:szCs w:val="22"/>
                <w:lang w:val="en-US"/>
              </w:rPr>
              <w:t xml:space="preserve"> </w:t>
            </w:r>
            <w:proofErr w:type="spellStart"/>
            <w:r w:rsidRPr="369C09EE">
              <w:rPr>
                <w:sz w:val="22"/>
                <w:szCs w:val="22"/>
                <w:lang w:val="en-US"/>
              </w:rPr>
              <w:t>portalu</w:t>
            </w:r>
            <w:proofErr w:type="spellEnd"/>
            <w:r w:rsidRPr="369C09EE">
              <w:rPr>
                <w:sz w:val="22"/>
                <w:szCs w:val="22"/>
                <w:lang w:val="en-US"/>
              </w:rPr>
              <w:t xml:space="preserve"> </w:t>
            </w:r>
            <w:proofErr w:type="spellStart"/>
            <w:r w:rsidRPr="369C09EE">
              <w:rPr>
                <w:sz w:val="22"/>
                <w:szCs w:val="22"/>
                <w:lang w:val="en-US"/>
              </w:rPr>
              <w:t>informacyjnym</w:t>
            </w:r>
            <w:proofErr w:type="spellEnd"/>
            <w:r w:rsidRPr="369C09EE">
              <w:rPr>
                <w:sz w:val="22"/>
                <w:szCs w:val="22"/>
                <w:lang w:val="en-US"/>
              </w:rPr>
              <w:t xml:space="preserve">, </w:t>
            </w:r>
            <w:proofErr w:type="spellStart"/>
            <w:r w:rsidRPr="369C09EE">
              <w:rPr>
                <w:sz w:val="22"/>
                <w:szCs w:val="22"/>
                <w:lang w:val="en-US"/>
              </w:rPr>
              <w:t>zgadzamy</w:t>
            </w:r>
            <w:proofErr w:type="spellEnd"/>
            <w:r w:rsidRPr="369C09EE">
              <w:rPr>
                <w:sz w:val="22"/>
                <w:szCs w:val="22"/>
                <w:lang w:val="en-US"/>
              </w:rPr>
              <w:t xml:space="preserve"> </w:t>
            </w:r>
            <w:proofErr w:type="spellStart"/>
            <w:r w:rsidRPr="369C09EE">
              <w:rPr>
                <w:sz w:val="22"/>
                <w:szCs w:val="22"/>
                <w:lang w:val="en-US"/>
              </w:rPr>
              <w:t>się</w:t>
            </w:r>
            <w:proofErr w:type="spellEnd"/>
            <w:r w:rsidRPr="369C09EE">
              <w:rPr>
                <w:sz w:val="22"/>
                <w:szCs w:val="22"/>
                <w:lang w:val="en-US"/>
              </w:rPr>
              <w:t xml:space="preserve">, </w:t>
            </w:r>
            <w:proofErr w:type="spellStart"/>
            <w:r w:rsidRPr="369C09EE">
              <w:rPr>
                <w:sz w:val="22"/>
                <w:szCs w:val="22"/>
                <w:lang w:val="en-US"/>
              </w:rPr>
              <w:t>że</w:t>
            </w:r>
            <w:proofErr w:type="spellEnd"/>
            <w:r w:rsidRPr="369C09EE">
              <w:rPr>
                <w:sz w:val="22"/>
                <w:szCs w:val="22"/>
                <w:lang w:val="en-US"/>
              </w:rPr>
              <w:t xml:space="preserve"> </w:t>
            </w:r>
            <w:proofErr w:type="spellStart"/>
            <w:r w:rsidRPr="369C09EE">
              <w:rPr>
                <w:sz w:val="22"/>
                <w:szCs w:val="22"/>
                <w:lang w:val="en-US"/>
              </w:rPr>
              <w:t>techniczny</w:t>
            </w:r>
            <w:proofErr w:type="spellEnd"/>
            <w:r w:rsidRPr="369C09EE">
              <w:rPr>
                <w:sz w:val="22"/>
                <w:szCs w:val="22"/>
                <w:lang w:val="en-US"/>
              </w:rPr>
              <w:t xml:space="preserve"> </w:t>
            </w:r>
            <w:proofErr w:type="spellStart"/>
            <w:r w:rsidRPr="369C09EE">
              <w:rPr>
                <w:sz w:val="22"/>
                <w:szCs w:val="22"/>
                <w:lang w:val="en-US"/>
              </w:rPr>
              <w:t>znak</w:t>
            </w:r>
            <w:proofErr w:type="spellEnd"/>
            <w:r w:rsidRPr="369C09EE">
              <w:rPr>
                <w:sz w:val="22"/>
                <w:szCs w:val="22"/>
                <w:lang w:val="en-US"/>
              </w:rPr>
              <w:t xml:space="preserve"> </w:t>
            </w:r>
            <w:proofErr w:type="spellStart"/>
            <w:r w:rsidRPr="369C09EE">
              <w:rPr>
                <w:sz w:val="22"/>
                <w:szCs w:val="22"/>
                <w:lang w:val="en-US"/>
              </w:rPr>
              <w:t>wodny</w:t>
            </w:r>
            <w:proofErr w:type="spellEnd"/>
            <w:r w:rsidRPr="369C09EE">
              <w:rPr>
                <w:sz w:val="22"/>
                <w:szCs w:val="22"/>
                <w:lang w:val="en-US"/>
              </w:rPr>
              <w:t xml:space="preserve"> </w:t>
            </w:r>
            <w:proofErr w:type="spellStart"/>
            <w:r w:rsidRPr="369C09EE">
              <w:rPr>
                <w:sz w:val="22"/>
                <w:szCs w:val="22"/>
                <w:lang w:val="en-US"/>
              </w:rPr>
              <w:t>może</w:t>
            </w:r>
            <w:proofErr w:type="spellEnd"/>
            <w:r w:rsidRPr="369C09EE">
              <w:rPr>
                <w:sz w:val="22"/>
                <w:szCs w:val="22"/>
                <w:lang w:val="en-US"/>
              </w:rPr>
              <w:t xml:space="preserve"> </w:t>
            </w:r>
            <w:proofErr w:type="spellStart"/>
            <w:r w:rsidRPr="369C09EE">
              <w:rPr>
                <w:sz w:val="22"/>
                <w:szCs w:val="22"/>
                <w:lang w:val="en-US"/>
              </w:rPr>
              <w:t>być</w:t>
            </w:r>
            <w:proofErr w:type="spellEnd"/>
            <w:r w:rsidRPr="369C09EE">
              <w:rPr>
                <w:sz w:val="22"/>
                <w:szCs w:val="22"/>
                <w:lang w:val="en-US"/>
              </w:rPr>
              <w:t xml:space="preserve"> </w:t>
            </w:r>
            <w:proofErr w:type="spellStart"/>
            <w:r w:rsidRPr="369C09EE">
              <w:rPr>
                <w:sz w:val="22"/>
                <w:szCs w:val="22"/>
                <w:lang w:val="en-US"/>
              </w:rPr>
              <w:t>wymagany</w:t>
            </w:r>
            <w:proofErr w:type="spellEnd"/>
            <w:r w:rsidRPr="369C09EE">
              <w:rPr>
                <w:sz w:val="22"/>
                <w:szCs w:val="22"/>
                <w:lang w:val="en-US"/>
              </w:rPr>
              <w:t xml:space="preserve">. </w:t>
            </w:r>
            <w:proofErr w:type="spellStart"/>
            <w:r w:rsidRPr="369C09EE">
              <w:rPr>
                <w:sz w:val="22"/>
                <w:szCs w:val="22"/>
                <w:lang w:val="en-US"/>
              </w:rPr>
              <w:t>Jednak</w:t>
            </w:r>
            <w:proofErr w:type="spellEnd"/>
            <w:r w:rsidRPr="369C09EE">
              <w:rPr>
                <w:sz w:val="22"/>
                <w:szCs w:val="22"/>
                <w:lang w:val="en-US"/>
              </w:rPr>
              <w:t xml:space="preserve"> w </w:t>
            </w:r>
            <w:proofErr w:type="spellStart"/>
            <w:r w:rsidRPr="369C09EE">
              <w:rPr>
                <w:sz w:val="22"/>
                <w:szCs w:val="22"/>
                <w:lang w:val="en-US"/>
              </w:rPr>
              <w:t>przypadkach</w:t>
            </w:r>
            <w:proofErr w:type="spellEnd"/>
            <w:r w:rsidRPr="369C09EE">
              <w:rPr>
                <w:sz w:val="22"/>
                <w:szCs w:val="22"/>
                <w:lang w:val="en-US"/>
              </w:rPr>
              <w:t xml:space="preserve">, </w:t>
            </w:r>
            <w:proofErr w:type="spellStart"/>
            <w:r w:rsidRPr="369C09EE">
              <w:rPr>
                <w:sz w:val="22"/>
                <w:szCs w:val="22"/>
                <w:lang w:val="en-US"/>
              </w:rPr>
              <w:t>gdy</w:t>
            </w:r>
            <w:proofErr w:type="spellEnd"/>
            <w:r w:rsidRPr="369C09EE">
              <w:rPr>
                <w:sz w:val="22"/>
                <w:szCs w:val="22"/>
                <w:lang w:val="en-US"/>
              </w:rPr>
              <w:t>:</w:t>
            </w:r>
          </w:p>
          <w:p w14:paraId="7B837BC7" w14:textId="0BB5E832" w:rsidR="007450DC" w:rsidRPr="005168FB" w:rsidRDefault="007450DC" w:rsidP="007505CB">
            <w:pPr>
              <w:pStyle w:val="Bezodstpw"/>
              <w:rPr>
                <w:sz w:val="22"/>
                <w:szCs w:val="22"/>
                <w:lang w:val="en-US"/>
              </w:rPr>
            </w:pPr>
            <w:r w:rsidRPr="369C09EE">
              <w:rPr>
                <w:sz w:val="22"/>
                <w:szCs w:val="22"/>
                <w:lang w:val="en-US"/>
              </w:rPr>
              <w:t>-</w:t>
            </w:r>
            <w:proofErr w:type="spellStart"/>
            <w:r w:rsidRPr="369C09EE">
              <w:rPr>
                <w:sz w:val="22"/>
                <w:szCs w:val="22"/>
                <w:lang w:val="en-US"/>
              </w:rPr>
              <w:t>architektura</w:t>
            </w:r>
            <w:proofErr w:type="spellEnd"/>
            <w:r w:rsidRPr="369C09EE">
              <w:rPr>
                <w:sz w:val="22"/>
                <w:szCs w:val="22"/>
                <w:lang w:val="en-US"/>
              </w:rPr>
              <w:t xml:space="preserve"> </w:t>
            </w:r>
            <w:proofErr w:type="spellStart"/>
            <w:r w:rsidRPr="369C09EE">
              <w:rPr>
                <w:sz w:val="22"/>
                <w:szCs w:val="22"/>
                <w:lang w:val="en-US"/>
              </w:rPr>
              <w:t>techniczna</w:t>
            </w:r>
            <w:proofErr w:type="spellEnd"/>
            <w:r w:rsidRPr="369C09EE">
              <w:rPr>
                <w:sz w:val="22"/>
                <w:szCs w:val="22"/>
                <w:lang w:val="en-US"/>
              </w:rPr>
              <w:t xml:space="preserve"> </w:t>
            </w:r>
            <w:proofErr w:type="spellStart"/>
            <w:r w:rsidRPr="369C09EE">
              <w:rPr>
                <w:sz w:val="22"/>
                <w:szCs w:val="22"/>
                <w:lang w:val="en-US"/>
              </w:rPr>
              <w:t>i</w:t>
            </w:r>
            <w:proofErr w:type="spellEnd"/>
            <w:r w:rsidRPr="369C09EE">
              <w:rPr>
                <w:sz w:val="22"/>
                <w:szCs w:val="22"/>
                <w:lang w:val="en-US"/>
              </w:rPr>
              <w:t xml:space="preserve"> </w:t>
            </w:r>
            <w:proofErr w:type="spellStart"/>
            <w:r w:rsidRPr="369C09EE">
              <w:rPr>
                <w:sz w:val="22"/>
                <w:szCs w:val="22"/>
                <w:lang w:val="en-US"/>
              </w:rPr>
              <w:t>danych</w:t>
            </w:r>
            <w:proofErr w:type="spellEnd"/>
            <w:r w:rsidRPr="369C09EE">
              <w:rPr>
                <w:sz w:val="22"/>
                <w:szCs w:val="22"/>
                <w:lang w:val="en-US"/>
              </w:rPr>
              <w:t xml:space="preserve"> jest </w:t>
            </w:r>
            <w:proofErr w:type="spellStart"/>
            <w:r w:rsidRPr="369C09EE">
              <w:rPr>
                <w:sz w:val="22"/>
                <w:szCs w:val="22"/>
                <w:lang w:val="en-US"/>
              </w:rPr>
              <w:t>zbudowana</w:t>
            </w:r>
            <w:proofErr w:type="spellEnd"/>
            <w:r w:rsidRPr="369C09EE">
              <w:rPr>
                <w:sz w:val="22"/>
                <w:szCs w:val="22"/>
                <w:lang w:val="en-US"/>
              </w:rPr>
              <w:t xml:space="preserve"> </w:t>
            </w:r>
            <w:proofErr w:type="spellStart"/>
            <w:r w:rsidRPr="369C09EE">
              <w:rPr>
                <w:sz w:val="22"/>
                <w:szCs w:val="22"/>
                <w:lang w:val="en-US"/>
              </w:rPr>
              <w:t>tak</w:t>
            </w:r>
            <w:proofErr w:type="spellEnd"/>
            <w:r w:rsidRPr="369C09EE">
              <w:rPr>
                <w:sz w:val="22"/>
                <w:szCs w:val="22"/>
                <w:lang w:val="en-US"/>
              </w:rPr>
              <w:t xml:space="preserve">, </w:t>
            </w:r>
            <w:proofErr w:type="spellStart"/>
            <w:r w:rsidRPr="369C09EE">
              <w:rPr>
                <w:sz w:val="22"/>
                <w:szCs w:val="22"/>
                <w:lang w:val="en-US"/>
              </w:rPr>
              <w:t>że</w:t>
            </w:r>
            <w:proofErr w:type="spellEnd"/>
            <w:r w:rsidRPr="369C09EE">
              <w:rPr>
                <w:sz w:val="22"/>
                <w:szCs w:val="22"/>
                <w:lang w:val="en-US"/>
              </w:rPr>
              <w:t xml:space="preserve"> </w:t>
            </w:r>
            <w:proofErr w:type="spellStart"/>
            <w:r w:rsidRPr="369C09EE">
              <w:rPr>
                <w:sz w:val="22"/>
                <w:szCs w:val="22"/>
                <w:lang w:val="en-US"/>
              </w:rPr>
              <w:t>jasno</w:t>
            </w:r>
            <w:proofErr w:type="spellEnd"/>
            <w:r w:rsidRPr="369C09EE">
              <w:rPr>
                <w:sz w:val="22"/>
                <w:szCs w:val="22"/>
                <w:lang w:val="en-US"/>
              </w:rPr>
              <w:t xml:space="preserve"> </w:t>
            </w:r>
            <w:proofErr w:type="spellStart"/>
            <w:r w:rsidRPr="369C09EE">
              <w:rPr>
                <w:sz w:val="22"/>
                <w:szCs w:val="22"/>
                <w:lang w:val="en-US"/>
              </w:rPr>
              <w:t>wynika</w:t>
            </w:r>
            <w:proofErr w:type="spellEnd"/>
            <w:r w:rsidRPr="369C09EE">
              <w:rPr>
                <w:sz w:val="22"/>
                <w:szCs w:val="22"/>
                <w:lang w:val="en-US"/>
              </w:rPr>
              <w:t xml:space="preserve">, </w:t>
            </w:r>
            <w:proofErr w:type="spellStart"/>
            <w:r w:rsidRPr="369C09EE">
              <w:rPr>
                <w:sz w:val="22"/>
                <w:szCs w:val="22"/>
                <w:lang w:val="en-US"/>
              </w:rPr>
              <w:t>które</w:t>
            </w:r>
            <w:proofErr w:type="spellEnd"/>
            <w:r w:rsidRPr="369C09EE">
              <w:rPr>
                <w:sz w:val="22"/>
                <w:szCs w:val="22"/>
                <w:lang w:val="en-US"/>
              </w:rPr>
              <w:t xml:space="preserve"> </w:t>
            </w:r>
            <w:proofErr w:type="spellStart"/>
            <w:r w:rsidRPr="369C09EE">
              <w:rPr>
                <w:sz w:val="22"/>
                <w:szCs w:val="22"/>
                <w:lang w:val="en-US"/>
              </w:rPr>
              <w:t>zasoby</w:t>
            </w:r>
            <w:proofErr w:type="spellEnd"/>
            <w:r w:rsidRPr="369C09EE">
              <w:rPr>
                <w:sz w:val="22"/>
                <w:szCs w:val="22"/>
                <w:lang w:val="en-US"/>
              </w:rPr>
              <w:t xml:space="preserve"> </w:t>
            </w:r>
            <w:proofErr w:type="spellStart"/>
            <w:r w:rsidRPr="369C09EE">
              <w:rPr>
                <w:sz w:val="22"/>
                <w:szCs w:val="22"/>
                <w:lang w:val="en-US"/>
              </w:rPr>
              <w:t>są</w:t>
            </w:r>
            <w:proofErr w:type="spellEnd"/>
            <w:r w:rsidRPr="369C09EE">
              <w:rPr>
                <w:sz w:val="22"/>
                <w:szCs w:val="22"/>
                <w:lang w:val="en-US"/>
              </w:rPr>
              <w:t xml:space="preserve"> </w:t>
            </w:r>
            <w:proofErr w:type="spellStart"/>
            <w:r w:rsidRPr="369C09EE">
              <w:rPr>
                <w:sz w:val="22"/>
                <w:szCs w:val="22"/>
                <w:lang w:val="en-US"/>
              </w:rPr>
              <w:t>generowane</w:t>
            </w:r>
            <w:proofErr w:type="spellEnd"/>
            <w:r w:rsidRPr="369C09EE">
              <w:rPr>
                <w:sz w:val="22"/>
                <w:szCs w:val="22"/>
                <w:lang w:val="en-US"/>
              </w:rPr>
              <w:t xml:space="preserve"> </w:t>
            </w:r>
            <w:proofErr w:type="spellStart"/>
            <w:r w:rsidRPr="369C09EE">
              <w:rPr>
                <w:sz w:val="22"/>
                <w:szCs w:val="22"/>
                <w:lang w:val="en-US"/>
              </w:rPr>
              <w:t>przez</w:t>
            </w:r>
            <w:proofErr w:type="spellEnd"/>
            <w:r w:rsidRPr="369C09EE">
              <w:rPr>
                <w:sz w:val="22"/>
                <w:szCs w:val="22"/>
                <w:lang w:val="en-US"/>
              </w:rPr>
              <w:t xml:space="preserve"> AI; </w:t>
            </w:r>
            <w:proofErr w:type="spellStart"/>
            <w:r w:rsidRPr="369C09EE">
              <w:rPr>
                <w:sz w:val="22"/>
                <w:szCs w:val="22"/>
                <w:lang w:val="en-US"/>
              </w:rPr>
              <w:t>lub</w:t>
            </w:r>
            <w:proofErr w:type="spellEnd"/>
          </w:p>
          <w:p w14:paraId="7C61DF74" w14:textId="609FE91D" w:rsidR="007450DC" w:rsidRPr="005567D2" w:rsidRDefault="007450DC" w:rsidP="007505CB">
            <w:pPr>
              <w:pStyle w:val="Bezodstpw"/>
              <w:rPr>
                <w:sz w:val="22"/>
                <w:szCs w:val="22"/>
                <w:lang w:val="en-US"/>
              </w:rPr>
            </w:pPr>
            <w:r w:rsidRPr="369C09EE">
              <w:rPr>
                <w:sz w:val="22"/>
                <w:szCs w:val="22"/>
                <w:lang w:val="en-US"/>
              </w:rPr>
              <w:t xml:space="preserve">- </w:t>
            </w:r>
            <w:proofErr w:type="spellStart"/>
            <w:r w:rsidRPr="369C09EE">
              <w:rPr>
                <w:sz w:val="22"/>
                <w:szCs w:val="22"/>
                <w:lang w:val="en-US"/>
              </w:rPr>
              <w:t>teksty</w:t>
            </w:r>
            <w:proofErr w:type="spellEnd"/>
            <w:r w:rsidRPr="369C09EE">
              <w:rPr>
                <w:sz w:val="22"/>
                <w:szCs w:val="22"/>
                <w:lang w:val="en-US"/>
              </w:rPr>
              <w:t xml:space="preserve"> </w:t>
            </w:r>
            <w:proofErr w:type="spellStart"/>
            <w:r w:rsidRPr="369C09EE">
              <w:rPr>
                <w:sz w:val="22"/>
                <w:szCs w:val="22"/>
                <w:lang w:val="en-US"/>
              </w:rPr>
              <w:t>są</w:t>
            </w:r>
            <w:proofErr w:type="spellEnd"/>
            <w:r w:rsidRPr="369C09EE">
              <w:rPr>
                <w:sz w:val="22"/>
                <w:szCs w:val="22"/>
                <w:lang w:val="en-US"/>
              </w:rPr>
              <w:t xml:space="preserve"> </w:t>
            </w:r>
            <w:proofErr w:type="spellStart"/>
            <w:r w:rsidRPr="369C09EE">
              <w:rPr>
                <w:sz w:val="22"/>
                <w:szCs w:val="22"/>
                <w:lang w:val="en-US"/>
              </w:rPr>
              <w:t>wykorzystywane</w:t>
            </w:r>
            <w:proofErr w:type="spellEnd"/>
            <w:r w:rsidRPr="369C09EE">
              <w:rPr>
                <w:sz w:val="22"/>
                <w:szCs w:val="22"/>
                <w:lang w:val="en-US"/>
              </w:rPr>
              <w:t xml:space="preserve"> </w:t>
            </w:r>
            <w:proofErr w:type="spellStart"/>
            <w:r w:rsidRPr="369C09EE">
              <w:rPr>
                <w:sz w:val="22"/>
                <w:szCs w:val="22"/>
                <w:lang w:val="en-US"/>
              </w:rPr>
              <w:t>wyłącznie</w:t>
            </w:r>
            <w:proofErr w:type="spellEnd"/>
            <w:r w:rsidRPr="369C09EE">
              <w:rPr>
                <w:sz w:val="22"/>
                <w:szCs w:val="22"/>
                <w:lang w:val="en-US"/>
              </w:rPr>
              <w:t xml:space="preserve"> </w:t>
            </w:r>
            <w:proofErr w:type="spellStart"/>
            <w:r w:rsidRPr="369C09EE">
              <w:rPr>
                <w:sz w:val="22"/>
                <w:szCs w:val="22"/>
                <w:lang w:val="en-US"/>
              </w:rPr>
              <w:t>wewnętrznie</w:t>
            </w:r>
            <w:proofErr w:type="spellEnd"/>
            <w:r w:rsidRPr="369C09EE">
              <w:rPr>
                <w:sz w:val="22"/>
                <w:szCs w:val="22"/>
                <w:lang w:val="en-US"/>
              </w:rPr>
              <w:t xml:space="preserve"> </w:t>
            </w:r>
            <w:proofErr w:type="spellStart"/>
            <w:r w:rsidRPr="369C09EE">
              <w:rPr>
                <w:sz w:val="22"/>
                <w:szCs w:val="22"/>
                <w:lang w:val="en-US"/>
              </w:rPr>
              <w:t>i</w:t>
            </w:r>
            <w:proofErr w:type="spellEnd"/>
            <w:r w:rsidRPr="369C09EE">
              <w:rPr>
                <w:sz w:val="22"/>
                <w:szCs w:val="22"/>
                <w:lang w:val="en-US"/>
              </w:rPr>
              <w:t xml:space="preserve"> </w:t>
            </w:r>
            <w:proofErr w:type="spellStart"/>
            <w:r w:rsidRPr="369C09EE">
              <w:rPr>
                <w:sz w:val="22"/>
                <w:szCs w:val="22"/>
                <w:lang w:val="en-US"/>
              </w:rPr>
              <w:t>zawierają</w:t>
            </w:r>
            <w:proofErr w:type="spellEnd"/>
            <w:r w:rsidRPr="369C09EE">
              <w:rPr>
                <w:sz w:val="22"/>
                <w:szCs w:val="22"/>
                <w:lang w:val="en-US"/>
              </w:rPr>
              <w:t xml:space="preserve"> </w:t>
            </w:r>
            <w:proofErr w:type="spellStart"/>
            <w:r w:rsidRPr="369C09EE">
              <w:rPr>
                <w:sz w:val="22"/>
                <w:szCs w:val="22"/>
                <w:lang w:val="en-US"/>
              </w:rPr>
              <w:t>informację</w:t>
            </w:r>
            <w:proofErr w:type="spellEnd"/>
            <w:r w:rsidRPr="369C09EE">
              <w:rPr>
                <w:sz w:val="22"/>
                <w:szCs w:val="22"/>
                <w:lang w:val="en-US"/>
              </w:rPr>
              <w:t xml:space="preserve"> </w:t>
            </w:r>
            <w:proofErr w:type="spellStart"/>
            <w:r w:rsidRPr="369C09EE">
              <w:rPr>
                <w:sz w:val="22"/>
                <w:szCs w:val="22"/>
                <w:lang w:val="en-US"/>
              </w:rPr>
              <w:t>dla</w:t>
            </w:r>
            <w:proofErr w:type="spellEnd"/>
            <w:r w:rsidRPr="369C09EE">
              <w:rPr>
                <w:sz w:val="22"/>
                <w:szCs w:val="22"/>
                <w:lang w:val="en-US"/>
              </w:rPr>
              <w:t xml:space="preserve"> </w:t>
            </w:r>
            <w:proofErr w:type="spellStart"/>
            <w:r w:rsidRPr="369C09EE">
              <w:rPr>
                <w:sz w:val="22"/>
                <w:szCs w:val="22"/>
                <w:lang w:val="en-US"/>
              </w:rPr>
              <w:t>użytkowników</w:t>
            </w:r>
            <w:proofErr w:type="spellEnd"/>
            <w:r w:rsidRPr="369C09EE">
              <w:rPr>
                <w:sz w:val="22"/>
                <w:szCs w:val="22"/>
                <w:lang w:val="en-US"/>
              </w:rPr>
              <w:t xml:space="preserve"> (</w:t>
            </w:r>
            <w:proofErr w:type="spellStart"/>
            <w:r w:rsidRPr="369C09EE">
              <w:rPr>
                <w:sz w:val="22"/>
                <w:szCs w:val="22"/>
                <w:lang w:val="en-US"/>
              </w:rPr>
              <w:t>ludzi</w:t>
            </w:r>
            <w:proofErr w:type="spellEnd"/>
            <w:r w:rsidRPr="369C09EE">
              <w:rPr>
                <w:sz w:val="22"/>
                <w:szCs w:val="22"/>
                <w:lang w:val="en-US"/>
              </w:rPr>
              <w:t xml:space="preserve">), </w:t>
            </w:r>
            <w:proofErr w:type="spellStart"/>
            <w:r w:rsidRPr="369C09EE">
              <w:rPr>
                <w:sz w:val="22"/>
                <w:szCs w:val="22"/>
                <w:lang w:val="en-US"/>
              </w:rPr>
              <w:t>że</w:t>
            </w:r>
            <w:proofErr w:type="spellEnd"/>
            <w:r w:rsidRPr="369C09EE">
              <w:rPr>
                <w:sz w:val="22"/>
                <w:szCs w:val="22"/>
                <w:lang w:val="en-US"/>
              </w:rPr>
              <w:t xml:space="preserve"> </w:t>
            </w:r>
            <w:proofErr w:type="spellStart"/>
            <w:r w:rsidRPr="369C09EE">
              <w:rPr>
                <w:sz w:val="22"/>
                <w:szCs w:val="22"/>
                <w:lang w:val="en-US"/>
              </w:rPr>
              <w:t>zostały</w:t>
            </w:r>
            <w:proofErr w:type="spellEnd"/>
            <w:r w:rsidRPr="369C09EE">
              <w:rPr>
                <w:sz w:val="22"/>
                <w:szCs w:val="22"/>
                <w:lang w:val="en-US"/>
              </w:rPr>
              <w:t xml:space="preserve"> </w:t>
            </w:r>
            <w:proofErr w:type="spellStart"/>
            <w:r w:rsidRPr="369C09EE">
              <w:rPr>
                <w:sz w:val="22"/>
                <w:szCs w:val="22"/>
                <w:lang w:val="en-US"/>
              </w:rPr>
              <w:t>stworzone</w:t>
            </w:r>
            <w:proofErr w:type="spellEnd"/>
            <w:r w:rsidRPr="369C09EE">
              <w:rPr>
                <w:sz w:val="22"/>
                <w:szCs w:val="22"/>
                <w:lang w:val="en-US"/>
              </w:rPr>
              <w:t xml:space="preserve"> z </w:t>
            </w:r>
            <w:proofErr w:type="spellStart"/>
            <w:r w:rsidRPr="369C09EE">
              <w:rPr>
                <w:sz w:val="22"/>
                <w:szCs w:val="22"/>
                <w:lang w:val="en-US"/>
              </w:rPr>
              <w:t>użyciem</w:t>
            </w:r>
            <w:proofErr w:type="spellEnd"/>
            <w:r w:rsidRPr="369C09EE">
              <w:rPr>
                <w:sz w:val="22"/>
                <w:szCs w:val="22"/>
                <w:lang w:val="en-US"/>
              </w:rPr>
              <w:t xml:space="preserve"> AI,</w:t>
            </w:r>
          </w:p>
          <w:p w14:paraId="07741641" w14:textId="5A653BDA" w:rsidR="007450DC" w:rsidRPr="005567D2" w:rsidRDefault="007450DC" w:rsidP="007505CB">
            <w:pPr>
              <w:pStyle w:val="Bezodstpw"/>
              <w:rPr>
                <w:sz w:val="22"/>
                <w:szCs w:val="22"/>
                <w:lang w:val="en-US"/>
              </w:rPr>
            </w:pPr>
            <w:proofErr w:type="spellStart"/>
            <w:r w:rsidRPr="369C09EE">
              <w:rPr>
                <w:sz w:val="22"/>
                <w:szCs w:val="22"/>
                <w:lang w:val="en-US"/>
              </w:rPr>
              <w:t>nie</w:t>
            </w:r>
            <w:proofErr w:type="spellEnd"/>
            <w:r w:rsidRPr="369C09EE">
              <w:rPr>
                <w:sz w:val="22"/>
                <w:szCs w:val="22"/>
                <w:lang w:val="en-US"/>
              </w:rPr>
              <w:t xml:space="preserve"> ma </w:t>
            </w:r>
            <w:proofErr w:type="spellStart"/>
            <w:r w:rsidRPr="369C09EE">
              <w:rPr>
                <w:sz w:val="22"/>
                <w:szCs w:val="22"/>
                <w:lang w:val="en-US"/>
              </w:rPr>
              <w:t>potrzeby</w:t>
            </w:r>
            <w:proofErr w:type="spellEnd"/>
            <w:r w:rsidRPr="369C09EE">
              <w:rPr>
                <w:sz w:val="22"/>
                <w:szCs w:val="22"/>
                <w:lang w:val="en-US"/>
              </w:rPr>
              <w:t xml:space="preserve"> </w:t>
            </w:r>
            <w:proofErr w:type="spellStart"/>
            <w:r w:rsidRPr="369C09EE">
              <w:rPr>
                <w:sz w:val="22"/>
                <w:szCs w:val="22"/>
                <w:lang w:val="en-US"/>
              </w:rPr>
              <w:t>wprowadzania</w:t>
            </w:r>
            <w:proofErr w:type="spellEnd"/>
            <w:r w:rsidRPr="369C09EE">
              <w:rPr>
                <w:sz w:val="22"/>
                <w:szCs w:val="22"/>
                <w:lang w:val="en-US"/>
              </w:rPr>
              <w:t xml:space="preserve"> </w:t>
            </w:r>
            <w:proofErr w:type="spellStart"/>
            <w:r w:rsidRPr="369C09EE">
              <w:rPr>
                <w:sz w:val="22"/>
                <w:szCs w:val="22"/>
                <w:lang w:val="en-US"/>
              </w:rPr>
              <w:t>dodatkowych</w:t>
            </w:r>
            <w:proofErr w:type="spellEnd"/>
            <w:r w:rsidRPr="369C09EE">
              <w:rPr>
                <w:sz w:val="22"/>
                <w:szCs w:val="22"/>
                <w:lang w:val="en-US"/>
              </w:rPr>
              <w:t xml:space="preserve"> </w:t>
            </w:r>
            <w:proofErr w:type="spellStart"/>
            <w:r w:rsidRPr="369C09EE">
              <w:rPr>
                <w:sz w:val="22"/>
                <w:szCs w:val="22"/>
                <w:lang w:val="en-US"/>
              </w:rPr>
              <w:t>wymogów</w:t>
            </w:r>
            <w:proofErr w:type="spellEnd"/>
            <w:r w:rsidRPr="369C09EE">
              <w:rPr>
                <w:sz w:val="22"/>
                <w:szCs w:val="22"/>
                <w:lang w:val="en-US"/>
              </w:rPr>
              <w:t xml:space="preserve"> </w:t>
            </w:r>
            <w:proofErr w:type="spellStart"/>
            <w:r w:rsidRPr="369C09EE">
              <w:rPr>
                <w:sz w:val="22"/>
                <w:szCs w:val="22"/>
                <w:lang w:val="en-US"/>
              </w:rPr>
              <w:t>dotyczących</w:t>
            </w:r>
            <w:proofErr w:type="spellEnd"/>
            <w:r w:rsidRPr="369C09EE">
              <w:rPr>
                <w:sz w:val="22"/>
                <w:szCs w:val="22"/>
                <w:lang w:val="en-US"/>
              </w:rPr>
              <w:t xml:space="preserve"> </w:t>
            </w:r>
            <w:proofErr w:type="spellStart"/>
            <w:r w:rsidRPr="369C09EE">
              <w:rPr>
                <w:sz w:val="22"/>
                <w:szCs w:val="22"/>
                <w:lang w:val="en-US"/>
              </w:rPr>
              <w:t>znaków</w:t>
            </w:r>
            <w:proofErr w:type="spellEnd"/>
            <w:r w:rsidRPr="369C09EE">
              <w:rPr>
                <w:sz w:val="22"/>
                <w:szCs w:val="22"/>
                <w:lang w:val="en-US"/>
              </w:rPr>
              <w:t xml:space="preserve"> </w:t>
            </w:r>
            <w:proofErr w:type="spellStart"/>
            <w:r w:rsidRPr="369C09EE">
              <w:rPr>
                <w:sz w:val="22"/>
                <w:szCs w:val="22"/>
                <w:lang w:val="en-US"/>
              </w:rPr>
              <w:t>wodnych</w:t>
            </w:r>
            <w:proofErr w:type="spellEnd"/>
            <w:r w:rsidRPr="369C09EE">
              <w:rPr>
                <w:sz w:val="22"/>
                <w:szCs w:val="22"/>
                <w:lang w:val="en-US"/>
              </w:rPr>
              <w:t>.</w:t>
            </w:r>
          </w:p>
        </w:tc>
      </w:tr>
      <w:tr w:rsidR="007450DC" w:rsidRPr="005168FB" w14:paraId="75A27577" w14:textId="77777777" w:rsidTr="007450DC">
        <w:trPr>
          <w:trHeight w:val="390"/>
        </w:trPr>
        <w:tc>
          <w:tcPr>
            <w:tcW w:w="1602" w:type="dxa"/>
          </w:tcPr>
          <w:p w14:paraId="4354AE6E" w14:textId="6F7D249D" w:rsidR="007450DC" w:rsidRPr="005567D2" w:rsidRDefault="007450DC" w:rsidP="003F13F4">
            <w:pPr>
              <w:pStyle w:val="Akapitzlist"/>
              <w:spacing w:line="240" w:lineRule="auto"/>
              <w:rPr>
                <w:sz w:val="22"/>
                <w:szCs w:val="22"/>
              </w:rPr>
            </w:pPr>
          </w:p>
        </w:tc>
        <w:tc>
          <w:tcPr>
            <w:tcW w:w="1768" w:type="dxa"/>
          </w:tcPr>
          <w:p w14:paraId="087DF725" w14:textId="75A3FBEF" w:rsidR="007450DC" w:rsidRPr="005567D2" w:rsidRDefault="007450DC" w:rsidP="007505CB">
            <w:pPr>
              <w:spacing w:line="240" w:lineRule="auto"/>
              <w:jc w:val="center"/>
            </w:pPr>
            <w:r w:rsidRPr="005567D2">
              <w:t>Jedna z firm należących do Związku IAB Polska</w:t>
            </w:r>
          </w:p>
        </w:tc>
        <w:tc>
          <w:tcPr>
            <w:tcW w:w="2265" w:type="dxa"/>
          </w:tcPr>
          <w:p w14:paraId="10045173" w14:textId="24171590" w:rsidR="007450DC" w:rsidRPr="005567D2" w:rsidRDefault="007450DC" w:rsidP="007505CB">
            <w:pPr>
              <w:spacing w:line="240" w:lineRule="auto"/>
              <w:jc w:val="center"/>
            </w:pPr>
            <w:r w:rsidRPr="005567D2">
              <w:t xml:space="preserve">Rozporządzenie 2024/1689 </w:t>
            </w:r>
          </w:p>
          <w:p w14:paraId="11E9CEFF" w14:textId="4DF86660"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10D97B60" w14:textId="457196B8" w:rsidR="007450DC" w:rsidRPr="005567D2" w:rsidRDefault="007450DC" w:rsidP="007505CB">
            <w:pPr>
              <w:spacing w:line="240" w:lineRule="auto"/>
              <w:jc w:val="center"/>
            </w:pPr>
          </w:p>
          <w:p w14:paraId="33DE8912" w14:textId="39C0A073" w:rsidR="007450DC" w:rsidRPr="005567D2" w:rsidRDefault="007450DC" w:rsidP="007505CB">
            <w:pPr>
              <w:spacing w:line="240" w:lineRule="auto"/>
              <w:jc w:val="center"/>
            </w:pPr>
            <w:r w:rsidRPr="005567D2">
              <w:t xml:space="preserve">Art. 50 </w:t>
            </w:r>
          </w:p>
        </w:tc>
        <w:tc>
          <w:tcPr>
            <w:tcW w:w="10100" w:type="dxa"/>
          </w:tcPr>
          <w:p w14:paraId="29392E8F" w14:textId="77777777" w:rsidR="007450DC" w:rsidRPr="005567D2" w:rsidRDefault="007450DC" w:rsidP="007505CB">
            <w:pPr>
              <w:numPr>
                <w:ilvl w:val="0"/>
                <w:numId w:val="41"/>
              </w:numPr>
              <w:spacing w:line="240" w:lineRule="auto"/>
              <w:jc w:val="both"/>
              <w:rPr>
                <w:color w:val="000000" w:themeColor="text1"/>
                <w:lang w:val="en-GB"/>
              </w:rPr>
            </w:pPr>
            <w:r w:rsidRPr="005567D2">
              <w:rPr>
                <w:b/>
                <w:bCs/>
                <w:color w:val="000000" w:themeColor="text1"/>
                <w:lang w:val="en-US"/>
              </w:rPr>
              <w:t>Transparency obligations (Article 50 of the AI Act)</w:t>
            </w:r>
            <w:r w:rsidRPr="005567D2">
              <w:rPr>
                <w:color w:val="000000" w:themeColor="text1"/>
                <w:lang w:val="en-US"/>
              </w:rPr>
              <w:t xml:space="preserve">: it is crucial to specify that transparency obligations related to </w:t>
            </w:r>
            <w:r w:rsidRPr="005567D2">
              <w:rPr>
                <w:i/>
                <w:iCs/>
                <w:color w:val="000000" w:themeColor="text1"/>
                <w:lang w:val="en-US"/>
              </w:rPr>
              <w:t>“outputs of the AI system are marked in a machine-readable format and detectable as artificially generated or manipulated</w:t>
            </w:r>
            <w:r w:rsidRPr="005567D2">
              <w:rPr>
                <w:color w:val="000000" w:themeColor="text1"/>
                <w:lang w:val="en-US"/>
              </w:rPr>
              <w:t xml:space="preserve">” in case of creating AI agents (or agentic/ multi-agentic AI systems) are imposed on ADKs’/ agentic AI platforms’/ frameworks’ providers. If a framework facilitates creation of AI agents, the providers should implement the mechanisms for </w:t>
            </w:r>
            <w:r w:rsidRPr="005567D2">
              <w:rPr>
                <w:color w:val="000000" w:themeColor="text1"/>
                <w:lang w:val="en-US"/>
              </w:rPr>
              <w:lastRenderedPageBreak/>
              <w:t>“watermarking” various types of outputs. It is disproportionate to require an AI agent creator (who may be merely a business user without in-depth programming or computer science knowledge) to implement such watermarks on their own.</w:t>
            </w:r>
          </w:p>
          <w:p w14:paraId="1585B27A" w14:textId="77777777" w:rsidR="007450DC" w:rsidRPr="005567D2" w:rsidRDefault="007450DC" w:rsidP="007505CB">
            <w:pPr>
              <w:spacing w:line="240" w:lineRule="auto"/>
              <w:ind w:left="720"/>
              <w:jc w:val="both"/>
              <w:rPr>
                <w:color w:val="000000" w:themeColor="text1"/>
                <w:lang w:val="en-GB"/>
              </w:rPr>
            </w:pPr>
          </w:p>
          <w:p w14:paraId="5AEF1D34" w14:textId="77777777" w:rsidR="007450DC" w:rsidRPr="005567D2" w:rsidRDefault="007450DC" w:rsidP="007505CB">
            <w:pPr>
              <w:numPr>
                <w:ilvl w:val="0"/>
                <w:numId w:val="41"/>
              </w:numPr>
              <w:spacing w:line="240" w:lineRule="auto"/>
              <w:jc w:val="both"/>
              <w:rPr>
                <w:color w:val="000000" w:themeColor="text1"/>
              </w:rPr>
            </w:pPr>
            <w:r w:rsidRPr="005567D2">
              <w:rPr>
                <w:b/>
                <w:bCs/>
                <w:color w:val="000000" w:themeColor="text1"/>
                <w:lang w:val="en-US"/>
              </w:rPr>
              <w:t>Transparency obligations (Article 50 of the AI Act)</w:t>
            </w:r>
            <w:r w:rsidRPr="005567D2">
              <w:rPr>
                <w:color w:val="000000" w:themeColor="text1"/>
                <w:lang w:val="en-US"/>
              </w:rPr>
              <w:t>: “watermarking” obligations (</w:t>
            </w:r>
            <w:r w:rsidRPr="005567D2">
              <w:rPr>
                <w:i/>
                <w:iCs/>
                <w:color w:val="000000" w:themeColor="text1"/>
                <w:lang w:val="en-US"/>
              </w:rPr>
              <w:t>“outputs of the AI system are marked in a machine-readable format and detectable as artificially generated or manipulated</w:t>
            </w:r>
            <w:r w:rsidRPr="005567D2">
              <w:rPr>
                <w:color w:val="000000" w:themeColor="text1"/>
                <w:lang w:val="en-US"/>
              </w:rPr>
              <w:t>”) with regard to texts should be subject to the proportionality principle. There is no need to watermark every type of text. For example, if an AI agent creates various reports (e.g. as sheets with data or written summaries of a specific topic)  for specific business users, such reports include information (for a human being, not machine-</w:t>
            </w:r>
            <w:proofErr w:type="spellStart"/>
            <w:r w:rsidRPr="005567D2">
              <w:rPr>
                <w:color w:val="000000" w:themeColor="text1"/>
                <w:lang w:val="en-US"/>
              </w:rPr>
              <w:t>readible</w:t>
            </w:r>
            <w:proofErr w:type="spellEnd"/>
            <w:r w:rsidRPr="005567D2">
              <w:rPr>
                <w:color w:val="000000" w:themeColor="text1"/>
                <w:lang w:val="en-US"/>
              </w:rPr>
              <w:t xml:space="preserve">) that they were created with AI and IT and data architecture is created in such a way that is </w:t>
            </w:r>
            <w:proofErr w:type="spellStart"/>
            <w:r w:rsidRPr="005567D2">
              <w:rPr>
                <w:color w:val="000000" w:themeColor="text1"/>
                <w:lang w:val="en-US"/>
              </w:rPr>
              <w:t>is</w:t>
            </w:r>
            <w:proofErr w:type="spellEnd"/>
            <w:r w:rsidRPr="005567D2">
              <w:rPr>
                <w:color w:val="000000" w:themeColor="text1"/>
                <w:lang w:val="en-US"/>
              </w:rPr>
              <w:t xml:space="preserve"> clear which resources are created with AI - there is no need for additional watermark. If a text is used as an article on a blog or news portal, we agree that a technical watermark may be required. However, in cases where:</w:t>
            </w:r>
          </w:p>
          <w:p w14:paraId="04412C3B" w14:textId="77777777" w:rsidR="007450DC" w:rsidRPr="005567D2" w:rsidRDefault="007450DC" w:rsidP="007505CB">
            <w:pPr>
              <w:numPr>
                <w:ilvl w:val="0"/>
                <w:numId w:val="42"/>
              </w:numPr>
              <w:spacing w:line="240" w:lineRule="auto"/>
              <w:jc w:val="both"/>
              <w:rPr>
                <w:color w:val="000000" w:themeColor="text1"/>
                <w:lang w:val="en-GB"/>
              </w:rPr>
            </w:pPr>
            <w:r w:rsidRPr="005567D2">
              <w:rPr>
                <w:color w:val="000000" w:themeColor="text1"/>
                <w:lang w:val="en-US"/>
              </w:rPr>
              <w:t>a technical and data architectures are created in such a way that it is clear which resources are generated by AI; or</w:t>
            </w:r>
          </w:p>
          <w:p w14:paraId="0CFA96A1" w14:textId="77777777" w:rsidR="007450DC" w:rsidRPr="005567D2" w:rsidRDefault="007450DC" w:rsidP="007505CB">
            <w:pPr>
              <w:numPr>
                <w:ilvl w:val="0"/>
                <w:numId w:val="42"/>
              </w:numPr>
              <w:spacing w:line="240" w:lineRule="auto"/>
              <w:jc w:val="both"/>
              <w:rPr>
                <w:color w:val="000000" w:themeColor="text1"/>
                <w:lang w:val="en-GB"/>
              </w:rPr>
            </w:pPr>
            <w:r w:rsidRPr="005567D2">
              <w:rPr>
                <w:color w:val="000000" w:themeColor="text1"/>
                <w:lang w:val="en-GB"/>
              </w:rPr>
              <w:t>Texts are used for internal use only and they include information for users (human beings) that the texts were created with AI</w:t>
            </w:r>
          </w:p>
          <w:p w14:paraId="0A41716E" w14:textId="77777777" w:rsidR="007450DC" w:rsidRDefault="007450DC" w:rsidP="007505CB">
            <w:pPr>
              <w:spacing w:line="240" w:lineRule="auto"/>
              <w:ind w:left="708"/>
              <w:jc w:val="both"/>
              <w:rPr>
                <w:color w:val="000000" w:themeColor="text1"/>
                <w:lang w:val="en-US"/>
              </w:rPr>
            </w:pPr>
            <w:r w:rsidRPr="005567D2">
              <w:rPr>
                <w:color w:val="000000" w:themeColor="text1"/>
                <w:lang w:val="en-US"/>
              </w:rPr>
              <w:t>there is no need to introduce additional watermarking requirements.</w:t>
            </w:r>
          </w:p>
          <w:p w14:paraId="5748B829" w14:textId="7E4B1DBE" w:rsidR="007450DC" w:rsidRPr="005567D2" w:rsidRDefault="007450DC" w:rsidP="007505CB">
            <w:pPr>
              <w:spacing w:line="240" w:lineRule="auto"/>
              <w:ind w:left="708"/>
              <w:jc w:val="both"/>
              <w:rPr>
                <w:lang w:val="en-GB"/>
              </w:rPr>
            </w:pPr>
          </w:p>
        </w:tc>
      </w:tr>
      <w:tr w:rsidR="007450DC" w:rsidRPr="00C442B3" w14:paraId="2A50508F" w14:textId="77777777" w:rsidTr="007450DC">
        <w:trPr>
          <w:trHeight w:val="390"/>
        </w:trPr>
        <w:tc>
          <w:tcPr>
            <w:tcW w:w="1602" w:type="dxa"/>
          </w:tcPr>
          <w:p w14:paraId="00D975B5" w14:textId="77777777" w:rsidR="007450DC" w:rsidRPr="005567D2" w:rsidRDefault="007450DC" w:rsidP="003F13F4">
            <w:pPr>
              <w:pStyle w:val="Akapitzlist"/>
              <w:spacing w:line="240" w:lineRule="auto"/>
              <w:rPr>
                <w:sz w:val="22"/>
                <w:szCs w:val="22"/>
              </w:rPr>
            </w:pPr>
          </w:p>
        </w:tc>
        <w:tc>
          <w:tcPr>
            <w:tcW w:w="1768" w:type="dxa"/>
          </w:tcPr>
          <w:p w14:paraId="3185604B" w14:textId="4013FE7B" w:rsidR="007450DC" w:rsidRDefault="007450DC" w:rsidP="007505CB">
            <w:pPr>
              <w:spacing w:line="240" w:lineRule="auto"/>
              <w:jc w:val="center"/>
            </w:pPr>
            <w:r>
              <w:t>Związek Cyfrowa Polska</w:t>
            </w:r>
          </w:p>
        </w:tc>
        <w:tc>
          <w:tcPr>
            <w:tcW w:w="2265" w:type="dxa"/>
          </w:tcPr>
          <w:p w14:paraId="6CE30ED1" w14:textId="77777777" w:rsidR="007450DC" w:rsidRPr="005567D2" w:rsidRDefault="007450DC" w:rsidP="003F13F4">
            <w:pPr>
              <w:spacing w:line="240" w:lineRule="auto"/>
              <w:jc w:val="center"/>
            </w:pPr>
            <w:r w:rsidRPr="005567D2">
              <w:t xml:space="preserve">Rozporządzenie 2024/1689 </w:t>
            </w:r>
          </w:p>
          <w:p w14:paraId="5DBC4942" w14:textId="77777777" w:rsidR="007450DC" w:rsidRPr="005567D2" w:rsidRDefault="007450DC" w:rsidP="003F13F4">
            <w:pPr>
              <w:spacing w:line="240" w:lineRule="auto"/>
              <w:jc w:val="center"/>
            </w:pPr>
            <w:r w:rsidRPr="005567D2">
              <w:t xml:space="preserve">(„AI </w:t>
            </w:r>
            <w:proofErr w:type="spellStart"/>
            <w:r w:rsidRPr="005567D2">
              <w:t>Act</w:t>
            </w:r>
            <w:proofErr w:type="spellEnd"/>
            <w:r w:rsidRPr="005567D2">
              <w:t>”)</w:t>
            </w:r>
          </w:p>
          <w:p w14:paraId="1B534105" w14:textId="77777777" w:rsidR="007450DC" w:rsidRPr="005567D2" w:rsidRDefault="007450DC" w:rsidP="003F13F4">
            <w:pPr>
              <w:spacing w:line="240" w:lineRule="auto"/>
              <w:jc w:val="center"/>
            </w:pPr>
          </w:p>
          <w:p w14:paraId="64CBF849" w14:textId="63F220B3" w:rsidR="007450DC" w:rsidRPr="005567D2" w:rsidRDefault="007450DC" w:rsidP="003F13F4">
            <w:pPr>
              <w:spacing w:line="240" w:lineRule="auto"/>
              <w:jc w:val="center"/>
            </w:pPr>
            <w:r w:rsidRPr="005567D2">
              <w:t>Art. 50</w:t>
            </w:r>
          </w:p>
        </w:tc>
        <w:tc>
          <w:tcPr>
            <w:tcW w:w="10100" w:type="dxa"/>
          </w:tcPr>
          <w:p w14:paraId="29A01221" w14:textId="77777777" w:rsidR="007450DC" w:rsidRPr="003F13F4" w:rsidRDefault="007450DC" w:rsidP="003F13F4">
            <w:pPr>
              <w:spacing w:line="240" w:lineRule="auto"/>
              <w:jc w:val="both"/>
              <w:rPr>
                <w:color w:val="000000" w:themeColor="text1"/>
              </w:rPr>
            </w:pPr>
            <w:r w:rsidRPr="003F13F4">
              <w:rPr>
                <w:color w:val="000000" w:themeColor="text1"/>
              </w:rPr>
              <w:t xml:space="preserve">Realistyczne terminy wdrożenia (art. 50): Sześciomiesięczny okres na dostosowanie się do wymogów dotyczących przejrzystości sztucznej inteligencji nie jest realistyczny, szczególnie biorąc pod uwagę, że termin ten zbliżony będzie do publikacji unijnego </w:t>
            </w:r>
            <w:r w:rsidRPr="003F13F4">
              <w:rPr>
                <w:i/>
                <w:iCs/>
                <w:color w:val="000000" w:themeColor="text1"/>
              </w:rPr>
              <w:t>General-</w:t>
            </w:r>
            <w:proofErr w:type="spellStart"/>
            <w:r w:rsidRPr="003F13F4">
              <w:rPr>
                <w:i/>
                <w:iCs/>
                <w:color w:val="000000" w:themeColor="text1"/>
              </w:rPr>
              <w:t>Purpose</w:t>
            </w:r>
            <w:proofErr w:type="spellEnd"/>
            <w:r w:rsidRPr="003F13F4">
              <w:rPr>
                <w:i/>
                <w:iCs/>
                <w:color w:val="000000" w:themeColor="text1"/>
              </w:rPr>
              <w:t xml:space="preserve"> AI </w:t>
            </w:r>
            <w:proofErr w:type="spellStart"/>
            <w:r w:rsidRPr="003F13F4">
              <w:rPr>
                <w:i/>
                <w:iCs/>
                <w:color w:val="000000" w:themeColor="text1"/>
              </w:rPr>
              <w:t>Code</w:t>
            </w:r>
            <w:proofErr w:type="spellEnd"/>
            <w:r w:rsidRPr="003F13F4">
              <w:rPr>
                <w:i/>
                <w:iCs/>
                <w:color w:val="000000" w:themeColor="text1"/>
              </w:rPr>
              <w:t xml:space="preserve"> of </w:t>
            </w:r>
            <w:proofErr w:type="spellStart"/>
            <w:r w:rsidRPr="003F13F4">
              <w:rPr>
                <w:i/>
                <w:iCs/>
                <w:color w:val="000000" w:themeColor="text1"/>
              </w:rPr>
              <w:t>Practice</w:t>
            </w:r>
            <w:proofErr w:type="spellEnd"/>
            <w:r w:rsidRPr="003F13F4">
              <w:rPr>
                <w:i/>
                <w:iCs/>
                <w:color w:val="000000" w:themeColor="text1"/>
              </w:rPr>
              <w:t xml:space="preserve"> </w:t>
            </w:r>
            <w:r w:rsidRPr="003F13F4">
              <w:rPr>
                <w:color w:val="000000" w:themeColor="text1"/>
              </w:rPr>
              <w:t xml:space="preserve">i nie pozwoli na podjęcie niezbędnych działań przez przedsiębiorców. Rekomendujemy wydłużenie tego okresu do jednego roku. </w:t>
            </w:r>
          </w:p>
          <w:p w14:paraId="0000E21A" w14:textId="77777777" w:rsidR="007450DC" w:rsidRPr="000A1C80" w:rsidRDefault="007450DC" w:rsidP="00C442B3">
            <w:pPr>
              <w:spacing w:line="240" w:lineRule="auto"/>
              <w:jc w:val="both"/>
              <w:rPr>
                <w:color w:val="000000" w:themeColor="text1"/>
                <w:lang w:val="en-GB"/>
              </w:rPr>
            </w:pPr>
          </w:p>
        </w:tc>
      </w:tr>
      <w:tr w:rsidR="007450DC" w:rsidRPr="00C442B3" w14:paraId="42726466" w14:textId="77777777" w:rsidTr="007450DC">
        <w:trPr>
          <w:trHeight w:val="390"/>
        </w:trPr>
        <w:tc>
          <w:tcPr>
            <w:tcW w:w="1602" w:type="dxa"/>
          </w:tcPr>
          <w:p w14:paraId="5579612A" w14:textId="77777777" w:rsidR="007450DC" w:rsidRPr="005567D2" w:rsidRDefault="007450DC" w:rsidP="003F13F4">
            <w:pPr>
              <w:pStyle w:val="Akapitzlist"/>
              <w:spacing w:line="240" w:lineRule="auto"/>
              <w:rPr>
                <w:sz w:val="22"/>
                <w:szCs w:val="22"/>
              </w:rPr>
            </w:pPr>
          </w:p>
        </w:tc>
        <w:tc>
          <w:tcPr>
            <w:tcW w:w="1768" w:type="dxa"/>
          </w:tcPr>
          <w:p w14:paraId="2C916C83" w14:textId="028A59D8" w:rsidR="007450DC" w:rsidRPr="005567D2" w:rsidRDefault="007450DC" w:rsidP="007505CB">
            <w:pPr>
              <w:spacing w:line="240" w:lineRule="auto"/>
              <w:jc w:val="center"/>
            </w:pPr>
            <w:r>
              <w:t>Amerykańska Izba Handlowa w Polsce</w:t>
            </w:r>
          </w:p>
        </w:tc>
        <w:tc>
          <w:tcPr>
            <w:tcW w:w="2265" w:type="dxa"/>
          </w:tcPr>
          <w:p w14:paraId="268A23EA" w14:textId="0F5E8540" w:rsidR="007450DC" w:rsidRPr="005567D2" w:rsidRDefault="007450DC" w:rsidP="00CC3B5B">
            <w:pPr>
              <w:spacing w:line="240" w:lineRule="auto"/>
              <w:jc w:val="center"/>
            </w:pPr>
            <w:r w:rsidRPr="005567D2">
              <w:t>Rozporządzenie 2024/1689</w:t>
            </w:r>
          </w:p>
          <w:p w14:paraId="1C9097F5" w14:textId="77777777" w:rsidR="007450DC" w:rsidRDefault="007450DC" w:rsidP="00CC3B5B">
            <w:pPr>
              <w:spacing w:line="240" w:lineRule="auto"/>
              <w:jc w:val="center"/>
            </w:pPr>
            <w:r w:rsidRPr="005567D2">
              <w:t xml:space="preserve">(„AI </w:t>
            </w:r>
            <w:proofErr w:type="spellStart"/>
            <w:r w:rsidRPr="005567D2">
              <w:t>Act</w:t>
            </w:r>
            <w:proofErr w:type="spellEnd"/>
            <w:r w:rsidRPr="005567D2">
              <w:t>”)</w:t>
            </w:r>
          </w:p>
          <w:p w14:paraId="57570CB6" w14:textId="77777777" w:rsidR="007450DC" w:rsidRPr="005567D2" w:rsidRDefault="007450DC" w:rsidP="00CC3B5B">
            <w:pPr>
              <w:spacing w:line="240" w:lineRule="auto"/>
              <w:jc w:val="center"/>
            </w:pPr>
          </w:p>
          <w:p w14:paraId="61FCB8C7" w14:textId="574B990D" w:rsidR="007450DC" w:rsidRPr="005567D2" w:rsidRDefault="007450DC" w:rsidP="00CC3B5B">
            <w:pPr>
              <w:spacing w:line="240" w:lineRule="auto"/>
              <w:jc w:val="center"/>
            </w:pPr>
            <w:r>
              <w:t>Art. 50 (2)</w:t>
            </w:r>
          </w:p>
        </w:tc>
        <w:tc>
          <w:tcPr>
            <w:tcW w:w="10100" w:type="dxa"/>
          </w:tcPr>
          <w:p w14:paraId="57A411A8" w14:textId="4E8AFB34" w:rsidR="007450DC" w:rsidRPr="000A1C80" w:rsidRDefault="007450DC" w:rsidP="00C442B3">
            <w:pPr>
              <w:spacing w:line="240" w:lineRule="auto"/>
              <w:jc w:val="both"/>
              <w:rPr>
                <w:color w:val="000000" w:themeColor="text1"/>
                <w:lang w:val="en-GB"/>
              </w:rPr>
            </w:pPr>
            <w:r w:rsidRPr="000A1C80">
              <w:rPr>
                <w:color w:val="000000" w:themeColor="text1"/>
                <w:lang w:val="en-GB"/>
              </w:rPr>
              <w:t>The transparency obligations for generative AI systems - including the machine-readable</w:t>
            </w:r>
            <w:r>
              <w:rPr>
                <w:color w:val="000000" w:themeColor="text1"/>
                <w:lang w:val="en-GB"/>
              </w:rPr>
              <w:t xml:space="preserve"> </w:t>
            </w:r>
            <w:r w:rsidRPr="000A1C80">
              <w:rPr>
                <w:color w:val="000000" w:themeColor="text1"/>
                <w:lang w:val="en-GB"/>
              </w:rPr>
              <w:t>marking obligations under Article 50(2) - will take effect as of August 2026. However, the ongoing Code of Practice process to clarify the implementation of these requirements will not</w:t>
            </w:r>
          </w:p>
          <w:p w14:paraId="74D6F97F" w14:textId="77777777" w:rsidR="007450DC" w:rsidRDefault="007450DC" w:rsidP="00C442B3">
            <w:pPr>
              <w:spacing w:line="240" w:lineRule="auto"/>
              <w:jc w:val="both"/>
              <w:rPr>
                <w:color w:val="000000" w:themeColor="text1"/>
                <w:lang w:val="en-GB"/>
              </w:rPr>
            </w:pPr>
            <w:r w:rsidRPr="000A1C80">
              <w:rPr>
                <w:color w:val="000000" w:themeColor="text1"/>
              </w:rPr>
              <w:t xml:space="preserve">be </w:t>
            </w:r>
            <w:proofErr w:type="spellStart"/>
            <w:r w:rsidRPr="000A1C80">
              <w:rPr>
                <w:color w:val="000000" w:themeColor="text1"/>
              </w:rPr>
              <w:t>finalized</w:t>
            </w:r>
            <w:proofErr w:type="spellEnd"/>
            <w:r w:rsidRPr="000A1C80">
              <w:rPr>
                <w:color w:val="000000" w:themeColor="text1"/>
              </w:rPr>
              <w:t xml:space="preserve"> </w:t>
            </w:r>
            <w:proofErr w:type="spellStart"/>
            <w:r w:rsidRPr="000A1C80">
              <w:rPr>
                <w:color w:val="000000" w:themeColor="text1"/>
              </w:rPr>
              <w:t>before</w:t>
            </w:r>
            <w:proofErr w:type="spellEnd"/>
            <w:r w:rsidRPr="000A1C80">
              <w:rPr>
                <w:color w:val="000000" w:themeColor="text1"/>
              </w:rPr>
              <w:t xml:space="preserve"> </w:t>
            </w:r>
            <w:proofErr w:type="spellStart"/>
            <w:r w:rsidRPr="000A1C80">
              <w:rPr>
                <w:color w:val="000000" w:themeColor="text1"/>
              </w:rPr>
              <w:t>June</w:t>
            </w:r>
            <w:proofErr w:type="spellEnd"/>
            <w:r w:rsidRPr="000A1C80">
              <w:rPr>
                <w:color w:val="000000" w:themeColor="text1"/>
              </w:rPr>
              <w:t xml:space="preserve"> 2026. </w:t>
            </w:r>
            <w:r w:rsidRPr="000A1C80">
              <w:rPr>
                <w:color w:val="000000" w:themeColor="text1"/>
                <w:lang w:val="en-GB"/>
              </w:rPr>
              <w:t>Because the six month ‘grace period’ for this requirement as now proposed only applies to AI systems placed on the market before 2 August, this would</w:t>
            </w:r>
            <w:r>
              <w:rPr>
                <w:color w:val="000000" w:themeColor="text1"/>
                <w:lang w:val="en-GB"/>
              </w:rPr>
              <w:t xml:space="preserve"> </w:t>
            </w:r>
            <w:r w:rsidRPr="000A1C80">
              <w:rPr>
                <w:color w:val="000000" w:themeColor="text1"/>
                <w:lang w:val="en-GB"/>
              </w:rPr>
              <w:t>mean that AI systems placed on the market after that date will need to have operationalized</w:t>
            </w:r>
            <w:r>
              <w:rPr>
                <w:color w:val="000000" w:themeColor="text1"/>
                <w:lang w:val="en-GB"/>
              </w:rPr>
              <w:t xml:space="preserve"> </w:t>
            </w:r>
            <w:r w:rsidRPr="000A1C80">
              <w:rPr>
                <w:color w:val="000000" w:themeColor="text1"/>
                <w:lang w:val="en-GB"/>
              </w:rPr>
              <w:t>compliance on the basis of the Code almost immediately, creating significant legal</w:t>
            </w:r>
            <w:r>
              <w:rPr>
                <w:color w:val="000000" w:themeColor="text1"/>
                <w:lang w:val="en-GB"/>
              </w:rPr>
              <w:t xml:space="preserve"> </w:t>
            </w:r>
            <w:r w:rsidRPr="000A1C80">
              <w:rPr>
                <w:color w:val="000000" w:themeColor="text1"/>
                <w:lang w:val="en-GB"/>
              </w:rPr>
              <w:t xml:space="preserve">uncertainty. We therefore recommend extending the grace period </w:t>
            </w:r>
            <w:r w:rsidRPr="000A1C80">
              <w:rPr>
                <w:color w:val="000000" w:themeColor="text1"/>
                <w:lang w:val="en-GB"/>
              </w:rPr>
              <w:lastRenderedPageBreak/>
              <w:t>to 12 months and applying it to AI systems placed on the EU market between 2 August 2026 and 2 August 2027.</w:t>
            </w:r>
          </w:p>
          <w:p w14:paraId="3749864E" w14:textId="755ECDA6" w:rsidR="007450DC" w:rsidRPr="000A1C80" w:rsidRDefault="007450DC" w:rsidP="00C442B3">
            <w:pPr>
              <w:spacing w:line="240" w:lineRule="auto"/>
              <w:jc w:val="both"/>
              <w:rPr>
                <w:color w:val="000000" w:themeColor="text1"/>
                <w:lang w:val="en-GB"/>
              </w:rPr>
            </w:pPr>
          </w:p>
        </w:tc>
      </w:tr>
      <w:tr w:rsidR="007450DC" w:rsidRPr="00F57F1C" w14:paraId="5563F659" w14:textId="77777777" w:rsidTr="007450DC">
        <w:trPr>
          <w:trHeight w:val="390"/>
        </w:trPr>
        <w:tc>
          <w:tcPr>
            <w:tcW w:w="1602" w:type="dxa"/>
          </w:tcPr>
          <w:p w14:paraId="0B1B9606" w14:textId="77777777" w:rsidR="007450DC" w:rsidRPr="00C442B3" w:rsidRDefault="007450DC" w:rsidP="007505CB">
            <w:pPr>
              <w:pStyle w:val="Akapitzlist"/>
              <w:numPr>
                <w:ilvl w:val="0"/>
                <w:numId w:val="11"/>
              </w:numPr>
              <w:spacing w:line="240" w:lineRule="auto"/>
              <w:rPr>
                <w:sz w:val="22"/>
                <w:szCs w:val="22"/>
                <w:lang w:val="en-GB"/>
              </w:rPr>
            </w:pPr>
          </w:p>
        </w:tc>
        <w:tc>
          <w:tcPr>
            <w:tcW w:w="1768" w:type="dxa"/>
          </w:tcPr>
          <w:p w14:paraId="3C5712EF" w14:textId="605ECBDE" w:rsidR="007450DC" w:rsidRPr="005567D2" w:rsidRDefault="007450DC" w:rsidP="007505CB">
            <w:pPr>
              <w:spacing w:line="240" w:lineRule="auto"/>
              <w:jc w:val="center"/>
            </w:pPr>
            <w:r>
              <w:t>Amerykańska Izba Handlowa w Polsce</w:t>
            </w:r>
          </w:p>
        </w:tc>
        <w:tc>
          <w:tcPr>
            <w:tcW w:w="2265" w:type="dxa"/>
          </w:tcPr>
          <w:p w14:paraId="07C96241" w14:textId="77777777" w:rsidR="007450DC" w:rsidRPr="005567D2" w:rsidRDefault="007450DC" w:rsidP="00CC3B5B">
            <w:pPr>
              <w:spacing w:line="240" w:lineRule="auto"/>
              <w:jc w:val="center"/>
            </w:pPr>
            <w:r w:rsidRPr="005567D2">
              <w:t>Rozporządzenie 2024/1689</w:t>
            </w:r>
          </w:p>
          <w:p w14:paraId="53CB18BA" w14:textId="77777777" w:rsidR="007450DC" w:rsidRPr="005567D2" w:rsidRDefault="007450DC" w:rsidP="00CC3B5B">
            <w:pPr>
              <w:spacing w:line="240" w:lineRule="auto"/>
              <w:jc w:val="center"/>
            </w:pPr>
          </w:p>
          <w:p w14:paraId="31806B7E" w14:textId="77777777" w:rsidR="007450DC" w:rsidRPr="005567D2" w:rsidRDefault="007450DC" w:rsidP="00CC3B5B">
            <w:pPr>
              <w:spacing w:line="240" w:lineRule="auto"/>
              <w:jc w:val="center"/>
            </w:pPr>
            <w:r w:rsidRPr="005567D2">
              <w:t xml:space="preserve">(„AI </w:t>
            </w:r>
            <w:proofErr w:type="spellStart"/>
            <w:r w:rsidRPr="005567D2">
              <w:t>Act</w:t>
            </w:r>
            <w:proofErr w:type="spellEnd"/>
            <w:r w:rsidRPr="005567D2">
              <w:t>”)</w:t>
            </w:r>
          </w:p>
          <w:p w14:paraId="737E41D9" w14:textId="24CC7ED6" w:rsidR="007450DC" w:rsidRPr="005567D2" w:rsidRDefault="007450DC" w:rsidP="00CC3B5B">
            <w:pPr>
              <w:spacing w:line="240" w:lineRule="auto"/>
              <w:jc w:val="center"/>
            </w:pPr>
            <w:r>
              <w:t>Art. 50(4)</w:t>
            </w:r>
          </w:p>
        </w:tc>
        <w:tc>
          <w:tcPr>
            <w:tcW w:w="10100" w:type="dxa"/>
          </w:tcPr>
          <w:p w14:paraId="364466D5" w14:textId="5971CF7F" w:rsidR="007450DC" w:rsidRPr="00F57F1C" w:rsidRDefault="007450DC" w:rsidP="00F57F1C">
            <w:pPr>
              <w:spacing w:line="240" w:lineRule="auto"/>
              <w:jc w:val="both"/>
              <w:rPr>
                <w:color w:val="000000" w:themeColor="text1"/>
                <w:lang w:val="en-GB"/>
              </w:rPr>
            </w:pPr>
            <w:r w:rsidRPr="00F57F1C">
              <w:rPr>
                <w:color w:val="000000" w:themeColor="text1"/>
                <w:lang w:val="en-GB"/>
              </w:rPr>
              <w:t>The delayed application timeline proposed for Article 50(2) should also apply to the remainder</w:t>
            </w:r>
            <w:r>
              <w:rPr>
                <w:color w:val="000000" w:themeColor="text1"/>
                <w:lang w:val="en-GB"/>
              </w:rPr>
              <w:t xml:space="preserve"> </w:t>
            </w:r>
            <w:r w:rsidRPr="00F57F1C">
              <w:rPr>
                <w:color w:val="000000" w:themeColor="text1"/>
                <w:lang w:val="en-GB"/>
              </w:rPr>
              <w:t>of Article 50 – particularly Article 50(4) – to ensure regulatory coherence and feasible</w:t>
            </w:r>
            <w:r>
              <w:rPr>
                <w:color w:val="000000" w:themeColor="text1"/>
                <w:lang w:val="en-GB"/>
              </w:rPr>
              <w:t xml:space="preserve"> </w:t>
            </w:r>
            <w:r w:rsidRPr="00F57F1C">
              <w:rPr>
                <w:color w:val="000000" w:themeColor="text1"/>
                <w:lang w:val="en-GB"/>
              </w:rPr>
              <w:t>implementation. As the forthcoming Code of Practice will also define transparency and</w:t>
            </w:r>
            <w:r>
              <w:rPr>
                <w:color w:val="000000" w:themeColor="text1"/>
                <w:lang w:val="en-GB"/>
              </w:rPr>
              <w:t xml:space="preserve"> </w:t>
            </w:r>
            <w:r w:rsidRPr="00F57F1C">
              <w:rPr>
                <w:color w:val="000000" w:themeColor="text1"/>
                <w:lang w:val="en-GB"/>
              </w:rPr>
              <w:t>provenance expectations for deployers of generative AI systems set out in Article 50(4), the</w:t>
            </w:r>
            <w:r>
              <w:rPr>
                <w:color w:val="000000" w:themeColor="text1"/>
                <w:lang w:val="en-GB"/>
              </w:rPr>
              <w:t xml:space="preserve"> </w:t>
            </w:r>
            <w:r w:rsidRPr="00F57F1C">
              <w:rPr>
                <w:color w:val="000000" w:themeColor="text1"/>
                <w:lang w:val="en-GB"/>
              </w:rPr>
              <w:t>complete absence of a grace period for deployers creates the same implementation</w:t>
            </w:r>
            <w:r>
              <w:rPr>
                <w:color w:val="000000" w:themeColor="text1"/>
                <w:lang w:val="en-GB"/>
              </w:rPr>
              <w:t xml:space="preserve"> </w:t>
            </w:r>
            <w:r w:rsidRPr="00F57F1C">
              <w:rPr>
                <w:color w:val="000000" w:themeColor="text1"/>
                <w:lang w:val="en-GB"/>
              </w:rPr>
              <w:t xml:space="preserve">challenge that motivated the proposed delay for Article 50(2). In </w:t>
            </w:r>
            <w:proofErr w:type="spellStart"/>
            <w:r w:rsidRPr="00F57F1C">
              <w:rPr>
                <w:color w:val="000000" w:themeColor="text1"/>
                <w:lang w:val="en-GB"/>
              </w:rPr>
              <w:t>oder</w:t>
            </w:r>
            <w:proofErr w:type="spellEnd"/>
            <w:r w:rsidRPr="00F57F1C">
              <w:rPr>
                <w:color w:val="000000" w:themeColor="text1"/>
                <w:lang w:val="en-GB"/>
              </w:rPr>
              <w:t xml:space="preserve"> for deployers to have</w:t>
            </w:r>
          </w:p>
          <w:p w14:paraId="3D2C0FDB" w14:textId="07EDE0D8" w:rsidR="007450DC" w:rsidRPr="00F57F1C" w:rsidRDefault="007450DC" w:rsidP="00F57F1C">
            <w:pPr>
              <w:spacing w:line="240" w:lineRule="auto"/>
              <w:jc w:val="both"/>
              <w:rPr>
                <w:color w:val="000000" w:themeColor="text1"/>
                <w:lang w:val="en-GB"/>
              </w:rPr>
            </w:pPr>
            <w:r w:rsidRPr="00F57F1C">
              <w:rPr>
                <w:color w:val="000000" w:themeColor="text1"/>
                <w:lang w:val="en-GB"/>
              </w:rPr>
              <w:t>sufficient time to translate the Code’s requirements into robust engineering and operational</w:t>
            </w:r>
            <w:r>
              <w:rPr>
                <w:color w:val="000000" w:themeColor="text1"/>
                <w:lang w:val="en-GB"/>
              </w:rPr>
              <w:t xml:space="preserve"> </w:t>
            </w:r>
            <w:r w:rsidRPr="00F57F1C">
              <w:rPr>
                <w:color w:val="000000" w:themeColor="text1"/>
                <w:lang w:val="en-GB"/>
              </w:rPr>
              <w:t>solutions, the timeline for Article 50(4) and the rest of Article 50 should be extended in the</w:t>
            </w:r>
            <w:r>
              <w:rPr>
                <w:color w:val="000000" w:themeColor="text1"/>
                <w:lang w:val="en-GB"/>
              </w:rPr>
              <w:t xml:space="preserve"> </w:t>
            </w:r>
            <w:r w:rsidRPr="00F57F1C">
              <w:rPr>
                <w:color w:val="000000" w:themeColor="text1"/>
                <w:lang w:val="en-GB"/>
              </w:rPr>
              <w:t>same way in order to ensure that providers and deployers alike can implement the Code of</w:t>
            </w:r>
          </w:p>
          <w:p w14:paraId="6FE48BDA" w14:textId="77777777" w:rsidR="007450DC" w:rsidRDefault="007450DC" w:rsidP="00F57F1C">
            <w:pPr>
              <w:spacing w:line="240" w:lineRule="auto"/>
              <w:jc w:val="both"/>
              <w:rPr>
                <w:color w:val="000000" w:themeColor="text1"/>
                <w:lang w:val="en-GB"/>
              </w:rPr>
            </w:pPr>
            <w:r w:rsidRPr="00F57F1C">
              <w:rPr>
                <w:color w:val="000000" w:themeColor="text1"/>
                <w:lang w:val="en-GB"/>
              </w:rPr>
              <w:t>Practice in a consistent, technically sound, and interoperable manner, fully aligned with the</w:t>
            </w:r>
            <w:r>
              <w:rPr>
                <w:color w:val="000000" w:themeColor="text1"/>
                <w:lang w:val="en-GB"/>
              </w:rPr>
              <w:t xml:space="preserve"> </w:t>
            </w:r>
            <w:r w:rsidRPr="00F57F1C">
              <w:rPr>
                <w:color w:val="000000" w:themeColor="text1"/>
                <w:lang w:val="en-GB"/>
              </w:rPr>
              <w:t>Commission’s forthcoming guidance.</w:t>
            </w:r>
          </w:p>
          <w:p w14:paraId="4DB118AB" w14:textId="2FED496C" w:rsidR="007450DC" w:rsidRPr="00F57F1C" w:rsidRDefault="007450DC" w:rsidP="00F57F1C">
            <w:pPr>
              <w:spacing w:line="240" w:lineRule="auto"/>
              <w:jc w:val="both"/>
              <w:rPr>
                <w:color w:val="000000" w:themeColor="text1"/>
                <w:lang w:val="en-GB"/>
              </w:rPr>
            </w:pPr>
          </w:p>
        </w:tc>
      </w:tr>
      <w:tr w:rsidR="007450DC" w:rsidRPr="005567D2" w14:paraId="0F41CE13" w14:textId="77777777" w:rsidTr="007450DC">
        <w:trPr>
          <w:trHeight w:val="300"/>
        </w:trPr>
        <w:tc>
          <w:tcPr>
            <w:tcW w:w="1602" w:type="dxa"/>
          </w:tcPr>
          <w:p w14:paraId="058A9446" w14:textId="6C3E85CE" w:rsidR="007450DC" w:rsidRPr="005168FB" w:rsidRDefault="007450DC" w:rsidP="007505CB">
            <w:pPr>
              <w:pStyle w:val="Akapitzlist"/>
              <w:spacing w:line="240" w:lineRule="auto"/>
              <w:ind w:left="1080"/>
              <w:rPr>
                <w:sz w:val="22"/>
                <w:szCs w:val="22"/>
                <w:lang w:val="en-GB"/>
              </w:rPr>
            </w:pPr>
          </w:p>
        </w:tc>
        <w:tc>
          <w:tcPr>
            <w:tcW w:w="1768" w:type="dxa"/>
          </w:tcPr>
          <w:p w14:paraId="50100BBA" w14:textId="0847FF68" w:rsidR="007450DC" w:rsidRPr="005567D2" w:rsidRDefault="007450DC" w:rsidP="007505CB">
            <w:pPr>
              <w:spacing w:line="240" w:lineRule="auto"/>
              <w:jc w:val="center"/>
            </w:pPr>
            <w:r w:rsidRPr="005567D2">
              <w:t>ZAIKS</w:t>
            </w:r>
          </w:p>
        </w:tc>
        <w:tc>
          <w:tcPr>
            <w:tcW w:w="2265" w:type="dxa"/>
          </w:tcPr>
          <w:p w14:paraId="22BCB55E" w14:textId="77777777" w:rsidR="007450DC" w:rsidRPr="005567D2" w:rsidRDefault="007450DC" w:rsidP="007505CB">
            <w:pPr>
              <w:spacing w:line="240" w:lineRule="auto"/>
              <w:jc w:val="center"/>
            </w:pPr>
            <w:r w:rsidRPr="005567D2">
              <w:t>Rozporządzenie 2024/1689</w:t>
            </w:r>
          </w:p>
          <w:p w14:paraId="5B975C77" w14:textId="77777777" w:rsidR="007450DC" w:rsidRPr="005567D2" w:rsidRDefault="007450DC" w:rsidP="007505CB">
            <w:pPr>
              <w:spacing w:line="240" w:lineRule="auto"/>
              <w:jc w:val="center"/>
            </w:pPr>
          </w:p>
          <w:p w14:paraId="3BA7BA80" w14:textId="77777777"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4BC37D68" w14:textId="4AE920BE" w:rsidR="007450DC" w:rsidRPr="005567D2" w:rsidRDefault="007450DC" w:rsidP="007505CB">
            <w:pPr>
              <w:spacing w:line="240" w:lineRule="auto"/>
              <w:jc w:val="center"/>
            </w:pPr>
            <w:r w:rsidRPr="005567D2">
              <w:t>Art 53 i 56</w:t>
            </w:r>
          </w:p>
        </w:tc>
        <w:tc>
          <w:tcPr>
            <w:tcW w:w="10100" w:type="dxa"/>
          </w:tcPr>
          <w:p w14:paraId="5E2D5DD8" w14:textId="73A18060" w:rsidR="007450DC" w:rsidRPr="005567D2" w:rsidRDefault="007450DC" w:rsidP="007505CB">
            <w:pPr>
              <w:spacing w:line="240" w:lineRule="auto"/>
            </w:pPr>
            <w:r>
              <w:t>P</w:t>
            </w:r>
            <w:r w:rsidRPr="005567D2">
              <w:t>rzygotowanie przez K</w:t>
            </w:r>
            <w:r>
              <w:t>E</w:t>
            </w:r>
            <w:r w:rsidRPr="005567D2">
              <w:t xml:space="preserve"> niedostatecznie chroniących prawa twórców treść (i) wystarczająco szczegółowego streszczenia na temat treści wykorzystanych do trenowania danego modelu Al (dalej: Streszczenie), a także (ii) kodeksu praktyk (dalej: Kodeks);</w:t>
            </w:r>
          </w:p>
          <w:p w14:paraId="34928EEA" w14:textId="545A320C" w:rsidR="007450DC" w:rsidRPr="005567D2" w:rsidRDefault="007450DC" w:rsidP="007505CB">
            <w:pPr>
              <w:spacing w:line="240" w:lineRule="auto"/>
            </w:pPr>
            <w:r w:rsidRPr="005567D2">
              <w:t>b) proponowane zawężenie rozumienia definicji modelu Al ogólnego przeznaczenia poprzez wykluczenie z jego zakresu modeli Al zdolnych do generowania określonego rodzaju treści łudząco przypominające efekty twórczości ludzkiej, np. SUNO czy SORA, należy uznać za niedostateczne dla ochrony praw twórców, którzy już teraz muszą mierzyć się z realną konkurencją ze strony wytworów Al.</w:t>
            </w:r>
          </w:p>
          <w:p w14:paraId="1CB8EB45" w14:textId="40AAD745" w:rsidR="007450DC" w:rsidRPr="005567D2" w:rsidRDefault="007450DC" w:rsidP="007505CB">
            <w:pPr>
              <w:spacing w:line="240" w:lineRule="auto"/>
            </w:pPr>
            <w:r w:rsidRPr="005567D2">
              <w:t>W tym miejscu należy również przywołać stanowisko GESAC (Europejskiego Zrzeszenia Stowarzyszeń Autorów i Kompozytorów) na temat problemów, z jakimi OZZ mierzą się w związku z praktykami podmiotów rynkowych korzystających z chronionych prawem</w:t>
            </w:r>
          </w:p>
          <w:p w14:paraId="75938D19" w14:textId="6DB1F5E8" w:rsidR="007450DC" w:rsidRPr="005567D2" w:rsidRDefault="007450DC" w:rsidP="007505CB">
            <w:pPr>
              <w:spacing w:line="240" w:lineRule="auto"/>
            </w:pPr>
            <w:r w:rsidRPr="005567D2">
              <w:t>autorskim treści na potrzeby trenowania Al. GESAC podkreśla, że obecne wyzwania utrudniające prawidłowe funkcjonowanie rynku licencjonowania chronionych prawem treści na potrzeby szkolenia generatywnej Al wynikają z nieznajomości bądź lekceważenia</w:t>
            </w:r>
          </w:p>
          <w:p w14:paraId="64DD4B2C" w14:textId="73D981AC" w:rsidR="007450DC" w:rsidRPr="005567D2" w:rsidRDefault="007450DC" w:rsidP="007505CB">
            <w:pPr>
              <w:spacing w:line="240" w:lineRule="auto"/>
            </w:pPr>
            <w:r w:rsidRPr="005567D2">
              <w:t>prawa UE przez największe podmioty prowadzące działalność w tym zakresie. Organizacje prowadzące zbiorowy zarząd autorskimi prawami majątkowymi posiadają bowiem już teraz odpowiednie umocowanie, doświadczenie i zasoby techniczne, by udzielać licencji dostawcom usług generatywnej Al.</w:t>
            </w:r>
          </w:p>
          <w:p w14:paraId="3BBAF514" w14:textId="087282C0" w:rsidR="007450DC" w:rsidRPr="005567D2" w:rsidRDefault="007450DC" w:rsidP="007505CB">
            <w:pPr>
              <w:spacing w:line="240" w:lineRule="auto"/>
            </w:pPr>
            <w:r w:rsidRPr="005567D2">
              <w:t xml:space="preserve">Oczekujemy zmian m.in w definicji modelu Al ogólnego przeznaczenia: </w:t>
            </w:r>
          </w:p>
          <w:p w14:paraId="0B38731A" w14:textId="086D96BE" w:rsidR="007450DC" w:rsidRPr="005567D2" w:rsidRDefault="007450DC" w:rsidP="007505CB">
            <w:pPr>
              <w:spacing w:line="240" w:lineRule="auto"/>
            </w:pPr>
            <w:r w:rsidRPr="005567D2">
              <w:lastRenderedPageBreak/>
              <w:t xml:space="preserve">a) Odejścia od zawężającej interpretacji pojęcia modelu Al ogólnego przeznaczenia (GPAI), które zgodnie z wytycznymi Komisji z 18 lipca 2025 r. dotyczącymi zakresu obowiązków dostawców modeli GPAI wynikających z Al </w:t>
            </w:r>
            <w:proofErr w:type="spellStart"/>
            <w:r w:rsidRPr="005567D2">
              <w:t>Act</w:t>
            </w:r>
            <w:proofErr w:type="spellEnd"/>
            <w:r w:rsidRPr="005567D2">
              <w:t>, nie obejmuje modeli generatywnej Al realizujących ograniczaną liczbę funkcjonalności np. tylko</w:t>
            </w:r>
          </w:p>
          <w:p w14:paraId="5E716886" w14:textId="7DB6123E" w:rsidR="007450DC" w:rsidRPr="005567D2" w:rsidRDefault="007450DC" w:rsidP="007505CB">
            <w:pPr>
              <w:spacing w:line="240" w:lineRule="auto"/>
            </w:pPr>
            <w:r w:rsidRPr="005567D2">
              <w:t>generowanie muzyki (w tym z wykorzystaniem słów) czy tylko generowanie obrazów lub filmów.</w:t>
            </w:r>
          </w:p>
          <w:p w14:paraId="4010F116" w14:textId="6284D1FE" w:rsidR="007450DC" w:rsidRPr="005567D2" w:rsidRDefault="007450DC" w:rsidP="007505CB">
            <w:pPr>
              <w:spacing w:line="240" w:lineRule="auto"/>
            </w:pPr>
            <w:r w:rsidRPr="005567D2">
              <w:t xml:space="preserve">Art. 53 Al </w:t>
            </w:r>
            <w:proofErr w:type="spellStart"/>
            <w:r w:rsidRPr="005567D2">
              <w:t>Act</w:t>
            </w:r>
            <w:proofErr w:type="spellEnd"/>
            <w:r w:rsidRPr="005567D2">
              <w:t xml:space="preserve"> został dodany na ostatnim etapie prac legislacyjnych nad</w:t>
            </w:r>
          </w:p>
          <w:p w14:paraId="6BAD597A" w14:textId="25B5262F" w:rsidR="007450DC" w:rsidRPr="005567D2" w:rsidRDefault="007450DC" w:rsidP="007505CB">
            <w:pPr>
              <w:spacing w:line="240" w:lineRule="auto"/>
            </w:pPr>
            <w:r w:rsidRPr="005567D2">
              <w:t>rozporządzeniem właśnie ze względu na dostrzeżenie przez prawodawcę unijnego faktu, że "modele Al ogólnego przeznaczenia, w szczególności duże generatywne modele Al, zdolne do generowania tekstów, obrazów i innych treści, stwarzają [ ... ] wyzwania dla artystów, autorów i innych twórców oraz w odniesieniu do sposobu tworzenia, rozpowszechniania, wykorzystywania i konsumowania ich treści</w:t>
            </w:r>
          </w:p>
          <w:p w14:paraId="066E0433" w14:textId="66F06022" w:rsidR="007450DC" w:rsidRPr="005567D2" w:rsidRDefault="007450DC" w:rsidP="007505CB">
            <w:pPr>
              <w:spacing w:line="240" w:lineRule="auto"/>
            </w:pPr>
            <w:r w:rsidRPr="005567D2">
              <w:t xml:space="preserve">kreatywnych" (motyw 105 Al </w:t>
            </w:r>
            <w:proofErr w:type="spellStart"/>
            <w:r w:rsidRPr="005567D2">
              <w:t>Act</w:t>
            </w:r>
            <w:proofErr w:type="spellEnd"/>
            <w:r w:rsidRPr="005567D2">
              <w:t xml:space="preserve">). Wyłączenie z zakresu uregulowania Art. 53 Al </w:t>
            </w:r>
            <w:proofErr w:type="spellStart"/>
            <w:r w:rsidRPr="005567D2">
              <w:t>Act</w:t>
            </w:r>
            <w:proofErr w:type="spellEnd"/>
            <w:r w:rsidRPr="005567D2">
              <w:t xml:space="preserve"> modeli generatywnej Al, które w największym stopniu wiążą się z eksploatacją twórczości, zarówno na etapie trenowania modelu, jak i na etapie korzystania z niego przez publikę, czyli tworzeniu konkurencyjnych wobec twórczości ludzkiej wytworów,</w:t>
            </w:r>
          </w:p>
          <w:p w14:paraId="37E1FD6E" w14:textId="01241096" w:rsidR="007450DC" w:rsidRPr="005567D2" w:rsidRDefault="007450DC" w:rsidP="007505CB">
            <w:pPr>
              <w:spacing w:line="240" w:lineRule="auto"/>
            </w:pPr>
            <w:r w:rsidRPr="005567D2">
              <w:t>stanowi więc zaprzeczenie celom rozporządzenia.</w:t>
            </w:r>
          </w:p>
          <w:p w14:paraId="4ACAEE65" w14:textId="19061501" w:rsidR="007450DC" w:rsidRPr="005567D2" w:rsidRDefault="007450DC" w:rsidP="007505CB">
            <w:pPr>
              <w:spacing w:line="240" w:lineRule="auto"/>
            </w:pPr>
            <w:r w:rsidRPr="005567D2">
              <w:t xml:space="preserve">Rewizja przyjętych przez Komisję założeń stosowania Art. 53 Al </w:t>
            </w:r>
            <w:proofErr w:type="spellStart"/>
            <w:r w:rsidRPr="005567D2">
              <w:t>Act</w:t>
            </w:r>
            <w:proofErr w:type="spellEnd"/>
            <w:r w:rsidRPr="005567D2">
              <w:t>, których</w:t>
            </w:r>
          </w:p>
          <w:p w14:paraId="6D0EC77C" w14:textId="250F81DA" w:rsidR="007450DC" w:rsidRPr="005567D2" w:rsidRDefault="007450DC" w:rsidP="007505CB">
            <w:pPr>
              <w:spacing w:line="240" w:lineRule="auto"/>
            </w:pPr>
            <w:r w:rsidRPr="005567D2">
              <w:t>odzwierciedleniem są postanowienia Kodeksu praktyk dla dostawców modeli Al ogólnego przeznaczenia z 10 lipca 2025 r.</w:t>
            </w:r>
          </w:p>
          <w:p w14:paraId="4B91F03C" w14:textId="00A234B0" w:rsidR="007450DC" w:rsidRPr="005567D2" w:rsidRDefault="007450DC" w:rsidP="007505CB">
            <w:pPr>
              <w:spacing w:line="240" w:lineRule="auto"/>
            </w:pPr>
            <w:r w:rsidRPr="005567D2">
              <w:t>b) Wzmocnienie obowiązku zgodności: Zdecydowanie odrzucamy sformułowanie „rozsądne starania" (</w:t>
            </w:r>
            <w:proofErr w:type="spellStart"/>
            <w:r w:rsidRPr="005567D2">
              <w:t>reasonable</w:t>
            </w:r>
            <w:proofErr w:type="spellEnd"/>
            <w:r w:rsidRPr="005567D2">
              <w:t xml:space="preserve"> </w:t>
            </w:r>
            <w:proofErr w:type="spellStart"/>
            <w:r w:rsidRPr="005567D2">
              <w:t>efforts</w:t>
            </w:r>
            <w:proofErr w:type="spellEnd"/>
            <w:r w:rsidRPr="005567D2">
              <w:t xml:space="preserve">) jako wystarczające do zapewnienia zgodności z unijnym prawem autorskim i Al </w:t>
            </w:r>
            <w:proofErr w:type="spellStart"/>
            <w:r w:rsidRPr="005567D2">
              <w:t>Act</w:t>
            </w:r>
            <w:proofErr w:type="spellEnd"/>
            <w:r w:rsidRPr="005567D2">
              <w:t>. Należy wprowadzić bezwzględny obowiązek zapewnienia zgodności, a nie jedynie zachęty do podjęcia działań.</w:t>
            </w:r>
          </w:p>
          <w:p w14:paraId="6246720C" w14:textId="705A5364" w:rsidR="007450DC" w:rsidRPr="005567D2" w:rsidRDefault="007450DC" w:rsidP="007505CB">
            <w:pPr>
              <w:spacing w:line="240" w:lineRule="auto"/>
            </w:pPr>
            <w:r w:rsidRPr="005567D2">
              <w:t xml:space="preserve">Wymóg „legalnego dostępu" (ang. </w:t>
            </w:r>
            <w:proofErr w:type="spellStart"/>
            <w:r w:rsidRPr="005567D2">
              <w:t>lawfu</w:t>
            </w:r>
            <w:proofErr w:type="spellEnd"/>
            <w:r w:rsidRPr="005567D2">
              <w:t xml:space="preserve">/ </w:t>
            </w:r>
            <w:proofErr w:type="spellStart"/>
            <w:r w:rsidRPr="005567D2">
              <w:t>access</w:t>
            </w:r>
            <w:proofErr w:type="spellEnd"/>
            <w:r w:rsidRPr="005567D2">
              <w:t xml:space="preserve">) musi spełniać standardy prawa autorskiego UE i nie może być ograniczony wyłącznie do technicznych środków kontroli dostępu ani do „rozsądnych starań" w wykluczaniu wąskiej listy stron pirackich. </w:t>
            </w:r>
          </w:p>
          <w:p w14:paraId="0BD5DE20" w14:textId="71EF4086" w:rsidR="007450DC" w:rsidRPr="005567D2" w:rsidRDefault="007450DC" w:rsidP="007505CB">
            <w:pPr>
              <w:spacing w:line="240" w:lineRule="auto"/>
            </w:pPr>
            <w:r w:rsidRPr="005567D2">
              <w:t>d) Właściwy zakres obowiązku należytej staranności (</w:t>
            </w:r>
            <w:proofErr w:type="spellStart"/>
            <w:r w:rsidRPr="005567D2">
              <w:t>due</w:t>
            </w:r>
            <w:proofErr w:type="spellEnd"/>
            <w:r w:rsidRPr="005567D2">
              <w:t xml:space="preserve"> </w:t>
            </w:r>
            <w:proofErr w:type="spellStart"/>
            <w:r w:rsidRPr="005567D2">
              <w:t>diligence</w:t>
            </w:r>
            <w:proofErr w:type="spellEnd"/>
            <w:r w:rsidRPr="005567D2">
              <w:t>): Należy zaostrzyć odpowiedzialność dostawców GPAI za przeprowadzenie właściwej należytej staranności w celu upewnienia się, że dane uzyskane od stron trzecich używane do trenowania modeli nie naruszają praw autorskich. Obecne rozmycie tego obowiązku</w:t>
            </w:r>
          </w:p>
          <w:p w14:paraId="5EA34916" w14:textId="578DDF6E" w:rsidR="007450DC" w:rsidRPr="005567D2" w:rsidRDefault="007450DC" w:rsidP="007505CB">
            <w:pPr>
              <w:spacing w:line="240" w:lineRule="auto"/>
            </w:pPr>
            <w:r w:rsidRPr="005567D2">
              <w:t>może prowadzić do nieświadomego lub celowego naruszania praw.</w:t>
            </w:r>
          </w:p>
          <w:p w14:paraId="3CF70640" w14:textId="19D5065D" w:rsidR="007450DC" w:rsidRPr="005567D2" w:rsidRDefault="007450DC" w:rsidP="007505CB">
            <w:pPr>
              <w:spacing w:line="240" w:lineRule="auto"/>
            </w:pPr>
            <w:r w:rsidRPr="005567D2">
              <w:t>e) Skuteczne zastrzeganie praw na potrzeby wyjątku TDM (</w:t>
            </w:r>
            <w:proofErr w:type="spellStart"/>
            <w:r w:rsidRPr="005567D2">
              <w:t>rights</w:t>
            </w:r>
            <w:proofErr w:type="spellEnd"/>
            <w:r w:rsidRPr="005567D2">
              <w:t xml:space="preserve"> </w:t>
            </w:r>
            <w:proofErr w:type="spellStart"/>
            <w:r w:rsidRPr="005567D2">
              <w:t>reservation</w:t>
            </w:r>
            <w:proofErr w:type="spellEnd"/>
            <w:r w:rsidRPr="005567D2">
              <w:t xml:space="preserve"> for TDM </w:t>
            </w:r>
            <w:proofErr w:type="spellStart"/>
            <w:r w:rsidRPr="005567D2">
              <w:t>exception</w:t>
            </w:r>
            <w:proofErr w:type="spellEnd"/>
            <w:r w:rsidRPr="005567D2">
              <w:t xml:space="preserve">): Al </w:t>
            </w:r>
            <w:proofErr w:type="spellStart"/>
            <w:r w:rsidRPr="005567D2">
              <w:t>Act</w:t>
            </w:r>
            <w:proofErr w:type="spellEnd"/>
            <w:r w:rsidRPr="005567D2">
              <w:t xml:space="preserve"> musi zapewniać znaczące i skuteczne respektowanie prawa autorów, artystów wykonawców i innych podmiotów uprawnionych do zastrzegania swoich praw.</w:t>
            </w:r>
          </w:p>
          <w:p w14:paraId="533C100A" w14:textId="28C4F173" w:rsidR="007450DC" w:rsidRPr="005567D2" w:rsidRDefault="007450DC" w:rsidP="007505CB">
            <w:pPr>
              <w:spacing w:line="240" w:lineRule="auto"/>
            </w:pPr>
            <w:r w:rsidRPr="005567D2">
              <w:lastRenderedPageBreak/>
              <w:t>f) Obowiązkowa, funkcjonalna przejrzystość w zakresie respektowania zastrzeżeń TDM:</w:t>
            </w:r>
          </w:p>
          <w:p w14:paraId="444F00FF" w14:textId="04F46A3C" w:rsidR="007450DC" w:rsidRPr="005567D2" w:rsidRDefault="007450DC" w:rsidP="007505CB">
            <w:pPr>
              <w:spacing w:line="240" w:lineRule="auto"/>
            </w:pPr>
            <w:r w:rsidRPr="005567D2">
              <w:t>Należy ponownie wprowadzić lub wzmocnić wymóg przejrzystości w zakresie zgodności dostawców GPAI z mechanizmami zastrzegania praw na potrzeby wyjątku TDM.</w:t>
            </w:r>
          </w:p>
          <w:p w14:paraId="7E83A7B6" w14:textId="647C18B8" w:rsidR="007450DC" w:rsidRPr="005567D2" w:rsidRDefault="007450DC" w:rsidP="007505CB">
            <w:pPr>
              <w:spacing w:line="240" w:lineRule="auto"/>
            </w:pPr>
            <w:r w:rsidRPr="005567D2">
              <w:t xml:space="preserve">Należy uznać i reagować na wszystkie metody zastrzegania praw, a nie tylko na robots.txt, który to format jest niewystarczający i niespełniający przewidzianej w prawie autorskim UE zasady neutralności technologicznej. </w:t>
            </w:r>
          </w:p>
          <w:p w14:paraId="772F5B29" w14:textId="15B9B61C" w:rsidR="007450DC" w:rsidRPr="005567D2" w:rsidRDefault="007450DC" w:rsidP="007505CB">
            <w:pPr>
              <w:spacing w:line="240" w:lineRule="auto"/>
            </w:pPr>
            <w:r w:rsidRPr="005567D2">
              <w:t>h) Należy opracować i wdrożyć skuteczny wzorzec dla „wystarczająco szczegółowego streszczenia na temat treści wykorzystanych do trenowania", umożliwiając podmiotom uprawnionym skuteczne wykonywanie i egzekwowanie swoich praw.</w:t>
            </w:r>
          </w:p>
          <w:p w14:paraId="3B883327" w14:textId="330915DA" w:rsidR="007450DC" w:rsidRPr="005567D2" w:rsidRDefault="007450DC" w:rsidP="007505CB">
            <w:pPr>
              <w:spacing w:line="240" w:lineRule="auto"/>
            </w:pPr>
            <w:r w:rsidRPr="005567D2">
              <w:t>i) Nie można dopuścić do nadużywania prawa tajemnicy przedsiębiorstwa jako mechanizmu ukrywania naruszeń praw autorskich.</w:t>
            </w:r>
          </w:p>
          <w:p w14:paraId="32E4318F" w14:textId="7FBB0670" w:rsidR="007450DC" w:rsidRPr="005567D2" w:rsidRDefault="007450DC" w:rsidP="007505CB">
            <w:pPr>
              <w:spacing w:line="240" w:lineRule="auto"/>
            </w:pPr>
            <w:r w:rsidRPr="005567D2">
              <w:t>j) Egzekwowalny proces składania skarg: System składania skarg dotyczących naruszeń praw autorskich musi wykraczać poza sam Kodeks i nakładać powszechnie wiążący obowiązek określenia konkretnych środków, jakie dostawcy GPAI podejmą w celu</w:t>
            </w:r>
          </w:p>
          <w:p w14:paraId="21191DCC" w14:textId="59424F5B" w:rsidR="007450DC" w:rsidRPr="005567D2" w:rsidRDefault="007450DC" w:rsidP="007505CB">
            <w:pPr>
              <w:spacing w:line="240" w:lineRule="auto"/>
            </w:pPr>
            <w:r w:rsidRPr="005567D2">
              <w:t>rozstrzygnięcia skarg, czyniąc ten mechanizm użytecznym narzędziem egzekwowania.</w:t>
            </w:r>
          </w:p>
          <w:p w14:paraId="5BFBCBB8" w14:textId="77777777" w:rsidR="007450DC" w:rsidRDefault="007450DC" w:rsidP="007505CB">
            <w:pPr>
              <w:spacing w:line="240" w:lineRule="auto"/>
            </w:pPr>
            <w:r w:rsidRPr="005567D2">
              <w:t xml:space="preserve">k) Potwierdzenie zastosowania prawa UE: Kodeks musi jasno precyzować, że obowiązki Al </w:t>
            </w:r>
            <w:proofErr w:type="spellStart"/>
            <w:r w:rsidRPr="005567D2">
              <w:t>Act</w:t>
            </w:r>
            <w:proofErr w:type="spellEnd"/>
            <w:r w:rsidRPr="005567D2">
              <w:t xml:space="preserve"> mają zastosowanie, gdy dostawca GPAI wprowadza swój model na rynek UE, niezależnie od jego siedziby czy miejsca, w którym odbyto się trenowanie modelu.</w:t>
            </w:r>
          </w:p>
          <w:p w14:paraId="24D52818" w14:textId="633B89D6" w:rsidR="007450DC" w:rsidRPr="005567D2" w:rsidRDefault="007450DC" w:rsidP="007505CB">
            <w:pPr>
              <w:spacing w:line="240" w:lineRule="auto"/>
            </w:pPr>
          </w:p>
        </w:tc>
      </w:tr>
      <w:tr w:rsidR="007450DC" w:rsidRPr="005567D2" w14:paraId="18E579C0" w14:textId="77777777" w:rsidTr="007450DC">
        <w:tc>
          <w:tcPr>
            <w:tcW w:w="1602" w:type="dxa"/>
          </w:tcPr>
          <w:p w14:paraId="02A0B180" w14:textId="77777777" w:rsidR="007450DC" w:rsidRPr="005567D2" w:rsidRDefault="007450DC" w:rsidP="007505CB">
            <w:pPr>
              <w:pStyle w:val="Akapitzlist"/>
              <w:numPr>
                <w:ilvl w:val="0"/>
                <w:numId w:val="11"/>
              </w:numPr>
              <w:spacing w:line="240" w:lineRule="auto"/>
              <w:rPr>
                <w:sz w:val="22"/>
                <w:szCs w:val="22"/>
              </w:rPr>
            </w:pPr>
          </w:p>
        </w:tc>
        <w:tc>
          <w:tcPr>
            <w:tcW w:w="1768" w:type="dxa"/>
          </w:tcPr>
          <w:p w14:paraId="6505A82E" w14:textId="3DD58C00" w:rsidR="007450DC" w:rsidRPr="005567D2" w:rsidRDefault="007450DC" w:rsidP="007505CB">
            <w:pPr>
              <w:spacing w:line="240" w:lineRule="auto"/>
              <w:jc w:val="center"/>
            </w:pPr>
            <w:r w:rsidRPr="005567D2">
              <w:t>Krajowa Izba Gospodarcza</w:t>
            </w:r>
          </w:p>
        </w:tc>
        <w:tc>
          <w:tcPr>
            <w:tcW w:w="2265" w:type="dxa"/>
          </w:tcPr>
          <w:p w14:paraId="1CBE54C9" w14:textId="77777777" w:rsidR="007450DC" w:rsidRPr="005567D2" w:rsidRDefault="007450DC" w:rsidP="007505CB">
            <w:pPr>
              <w:spacing w:line="240" w:lineRule="auto"/>
              <w:jc w:val="center"/>
            </w:pPr>
            <w:r w:rsidRPr="005567D2">
              <w:t>Rozporządzenie 2024/1689</w:t>
            </w:r>
          </w:p>
          <w:p w14:paraId="12D7FB68" w14:textId="77777777"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08AA6FF0" w14:textId="77777777" w:rsidR="007450DC" w:rsidRPr="005567D2" w:rsidRDefault="007450DC" w:rsidP="007505CB">
            <w:pPr>
              <w:spacing w:line="240" w:lineRule="auto"/>
              <w:jc w:val="center"/>
            </w:pPr>
          </w:p>
          <w:p w14:paraId="652DC120" w14:textId="77777777" w:rsidR="007450DC" w:rsidRPr="005567D2" w:rsidRDefault="007450DC" w:rsidP="007505CB">
            <w:pPr>
              <w:spacing w:line="240" w:lineRule="auto"/>
              <w:jc w:val="center"/>
            </w:pPr>
            <w:r w:rsidRPr="005567D2">
              <w:t>Art. 75</w:t>
            </w:r>
          </w:p>
          <w:p w14:paraId="3F0205FD" w14:textId="77777777" w:rsidR="007450DC" w:rsidRDefault="007450DC" w:rsidP="007505CB">
            <w:pPr>
              <w:spacing w:line="240" w:lineRule="auto"/>
              <w:jc w:val="center"/>
            </w:pPr>
          </w:p>
          <w:p w14:paraId="268E449F" w14:textId="119B3269" w:rsidR="007450DC" w:rsidRPr="005567D2" w:rsidRDefault="007450DC" w:rsidP="007505CB">
            <w:pPr>
              <w:spacing w:line="240" w:lineRule="auto"/>
              <w:jc w:val="center"/>
            </w:pPr>
            <w:r>
              <w:t xml:space="preserve">Market </w:t>
            </w:r>
            <w:proofErr w:type="spellStart"/>
            <w:r>
              <w:t>surveillance</w:t>
            </w:r>
            <w:proofErr w:type="spellEnd"/>
            <w:r>
              <w:t xml:space="preserve"> and </w:t>
            </w:r>
            <w:proofErr w:type="spellStart"/>
            <w:r>
              <w:t>control</w:t>
            </w:r>
            <w:proofErr w:type="spellEnd"/>
            <w:r>
              <w:t xml:space="preserve"> of AI </w:t>
            </w:r>
            <w:proofErr w:type="spellStart"/>
            <w:r>
              <w:t>systems</w:t>
            </w:r>
            <w:proofErr w:type="spellEnd"/>
            <w:r>
              <w:t xml:space="preserve"> and mutual </w:t>
            </w:r>
            <w:proofErr w:type="spellStart"/>
            <w:r>
              <w:t>assistance</w:t>
            </w:r>
            <w:proofErr w:type="spellEnd"/>
          </w:p>
        </w:tc>
        <w:tc>
          <w:tcPr>
            <w:tcW w:w="10100" w:type="dxa"/>
          </w:tcPr>
          <w:p w14:paraId="6CAEA1AE" w14:textId="77777777" w:rsidR="007450DC" w:rsidRPr="005567D2" w:rsidRDefault="007450DC" w:rsidP="007505CB">
            <w:pPr>
              <w:spacing w:line="240" w:lineRule="auto"/>
            </w:pPr>
            <w:r w:rsidRPr="005567D2">
              <w:t>Wzmocnienie scentralizowanego nadzoru nad systemami sztucznej inteligencji</w:t>
            </w:r>
          </w:p>
          <w:p w14:paraId="091AEBFB" w14:textId="702FF4C7" w:rsidR="007450DC" w:rsidRPr="005567D2" w:rsidRDefault="007450DC" w:rsidP="007505CB">
            <w:pPr>
              <w:spacing w:line="240" w:lineRule="auto"/>
            </w:pPr>
            <w:r w:rsidRPr="005567D2">
              <w:t xml:space="preserve"> • Propozycja Digital Omnibus wprowadza ukierunkowane zmiany, które mają lepiej dostosować AI </w:t>
            </w:r>
            <w:proofErr w:type="spellStart"/>
            <w:r w:rsidRPr="005567D2">
              <w:t>Act</w:t>
            </w:r>
            <w:proofErr w:type="spellEnd"/>
            <w:r w:rsidRPr="005567D2">
              <w:t xml:space="preserve"> do szerszych unijnych ram regulacji cyfrowych. W szczególności zmiany w art. 75 rozszerzają kompetencje AI Office w zakresie nadzoru i egzekwowania przepisów, wyznaczając ten organ jako centralny punkt nadzorczy dla wszystkich systemów sztucznej inteligencji zintegrowanych z bardzo dużymi platformami internetowymi (VLOP) i bardzo dużymi wyszukiwarkami internetowymi (VLSE), a także dla modeli sztucznej inteligencji ogólnego przeznaczenia (GPAIM).</w:t>
            </w:r>
          </w:p>
          <w:p w14:paraId="0C7DDE18" w14:textId="77777777" w:rsidR="007450DC" w:rsidRDefault="007450DC" w:rsidP="007505CB">
            <w:pPr>
              <w:spacing w:line="240" w:lineRule="auto"/>
            </w:pPr>
            <w:r w:rsidRPr="005567D2">
              <w:t xml:space="preserve"> • Taka centralizacja pozwala uniknąć potencjalnych kolizji z innymi przepisami dotyczącymi usług cyfrowych i dostosowuje nadzór do mechanizmu znanego  z DSA, w którym Komisja sprawuje kontrolę nad największymi platformami  ze względu na ich transgraniczny charakter. Przeniesienie odpowiedzialności  za egzekwowanie przepisów na AI Office zapewnia bardziej spójny nadzór, ogranicza ryzyko rozbieżnych interpretacji i umożliwia Unii Europejskiej stosowanie jednolitych standardów we wszystkich państwach członkowskich.</w:t>
            </w:r>
          </w:p>
          <w:p w14:paraId="1996AE16" w14:textId="26B64111" w:rsidR="007450DC" w:rsidRPr="005567D2" w:rsidRDefault="007450DC" w:rsidP="007505CB">
            <w:pPr>
              <w:spacing w:line="240" w:lineRule="auto"/>
            </w:pPr>
          </w:p>
        </w:tc>
      </w:tr>
      <w:tr w:rsidR="007450DC" w:rsidRPr="005168FB" w14:paraId="052E97F0" w14:textId="77777777" w:rsidTr="007450DC">
        <w:trPr>
          <w:trHeight w:val="300"/>
        </w:trPr>
        <w:tc>
          <w:tcPr>
            <w:tcW w:w="1602" w:type="dxa"/>
          </w:tcPr>
          <w:p w14:paraId="4E94A412" w14:textId="09ED1B85" w:rsidR="007450DC" w:rsidRPr="005567D2" w:rsidRDefault="007450DC" w:rsidP="007505CB">
            <w:pPr>
              <w:pStyle w:val="Akapitzlist"/>
              <w:spacing w:line="240" w:lineRule="auto"/>
              <w:ind w:left="1080"/>
              <w:rPr>
                <w:sz w:val="22"/>
                <w:szCs w:val="22"/>
              </w:rPr>
            </w:pPr>
          </w:p>
        </w:tc>
        <w:tc>
          <w:tcPr>
            <w:tcW w:w="1768" w:type="dxa"/>
          </w:tcPr>
          <w:p w14:paraId="49EDDB21" w14:textId="6FB0AB30" w:rsidR="007450DC" w:rsidRPr="005567D2" w:rsidRDefault="007450DC" w:rsidP="007505CB">
            <w:pPr>
              <w:spacing w:line="240" w:lineRule="auto"/>
              <w:jc w:val="center"/>
            </w:pPr>
            <w:r w:rsidRPr="005567D2">
              <w:t>Meta</w:t>
            </w:r>
          </w:p>
        </w:tc>
        <w:tc>
          <w:tcPr>
            <w:tcW w:w="2265" w:type="dxa"/>
          </w:tcPr>
          <w:p w14:paraId="266A4D1D" w14:textId="77777777" w:rsidR="007450DC" w:rsidRPr="005567D2" w:rsidRDefault="007450DC" w:rsidP="007505CB">
            <w:pPr>
              <w:spacing w:line="240" w:lineRule="auto"/>
              <w:jc w:val="center"/>
            </w:pPr>
            <w:r w:rsidRPr="005567D2">
              <w:t>Rozporządzenie 2024/1689</w:t>
            </w:r>
          </w:p>
          <w:p w14:paraId="32C0CE53" w14:textId="77777777"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7A7A1021" w14:textId="77777777" w:rsidR="007450DC" w:rsidRPr="005567D2" w:rsidRDefault="007450DC" w:rsidP="007505CB">
            <w:pPr>
              <w:spacing w:line="240" w:lineRule="auto"/>
              <w:jc w:val="center"/>
            </w:pPr>
          </w:p>
          <w:p w14:paraId="1329175E" w14:textId="77777777" w:rsidR="007450DC" w:rsidRPr="006A5484" w:rsidRDefault="007450DC" w:rsidP="007505CB">
            <w:pPr>
              <w:spacing w:line="240" w:lineRule="auto"/>
              <w:jc w:val="center"/>
            </w:pPr>
            <w:r w:rsidRPr="369C09EE">
              <w:t>Art. 75</w:t>
            </w:r>
          </w:p>
          <w:p w14:paraId="1D059F79" w14:textId="23F2B635" w:rsidR="007450DC" w:rsidRPr="005567D2" w:rsidRDefault="007450DC" w:rsidP="007505CB">
            <w:pPr>
              <w:spacing w:line="240" w:lineRule="auto"/>
              <w:jc w:val="center"/>
            </w:pPr>
          </w:p>
        </w:tc>
        <w:tc>
          <w:tcPr>
            <w:tcW w:w="10100" w:type="dxa"/>
          </w:tcPr>
          <w:p w14:paraId="4D86E0CD" w14:textId="0F038412" w:rsidR="007450DC" w:rsidRPr="005567D2" w:rsidRDefault="007450DC" w:rsidP="007505CB">
            <w:pPr>
              <w:spacing w:line="240" w:lineRule="auto"/>
              <w:rPr>
                <w:rFonts w:ascii="Aptos" w:eastAsia="Aptos" w:hAnsi="Aptos" w:cs="Aptos"/>
                <w:lang w:val="en-US"/>
              </w:rPr>
            </w:pPr>
            <w:r w:rsidRPr="005567D2">
              <w:rPr>
                <w:rFonts w:ascii="Aptos" w:eastAsia="Aptos" w:hAnsi="Aptos" w:cs="Aptos"/>
                <w:lang w:val="en-US"/>
              </w:rPr>
              <w:t>The Digital Omnibus proposal introduces targeted amendments to better align the AI Act with the EU’s broader digital regulatory framework. Most notably, the changes to Article 75 expand the</w:t>
            </w:r>
            <w:r w:rsidRPr="005567D2">
              <w:rPr>
                <w:rFonts w:ascii="Aptos" w:eastAsia="Aptos" w:hAnsi="Aptos" w:cs="Aptos"/>
                <w:i/>
                <w:iCs/>
                <w:lang w:val="en-US"/>
              </w:rPr>
              <w:t xml:space="preserve"> </w:t>
            </w:r>
            <w:r w:rsidRPr="005567D2">
              <w:rPr>
                <w:rFonts w:ascii="Aptos" w:eastAsia="Aptos" w:hAnsi="Aptos" w:cs="Aptos"/>
                <w:lang w:val="en-US"/>
              </w:rPr>
              <w:t>enforcement powers of the AI Office, designating it as the central authority for supervising all AI systems integrated within Very Large Online Platforms (VLOPs) and Very Large Online Search Engines (VLSEs), as well as GPAIMs.</w:t>
            </w:r>
          </w:p>
          <w:p w14:paraId="38604114" w14:textId="77777777" w:rsidR="007450DC" w:rsidRDefault="007450DC" w:rsidP="007505CB">
            <w:pPr>
              <w:spacing w:line="240" w:lineRule="auto"/>
              <w:rPr>
                <w:rFonts w:ascii="Aptos" w:eastAsia="Aptos" w:hAnsi="Aptos" w:cs="Aptos"/>
                <w:lang w:val="en-US"/>
              </w:rPr>
            </w:pPr>
            <w:r w:rsidRPr="005567D2">
              <w:rPr>
                <w:rFonts w:ascii="Aptos" w:eastAsia="Aptos" w:hAnsi="Aptos" w:cs="Aptos"/>
                <w:lang w:val="en-US"/>
              </w:rPr>
              <w:t>We call for: Support the current text in the Omnibus proposal, with minor clarifications confirming that the AI Office has enforcement powers over all internal AI systems and tools operated by, or on behalf of, such entities, regardless of whether their use is external or purely internal.</w:t>
            </w:r>
          </w:p>
          <w:p w14:paraId="240AE5C2" w14:textId="2628488E" w:rsidR="007450DC" w:rsidRPr="005168FB" w:rsidRDefault="007450DC" w:rsidP="007505CB">
            <w:pPr>
              <w:spacing w:line="240" w:lineRule="auto"/>
              <w:rPr>
                <w:rFonts w:ascii="Aptos" w:eastAsia="Aptos" w:hAnsi="Aptos" w:cs="Aptos"/>
                <w:lang w:val="en-US"/>
              </w:rPr>
            </w:pPr>
          </w:p>
        </w:tc>
      </w:tr>
      <w:tr w:rsidR="007450DC" w:rsidRPr="00660A50" w14:paraId="694DC2FA" w14:textId="77777777" w:rsidTr="007450DC">
        <w:trPr>
          <w:trHeight w:val="300"/>
        </w:trPr>
        <w:tc>
          <w:tcPr>
            <w:tcW w:w="1602" w:type="dxa"/>
          </w:tcPr>
          <w:p w14:paraId="41055272" w14:textId="77777777" w:rsidR="007450DC" w:rsidRPr="005567D2" w:rsidRDefault="007450DC" w:rsidP="007505CB">
            <w:pPr>
              <w:pStyle w:val="Akapitzlist"/>
              <w:spacing w:line="240" w:lineRule="auto"/>
              <w:ind w:left="1080"/>
              <w:rPr>
                <w:sz w:val="22"/>
                <w:szCs w:val="22"/>
              </w:rPr>
            </w:pPr>
          </w:p>
        </w:tc>
        <w:tc>
          <w:tcPr>
            <w:tcW w:w="1768" w:type="dxa"/>
          </w:tcPr>
          <w:p w14:paraId="0438A567" w14:textId="0BF2DADF" w:rsidR="007450DC" w:rsidRPr="005567D2" w:rsidRDefault="007450DC" w:rsidP="007505CB">
            <w:pPr>
              <w:spacing w:line="240" w:lineRule="auto"/>
              <w:jc w:val="center"/>
            </w:pPr>
            <w:r>
              <w:t>Amerykańska Izba Handlowa w Polsce</w:t>
            </w:r>
          </w:p>
        </w:tc>
        <w:tc>
          <w:tcPr>
            <w:tcW w:w="2265" w:type="dxa"/>
          </w:tcPr>
          <w:p w14:paraId="4F2D9959" w14:textId="6DB053FA" w:rsidR="007450DC" w:rsidRPr="005567D2" w:rsidRDefault="007450DC" w:rsidP="001F240F">
            <w:pPr>
              <w:spacing w:line="240" w:lineRule="auto"/>
              <w:jc w:val="center"/>
            </w:pPr>
            <w:r w:rsidRPr="005567D2">
              <w:t>Rozporządzenie 2024/1689</w:t>
            </w:r>
          </w:p>
          <w:p w14:paraId="2360DC40" w14:textId="77777777" w:rsidR="007450DC" w:rsidRPr="005567D2" w:rsidRDefault="007450DC" w:rsidP="001F240F">
            <w:pPr>
              <w:spacing w:line="240" w:lineRule="auto"/>
              <w:jc w:val="center"/>
            </w:pPr>
            <w:r w:rsidRPr="005567D2">
              <w:t xml:space="preserve">(„AI </w:t>
            </w:r>
            <w:proofErr w:type="spellStart"/>
            <w:r w:rsidRPr="005567D2">
              <w:t>Act</w:t>
            </w:r>
            <w:proofErr w:type="spellEnd"/>
            <w:r w:rsidRPr="005567D2">
              <w:t>”)</w:t>
            </w:r>
          </w:p>
          <w:p w14:paraId="55EE52D3" w14:textId="77777777" w:rsidR="007450DC" w:rsidRPr="005567D2" w:rsidRDefault="007450DC" w:rsidP="001F240F">
            <w:pPr>
              <w:spacing w:line="240" w:lineRule="auto"/>
              <w:jc w:val="center"/>
            </w:pPr>
          </w:p>
          <w:p w14:paraId="32EC3EBF" w14:textId="77777777" w:rsidR="007450DC" w:rsidRPr="006A5484" w:rsidRDefault="007450DC" w:rsidP="001F240F">
            <w:pPr>
              <w:spacing w:line="240" w:lineRule="auto"/>
              <w:jc w:val="center"/>
            </w:pPr>
            <w:r w:rsidRPr="369C09EE">
              <w:t>Art. 75</w:t>
            </w:r>
          </w:p>
          <w:p w14:paraId="0C2E068F" w14:textId="77777777" w:rsidR="007450DC" w:rsidRPr="005567D2" w:rsidRDefault="007450DC" w:rsidP="007505CB">
            <w:pPr>
              <w:spacing w:line="240" w:lineRule="auto"/>
              <w:jc w:val="center"/>
            </w:pPr>
          </w:p>
        </w:tc>
        <w:tc>
          <w:tcPr>
            <w:tcW w:w="10100" w:type="dxa"/>
          </w:tcPr>
          <w:p w14:paraId="238B0DD6" w14:textId="31489E9C" w:rsidR="007450DC" w:rsidRDefault="007450DC" w:rsidP="00660A50">
            <w:pPr>
              <w:spacing w:line="240" w:lineRule="auto"/>
              <w:rPr>
                <w:rFonts w:ascii="Aptos" w:eastAsia="Aptos" w:hAnsi="Aptos" w:cs="Aptos"/>
                <w:lang w:val="en-GB"/>
              </w:rPr>
            </w:pPr>
            <w:r w:rsidRPr="00660A50">
              <w:rPr>
                <w:rFonts w:ascii="Aptos" w:eastAsia="Aptos" w:hAnsi="Aptos" w:cs="Aptos"/>
                <w:lang w:val="en-GB"/>
              </w:rPr>
              <w:t>The Digital Omnibus proposal introduces targeted amendments to better align the AI Act with</w:t>
            </w:r>
            <w:r>
              <w:rPr>
                <w:rFonts w:ascii="Aptos" w:eastAsia="Aptos" w:hAnsi="Aptos" w:cs="Aptos"/>
                <w:lang w:val="en-GB"/>
              </w:rPr>
              <w:t xml:space="preserve"> </w:t>
            </w:r>
            <w:r w:rsidRPr="00660A50">
              <w:rPr>
                <w:rFonts w:ascii="Aptos" w:eastAsia="Aptos" w:hAnsi="Aptos" w:cs="Aptos"/>
                <w:lang w:val="en-GB"/>
              </w:rPr>
              <w:t>the EU’s broader digital regulatory</w:t>
            </w:r>
            <w:r>
              <w:rPr>
                <w:rFonts w:ascii="Aptos" w:eastAsia="Aptos" w:hAnsi="Aptos" w:cs="Aptos"/>
                <w:lang w:val="en-GB"/>
              </w:rPr>
              <w:t xml:space="preserve"> </w:t>
            </w:r>
            <w:r w:rsidRPr="00660A50">
              <w:rPr>
                <w:rFonts w:ascii="Aptos" w:eastAsia="Aptos" w:hAnsi="Aptos" w:cs="Aptos"/>
                <w:lang w:val="en-GB"/>
              </w:rPr>
              <w:t>framework. Most notably, the changes to Article 75 expand</w:t>
            </w:r>
            <w:r>
              <w:rPr>
                <w:rFonts w:ascii="Aptos" w:eastAsia="Aptos" w:hAnsi="Aptos" w:cs="Aptos"/>
                <w:lang w:val="en-GB"/>
              </w:rPr>
              <w:t xml:space="preserve"> </w:t>
            </w:r>
            <w:r w:rsidRPr="00660A50">
              <w:rPr>
                <w:rFonts w:ascii="Aptos" w:eastAsia="Aptos" w:hAnsi="Aptos" w:cs="Aptos"/>
                <w:lang w:val="en-GB"/>
              </w:rPr>
              <w:t>the enforcement powers of the AI Office, designating it as the central authority for supervising</w:t>
            </w:r>
            <w:r>
              <w:rPr>
                <w:rFonts w:ascii="Aptos" w:eastAsia="Aptos" w:hAnsi="Aptos" w:cs="Aptos"/>
                <w:lang w:val="en-GB"/>
              </w:rPr>
              <w:t xml:space="preserve"> </w:t>
            </w:r>
            <w:r w:rsidRPr="00660A50">
              <w:rPr>
                <w:rFonts w:ascii="Aptos" w:eastAsia="Aptos" w:hAnsi="Aptos" w:cs="Aptos"/>
                <w:lang w:val="en-GB"/>
              </w:rPr>
              <w:t>all AI systems integrated within Very Large Online Platforms (VLOPs) and Very Large Online</w:t>
            </w:r>
            <w:r>
              <w:rPr>
                <w:rFonts w:ascii="Aptos" w:eastAsia="Aptos" w:hAnsi="Aptos" w:cs="Aptos"/>
                <w:lang w:val="en-GB"/>
              </w:rPr>
              <w:t xml:space="preserve"> </w:t>
            </w:r>
            <w:r w:rsidRPr="00660A50">
              <w:rPr>
                <w:rFonts w:ascii="Aptos" w:eastAsia="Aptos" w:hAnsi="Aptos" w:cs="Aptos"/>
                <w:lang w:val="en-GB"/>
              </w:rPr>
              <w:t>Search Engines (VLSEs), as well as GPAIMs.</w:t>
            </w:r>
          </w:p>
          <w:p w14:paraId="5AB73AD1" w14:textId="77777777" w:rsidR="007450DC" w:rsidRPr="00660A50" w:rsidRDefault="007450DC" w:rsidP="00660A50">
            <w:pPr>
              <w:spacing w:line="240" w:lineRule="auto"/>
              <w:rPr>
                <w:rFonts w:ascii="Aptos" w:eastAsia="Aptos" w:hAnsi="Aptos" w:cs="Aptos"/>
                <w:lang w:val="en-GB"/>
              </w:rPr>
            </w:pPr>
          </w:p>
          <w:p w14:paraId="10D176AD" w14:textId="254D6190" w:rsidR="007450DC" w:rsidRPr="00660A50" w:rsidRDefault="007450DC" w:rsidP="00660A50">
            <w:pPr>
              <w:spacing w:line="240" w:lineRule="auto"/>
              <w:rPr>
                <w:rFonts w:ascii="Aptos" w:eastAsia="Aptos" w:hAnsi="Aptos" w:cs="Aptos"/>
                <w:lang w:val="en-GB"/>
              </w:rPr>
            </w:pPr>
            <w:r w:rsidRPr="00660A50">
              <w:rPr>
                <w:rFonts w:ascii="Aptos" w:eastAsia="Aptos" w:hAnsi="Aptos" w:cs="Aptos"/>
                <w:lang w:val="en-GB"/>
              </w:rPr>
              <w:t>This centralization addresses potential conflicts with existing digital regulations and</w:t>
            </w:r>
            <w:r>
              <w:rPr>
                <w:rFonts w:ascii="Aptos" w:eastAsia="Aptos" w:hAnsi="Aptos" w:cs="Aptos"/>
                <w:lang w:val="en-GB"/>
              </w:rPr>
              <w:t xml:space="preserve"> </w:t>
            </w:r>
            <w:r w:rsidRPr="00660A50">
              <w:rPr>
                <w:rFonts w:ascii="Aptos" w:eastAsia="Aptos" w:hAnsi="Aptos" w:cs="Aptos"/>
                <w:lang w:val="en-GB"/>
              </w:rPr>
              <w:t>harmonizes supervisory responsibilities with the approach established under the DSA, where</w:t>
            </w:r>
            <w:r>
              <w:rPr>
                <w:rFonts w:ascii="Aptos" w:eastAsia="Aptos" w:hAnsi="Aptos" w:cs="Aptos"/>
                <w:lang w:val="en-GB"/>
              </w:rPr>
              <w:t xml:space="preserve"> </w:t>
            </w:r>
            <w:r w:rsidRPr="00660A50">
              <w:rPr>
                <w:rFonts w:ascii="Aptos" w:eastAsia="Aptos" w:hAnsi="Aptos" w:cs="Aptos"/>
                <w:lang w:val="en-GB"/>
              </w:rPr>
              <w:t>the Commission</w:t>
            </w:r>
            <w:r>
              <w:rPr>
                <w:rFonts w:ascii="Aptos" w:eastAsia="Aptos" w:hAnsi="Aptos" w:cs="Aptos"/>
                <w:lang w:val="en-GB"/>
              </w:rPr>
              <w:t xml:space="preserve"> </w:t>
            </w:r>
            <w:r w:rsidRPr="00660A50">
              <w:rPr>
                <w:rFonts w:ascii="Aptos" w:eastAsia="Aptos" w:hAnsi="Aptos" w:cs="Aptos"/>
                <w:lang w:val="en-GB"/>
              </w:rPr>
              <w:t>oversees the largest platforms due to their cross-border impact. By</w:t>
            </w:r>
          </w:p>
          <w:p w14:paraId="1C9E7B39" w14:textId="77777777" w:rsidR="007450DC" w:rsidRDefault="007450DC" w:rsidP="007505CB">
            <w:pPr>
              <w:spacing w:line="240" w:lineRule="auto"/>
              <w:rPr>
                <w:rFonts w:ascii="Aptos" w:eastAsia="Aptos" w:hAnsi="Aptos" w:cs="Aptos"/>
                <w:lang w:val="en-GB"/>
              </w:rPr>
            </w:pPr>
            <w:r w:rsidRPr="00660A50">
              <w:rPr>
                <w:rFonts w:ascii="Aptos" w:eastAsia="Aptos" w:hAnsi="Aptos" w:cs="Aptos"/>
                <w:lang w:val="en-GB"/>
              </w:rPr>
              <w:t xml:space="preserve">consolidating enforcement within the AI Office, the proposal ensures consistent </w:t>
            </w:r>
            <w:proofErr w:type="spellStart"/>
            <w:r w:rsidRPr="00660A50">
              <w:rPr>
                <w:rFonts w:ascii="Aptos" w:eastAsia="Aptos" w:hAnsi="Aptos" w:cs="Aptos"/>
                <w:lang w:val="en-GB"/>
              </w:rPr>
              <w:t>oversight,prevents</w:t>
            </w:r>
            <w:proofErr w:type="spellEnd"/>
            <w:r w:rsidRPr="00660A50">
              <w:rPr>
                <w:rFonts w:ascii="Aptos" w:eastAsia="Aptos" w:hAnsi="Aptos" w:cs="Aptos"/>
                <w:lang w:val="en-GB"/>
              </w:rPr>
              <w:t xml:space="preserve"> regulatory fragmentation, and </w:t>
            </w:r>
            <w:r>
              <w:rPr>
                <w:rFonts w:ascii="Aptos" w:eastAsia="Aptos" w:hAnsi="Aptos" w:cs="Aptos"/>
                <w:lang w:val="en-GB"/>
              </w:rPr>
              <w:t xml:space="preserve"> </w:t>
            </w:r>
            <w:r w:rsidRPr="00660A50">
              <w:rPr>
                <w:rFonts w:ascii="Aptos" w:eastAsia="Aptos" w:hAnsi="Aptos" w:cs="Aptos"/>
                <w:lang w:val="en-GB"/>
              </w:rPr>
              <w:t xml:space="preserve"> the EU’s ability to apply uniform</w:t>
            </w:r>
            <w:r>
              <w:rPr>
                <w:rFonts w:ascii="Aptos" w:eastAsia="Aptos" w:hAnsi="Aptos" w:cs="Aptos"/>
                <w:lang w:val="en-GB"/>
              </w:rPr>
              <w:t xml:space="preserve"> </w:t>
            </w:r>
            <w:r w:rsidRPr="00660A50">
              <w:rPr>
                <w:rFonts w:ascii="Aptos" w:eastAsia="Aptos" w:hAnsi="Aptos" w:cs="Aptos"/>
                <w:lang w:val="en-GB"/>
              </w:rPr>
              <w:t>standards across Member States.</w:t>
            </w:r>
          </w:p>
          <w:p w14:paraId="5CBE60E2" w14:textId="64479E93" w:rsidR="007450DC" w:rsidRPr="00660A50" w:rsidRDefault="007450DC" w:rsidP="007505CB">
            <w:pPr>
              <w:spacing w:line="240" w:lineRule="auto"/>
              <w:rPr>
                <w:rFonts w:ascii="Aptos" w:eastAsia="Aptos" w:hAnsi="Aptos" w:cs="Aptos"/>
                <w:lang w:val="en-GB"/>
              </w:rPr>
            </w:pPr>
          </w:p>
        </w:tc>
      </w:tr>
      <w:tr w:rsidR="007450DC" w:rsidRPr="005168FB" w14:paraId="135FBEC5" w14:textId="77777777" w:rsidTr="007450DC">
        <w:trPr>
          <w:trHeight w:val="300"/>
        </w:trPr>
        <w:tc>
          <w:tcPr>
            <w:tcW w:w="1602" w:type="dxa"/>
          </w:tcPr>
          <w:p w14:paraId="35C037B0" w14:textId="77777777" w:rsidR="007450DC" w:rsidRPr="00660A50" w:rsidRDefault="007450DC" w:rsidP="007505CB">
            <w:pPr>
              <w:pStyle w:val="Akapitzlist"/>
              <w:spacing w:line="240" w:lineRule="auto"/>
              <w:ind w:left="1080"/>
              <w:rPr>
                <w:sz w:val="22"/>
                <w:szCs w:val="22"/>
                <w:lang w:val="en-GB"/>
              </w:rPr>
            </w:pPr>
          </w:p>
        </w:tc>
        <w:tc>
          <w:tcPr>
            <w:tcW w:w="1768" w:type="dxa"/>
          </w:tcPr>
          <w:p w14:paraId="2A251BFA" w14:textId="5B4D310A" w:rsidR="007450DC" w:rsidRPr="005567D2" w:rsidRDefault="007450DC" w:rsidP="007505CB">
            <w:pPr>
              <w:spacing w:line="240" w:lineRule="auto"/>
              <w:jc w:val="center"/>
            </w:pPr>
            <w:r>
              <w:t>Związek Cyfrowa Polska</w:t>
            </w:r>
          </w:p>
        </w:tc>
        <w:tc>
          <w:tcPr>
            <w:tcW w:w="2265" w:type="dxa"/>
          </w:tcPr>
          <w:p w14:paraId="3BD60596" w14:textId="77777777" w:rsidR="007450DC" w:rsidRDefault="007450DC" w:rsidP="00D406F1">
            <w:pPr>
              <w:spacing w:line="240" w:lineRule="auto"/>
              <w:jc w:val="center"/>
            </w:pPr>
            <w:r>
              <w:t>Rozporządzenie 2024/1689</w:t>
            </w:r>
          </w:p>
          <w:p w14:paraId="1CA13033" w14:textId="77777777" w:rsidR="007450DC" w:rsidRDefault="007450DC" w:rsidP="00D406F1">
            <w:pPr>
              <w:spacing w:line="240" w:lineRule="auto"/>
              <w:jc w:val="center"/>
            </w:pPr>
            <w:r>
              <w:t xml:space="preserve">(„AI </w:t>
            </w:r>
            <w:proofErr w:type="spellStart"/>
            <w:r>
              <w:t>Act</w:t>
            </w:r>
            <w:proofErr w:type="spellEnd"/>
            <w:r>
              <w:t>”)</w:t>
            </w:r>
          </w:p>
          <w:p w14:paraId="6EC2CCCC" w14:textId="77777777" w:rsidR="007450DC" w:rsidRDefault="007450DC" w:rsidP="00D406F1">
            <w:pPr>
              <w:spacing w:line="240" w:lineRule="auto"/>
              <w:jc w:val="center"/>
            </w:pPr>
          </w:p>
          <w:p w14:paraId="6CAF12C5" w14:textId="423797C2" w:rsidR="007450DC" w:rsidRPr="005567D2" w:rsidRDefault="007450DC" w:rsidP="00D406F1">
            <w:pPr>
              <w:spacing w:line="240" w:lineRule="auto"/>
              <w:jc w:val="center"/>
            </w:pPr>
            <w:r>
              <w:t>Art. 75</w:t>
            </w:r>
          </w:p>
        </w:tc>
        <w:tc>
          <w:tcPr>
            <w:tcW w:w="10100" w:type="dxa"/>
          </w:tcPr>
          <w:p w14:paraId="174781F2" w14:textId="77777777" w:rsidR="007450DC" w:rsidRPr="003B28BA" w:rsidRDefault="007450DC" w:rsidP="003B28BA">
            <w:pPr>
              <w:spacing w:line="240" w:lineRule="auto"/>
              <w:rPr>
                <w:rFonts w:ascii="Aptos" w:eastAsia="Aptos" w:hAnsi="Aptos" w:cs="Aptos"/>
              </w:rPr>
            </w:pPr>
          </w:p>
          <w:p w14:paraId="13D670A3" w14:textId="57A9CC22" w:rsidR="007450DC" w:rsidRPr="003B28BA" w:rsidRDefault="007450DC" w:rsidP="003B28BA">
            <w:pPr>
              <w:spacing w:line="240" w:lineRule="auto"/>
              <w:rPr>
                <w:rFonts w:ascii="Aptos" w:eastAsia="Aptos" w:hAnsi="Aptos" w:cs="Aptos"/>
              </w:rPr>
            </w:pPr>
            <w:r w:rsidRPr="003B28BA">
              <w:rPr>
                <w:rFonts w:ascii="Aptos" w:eastAsia="Aptos" w:hAnsi="Aptos" w:cs="Aptos"/>
              </w:rPr>
              <w:t xml:space="preserve"> Sprawność i skuteczność procesu oceny zgodności (art. 75): Ustanowienie KE jedyną instytucją odpowiadającą za część oceny wysokiego ryzyka może przyczynić się do powstania “wąskiego gardła” w całym procesie. Rekomendujemy zapewnienie większej swobody co do wyboru zewnętrznych podmiotów wydających oceny w tym zakresie, aby przebiegał on wydajnie i bez opóźnień. </w:t>
            </w:r>
          </w:p>
          <w:p w14:paraId="136FFE50" w14:textId="77777777" w:rsidR="007450DC" w:rsidRPr="005567D2" w:rsidRDefault="007450DC" w:rsidP="007505CB">
            <w:pPr>
              <w:spacing w:line="240" w:lineRule="auto"/>
              <w:rPr>
                <w:rFonts w:ascii="Aptos" w:eastAsia="Aptos" w:hAnsi="Aptos" w:cs="Aptos"/>
                <w:lang w:val="en-US"/>
              </w:rPr>
            </w:pPr>
          </w:p>
        </w:tc>
      </w:tr>
      <w:tr w:rsidR="007450DC" w:rsidRPr="005168FB" w14:paraId="3B35694B" w14:textId="77777777" w:rsidTr="007450DC">
        <w:trPr>
          <w:trHeight w:val="300"/>
        </w:trPr>
        <w:tc>
          <w:tcPr>
            <w:tcW w:w="1602" w:type="dxa"/>
          </w:tcPr>
          <w:p w14:paraId="100AE97D" w14:textId="0FE0DB4A" w:rsidR="007450DC" w:rsidRPr="00660A50" w:rsidRDefault="007450DC" w:rsidP="007505CB">
            <w:pPr>
              <w:pStyle w:val="Akapitzlist"/>
              <w:spacing w:line="240" w:lineRule="auto"/>
              <w:ind w:left="1080"/>
              <w:rPr>
                <w:sz w:val="22"/>
                <w:szCs w:val="22"/>
                <w:lang w:val="en-GB"/>
              </w:rPr>
            </w:pPr>
          </w:p>
        </w:tc>
        <w:tc>
          <w:tcPr>
            <w:tcW w:w="1768" w:type="dxa"/>
          </w:tcPr>
          <w:p w14:paraId="0C34E91E" w14:textId="23F4BAC5" w:rsidR="007450DC" w:rsidRPr="005567D2" w:rsidRDefault="007450DC" w:rsidP="007505CB">
            <w:pPr>
              <w:spacing w:line="240" w:lineRule="auto"/>
              <w:jc w:val="center"/>
            </w:pPr>
            <w:r w:rsidRPr="005567D2">
              <w:t>Meta</w:t>
            </w:r>
          </w:p>
        </w:tc>
        <w:tc>
          <w:tcPr>
            <w:tcW w:w="2265" w:type="dxa"/>
          </w:tcPr>
          <w:p w14:paraId="129921A7" w14:textId="4949B3F2" w:rsidR="007450DC" w:rsidRPr="005567D2" w:rsidRDefault="007450DC" w:rsidP="00A02F15">
            <w:pPr>
              <w:spacing w:line="240" w:lineRule="auto"/>
              <w:jc w:val="center"/>
            </w:pPr>
            <w:r w:rsidRPr="005567D2">
              <w:t>Rozporządzenie 2024/1689</w:t>
            </w:r>
          </w:p>
          <w:p w14:paraId="44396300" w14:textId="77777777"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1BD4FFC2" w14:textId="77777777" w:rsidR="007450DC" w:rsidRPr="005567D2" w:rsidRDefault="007450DC" w:rsidP="007505CB">
            <w:pPr>
              <w:spacing w:line="240" w:lineRule="auto"/>
              <w:jc w:val="center"/>
            </w:pPr>
          </w:p>
          <w:p w14:paraId="6866B50B" w14:textId="42C58110" w:rsidR="007450DC" w:rsidRPr="006A5484" w:rsidRDefault="007450DC" w:rsidP="007505CB">
            <w:pPr>
              <w:spacing w:line="240" w:lineRule="auto"/>
              <w:jc w:val="center"/>
            </w:pPr>
            <w:r w:rsidRPr="369C09EE">
              <w:t>Art. 74a i 75a (nowy)</w:t>
            </w:r>
          </w:p>
          <w:p w14:paraId="1F79837C" w14:textId="54FC32F8" w:rsidR="007450DC" w:rsidRPr="005567D2" w:rsidRDefault="007450DC" w:rsidP="007505CB">
            <w:pPr>
              <w:spacing w:line="240" w:lineRule="auto"/>
              <w:jc w:val="center"/>
            </w:pPr>
          </w:p>
          <w:p w14:paraId="609F03BD" w14:textId="49E75540" w:rsidR="007450DC" w:rsidRPr="005567D2" w:rsidRDefault="007450DC" w:rsidP="007505CB">
            <w:pPr>
              <w:spacing w:line="240" w:lineRule="auto"/>
              <w:jc w:val="center"/>
            </w:pPr>
          </w:p>
        </w:tc>
        <w:tc>
          <w:tcPr>
            <w:tcW w:w="10100" w:type="dxa"/>
          </w:tcPr>
          <w:p w14:paraId="7F1C7E4E" w14:textId="3D775D9E" w:rsidR="007450DC" w:rsidRDefault="007450DC" w:rsidP="007505CB">
            <w:pPr>
              <w:spacing w:line="240" w:lineRule="auto"/>
              <w:rPr>
                <w:rFonts w:ascii="Aptos" w:eastAsia="Aptos" w:hAnsi="Aptos" w:cs="Aptos"/>
                <w:lang w:val="en-US"/>
              </w:rPr>
            </w:pPr>
            <w:r w:rsidRPr="005567D2">
              <w:rPr>
                <w:rFonts w:ascii="Aptos" w:eastAsia="Aptos" w:hAnsi="Aptos" w:cs="Aptos"/>
                <w:lang w:val="en-US"/>
              </w:rPr>
              <w:lastRenderedPageBreak/>
              <w:t>Even if the Omnibus proposal takes one step towards a more centralized approach to the AI Act, it fails to provide a clear mandate for digital regulators, at both EU and national levels, to be accountable for actively promoting innovation.</w:t>
            </w:r>
          </w:p>
          <w:p w14:paraId="2795538B" w14:textId="77777777" w:rsidR="007450DC" w:rsidRDefault="007450DC" w:rsidP="007505CB">
            <w:pPr>
              <w:spacing w:line="240" w:lineRule="auto"/>
              <w:rPr>
                <w:rFonts w:ascii="Aptos" w:eastAsia="Aptos" w:hAnsi="Aptos" w:cs="Aptos"/>
                <w:lang w:val="en-US"/>
              </w:rPr>
            </w:pPr>
          </w:p>
          <w:p w14:paraId="5BAF4288" w14:textId="77777777" w:rsidR="007450DC" w:rsidRDefault="007450DC" w:rsidP="007505CB">
            <w:pPr>
              <w:spacing w:line="240" w:lineRule="auto"/>
              <w:rPr>
                <w:rFonts w:ascii="Aptos" w:eastAsia="Aptos" w:hAnsi="Aptos" w:cs="Aptos"/>
                <w:lang w:val="en-US"/>
              </w:rPr>
            </w:pPr>
            <w:r w:rsidRPr="005567D2">
              <w:rPr>
                <w:rFonts w:ascii="Aptos" w:eastAsia="Aptos" w:hAnsi="Aptos" w:cs="Aptos"/>
                <w:lang w:val="en-US"/>
              </w:rPr>
              <w:t>We call for</w:t>
            </w:r>
            <w:r>
              <w:rPr>
                <w:rFonts w:ascii="Aptos" w:eastAsia="Aptos" w:hAnsi="Aptos" w:cs="Aptos"/>
                <w:lang w:val="en-US"/>
              </w:rPr>
              <w:t xml:space="preserve"> a</w:t>
            </w:r>
            <w:r w:rsidRPr="005567D2">
              <w:rPr>
                <w:rFonts w:ascii="Aptos" w:eastAsia="Aptos" w:hAnsi="Aptos" w:cs="Aptos"/>
                <w:lang w:val="en-US"/>
              </w:rPr>
              <w:t xml:space="preserve">dding new Articles 74a and 75a to establish a clear mandate and accountability framework for balancing fundamental rights with innovation and economic impact. Market surveillance authorities </w:t>
            </w:r>
            <w:r w:rsidRPr="005567D2">
              <w:rPr>
                <w:rFonts w:ascii="Aptos" w:eastAsia="Aptos" w:hAnsi="Aptos" w:cs="Aptos"/>
                <w:lang w:val="en-US"/>
              </w:rPr>
              <w:lastRenderedPageBreak/>
              <w:t>and the AI Office should be required to actively promote innovation and economic growth, including by supporting the responsible development, testing and deployment of AI, and fostering cooperation between industry, academia and public bodies.</w:t>
            </w:r>
          </w:p>
          <w:p w14:paraId="273716EB" w14:textId="07CF72B4" w:rsidR="007450DC" w:rsidRPr="005168FB" w:rsidRDefault="007450DC" w:rsidP="007505CB">
            <w:pPr>
              <w:spacing w:line="240" w:lineRule="auto"/>
              <w:rPr>
                <w:lang w:val="en-GB"/>
              </w:rPr>
            </w:pPr>
          </w:p>
        </w:tc>
      </w:tr>
      <w:tr w:rsidR="007450DC" w:rsidRPr="008D162A" w14:paraId="5EB32306" w14:textId="77777777" w:rsidTr="007450DC">
        <w:trPr>
          <w:trHeight w:val="300"/>
        </w:trPr>
        <w:tc>
          <w:tcPr>
            <w:tcW w:w="1602" w:type="dxa"/>
          </w:tcPr>
          <w:p w14:paraId="68325BBF" w14:textId="77777777" w:rsidR="007450DC" w:rsidRPr="005168FB" w:rsidRDefault="007450DC" w:rsidP="007505CB">
            <w:pPr>
              <w:pStyle w:val="Akapitzlist"/>
              <w:spacing w:line="240" w:lineRule="auto"/>
              <w:rPr>
                <w:sz w:val="22"/>
                <w:szCs w:val="22"/>
                <w:lang w:val="en-GB"/>
              </w:rPr>
            </w:pPr>
          </w:p>
        </w:tc>
        <w:tc>
          <w:tcPr>
            <w:tcW w:w="1768" w:type="dxa"/>
          </w:tcPr>
          <w:p w14:paraId="6EF6A7EB" w14:textId="745D807D" w:rsidR="007450DC" w:rsidRPr="005567D2" w:rsidRDefault="007450DC" w:rsidP="007505CB">
            <w:pPr>
              <w:spacing w:line="240" w:lineRule="auto"/>
              <w:jc w:val="center"/>
            </w:pPr>
            <w:r>
              <w:t>Panoptykon</w:t>
            </w:r>
          </w:p>
        </w:tc>
        <w:tc>
          <w:tcPr>
            <w:tcW w:w="2265" w:type="dxa"/>
          </w:tcPr>
          <w:p w14:paraId="4ACD5CD3" w14:textId="785BEBAC" w:rsidR="007450DC" w:rsidRPr="005168FB" w:rsidRDefault="007450DC" w:rsidP="00A9078E">
            <w:pPr>
              <w:spacing w:line="240" w:lineRule="auto"/>
              <w:jc w:val="center"/>
              <w:rPr>
                <w:lang w:val="en-GB"/>
              </w:rPr>
            </w:pPr>
            <w:proofErr w:type="spellStart"/>
            <w:r w:rsidRPr="005168FB">
              <w:rPr>
                <w:lang w:val="en-GB"/>
              </w:rPr>
              <w:t>Rozporządzenie</w:t>
            </w:r>
            <w:proofErr w:type="spellEnd"/>
            <w:r w:rsidRPr="005168FB">
              <w:rPr>
                <w:lang w:val="en-GB"/>
              </w:rPr>
              <w:t xml:space="preserve"> 2024/1689</w:t>
            </w:r>
          </w:p>
          <w:p w14:paraId="436EE218" w14:textId="77777777" w:rsidR="007450DC" w:rsidRDefault="007450DC" w:rsidP="00B41185">
            <w:pPr>
              <w:spacing w:line="240" w:lineRule="auto"/>
              <w:jc w:val="center"/>
              <w:rPr>
                <w:lang w:val="en-GB"/>
              </w:rPr>
            </w:pPr>
            <w:r w:rsidRPr="005168FB">
              <w:rPr>
                <w:lang w:val="en-GB"/>
              </w:rPr>
              <w:t>(„AI Act”)</w:t>
            </w:r>
          </w:p>
          <w:p w14:paraId="6BDE3C29" w14:textId="77777777" w:rsidR="007450DC" w:rsidRPr="005168FB" w:rsidRDefault="007450DC" w:rsidP="00B41185">
            <w:pPr>
              <w:spacing w:line="240" w:lineRule="auto"/>
              <w:jc w:val="center"/>
              <w:rPr>
                <w:lang w:val="en-GB"/>
              </w:rPr>
            </w:pPr>
          </w:p>
          <w:p w14:paraId="3845F9C0" w14:textId="77777777" w:rsidR="007450DC" w:rsidRPr="008D162A" w:rsidRDefault="007450DC" w:rsidP="00B41185">
            <w:pPr>
              <w:spacing w:line="240" w:lineRule="auto"/>
              <w:jc w:val="center"/>
              <w:rPr>
                <w:lang w:val="en-GB"/>
              </w:rPr>
            </w:pPr>
            <w:r w:rsidRPr="369C09EE">
              <w:rPr>
                <w:lang w:val="en-GB"/>
              </w:rPr>
              <w:t xml:space="preserve">Art. 77 </w:t>
            </w:r>
          </w:p>
          <w:p w14:paraId="0FE48B96" w14:textId="6CEC1747" w:rsidR="007450DC" w:rsidRPr="00A9078E" w:rsidRDefault="007450DC" w:rsidP="00B41185">
            <w:pPr>
              <w:spacing w:line="240" w:lineRule="auto"/>
              <w:jc w:val="center"/>
              <w:rPr>
                <w:i/>
                <w:iCs/>
                <w:lang w:val="en-GB"/>
              </w:rPr>
            </w:pPr>
            <w:r w:rsidRPr="00A9078E">
              <w:rPr>
                <w:i/>
                <w:iCs/>
                <w:lang w:val="en-GB"/>
              </w:rPr>
              <w:t>Powers of authorities protecting fundamental rights and cooperation with market surveillance authorities</w:t>
            </w:r>
          </w:p>
          <w:p w14:paraId="0794D40B" w14:textId="77777777" w:rsidR="007450DC" w:rsidRPr="005168FB" w:rsidRDefault="007450DC" w:rsidP="007505CB">
            <w:pPr>
              <w:spacing w:line="240" w:lineRule="auto"/>
              <w:jc w:val="center"/>
              <w:rPr>
                <w:lang w:val="en-GB"/>
              </w:rPr>
            </w:pPr>
          </w:p>
        </w:tc>
        <w:tc>
          <w:tcPr>
            <w:tcW w:w="10100" w:type="dxa"/>
          </w:tcPr>
          <w:p w14:paraId="19B53006" w14:textId="77777777" w:rsidR="007450DC" w:rsidRPr="000815EF" w:rsidRDefault="007450DC" w:rsidP="000815EF">
            <w:pPr>
              <w:spacing w:line="240" w:lineRule="auto"/>
              <w:rPr>
                <w:rFonts w:ascii="Aptos" w:eastAsia="Aptos" w:hAnsi="Aptos" w:cs="Aptos"/>
              </w:rPr>
            </w:pPr>
            <w:r w:rsidRPr="000815EF">
              <w:rPr>
                <w:rFonts w:ascii="Aptos" w:eastAsia="Aptos" w:hAnsi="Aptos" w:cs="Aptos"/>
              </w:rPr>
              <w:t xml:space="preserve">Osłabienie uprawnień krajowych organów ochrony praw podstawowych </w:t>
            </w:r>
          </w:p>
          <w:p w14:paraId="15CB707C" w14:textId="77777777" w:rsidR="007450DC" w:rsidRDefault="007450DC" w:rsidP="000815EF">
            <w:pPr>
              <w:spacing w:line="240" w:lineRule="auto"/>
              <w:rPr>
                <w:rFonts w:ascii="Aptos" w:eastAsia="Aptos" w:hAnsi="Aptos" w:cs="Aptos"/>
              </w:rPr>
            </w:pPr>
            <w:r w:rsidRPr="000815EF">
              <w:rPr>
                <w:rFonts w:ascii="Aptos" w:eastAsia="Aptos" w:hAnsi="Aptos" w:cs="Aptos"/>
              </w:rPr>
              <w:t>Komisja proponuje odebranie organom ochrony praw podstawowych (takim jak PIP, RPD, PUODO) bezpośredniego dostępu do dokumentacji systemów AI wysokiego ryzyka. Byłyby one zmuszone korzystać z pośrednictwa krajowego organu nadzoru rynku, a to może spowolnić i utrudnić ich działania.</w:t>
            </w:r>
          </w:p>
          <w:p w14:paraId="73974C3C" w14:textId="57001B6A" w:rsidR="007450DC" w:rsidRPr="008D162A" w:rsidRDefault="007450DC" w:rsidP="000815EF">
            <w:pPr>
              <w:spacing w:line="240" w:lineRule="auto"/>
              <w:rPr>
                <w:rFonts w:ascii="Aptos" w:eastAsia="Aptos" w:hAnsi="Aptos" w:cs="Aptos"/>
              </w:rPr>
            </w:pPr>
          </w:p>
        </w:tc>
      </w:tr>
      <w:tr w:rsidR="007450DC" w:rsidRPr="005168FB" w14:paraId="089AC935" w14:textId="77777777" w:rsidTr="007450DC">
        <w:trPr>
          <w:trHeight w:val="300"/>
        </w:trPr>
        <w:tc>
          <w:tcPr>
            <w:tcW w:w="1602" w:type="dxa"/>
          </w:tcPr>
          <w:p w14:paraId="685F5A50" w14:textId="5C842D78" w:rsidR="007450DC" w:rsidRPr="008D162A" w:rsidRDefault="007450DC" w:rsidP="007505CB">
            <w:pPr>
              <w:pStyle w:val="Akapitzlist"/>
              <w:spacing w:line="240" w:lineRule="auto"/>
              <w:rPr>
                <w:sz w:val="22"/>
                <w:szCs w:val="22"/>
              </w:rPr>
            </w:pPr>
          </w:p>
        </w:tc>
        <w:tc>
          <w:tcPr>
            <w:tcW w:w="1768" w:type="dxa"/>
          </w:tcPr>
          <w:p w14:paraId="1180A548" w14:textId="5C78AC0E" w:rsidR="007450DC" w:rsidRPr="005567D2" w:rsidRDefault="007450DC" w:rsidP="007505CB">
            <w:pPr>
              <w:spacing w:line="240" w:lineRule="auto"/>
              <w:jc w:val="center"/>
            </w:pPr>
            <w:r w:rsidRPr="005567D2">
              <w:t>Meta</w:t>
            </w:r>
          </w:p>
        </w:tc>
        <w:tc>
          <w:tcPr>
            <w:tcW w:w="2265" w:type="dxa"/>
          </w:tcPr>
          <w:p w14:paraId="4022D36C" w14:textId="0186B560" w:rsidR="007450DC" w:rsidRPr="005168FB" w:rsidRDefault="007450DC" w:rsidP="00A9078E">
            <w:pPr>
              <w:spacing w:line="240" w:lineRule="auto"/>
              <w:jc w:val="center"/>
              <w:rPr>
                <w:lang w:val="en-GB"/>
              </w:rPr>
            </w:pPr>
            <w:proofErr w:type="spellStart"/>
            <w:r w:rsidRPr="005168FB">
              <w:rPr>
                <w:lang w:val="en-GB"/>
              </w:rPr>
              <w:t>Rozporządzenie</w:t>
            </w:r>
            <w:proofErr w:type="spellEnd"/>
            <w:r w:rsidRPr="005168FB">
              <w:rPr>
                <w:lang w:val="en-GB"/>
              </w:rPr>
              <w:t xml:space="preserve"> 2024/1689</w:t>
            </w:r>
          </w:p>
          <w:p w14:paraId="127058EF" w14:textId="1ECFECD5" w:rsidR="007450DC" w:rsidRPr="005168FB" w:rsidRDefault="007450DC" w:rsidP="007505CB">
            <w:pPr>
              <w:spacing w:line="240" w:lineRule="auto"/>
              <w:jc w:val="center"/>
            </w:pPr>
            <w:r w:rsidRPr="369C09EE">
              <w:t xml:space="preserve">(„AI </w:t>
            </w:r>
            <w:proofErr w:type="spellStart"/>
            <w:r w:rsidRPr="369C09EE">
              <w:t>Act</w:t>
            </w:r>
            <w:proofErr w:type="spellEnd"/>
            <w:r w:rsidRPr="369C09EE">
              <w:t>”)</w:t>
            </w:r>
          </w:p>
          <w:p w14:paraId="35C38241" w14:textId="77777777" w:rsidR="007450DC" w:rsidRPr="005168FB" w:rsidRDefault="007450DC" w:rsidP="007505CB">
            <w:pPr>
              <w:spacing w:line="240" w:lineRule="auto"/>
              <w:jc w:val="center"/>
              <w:rPr>
                <w:lang w:val="en-GB"/>
              </w:rPr>
            </w:pPr>
          </w:p>
          <w:p w14:paraId="1E7003B8" w14:textId="3589175D" w:rsidR="007450DC" w:rsidRPr="00A9078E" w:rsidRDefault="007450DC" w:rsidP="007505CB">
            <w:pPr>
              <w:spacing w:line="240" w:lineRule="auto"/>
              <w:jc w:val="center"/>
              <w:rPr>
                <w:lang w:val="en-GB"/>
              </w:rPr>
            </w:pPr>
            <w:r w:rsidRPr="369C09EE">
              <w:rPr>
                <w:lang w:val="en-GB"/>
              </w:rPr>
              <w:t>Art. 99</w:t>
            </w:r>
          </w:p>
          <w:p w14:paraId="3DFAD63F" w14:textId="7EB73C46" w:rsidR="007450DC" w:rsidRPr="00A9078E" w:rsidRDefault="007450DC" w:rsidP="007505CB">
            <w:pPr>
              <w:spacing w:line="240" w:lineRule="auto"/>
              <w:jc w:val="center"/>
              <w:rPr>
                <w:i/>
              </w:rPr>
            </w:pPr>
            <w:proofErr w:type="spellStart"/>
            <w:r w:rsidRPr="369C09EE">
              <w:rPr>
                <w:rFonts w:ascii="Aptos" w:eastAsia="Aptos" w:hAnsi="Aptos" w:cs="Aptos"/>
                <w:i/>
              </w:rPr>
              <w:t>Asymmetric</w:t>
            </w:r>
            <w:proofErr w:type="spellEnd"/>
            <w:r w:rsidRPr="369C09EE">
              <w:rPr>
                <w:rFonts w:ascii="Aptos" w:eastAsia="Aptos" w:hAnsi="Aptos" w:cs="Aptos"/>
                <w:i/>
              </w:rPr>
              <w:t xml:space="preserve"> Application of </w:t>
            </w:r>
            <w:proofErr w:type="spellStart"/>
            <w:r w:rsidRPr="369C09EE">
              <w:rPr>
                <w:rFonts w:ascii="Aptos" w:eastAsia="Aptos" w:hAnsi="Aptos" w:cs="Aptos"/>
                <w:i/>
              </w:rPr>
              <w:t>Obligations</w:t>
            </w:r>
            <w:proofErr w:type="spellEnd"/>
          </w:p>
          <w:p w14:paraId="2A8E49DA" w14:textId="79D3BB12" w:rsidR="007450DC" w:rsidRPr="005168FB" w:rsidRDefault="007450DC" w:rsidP="007505CB">
            <w:pPr>
              <w:spacing w:line="240" w:lineRule="auto"/>
              <w:jc w:val="center"/>
              <w:rPr>
                <w:lang w:val="en-GB"/>
              </w:rPr>
            </w:pPr>
          </w:p>
        </w:tc>
        <w:tc>
          <w:tcPr>
            <w:tcW w:w="10100" w:type="dxa"/>
          </w:tcPr>
          <w:p w14:paraId="7EF2A24F" w14:textId="7707DBE5" w:rsidR="007450DC" w:rsidRDefault="007450DC" w:rsidP="007505CB">
            <w:pPr>
              <w:spacing w:line="240" w:lineRule="auto"/>
              <w:rPr>
                <w:rFonts w:ascii="Aptos" w:eastAsia="Aptos" w:hAnsi="Aptos" w:cs="Aptos"/>
                <w:lang w:val="en-US"/>
              </w:rPr>
            </w:pPr>
            <w:r w:rsidRPr="005567D2">
              <w:rPr>
                <w:rFonts w:ascii="Aptos" w:eastAsia="Aptos" w:hAnsi="Aptos" w:cs="Aptos"/>
                <w:lang w:val="en-US"/>
              </w:rPr>
              <w:t>The current Omnibus proposal includes an amendment to Article 99, extending existing regulatory privileges on penalties for SMEs to SMCs. This broadening of asymmetric application of obligations under the AI Act undermines the legislation’s fundamental risk-based approach.</w:t>
            </w:r>
          </w:p>
          <w:p w14:paraId="6B3DC602" w14:textId="77777777" w:rsidR="007450DC" w:rsidRPr="005567D2" w:rsidRDefault="007450DC" w:rsidP="007505CB">
            <w:pPr>
              <w:spacing w:line="240" w:lineRule="auto"/>
              <w:rPr>
                <w:rFonts w:ascii="Aptos" w:eastAsia="Aptos" w:hAnsi="Aptos" w:cs="Aptos"/>
                <w:lang w:val="en-US"/>
              </w:rPr>
            </w:pPr>
          </w:p>
          <w:p w14:paraId="6EF065BE" w14:textId="6217D05B" w:rsidR="007450DC" w:rsidRDefault="007450DC" w:rsidP="007505CB">
            <w:pPr>
              <w:spacing w:line="240" w:lineRule="auto"/>
              <w:rPr>
                <w:rFonts w:ascii="Aptos" w:eastAsia="Aptos" w:hAnsi="Aptos" w:cs="Aptos"/>
                <w:lang w:val="en-US"/>
              </w:rPr>
            </w:pPr>
            <w:r w:rsidRPr="005567D2">
              <w:rPr>
                <w:rFonts w:ascii="Aptos" w:eastAsia="Aptos" w:hAnsi="Aptos" w:cs="Aptos"/>
                <w:lang w:val="en-US"/>
              </w:rPr>
              <w:t>We call for</w:t>
            </w:r>
            <w:r>
              <w:rPr>
                <w:rFonts w:ascii="Aptos" w:eastAsia="Aptos" w:hAnsi="Aptos" w:cs="Aptos"/>
                <w:lang w:val="en-US"/>
              </w:rPr>
              <w:t xml:space="preserve"> r</w:t>
            </w:r>
            <w:r w:rsidRPr="005567D2">
              <w:rPr>
                <w:rFonts w:ascii="Aptos" w:eastAsia="Aptos" w:hAnsi="Aptos" w:cs="Aptos"/>
                <w:lang w:val="en-US"/>
              </w:rPr>
              <w:t>evising paragraph 1 of Article 99 to clarify that any rules and penalties introduced by Member States must not result in asymmetric regulation or unjustified differences in treatment between operators providing equivalent services or engaging in comparable activities across Member States.</w:t>
            </w:r>
          </w:p>
          <w:p w14:paraId="519F5E01" w14:textId="0F765A13" w:rsidR="007450DC" w:rsidRPr="005567D2" w:rsidRDefault="007450DC" w:rsidP="007505CB">
            <w:pPr>
              <w:spacing w:line="240" w:lineRule="auto"/>
              <w:rPr>
                <w:rFonts w:ascii="Aptos" w:eastAsia="Aptos" w:hAnsi="Aptos" w:cs="Aptos"/>
                <w:lang w:val="en-US"/>
              </w:rPr>
            </w:pPr>
          </w:p>
        </w:tc>
      </w:tr>
      <w:tr w:rsidR="007450DC" w:rsidRPr="0050184A" w14:paraId="51147439" w14:textId="77777777" w:rsidTr="007450DC">
        <w:trPr>
          <w:trHeight w:val="300"/>
        </w:trPr>
        <w:tc>
          <w:tcPr>
            <w:tcW w:w="1602" w:type="dxa"/>
          </w:tcPr>
          <w:p w14:paraId="543DFA84" w14:textId="77777777" w:rsidR="007450DC" w:rsidRPr="008D162A" w:rsidRDefault="007450DC" w:rsidP="007505CB">
            <w:pPr>
              <w:pStyle w:val="Akapitzlist"/>
              <w:spacing w:line="240" w:lineRule="auto"/>
              <w:rPr>
                <w:sz w:val="22"/>
                <w:szCs w:val="22"/>
              </w:rPr>
            </w:pPr>
          </w:p>
        </w:tc>
        <w:tc>
          <w:tcPr>
            <w:tcW w:w="1768" w:type="dxa"/>
          </w:tcPr>
          <w:p w14:paraId="68C074C4" w14:textId="75560CAA" w:rsidR="007450DC" w:rsidRPr="005567D2" w:rsidRDefault="007450DC" w:rsidP="007505CB">
            <w:pPr>
              <w:spacing w:line="240" w:lineRule="auto"/>
              <w:jc w:val="center"/>
            </w:pPr>
            <w:r>
              <w:t>Amerykańska Izba Handlowa w Polsce</w:t>
            </w:r>
          </w:p>
        </w:tc>
        <w:tc>
          <w:tcPr>
            <w:tcW w:w="2265" w:type="dxa"/>
          </w:tcPr>
          <w:p w14:paraId="09B2ACAE" w14:textId="77777777" w:rsidR="007450DC" w:rsidRPr="005168FB" w:rsidRDefault="007450DC" w:rsidP="0050184A">
            <w:pPr>
              <w:spacing w:line="240" w:lineRule="auto"/>
              <w:jc w:val="center"/>
              <w:rPr>
                <w:lang w:val="en-GB"/>
              </w:rPr>
            </w:pPr>
            <w:proofErr w:type="spellStart"/>
            <w:r w:rsidRPr="005168FB">
              <w:rPr>
                <w:lang w:val="en-GB"/>
              </w:rPr>
              <w:t>Rozporządzenie</w:t>
            </w:r>
            <w:proofErr w:type="spellEnd"/>
            <w:r w:rsidRPr="005168FB">
              <w:rPr>
                <w:lang w:val="en-GB"/>
              </w:rPr>
              <w:t xml:space="preserve"> 2024/1689</w:t>
            </w:r>
          </w:p>
          <w:p w14:paraId="269737AD" w14:textId="77777777" w:rsidR="007450DC" w:rsidRPr="005168FB" w:rsidRDefault="007450DC" w:rsidP="0050184A">
            <w:pPr>
              <w:spacing w:line="240" w:lineRule="auto"/>
              <w:jc w:val="center"/>
              <w:rPr>
                <w:lang w:val="en-GB"/>
              </w:rPr>
            </w:pPr>
            <w:r w:rsidRPr="005168FB">
              <w:rPr>
                <w:lang w:val="en-GB"/>
              </w:rPr>
              <w:t>(„AI Act”)</w:t>
            </w:r>
          </w:p>
          <w:p w14:paraId="123F9EA0" w14:textId="77777777" w:rsidR="007450DC" w:rsidRPr="005168FB" w:rsidRDefault="007450DC" w:rsidP="0050184A">
            <w:pPr>
              <w:spacing w:line="240" w:lineRule="auto"/>
              <w:jc w:val="center"/>
              <w:rPr>
                <w:lang w:val="en-GB"/>
              </w:rPr>
            </w:pPr>
          </w:p>
          <w:p w14:paraId="1578FB3C" w14:textId="56AA4E76" w:rsidR="007450DC" w:rsidRPr="000F590B" w:rsidRDefault="007450DC" w:rsidP="00456948">
            <w:pPr>
              <w:spacing w:line="240" w:lineRule="auto"/>
              <w:jc w:val="center"/>
              <w:rPr>
                <w:lang w:val="en-GB"/>
              </w:rPr>
            </w:pPr>
            <w:r w:rsidRPr="369C09EE">
              <w:rPr>
                <w:lang w:val="en-GB"/>
              </w:rPr>
              <w:t>Art. 99</w:t>
            </w:r>
          </w:p>
          <w:p w14:paraId="3A4C62BD" w14:textId="77777777" w:rsidR="007450DC" w:rsidRPr="0050184A" w:rsidRDefault="007450DC" w:rsidP="007505CB">
            <w:pPr>
              <w:spacing w:line="240" w:lineRule="auto"/>
              <w:jc w:val="center"/>
              <w:rPr>
                <w:lang w:val="en-GB"/>
              </w:rPr>
            </w:pPr>
          </w:p>
        </w:tc>
        <w:tc>
          <w:tcPr>
            <w:tcW w:w="10100" w:type="dxa"/>
          </w:tcPr>
          <w:p w14:paraId="2C95F818" w14:textId="2F86E06D" w:rsidR="007450DC" w:rsidRPr="00F655CB" w:rsidRDefault="007450DC" w:rsidP="00F655CB">
            <w:pPr>
              <w:spacing w:line="240" w:lineRule="auto"/>
              <w:rPr>
                <w:rFonts w:ascii="Aptos" w:eastAsia="Aptos" w:hAnsi="Aptos" w:cs="Aptos"/>
                <w:lang w:val="en-GB"/>
              </w:rPr>
            </w:pPr>
            <w:r w:rsidRPr="00F655CB">
              <w:rPr>
                <w:rFonts w:ascii="Aptos" w:eastAsia="Aptos" w:hAnsi="Aptos" w:cs="Aptos"/>
                <w:lang w:val="en-GB"/>
              </w:rPr>
              <w:t>The current Omnibus proposal includes an amendment to Article 99, extending existing</w:t>
            </w:r>
            <w:r>
              <w:rPr>
                <w:rFonts w:ascii="Aptos" w:eastAsia="Aptos" w:hAnsi="Aptos" w:cs="Aptos"/>
                <w:lang w:val="en-GB"/>
              </w:rPr>
              <w:t xml:space="preserve"> </w:t>
            </w:r>
            <w:r w:rsidRPr="00F655CB">
              <w:rPr>
                <w:rFonts w:ascii="Aptos" w:eastAsia="Aptos" w:hAnsi="Aptos" w:cs="Aptos"/>
                <w:lang w:val="en-GB"/>
              </w:rPr>
              <w:t>regulatory privileges on penalties for SMEs to SMCs. This asymmetric introduction of</w:t>
            </w:r>
            <w:r>
              <w:rPr>
                <w:rFonts w:ascii="Aptos" w:eastAsia="Aptos" w:hAnsi="Aptos" w:cs="Aptos"/>
                <w:lang w:val="en-GB"/>
              </w:rPr>
              <w:t xml:space="preserve"> </w:t>
            </w:r>
            <w:r w:rsidRPr="00F655CB">
              <w:rPr>
                <w:rFonts w:ascii="Aptos" w:eastAsia="Aptos" w:hAnsi="Aptos" w:cs="Aptos"/>
                <w:lang w:val="en-GB"/>
              </w:rPr>
              <w:t>obligations under the AI Act undermines the legislation’s fundamental risk-based approach,</w:t>
            </w:r>
          </w:p>
          <w:p w14:paraId="21418B40" w14:textId="2538E1E5" w:rsidR="007450DC" w:rsidRPr="00F655CB" w:rsidRDefault="007450DC" w:rsidP="00F655CB">
            <w:pPr>
              <w:spacing w:line="240" w:lineRule="auto"/>
              <w:rPr>
                <w:rFonts w:ascii="Aptos" w:eastAsia="Aptos" w:hAnsi="Aptos" w:cs="Aptos"/>
                <w:lang w:val="en-GB"/>
              </w:rPr>
            </w:pPr>
            <w:r w:rsidRPr="00F655CB">
              <w:rPr>
                <w:rFonts w:ascii="Aptos" w:eastAsia="Aptos" w:hAnsi="Aptos" w:cs="Aptos"/>
                <w:lang w:val="en-GB"/>
              </w:rPr>
              <w:t>which is designed to scale requirements according to the level of risk posed by an AI system,</w:t>
            </w:r>
            <w:r>
              <w:rPr>
                <w:rFonts w:ascii="Aptos" w:eastAsia="Aptos" w:hAnsi="Aptos" w:cs="Aptos"/>
                <w:lang w:val="en-GB"/>
              </w:rPr>
              <w:t xml:space="preserve"> </w:t>
            </w:r>
            <w:r w:rsidRPr="00F655CB">
              <w:rPr>
                <w:rFonts w:ascii="Aptos" w:eastAsia="Aptos" w:hAnsi="Aptos" w:cs="Aptos"/>
                <w:lang w:val="en-GB"/>
              </w:rPr>
              <w:t>not the size or identity of its provider.</w:t>
            </w:r>
          </w:p>
          <w:p w14:paraId="3631C637" w14:textId="77777777" w:rsidR="007450DC" w:rsidRPr="00F655CB" w:rsidRDefault="007450DC" w:rsidP="00F655CB">
            <w:pPr>
              <w:spacing w:line="240" w:lineRule="auto"/>
              <w:rPr>
                <w:rFonts w:ascii="Aptos" w:eastAsia="Aptos" w:hAnsi="Aptos" w:cs="Aptos"/>
                <w:lang w:val="en-GB"/>
              </w:rPr>
            </w:pPr>
          </w:p>
          <w:p w14:paraId="0B3AFF90" w14:textId="62EA130E" w:rsidR="007450DC" w:rsidRPr="00F655CB" w:rsidRDefault="007450DC" w:rsidP="00F655CB">
            <w:pPr>
              <w:spacing w:line="240" w:lineRule="auto"/>
              <w:rPr>
                <w:rFonts w:ascii="Aptos" w:eastAsia="Aptos" w:hAnsi="Aptos" w:cs="Aptos"/>
                <w:lang w:val="en-GB"/>
              </w:rPr>
            </w:pPr>
            <w:r w:rsidRPr="00F655CB">
              <w:rPr>
                <w:rFonts w:ascii="Aptos" w:eastAsia="Aptos" w:hAnsi="Aptos" w:cs="Aptos"/>
                <w:lang w:val="en-GB"/>
              </w:rPr>
              <w:lastRenderedPageBreak/>
              <w:t>Risk is determined by the nature and deployment of the AI system, not by the developer’s</w:t>
            </w:r>
            <w:r>
              <w:rPr>
                <w:rFonts w:ascii="Aptos" w:eastAsia="Aptos" w:hAnsi="Aptos" w:cs="Aptos"/>
                <w:lang w:val="en-GB"/>
              </w:rPr>
              <w:t xml:space="preserve"> </w:t>
            </w:r>
            <w:r w:rsidRPr="00F655CB">
              <w:rPr>
                <w:rFonts w:ascii="Aptos" w:eastAsia="Aptos" w:hAnsi="Aptos" w:cs="Aptos"/>
                <w:lang w:val="en-GB"/>
              </w:rPr>
              <w:t>size. High-risk AI systems can be created by startups as well as large corporations, and the</w:t>
            </w:r>
            <w:r>
              <w:rPr>
                <w:rFonts w:ascii="Aptos" w:eastAsia="Aptos" w:hAnsi="Aptos" w:cs="Aptos"/>
                <w:lang w:val="en-GB"/>
              </w:rPr>
              <w:t xml:space="preserve"> </w:t>
            </w:r>
            <w:r w:rsidRPr="00F655CB">
              <w:rPr>
                <w:rFonts w:ascii="Aptos" w:eastAsia="Aptos" w:hAnsi="Aptos" w:cs="Aptos"/>
                <w:lang w:val="en-GB"/>
              </w:rPr>
              <w:t>potential for harm is inherent in the system itself. Using company size as a proxy for risk</w:t>
            </w:r>
          </w:p>
          <w:p w14:paraId="037627EC" w14:textId="77777777" w:rsidR="007450DC" w:rsidRDefault="007450DC" w:rsidP="00F655CB">
            <w:pPr>
              <w:spacing w:line="240" w:lineRule="auto"/>
              <w:rPr>
                <w:rFonts w:ascii="Aptos" w:eastAsia="Aptos" w:hAnsi="Aptos" w:cs="Aptos"/>
                <w:lang w:val="en-GB"/>
              </w:rPr>
            </w:pPr>
            <w:r w:rsidRPr="00F655CB">
              <w:rPr>
                <w:rFonts w:ascii="Aptos" w:eastAsia="Aptos" w:hAnsi="Aptos" w:cs="Aptos"/>
                <w:lang w:val="en-GB"/>
              </w:rPr>
              <w:t>misrepresents the Act’s intent and creates regulatory blind spots where robust safeguards</w:t>
            </w:r>
            <w:r>
              <w:rPr>
                <w:rFonts w:ascii="Aptos" w:eastAsia="Aptos" w:hAnsi="Aptos" w:cs="Aptos"/>
                <w:lang w:val="en-GB"/>
              </w:rPr>
              <w:t xml:space="preserve"> </w:t>
            </w:r>
            <w:r w:rsidRPr="00277D89">
              <w:rPr>
                <w:rFonts w:ascii="Aptos" w:eastAsia="Aptos" w:hAnsi="Aptos" w:cs="Aptos"/>
                <w:lang w:val="en-GB"/>
              </w:rPr>
              <w:t>are most needed.</w:t>
            </w:r>
          </w:p>
          <w:p w14:paraId="2564D988" w14:textId="77777777" w:rsidR="007450DC" w:rsidRDefault="007450DC" w:rsidP="00F655CB">
            <w:pPr>
              <w:spacing w:line="240" w:lineRule="auto"/>
              <w:rPr>
                <w:rFonts w:ascii="Aptos" w:eastAsia="Aptos" w:hAnsi="Aptos" w:cs="Aptos"/>
                <w:lang w:val="en-GB"/>
              </w:rPr>
            </w:pPr>
          </w:p>
          <w:p w14:paraId="05D4A5D1" w14:textId="77777777" w:rsidR="007450DC" w:rsidRDefault="007450DC" w:rsidP="007505CB">
            <w:pPr>
              <w:spacing w:line="240" w:lineRule="auto"/>
              <w:rPr>
                <w:rFonts w:ascii="Aptos" w:eastAsia="Aptos" w:hAnsi="Aptos" w:cs="Aptos"/>
                <w:lang w:val="en-GB"/>
              </w:rPr>
            </w:pPr>
            <w:r w:rsidRPr="007B486D">
              <w:rPr>
                <w:rFonts w:ascii="Aptos" w:eastAsia="Aptos" w:hAnsi="Aptos" w:cs="Aptos"/>
                <w:lang w:val="en-GB"/>
              </w:rPr>
              <w:t>To maintain coherence and effectiveness, the AI Act’s obligations must apply symmetrically</w:t>
            </w:r>
            <w:r>
              <w:rPr>
                <w:rFonts w:ascii="Aptos" w:eastAsia="Aptos" w:hAnsi="Aptos" w:cs="Aptos"/>
                <w:lang w:val="en-GB"/>
              </w:rPr>
              <w:t xml:space="preserve"> </w:t>
            </w:r>
            <w:r w:rsidRPr="007B486D">
              <w:rPr>
                <w:rFonts w:ascii="Aptos" w:eastAsia="Aptos" w:hAnsi="Aptos" w:cs="Aptos"/>
                <w:lang w:val="en-GB"/>
              </w:rPr>
              <w:t>to all entities developing or deploying systems of comparable risk. Deviating from this</w:t>
            </w:r>
            <w:r>
              <w:rPr>
                <w:rFonts w:ascii="Aptos" w:eastAsia="Aptos" w:hAnsi="Aptos" w:cs="Aptos"/>
                <w:lang w:val="en-GB"/>
              </w:rPr>
              <w:t xml:space="preserve"> </w:t>
            </w:r>
            <w:r w:rsidRPr="007B486D">
              <w:rPr>
                <w:rFonts w:ascii="Aptos" w:eastAsia="Aptos" w:hAnsi="Aptos" w:cs="Aptos"/>
                <w:lang w:val="en-GB"/>
              </w:rPr>
              <w:t>principle dilutes protections for citizens, creates an uneven market, and ultimately weakens</w:t>
            </w:r>
            <w:r>
              <w:rPr>
                <w:rFonts w:ascii="Aptos" w:eastAsia="Aptos" w:hAnsi="Aptos" w:cs="Aptos"/>
                <w:lang w:val="en-GB"/>
              </w:rPr>
              <w:t xml:space="preserve"> </w:t>
            </w:r>
            <w:r w:rsidRPr="007B486D">
              <w:rPr>
                <w:rFonts w:ascii="Aptos" w:eastAsia="Aptos" w:hAnsi="Aptos" w:cs="Aptos"/>
                <w:lang w:val="en-GB"/>
              </w:rPr>
              <w:t>both safety and competitiveness within the Union.</w:t>
            </w:r>
          </w:p>
          <w:p w14:paraId="1F74B6D7" w14:textId="59F35910" w:rsidR="007450DC" w:rsidRPr="0050184A" w:rsidRDefault="007450DC" w:rsidP="007505CB">
            <w:pPr>
              <w:spacing w:line="240" w:lineRule="auto"/>
              <w:rPr>
                <w:rFonts w:ascii="Aptos" w:eastAsia="Aptos" w:hAnsi="Aptos" w:cs="Aptos"/>
                <w:lang w:val="en-GB"/>
              </w:rPr>
            </w:pPr>
          </w:p>
        </w:tc>
      </w:tr>
      <w:tr w:rsidR="007450DC" w:rsidRPr="005567D2" w14:paraId="75A3FDBD" w14:textId="77777777" w:rsidTr="007450DC">
        <w:tc>
          <w:tcPr>
            <w:tcW w:w="1602" w:type="dxa"/>
          </w:tcPr>
          <w:p w14:paraId="66EDF1E6" w14:textId="77777777" w:rsidR="007450DC" w:rsidRPr="005168FB" w:rsidRDefault="007450DC" w:rsidP="007505CB">
            <w:pPr>
              <w:spacing w:line="240" w:lineRule="auto"/>
              <w:ind w:left="708"/>
              <w:rPr>
                <w:lang w:val="en-GB"/>
              </w:rPr>
            </w:pPr>
          </w:p>
        </w:tc>
        <w:tc>
          <w:tcPr>
            <w:tcW w:w="1768" w:type="dxa"/>
          </w:tcPr>
          <w:p w14:paraId="623AEECA" w14:textId="6E932D0F" w:rsidR="007450DC" w:rsidRPr="005567D2" w:rsidRDefault="007450DC" w:rsidP="007505CB">
            <w:pPr>
              <w:spacing w:line="240" w:lineRule="auto"/>
              <w:jc w:val="center"/>
            </w:pPr>
            <w:r w:rsidRPr="005567D2">
              <w:t>Krajowa Izba Gospodarcza</w:t>
            </w:r>
          </w:p>
        </w:tc>
        <w:tc>
          <w:tcPr>
            <w:tcW w:w="2265" w:type="dxa"/>
          </w:tcPr>
          <w:p w14:paraId="62B24EFF" w14:textId="0C0F454B" w:rsidR="007450DC" w:rsidRPr="005567D2" w:rsidRDefault="007450DC" w:rsidP="00A02F15">
            <w:pPr>
              <w:spacing w:line="240" w:lineRule="auto"/>
              <w:jc w:val="center"/>
            </w:pPr>
            <w:r w:rsidRPr="005567D2">
              <w:t>Rozporządzenie 2024/1689</w:t>
            </w:r>
          </w:p>
          <w:p w14:paraId="519FF710" w14:textId="1ECFECD5"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589BE4FC" w14:textId="3FBD04D1" w:rsidR="007450DC" w:rsidRPr="005567D2" w:rsidRDefault="007450DC" w:rsidP="007505CB">
            <w:pPr>
              <w:spacing w:line="240" w:lineRule="auto"/>
              <w:jc w:val="center"/>
            </w:pPr>
          </w:p>
          <w:p w14:paraId="373EC5EF" w14:textId="17A384D7" w:rsidR="007450DC" w:rsidRPr="00A02F15" w:rsidRDefault="007450DC" w:rsidP="007505CB">
            <w:pPr>
              <w:spacing w:line="240" w:lineRule="auto"/>
              <w:jc w:val="center"/>
            </w:pPr>
            <w:r w:rsidRPr="369C09EE">
              <w:t>Art. 111 par. 4 (nowy)</w:t>
            </w:r>
          </w:p>
        </w:tc>
        <w:tc>
          <w:tcPr>
            <w:tcW w:w="10100" w:type="dxa"/>
          </w:tcPr>
          <w:p w14:paraId="4DADEBF7" w14:textId="14A932CB" w:rsidR="007450DC" w:rsidRPr="005567D2" w:rsidRDefault="007450DC" w:rsidP="007505CB">
            <w:pPr>
              <w:spacing w:line="240" w:lineRule="auto"/>
            </w:pPr>
            <w:r w:rsidRPr="005567D2">
              <w:t xml:space="preserve">Omnibus AI przewiduje jedynie bardzo krótki okres przejściowy dla części wymogów dotyczących przejrzystości. Dostawcy systemów generatywnej sztucznej inteligencji mają tylko sześć miesięcy na dostosowanie się do art. 50 ust. 2, pod warunkiem, że ich systemy były dostępne na rynku przed 2 sierpnia 2026 r. Tak ograniczone odroczenie nie zapewnia firmom wystarczająco dużo czasu na wdrożenie zmian i może negatywnie odbić się zarówno na stabilności regulacyjnej, jak i na tempie rozwoju innowacji w Europie. </w:t>
            </w:r>
          </w:p>
          <w:p w14:paraId="1C296811" w14:textId="77777777" w:rsidR="007450DC" w:rsidRPr="005567D2" w:rsidRDefault="007450DC" w:rsidP="007505CB">
            <w:pPr>
              <w:spacing w:line="240" w:lineRule="auto"/>
            </w:pPr>
            <w:r w:rsidRPr="005567D2">
              <w:t>• Nie ma uzasadnienia, aby okres przejściowy obejmował wyłącznie jeden ustęp  art. 50 i tylko systemy wprowadzone na rynek przed wskazaną datą. Trudności techniczne i organizacyjne związane z zapewnieniem zgodności dotyczą wszystkich dostawców. Brak jednolitych standardów dotyczących oznaczania czy znakowania wodnego — a także brak gotowości organów nadzorczych do ich egzekwowania  — sprawia, że wdrażanie tych przepisów „po trochu” jest w praktyce nierealne.</w:t>
            </w:r>
          </w:p>
          <w:p w14:paraId="313C8C78" w14:textId="77777777" w:rsidR="007450DC" w:rsidRDefault="007450DC" w:rsidP="007505CB">
            <w:pPr>
              <w:spacing w:line="240" w:lineRule="auto"/>
            </w:pPr>
            <w:r w:rsidRPr="005567D2">
              <w:t xml:space="preserve"> • Komisja powinna rozszerzyć okres przejściowy na cały art. 50 i wyznaczyć jeden, wspólny termin dostosowania — luty 2027 r. — dla wszystkich systemów objętych regulacją, niezależnie od tego, kiedy zostały wprowadzone na rynek. Przyjęcie innych rozwiązań stworzy bariery dla innowacji, zwiększy chaos i spowoduje, że Europa nie będzie mogła liczyć na jasność i gotowość, której tak bardzo potrzebuje. </w:t>
            </w:r>
          </w:p>
          <w:p w14:paraId="623BCAF4" w14:textId="66FE120B" w:rsidR="007450DC" w:rsidRPr="005567D2" w:rsidRDefault="007450DC" w:rsidP="007505CB">
            <w:pPr>
              <w:spacing w:line="240" w:lineRule="auto"/>
            </w:pPr>
          </w:p>
        </w:tc>
      </w:tr>
      <w:tr w:rsidR="007450DC" w:rsidRPr="005168FB" w14:paraId="4B9AD018" w14:textId="77777777" w:rsidTr="007450DC">
        <w:trPr>
          <w:trHeight w:val="300"/>
        </w:trPr>
        <w:tc>
          <w:tcPr>
            <w:tcW w:w="1602" w:type="dxa"/>
          </w:tcPr>
          <w:p w14:paraId="18F78445" w14:textId="58873418" w:rsidR="007450DC" w:rsidRPr="005567D2" w:rsidRDefault="007450DC" w:rsidP="007505CB">
            <w:pPr>
              <w:spacing w:line="240" w:lineRule="auto"/>
            </w:pPr>
          </w:p>
        </w:tc>
        <w:tc>
          <w:tcPr>
            <w:tcW w:w="1768" w:type="dxa"/>
          </w:tcPr>
          <w:p w14:paraId="5EE737DA" w14:textId="092E54A0" w:rsidR="007450DC" w:rsidRPr="005567D2" w:rsidRDefault="007450DC" w:rsidP="007505CB">
            <w:pPr>
              <w:spacing w:line="240" w:lineRule="auto"/>
              <w:jc w:val="center"/>
            </w:pPr>
            <w:r w:rsidRPr="005567D2">
              <w:t>Meta</w:t>
            </w:r>
          </w:p>
        </w:tc>
        <w:tc>
          <w:tcPr>
            <w:tcW w:w="2265" w:type="dxa"/>
          </w:tcPr>
          <w:p w14:paraId="69579AD1" w14:textId="3190B35E" w:rsidR="007450DC" w:rsidRPr="005567D2" w:rsidRDefault="007450DC" w:rsidP="000F590B">
            <w:pPr>
              <w:spacing w:line="240" w:lineRule="auto"/>
              <w:jc w:val="center"/>
            </w:pPr>
            <w:r w:rsidRPr="005567D2">
              <w:t>Rozporządzenie 2024/1689</w:t>
            </w:r>
          </w:p>
          <w:p w14:paraId="5B3F192E" w14:textId="1ECFECD5"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1ADAD674" w14:textId="3FBD04D1" w:rsidR="007450DC" w:rsidRPr="005567D2" w:rsidRDefault="007450DC" w:rsidP="007505CB">
            <w:pPr>
              <w:spacing w:line="240" w:lineRule="auto"/>
              <w:jc w:val="center"/>
            </w:pPr>
          </w:p>
          <w:p w14:paraId="3E47BF73" w14:textId="096F4828" w:rsidR="007450DC" w:rsidRPr="000F590B" w:rsidRDefault="007450DC" w:rsidP="007505CB">
            <w:pPr>
              <w:spacing w:line="240" w:lineRule="auto"/>
              <w:jc w:val="center"/>
              <w:rPr>
                <w:i/>
                <w:iCs/>
              </w:rPr>
            </w:pPr>
            <w:r w:rsidRPr="369C09EE">
              <w:t>Art. 111 par. 4 (nowy</w:t>
            </w:r>
            <w:r>
              <w:rPr>
                <w:i/>
                <w:iCs/>
              </w:rPr>
              <w:t>)</w:t>
            </w:r>
          </w:p>
        </w:tc>
        <w:tc>
          <w:tcPr>
            <w:tcW w:w="10100" w:type="dxa"/>
          </w:tcPr>
          <w:p w14:paraId="7EEA8DA3" w14:textId="48251379" w:rsidR="007450DC" w:rsidRPr="005567D2" w:rsidRDefault="007450DC" w:rsidP="007505CB">
            <w:pPr>
              <w:spacing w:line="240" w:lineRule="auto"/>
              <w:rPr>
                <w:rFonts w:ascii="Aptos" w:eastAsia="Aptos" w:hAnsi="Aptos" w:cs="Aptos"/>
                <w:lang w:val="en-US"/>
              </w:rPr>
            </w:pPr>
            <w:r w:rsidRPr="005567D2">
              <w:rPr>
                <w:rFonts w:ascii="Aptos" w:eastAsia="Aptos" w:hAnsi="Aptos" w:cs="Aptos"/>
                <w:lang w:val="en-US"/>
              </w:rPr>
              <w:t>The European Commission’s final omnibus package proposes a limited grace period for certain transparency requirements, giving providers of generative AI systems just six months to comply with Article 50(2) if their systems were on the market before 2 August 2026. This narrow approach is inadequate and risks undermining both regulatory predictability and Europe’s innovation potential.</w:t>
            </w:r>
          </w:p>
          <w:p w14:paraId="128BBB44" w14:textId="08FECDE9" w:rsidR="007450DC" w:rsidRPr="005567D2" w:rsidRDefault="007450DC" w:rsidP="007505CB">
            <w:pPr>
              <w:spacing w:line="240" w:lineRule="auto"/>
              <w:rPr>
                <w:rFonts w:ascii="Aptos" w:eastAsia="Aptos" w:hAnsi="Aptos" w:cs="Aptos"/>
                <w:lang w:val="en-US"/>
              </w:rPr>
            </w:pPr>
            <w:r w:rsidRPr="005567D2">
              <w:rPr>
                <w:rFonts w:ascii="Aptos" w:eastAsia="Aptos" w:hAnsi="Aptos" w:cs="Aptos"/>
                <w:lang w:val="en-US"/>
              </w:rPr>
              <w:t xml:space="preserve">Restricting the grace period to a single section of Article 50, and only to systems released before a specific date, is unjustified. The technical and practical challenges of compliance are universal, and the </w:t>
            </w:r>
            <w:r w:rsidRPr="005567D2">
              <w:rPr>
                <w:rFonts w:ascii="Aptos" w:eastAsia="Aptos" w:hAnsi="Aptos" w:cs="Aptos"/>
                <w:lang w:val="en-US"/>
              </w:rPr>
              <w:lastRenderedPageBreak/>
              <w:t>lack of consensus on labelling and watermarking standards—combined with unprepared enforcement authorities—makes a piecemeal transition unworkable.</w:t>
            </w:r>
          </w:p>
          <w:p w14:paraId="0E20FE28" w14:textId="74C12A08" w:rsidR="007450DC" w:rsidRPr="005567D2" w:rsidRDefault="007450DC" w:rsidP="007505CB">
            <w:pPr>
              <w:spacing w:line="240" w:lineRule="auto"/>
              <w:rPr>
                <w:rFonts w:ascii="Aptos" w:eastAsia="Aptos" w:hAnsi="Aptos" w:cs="Aptos"/>
                <w:lang w:val="en-US"/>
              </w:rPr>
            </w:pPr>
            <w:r w:rsidRPr="005168FB">
              <w:rPr>
                <w:rFonts w:ascii="Aptos" w:eastAsia="Aptos" w:hAnsi="Aptos" w:cs="Aptos"/>
                <w:lang w:val="en-GB"/>
              </w:rPr>
              <w:t>The Commission must extend the grace period to all provisions of Article 50, with a unified compliance deadline of February 2027 for all AI systems in scope, regardless of market entry date.</w:t>
            </w:r>
          </w:p>
          <w:p w14:paraId="5611A0CF" w14:textId="77777777" w:rsidR="007450DC" w:rsidRDefault="007450DC" w:rsidP="007505CB">
            <w:pPr>
              <w:spacing w:line="240" w:lineRule="auto"/>
              <w:rPr>
                <w:rFonts w:ascii="Aptos" w:eastAsia="Aptos" w:hAnsi="Aptos" w:cs="Aptos"/>
                <w:lang w:val="en-US"/>
              </w:rPr>
            </w:pPr>
            <w:r w:rsidRPr="005567D2">
              <w:rPr>
                <w:rFonts w:ascii="Aptos" w:eastAsia="Aptos" w:hAnsi="Aptos" w:cs="Aptos"/>
                <w:lang w:val="en-US"/>
              </w:rPr>
              <w:t>We call for:</w:t>
            </w:r>
            <w:r>
              <w:br/>
            </w:r>
            <w:r w:rsidRPr="005567D2">
              <w:rPr>
                <w:rFonts w:ascii="Aptos" w:eastAsia="Aptos" w:hAnsi="Aptos" w:cs="Aptos"/>
                <w:lang w:val="en-US"/>
              </w:rPr>
              <w:t xml:space="preserve"> Establishing a unified grace period for all provisions under Article 50, with a single, realistic compliance date for all systems in scope. This should be achieved by amending paragraph 4 of Article 111 to state that providers of AI systems must take the necessary steps to comply with Article 50 by 2 February 2027.</w:t>
            </w:r>
          </w:p>
          <w:p w14:paraId="4A6179FB" w14:textId="169A1BB7" w:rsidR="007450DC" w:rsidRPr="005567D2" w:rsidRDefault="007450DC" w:rsidP="007505CB">
            <w:pPr>
              <w:spacing w:line="240" w:lineRule="auto"/>
              <w:rPr>
                <w:rFonts w:ascii="Aptos" w:eastAsia="Aptos" w:hAnsi="Aptos" w:cs="Aptos"/>
                <w:lang w:val="en-US"/>
              </w:rPr>
            </w:pPr>
          </w:p>
        </w:tc>
      </w:tr>
      <w:tr w:rsidR="007450DC" w:rsidRPr="005567D2" w14:paraId="047223AC" w14:textId="77777777" w:rsidTr="007450DC">
        <w:trPr>
          <w:trHeight w:val="300"/>
        </w:trPr>
        <w:tc>
          <w:tcPr>
            <w:tcW w:w="1602" w:type="dxa"/>
          </w:tcPr>
          <w:p w14:paraId="20BE8E9E" w14:textId="46DD97C4" w:rsidR="007450DC" w:rsidRPr="005168FB" w:rsidRDefault="007450DC" w:rsidP="007505CB">
            <w:pPr>
              <w:spacing w:line="240" w:lineRule="auto"/>
              <w:rPr>
                <w:lang w:val="en-GB"/>
              </w:rPr>
            </w:pPr>
          </w:p>
        </w:tc>
        <w:tc>
          <w:tcPr>
            <w:tcW w:w="1768" w:type="dxa"/>
          </w:tcPr>
          <w:p w14:paraId="4D329672" w14:textId="58351C62" w:rsidR="007450DC" w:rsidRPr="005567D2" w:rsidRDefault="007450DC" w:rsidP="007505CB">
            <w:pPr>
              <w:spacing w:line="240" w:lineRule="auto"/>
              <w:jc w:val="center"/>
            </w:pPr>
            <w:r w:rsidRPr="005567D2">
              <w:t>e-izba</w:t>
            </w:r>
          </w:p>
        </w:tc>
        <w:tc>
          <w:tcPr>
            <w:tcW w:w="2265" w:type="dxa"/>
          </w:tcPr>
          <w:p w14:paraId="7EFB6637" w14:textId="4FA23EF5" w:rsidR="007450DC" w:rsidRPr="005567D2" w:rsidRDefault="007450DC" w:rsidP="007505CB">
            <w:pPr>
              <w:spacing w:line="240" w:lineRule="auto"/>
              <w:jc w:val="center"/>
            </w:pPr>
            <w:r w:rsidRPr="005567D2">
              <w:t>Rozporządzenie 2024/1689</w:t>
            </w:r>
          </w:p>
          <w:p w14:paraId="7BFD250B" w14:textId="4A8CC4E6"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73C16C74" w14:textId="7508A8E0" w:rsidR="007450DC" w:rsidRPr="005567D2" w:rsidRDefault="007450DC" w:rsidP="007505CB">
            <w:pPr>
              <w:spacing w:line="240" w:lineRule="auto"/>
              <w:jc w:val="center"/>
            </w:pPr>
          </w:p>
          <w:p w14:paraId="668D8CD2" w14:textId="248751A3" w:rsidR="007450DC" w:rsidRPr="00410D60" w:rsidRDefault="007450DC" w:rsidP="007505CB">
            <w:pPr>
              <w:spacing w:line="240" w:lineRule="auto"/>
              <w:jc w:val="center"/>
            </w:pPr>
            <w:r w:rsidRPr="369C09EE">
              <w:t>Art. 113</w:t>
            </w:r>
          </w:p>
          <w:p w14:paraId="263EA0C7" w14:textId="739576DB" w:rsidR="007450DC" w:rsidRPr="005567D2" w:rsidRDefault="007450DC" w:rsidP="007505CB">
            <w:pPr>
              <w:spacing w:line="240" w:lineRule="auto"/>
              <w:jc w:val="center"/>
            </w:pPr>
          </w:p>
        </w:tc>
        <w:tc>
          <w:tcPr>
            <w:tcW w:w="10100" w:type="dxa"/>
          </w:tcPr>
          <w:p w14:paraId="767058E2" w14:textId="77777777" w:rsidR="007450DC" w:rsidRDefault="007450DC" w:rsidP="007505CB">
            <w:pPr>
              <w:spacing w:line="240" w:lineRule="auto"/>
              <w:jc w:val="both"/>
            </w:pPr>
            <w:r w:rsidRPr="005567D2">
              <w:t>Propozycja Komisji, aby przesunąć w czasie stosowanie przepisów dotyczących systemów wysokiego ryzyka, jest rozwiązaniem pragmatycznym, pozwala bowiem zyskać dodatkowy czas na dopracowanie wytycznych, przyjęcie odpowiednich norm oraz przygotowanie się do nowych obowiązków. Problemem jest jednak brak pewności co do harmonogramu tych zmian, ponieważ zależą one od tego, kiedy powstaną narzędzia niezbędne do ich wdrożenia. Bez jasnej informacji o terminach podjęcia odpowiednich decyzji trudno określić, kiedy przepisy faktycznie zaczną obowiązywać. Powoduje to niepewność prawną po stronie przedsiębiorców i utrudnia im planowanie działań zgodnych z regulacją. Z tego względu proponujemy ustalenie bardziej przejrzystych terminów oraz jasnych warunków, które uruchamiałyby stosowanie poszczególnych obowiązków.</w:t>
            </w:r>
          </w:p>
          <w:p w14:paraId="4C188898" w14:textId="503D4DC0" w:rsidR="007450DC" w:rsidRPr="005567D2" w:rsidRDefault="007450DC" w:rsidP="007505CB">
            <w:pPr>
              <w:spacing w:line="240" w:lineRule="auto"/>
              <w:jc w:val="both"/>
            </w:pPr>
          </w:p>
        </w:tc>
      </w:tr>
      <w:tr w:rsidR="007450DC" w:rsidRPr="005567D2" w14:paraId="6CE25A19" w14:textId="77777777" w:rsidTr="007450DC">
        <w:tc>
          <w:tcPr>
            <w:tcW w:w="1602" w:type="dxa"/>
          </w:tcPr>
          <w:p w14:paraId="63D2253E" w14:textId="77777777" w:rsidR="007450DC" w:rsidRPr="005567D2" w:rsidRDefault="007450DC" w:rsidP="007505CB">
            <w:pPr>
              <w:spacing w:line="240" w:lineRule="auto"/>
              <w:ind w:left="708"/>
            </w:pPr>
          </w:p>
        </w:tc>
        <w:tc>
          <w:tcPr>
            <w:tcW w:w="1768" w:type="dxa"/>
          </w:tcPr>
          <w:p w14:paraId="4688B635" w14:textId="77777777" w:rsidR="007450DC" w:rsidRDefault="007450DC" w:rsidP="007505CB">
            <w:pPr>
              <w:spacing w:line="240" w:lineRule="auto"/>
              <w:jc w:val="center"/>
            </w:pPr>
            <w:r>
              <w:t xml:space="preserve">Związek Pracodawców Polskich </w:t>
            </w:r>
          </w:p>
          <w:p w14:paraId="0FEBA3AD" w14:textId="5533FD49" w:rsidR="007450DC" w:rsidRPr="005567D2" w:rsidRDefault="007450DC" w:rsidP="007505CB">
            <w:pPr>
              <w:spacing w:line="240" w:lineRule="auto"/>
              <w:jc w:val="center"/>
            </w:pPr>
            <w:r>
              <w:t>(ZPP)</w:t>
            </w:r>
          </w:p>
        </w:tc>
        <w:tc>
          <w:tcPr>
            <w:tcW w:w="2265" w:type="dxa"/>
          </w:tcPr>
          <w:p w14:paraId="1D97757A" w14:textId="77777777" w:rsidR="007450DC" w:rsidRPr="005567D2" w:rsidRDefault="007450DC" w:rsidP="00581DC2">
            <w:pPr>
              <w:spacing w:line="240" w:lineRule="auto"/>
              <w:jc w:val="center"/>
            </w:pPr>
            <w:r w:rsidRPr="005567D2">
              <w:t>Rozporządzenie 2024/1689</w:t>
            </w:r>
          </w:p>
          <w:p w14:paraId="5682826A" w14:textId="77777777" w:rsidR="007450DC" w:rsidRPr="005567D2" w:rsidRDefault="007450DC" w:rsidP="00581DC2">
            <w:pPr>
              <w:spacing w:line="240" w:lineRule="auto"/>
              <w:jc w:val="center"/>
            </w:pPr>
            <w:r w:rsidRPr="005567D2">
              <w:t xml:space="preserve">(„AI </w:t>
            </w:r>
            <w:proofErr w:type="spellStart"/>
            <w:r w:rsidRPr="005567D2">
              <w:t>Act</w:t>
            </w:r>
            <w:proofErr w:type="spellEnd"/>
            <w:r w:rsidRPr="005567D2">
              <w:t>”)</w:t>
            </w:r>
          </w:p>
          <w:p w14:paraId="67D20614" w14:textId="77777777" w:rsidR="007450DC" w:rsidRPr="005567D2" w:rsidRDefault="007450DC" w:rsidP="00581DC2">
            <w:pPr>
              <w:spacing w:line="240" w:lineRule="auto"/>
              <w:jc w:val="center"/>
            </w:pPr>
          </w:p>
          <w:p w14:paraId="5DF2E9C1" w14:textId="7F402AD8" w:rsidR="007450DC" w:rsidRPr="005567D2" w:rsidRDefault="007450DC" w:rsidP="00581DC2">
            <w:pPr>
              <w:spacing w:line="240" w:lineRule="auto"/>
              <w:jc w:val="center"/>
            </w:pPr>
            <w:r w:rsidRPr="369C09EE">
              <w:t>Art. 113</w:t>
            </w:r>
          </w:p>
        </w:tc>
        <w:tc>
          <w:tcPr>
            <w:tcW w:w="10100" w:type="dxa"/>
          </w:tcPr>
          <w:p w14:paraId="77EDB030" w14:textId="77777777" w:rsidR="007450DC" w:rsidRPr="00581DC2" w:rsidRDefault="007450DC" w:rsidP="00581DC2">
            <w:pPr>
              <w:spacing w:line="240" w:lineRule="auto"/>
              <w:jc w:val="both"/>
            </w:pPr>
            <w:r w:rsidRPr="00581DC2">
              <w:t xml:space="preserve">ZPP pozytywnie ocenia podejście polegające na powiązaniu stosowania kluczowych obowiązków AI </w:t>
            </w:r>
            <w:proofErr w:type="spellStart"/>
            <w:r w:rsidRPr="00581DC2">
              <w:t>Act</w:t>
            </w:r>
            <w:proofErr w:type="spellEnd"/>
            <w:r w:rsidRPr="00581DC2">
              <w:t xml:space="preserve"> z dostępnością norm zharmonizowanych, wytycznych i narzędzi wsparcia. Wdrażanie regulacji o wysokim stopniu technicznej złożoności bez równoległego wsparcia interpretacyjnego prowadzi do niepewności prawnej i opóźnień inwestycyjnych. Niezwykle istotne jest zapewnienie jasnych i przewidywalnych ram czasowych. </w:t>
            </w:r>
          </w:p>
          <w:p w14:paraId="748D180C" w14:textId="77777777" w:rsidR="007450DC" w:rsidRPr="00581DC2" w:rsidRDefault="007450DC" w:rsidP="00581DC2">
            <w:pPr>
              <w:spacing w:line="240" w:lineRule="auto"/>
              <w:jc w:val="both"/>
            </w:pPr>
            <w:r w:rsidRPr="00581DC2">
              <w:t xml:space="preserve">Mechanizmy warunkowego przesuwania terminów, oparte na przyszłych decyzjach administracyjnych, powinny być stosowane w sposób transparentny i możliwy do uwzględnienia w planowaniu biznesowym. </w:t>
            </w:r>
          </w:p>
          <w:p w14:paraId="6C62F152" w14:textId="77777777" w:rsidR="007450DC" w:rsidRDefault="007450DC" w:rsidP="00581DC2">
            <w:pPr>
              <w:spacing w:line="240" w:lineRule="auto"/>
              <w:jc w:val="both"/>
            </w:pPr>
            <w:r w:rsidRPr="00581DC2">
              <w:t>Propozycje ograniczenia nadmiernych obowiązków dokumentacyjnych oraz większej elastyczności w zakresie systemów zarządzania jakością należy ocenić pozytywnie. Kluczowe jest jednak, aby uproszczenia te były oparte na rzeczywistym poziomie ryzyka systemu AI, a nie na kryteriach formalnych lub organizacyjnych.</w:t>
            </w:r>
          </w:p>
          <w:p w14:paraId="4AFE7D02" w14:textId="63E072E0" w:rsidR="007450DC" w:rsidRPr="005567D2" w:rsidRDefault="007450DC" w:rsidP="00581DC2">
            <w:pPr>
              <w:spacing w:line="240" w:lineRule="auto"/>
              <w:jc w:val="both"/>
            </w:pPr>
          </w:p>
        </w:tc>
      </w:tr>
      <w:tr w:rsidR="007450DC" w:rsidRPr="005567D2" w14:paraId="0B60A8B4" w14:textId="77777777" w:rsidTr="007450DC">
        <w:tc>
          <w:tcPr>
            <w:tcW w:w="1602" w:type="dxa"/>
          </w:tcPr>
          <w:p w14:paraId="44DD4E48" w14:textId="77777777" w:rsidR="007450DC" w:rsidRPr="005567D2" w:rsidRDefault="007450DC" w:rsidP="007505CB">
            <w:pPr>
              <w:spacing w:line="240" w:lineRule="auto"/>
              <w:ind w:left="708"/>
            </w:pPr>
          </w:p>
        </w:tc>
        <w:tc>
          <w:tcPr>
            <w:tcW w:w="1768" w:type="dxa"/>
          </w:tcPr>
          <w:p w14:paraId="7910F592" w14:textId="064D074F" w:rsidR="007450DC" w:rsidRPr="005567D2" w:rsidRDefault="007450DC" w:rsidP="007505CB">
            <w:pPr>
              <w:spacing w:line="240" w:lineRule="auto"/>
              <w:jc w:val="center"/>
            </w:pPr>
            <w:r w:rsidRPr="005567D2">
              <w:t xml:space="preserve">Ogólnopolska Izba  </w:t>
            </w:r>
            <w:r w:rsidRPr="005567D2">
              <w:lastRenderedPageBreak/>
              <w:t xml:space="preserve">Gospodarcza Wyrobów Medycznych POLMED </w:t>
            </w:r>
          </w:p>
        </w:tc>
        <w:tc>
          <w:tcPr>
            <w:tcW w:w="2265" w:type="dxa"/>
          </w:tcPr>
          <w:p w14:paraId="7920A084" w14:textId="4FA23EF5" w:rsidR="007450DC" w:rsidRPr="005567D2" w:rsidRDefault="007450DC" w:rsidP="007505CB">
            <w:pPr>
              <w:spacing w:line="240" w:lineRule="auto"/>
              <w:jc w:val="center"/>
            </w:pPr>
            <w:r w:rsidRPr="005567D2">
              <w:lastRenderedPageBreak/>
              <w:t>Rozporządzenie 2024/1689</w:t>
            </w:r>
          </w:p>
          <w:p w14:paraId="00BF4C7F" w14:textId="4A8CC4E6" w:rsidR="007450DC" w:rsidRPr="005567D2" w:rsidRDefault="007450DC" w:rsidP="007505CB">
            <w:pPr>
              <w:spacing w:line="240" w:lineRule="auto"/>
              <w:jc w:val="center"/>
            </w:pPr>
            <w:r w:rsidRPr="005567D2">
              <w:lastRenderedPageBreak/>
              <w:t xml:space="preserve">(„AI </w:t>
            </w:r>
            <w:proofErr w:type="spellStart"/>
            <w:r w:rsidRPr="005567D2">
              <w:t>Act</w:t>
            </w:r>
            <w:proofErr w:type="spellEnd"/>
            <w:r w:rsidRPr="005567D2">
              <w:t>”)</w:t>
            </w:r>
          </w:p>
          <w:p w14:paraId="28F75055" w14:textId="7508A8E0" w:rsidR="007450DC" w:rsidRPr="005567D2" w:rsidRDefault="007450DC" w:rsidP="007505CB">
            <w:pPr>
              <w:spacing w:line="240" w:lineRule="auto"/>
              <w:jc w:val="center"/>
            </w:pPr>
          </w:p>
          <w:p w14:paraId="1AA9E4F1" w14:textId="248751A3" w:rsidR="007450DC" w:rsidRPr="00410D60" w:rsidRDefault="007450DC" w:rsidP="007505CB">
            <w:pPr>
              <w:spacing w:line="240" w:lineRule="auto"/>
              <w:jc w:val="center"/>
            </w:pPr>
            <w:r w:rsidRPr="369C09EE">
              <w:t>Art. 113</w:t>
            </w:r>
          </w:p>
        </w:tc>
        <w:tc>
          <w:tcPr>
            <w:tcW w:w="10100" w:type="dxa"/>
          </w:tcPr>
          <w:p w14:paraId="782E40E3" w14:textId="09B57E81" w:rsidR="007450DC" w:rsidRPr="005567D2" w:rsidRDefault="007450DC" w:rsidP="007505CB">
            <w:pPr>
              <w:spacing w:line="240" w:lineRule="auto"/>
              <w:jc w:val="both"/>
            </w:pPr>
            <w:r w:rsidRPr="005567D2">
              <w:lastRenderedPageBreak/>
              <w:t xml:space="preserve">Maksymalne możliwe opóźnienie (przynajmniej do 2 sierpnia 2029) wejścia w życie obowiązku stosowania obowiązków wynikających z AI </w:t>
            </w:r>
            <w:proofErr w:type="spellStart"/>
            <w:r w:rsidRPr="005567D2">
              <w:t>Act</w:t>
            </w:r>
            <w:proofErr w:type="spellEnd"/>
            <w:r w:rsidRPr="005567D2">
              <w:t xml:space="preserve"> w zakresie obowiązków regulacyjnych dla systemów AI wysokiego </w:t>
            </w:r>
            <w:r w:rsidRPr="005567D2">
              <w:lastRenderedPageBreak/>
              <w:t xml:space="preserve">ryzyka objętych innym unijnym prawodawstwem zharmonizowanym (na podstawie art. 6 AI </w:t>
            </w:r>
            <w:proofErr w:type="spellStart"/>
            <w:r w:rsidRPr="005567D2">
              <w:t>Act</w:t>
            </w:r>
            <w:proofErr w:type="spellEnd"/>
            <w:r w:rsidRPr="005567D2">
              <w:t>) – a więc np. wyrobów medycznych lub wyrobów medycznych do diagnostyki in vitro będących systemem AI lub zawierającym w sobie taki komponent</w:t>
            </w:r>
          </w:p>
          <w:p w14:paraId="546B6B63" w14:textId="47DDB678" w:rsidR="007450DC" w:rsidRPr="005567D2" w:rsidRDefault="007450DC" w:rsidP="007505CB">
            <w:pPr>
              <w:spacing w:line="240" w:lineRule="auto"/>
              <w:jc w:val="both"/>
            </w:pPr>
            <w:r w:rsidRPr="005567D2">
              <w:t>Czas przewidziany przez prawodawcę unijnego na przygotowanie branży na konieczność dostosowania wyrobów medycznych wykorzystujących technologię AI do pełnej zgodności regulacyjnej jest zbyt krótki – w szczególności w obliczu tego, że:</w:t>
            </w:r>
          </w:p>
          <w:p w14:paraId="481FDBCF" w14:textId="7E500773" w:rsidR="007450DC" w:rsidRPr="005567D2" w:rsidRDefault="007450DC" w:rsidP="007505CB">
            <w:pPr>
              <w:spacing w:line="240" w:lineRule="auto"/>
              <w:jc w:val="both"/>
            </w:pPr>
            <w:r w:rsidRPr="005567D2">
              <w:t xml:space="preserve">-Producenci wyrobów medycznych wykorzystujących technologię AI muszą zadbać o zapewnienie pełnej zgodności wyrobu medycznego z przepisami zarówno Rozporządzenia 2017/745 </w:t>
            </w:r>
            <w:proofErr w:type="spellStart"/>
            <w:r w:rsidRPr="005567D2">
              <w:t>ws</w:t>
            </w:r>
            <w:proofErr w:type="spellEnd"/>
            <w:r w:rsidRPr="005567D2">
              <w:t xml:space="preserve">. wyrobów medycznych (dalej: „MDR”) lub Rozporządzenia 2017/746 </w:t>
            </w:r>
            <w:proofErr w:type="spellStart"/>
            <w:r w:rsidRPr="005567D2">
              <w:t>ws</w:t>
            </w:r>
            <w:proofErr w:type="spellEnd"/>
            <w:r w:rsidRPr="005567D2">
              <w:t xml:space="preserve">. wyrobów medycznych do diagnostyki in vitro („IVDR”), jak i AI </w:t>
            </w:r>
            <w:proofErr w:type="spellStart"/>
            <w:r w:rsidRPr="005567D2">
              <w:t>Act</w:t>
            </w:r>
            <w:proofErr w:type="spellEnd"/>
            <w:r w:rsidRPr="005567D2">
              <w:t>.</w:t>
            </w:r>
          </w:p>
          <w:p w14:paraId="7ADC083D" w14:textId="40F1756F" w:rsidR="007450DC" w:rsidRPr="005567D2" w:rsidRDefault="007450DC" w:rsidP="007505CB">
            <w:pPr>
              <w:spacing w:line="240" w:lineRule="auto"/>
              <w:jc w:val="both"/>
            </w:pPr>
            <w:r w:rsidRPr="005567D2">
              <w:t>- Wytyczne i standardy dotyczące spełnienie wymogów regulacyjnych w przypadku wyrobów medycznych wykorzystujących technologię AI nie zostały jeszcze opublikowane, nie są znane jednostki notyfikowane oferujące certyfikację i nadzór w zakresie obu certyfikacji.</w:t>
            </w:r>
          </w:p>
          <w:p w14:paraId="36B62F4E" w14:textId="71F63E7D" w:rsidR="007450DC" w:rsidRPr="005567D2" w:rsidRDefault="007450DC" w:rsidP="007505CB">
            <w:pPr>
              <w:spacing w:line="240" w:lineRule="auto"/>
              <w:jc w:val="both"/>
            </w:pPr>
            <w:r w:rsidRPr="005567D2">
              <w:t xml:space="preserve">-Aktualnie czas oczekiwania w jednostkach notyfikowanych oferujących certyfikację zgodności z wymogami MDR/IVDR jest bardzo długi ponieważ wciąż trwają okresy przejściowe w zakresie MDR/IVDR, a więc nie wszystkie dostępne na rynku wyroby są w pełni zgodne z nowymi regulacjami, a czas oczekiwania na </w:t>
            </w:r>
            <w:proofErr w:type="spellStart"/>
            <w:r w:rsidRPr="005567D2">
              <w:t>recertyfikację</w:t>
            </w:r>
            <w:proofErr w:type="spellEnd"/>
            <w:r w:rsidRPr="005567D2">
              <w:t xml:space="preserve"> lub zatwierdzenie zmiany przez jednostkę jest bardzo długi.</w:t>
            </w:r>
          </w:p>
          <w:p w14:paraId="0882319A" w14:textId="77777777" w:rsidR="007450DC" w:rsidRDefault="007450DC" w:rsidP="007505CB">
            <w:pPr>
              <w:spacing w:line="240" w:lineRule="auto"/>
              <w:jc w:val="both"/>
            </w:pPr>
            <w:r w:rsidRPr="005567D2">
              <w:t xml:space="preserve">Brak opóźnienia wejścia w życie obowiązków zw. z AI </w:t>
            </w:r>
            <w:proofErr w:type="spellStart"/>
            <w:r w:rsidRPr="005567D2">
              <w:t>Act</w:t>
            </w:r>
            <w:proofErr w:type="spellEnd"/>
            <w:r w:rsidRPr="005567D2">
              <w:t xml:space="preserve"> dla tego typu wyrobów może spowodować, że po 2 sierpnia 2027 wiele wyrobów nagle zniknie z rynku, a wdrożenie nowych technologii wykorzystujących AI w systemie ochronie zdrowia w najbliższych latach będzie znacznie utrudnione (bardzo drogie, a w niektórych sytuacjach nawet realnie niemożliwe).</w:t>
            </w:r>
          </w:p>
          <w:p w14:paraId="02C0B19E" w14:textId="298641AA" w:rsidR="007450DC" w:rsidRPr="005567D2" w:rsidRDefault="007450DC" w:rsidP="007505CB">
            <w:pPr>
              <w:spacing w:line="240" w:lineRule="auto"/>
              <w:jc w:val="both"/>
            </w:pPr>
          </w:p>
        </w:tc>
      </w:tr>
      <w:tr w:rsidR="007450DC" w:rsidRPr="005168FB" w14:paraId="3FC891AA" w14:textId="77777777" w:rsidTr="007450DC">
        <w:trPr>
          <w:trHeight w:val="300"/>
        </w:trPr>
        <w:tc>
          <w:tcPr>
            <w:tcW w:w="1602" w:type="dxa"/>
          </w:tcPr>
          <w:p w14:paraId="30BEB080" w14:textId="46583792" w:rsidR="007450DC" w:rsidRPr="005567D2" w:rsidRDefault="007450DC" w:rsidP="00410D60">
            <w:pPr>
              <w:pStyle w:val="Akapitzlist"/>
              <w:spacing w:line="240" w:lineRule="auto"/>
              <w:ind w:left="1080"/>
              <w:rPr>
                <w:sz w:val="22"/>
                <w:szCs w:val="22"/>
              </w:rPr>
            </w:pPr>
          </w:p>
        </w:tc>
        <w:tc>
          <w:tcPr>
            <w:tcW w:w="1768" w:type="dxa"/>
          </w:tcPr>
          <w:p w14:paraId="283B280B" w14:textId="446A3562" w:rsidR="007450DC" w:rsidRPr="005567D2" w:rsidRDefault="007450DC" w:rsidP="007505CB">
            <w:pPr>
              <w:spacing w:line="240" w:lineRule="auto"/>
              <w:jc w:val="center"/>
            </w:pPr>
            <w:r w:rsidRPr="005567D2">
              <w:t>Lewiatan</w:t>
            </w:r>
          </w:p>
        </w:tc>
        <w:tc>
          <w:tcPr>
            <w:tcW w:w="2265" w:type="dxa"/>
          </w:tcPr>
          <w:p w14:paraId="14FAFCD1" w14:textId="0A28C51D" w:rsidR="007450DC" w:rsidRPr="005567D2" w:rsidRDefault="007450DC" w:rsidP="00E575ED">
            <w:pPr>
              <w:spacing w:line="240" w:lineRule="auto"/>
              <w:jc w:val="center"/>
            </w:pPr>
            <w:r w:rsidRPr="005567D2">
              <w:t xml:space="preserve">Rozporządzenie 2024/1689 </w:t>
            </w:r>
          </w:p>
          <w:p w14:paraId="741E327E" w14:textId="768946AE"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24A1C515" w14:textId="655DBB05" w:rsidR="007450DC" w:rsidRPr="005567D2" w:rsidRDefault="007450DC" w:rsidP="007505CB">
            <w:pPr>
              <w:spacing w:line="240" w:lineRule="auto"/>
              <w:jc w:val="center"/>
            </w:pPr>
          </w:p>
          <w:p w14:paraId="41C3C55A" w14:textId="119C37DB" w:rsidR="007450DC" w:rsidRPr="00E575ED" w:rsidRDefault="007450DC" w:rsidP="007505CB">
            <w:pPr>
              <w:spacing w:line="240" w:lineRule="auto"/>
              <w:jc w:val="center"/>
            </w:pPr>
            <w:r w:rsidRPr="369C09EE">
              <w:t>Art. 113</w:t>
            </w:r>
          </w:p>
        </w:tc>
        <w:tc>
          <w:tcPr>
            <w:tcW w:w="10100" w:type="dxa"/>
          </w:tcPr>
          <w:p w14:paraId="17CA2F12" w14:textId="0C8FBF1B" w:rsidR="007450DC" w:rsidRPr="005168FB" w:rsidRDefault="007450DC" w:rsidP="007505CB">
            <w:pPr>
              <w:spacing w:line="240" w:lineRule="auto"/>
              <w:rPr>
                <w:lang w:val="en-GB"/>
              </w:rPr>
            </w:pPr>
            <w:proofErr w:type="spellStart"/>
            <w:r w:rsidRPr="005567D2">
              <w:rPr>
                <w:lang w:val="en-US"/>
              </w:rPr>
              <w:t>Lewiatan</w:t>
            </w:r>
            <w:proofErr w:type="spellEnd"/>
            <w:r w:rsidRPr="005567D2">
              <w:rPr>
                <w:lang w:val="en-US"/>
              </w:rPr>
              <w:t xml:space="preserve"> welcomes the extended deadlines to implement high-risk requirements to allow more time for </w:t>
            </w:r>
            <w:proofErr w:type="spellStart"/>
            <w:r w:rsidRPr="005567D2">
              <w:rPr>
                <w:lang w:val="en-US"/>
              </w:rPr>
              <w:t>harmonised</w:t>
            </w:r>
            <w:proofErr w:type="spellEnd"/>
            <w:r w:rsidRPr="005567D2">
              <w:rPr>
                <w:lang w:val="en-US"/>
              </w:rPr>
              <w:t xml:space="preserve"> standards to be developed. We would specifically call for the EU to create a separate legislative proposal specifically for these timeline extensions in order to avoid delays in adoption and further confusion for industry. </w:t>
            </w:r>
          </w:p>
          <w:p w14:paraId="5E1F210C" w14:textId="29CFC25D" w:rsidR="007450DC" w:rsidRPr="005567D2" w:rsidRDefault="007450DC" w:rsidP="007505CB">
            <w:pPr>
              <w:spacing w:line="240" w:lineRule="auto"/>
              <w:rPr>
                <w:lang w:val="en-US"/>
              </w:rPr>
            </w:pPr>
          </w:p>
          <w:p w14:paraId="22D7DBBA" w14:textId="77777777" w:rsidR="007450DC" w:rsidRDefault="007450DC" w:rsidP="007505CB">
            <w:pPr>
              <w:spacing w:line="240" w:lineRule="auto"/>
              <w:rPr>
                <w:lang w:val="en-US"/>
              </w:rPr>
            </w:pPr>
            <w:r w:rsidRPr="005567D2">
              <w:rPr>
                <w:lang w:val="en-US"/>
              </w:rPr>
              <w:t xml:space="preserve"> We call for further simplification of the presumption of conformity with cybersecurity obligations under the CRA and the AI Act: companies should be able to demonstrate conformity under both legal acts through a common conformity assessment, not just through certification.</w:t>
            </w:r>
          </w:p>
          <w:p w14:paraId="20E45101" w14:textId="101EF57C" w:rsidR="007450DC" w:rsidRPr="005567D2" w:rsidRDefault="007450DC" w:rsidP="007505CB">
            <w:pPr>
              <w:spacing w:line="240" w:lineRule="auto"/>
              <w:rPr>
                <w:lang w:val="en-GB"/>
              </w:rPr>
            </w:pPr>
          </w:p>
        </w:tc>
      </w:tr>
      <w:tr w:rsidR="007450DC" w:rsidRPr="005567D2" w14:paraId="52A1CA3B" w14:textId="77777777" w:rsidTr="007450DC">
        <w:tc>
          <w:tcPr>
            <w:tcW w:w="1602" w:type="dxa"/>
          </w:tcPr>
          <w:p w14:paraId="5BB2CCAA" w14:textId="77777777" w:rsidR="007450DC" w:rsidRPr="005168FB" w:rsidRDefault="007450DC" w:rsidP="00410D60">
            <w:pPr>
              <w:pStyle w:val="Akapitzlist"/>
              <w:spacing w:line="240" w:lineRule="auto"/>
              <w:rPr>
                <w:sz w:val="22"/>
                <w:szCs w:val="22"/>
                <w:lang w:val="en-GB"/>
              </w:rPr>
            </w:pPr>
          </w:p>
        </w:tc>
        <w:tc>
          <w:tcPr>
            <w:tcW w:w="1768" w:type="dxa"/>
          </w:tcPr>
          <w:p w14:paraId="75628A1E" w14:textId="5413A625" w:rsidR="007450DC" w:rsidRPr="005567D2" w:rsidRDefault="007450DC" w:rsidP="007505CB">
            <w:pPr>
              <w:spacing w:line="240" w:lineRule="auto"/>
              <w:jc w:val="center"/>
            </w:pPr>
            <w:r w:rsidRPr="005567D2">
              <w:t>Krajowa Izba Gospodarcza</w:t>
            </w:r>
          </w:p>
        </w:tc>
        <w:tc>
          <w:tcPr>
            <w:tcW w:w="2265" w:type="dxa"/>
          </w:tcPr>
          <w:p w14:paraId="4EFF1B77" w14:textId="6F7C7387" w:rsidR="007450DC" w:rsidRPr="005567D2" w:rsidRDefault="007450DC" w:rsidP="00410D60">
            <w:pPr>
              <w:spacing w:line="240" w:lineRule="auto"/>
              <w:jc w:val="center"/>
            </w:pPr>
            <w:r w:rsidRPr="005567D2">
              <w:t>Rozporządzenie 2024/1689</w:t>
            </w:r>
          </w:p>
          <w:p w14:paraId="00EEC75B" w14:textId="77777777" w:rsidR="007450DC" w:rsidRPr="005567D2" w:rsidRDefault="007450DC" w:rsidP="007505CB">
            <w:pPr>
              <w:spacing w:line="240" w:lineRule="auto"/>
              <w:jc w:val="center"/>
            </w:pPr>
            <w:r w:rsidRPr="005567D2">
              <w:lastRenderedPageBreak/>
              <w:t xml:space="preserve">(„AI </w:t>
            </w:r>
            <w:proofErr w:type="spellStart"/>
            <w:r w:rsidRPr="005567D2">
              <w:t>Act</w:t>
            </w:r>
            <w:proofErr w:type="spellEnd"/>
            <w:r w:rsidRPr="005567D2">
              <w:t>”)</w:t>
            </w:r>
          </w:p>
          <w:p w14:paraId="5C0C5D39" w14:textId="77777777" w:rsidR="007450DC" w:rsidRPr="005567D2" w:rsidRDefault="007450DC" w:rsidP="007505CB">
            <w:pPr>
              <w:spacing w:line="240" w:lineRule="auto"/>
              <w:jc w:val="center"/>
            </w:pPr>
          </w:p>
          <w:p w14:paraId="3A898F32" w14:textId="75BF3DBB" w:rsidR="007450DC" w:rsidRPr="00410D60" w:rsidRDefault="007450DC" w:rsidP="007505CB">
            <w:pPr>
              <w:spacing w:line="240" w:lineRule="auto"/>
              <w:jc w:val="center"/>
            </w:pPr>
            <w:r w:rsidRPr="369C09EE">
              <w:t xml:space="preserve">Art. 113 </w:t>
            </w:r>
          </w:p>
          <w:p w14:paraId="6059A479" w14:textId="2BCD8351" w:rsidR="007450DC" w:rsidRPr="005567D2" w:rsidRDefault="007450DC" w:rsidP="007505CB">
            <w:pPr>
              <w:spacing w:line="240" w:lineRule="auto"/>
              <w:jc w:val="center"/>
            </w:pPr>
          </w:p>
        </w:tc>
        <w:tc>
          <w:tcPr>
            <w:tcW w:w="10100" w:type="dxa"/>
          </w:tcPr>
          <w:p w14:paraId="3F9AC28F" w14:textId="4602CC36" w:rsidR="007450DC" w:rsidRPr="005567D2" w:rsidRDefault="007450DC" w:rsidP="007505CB">
            <w:pPr>
              <w:spacing w:line="240" w:lineRule="auto"/>
            </w:pPr>
            <w:r w:rsidRPr="005567D2">
              <w:lastRenderedPageBreak/>
              <w:t xml:space="preserve">Opóźnienie wyłącznie przepisów dotyczących systemów wysokiego ryzyka w AI </w:t>
            </w:r>
            <w:proofErr w:type="spellStart"/>
            <w:r w:rsidRPr="005567D2">
              <w:t>Act</w:t>
            </w:r>
            <w:proofErr w:type="spellEnd"/>
            <w:r w:rsidRPr="005567D2">
              <w:t xml:space="preserve"> wynika z dostrzeżenia trudności we wdrażaniu, ale nie rozwiązuje to szerszych problemów związanych z </w:t>
            </w:r>
            <w:r w:rsidRPr="005567D2">
              <w:lastRenderedPageBreak/>
              <w:t xml:space="preserve">obciążeniami regulacyjnymi ani z utrzymującą się niepewnością prawną, z którą mierzą się przedsiębiorstwa w UE. Kwestie te dotyczą nie tylko systemów wysokiego ryzyka — obejmują również przepisy regulujące modele sztucznej inteligencji ogólnego przeznaczenia (GPAIM). Obecne regulacje nie rozróżniają w sposób wystarczająco jasny etapu tworzenia modelu od etapu jego praktycznego wykorzystania, co odbiega od zasady, zgodnie z którą ryzykiem należy zarządzać tam, gdzie faktycznie powstaje — czyli na etapie użycia modelu. </w:t>
            </w:r>
          </w:p>
          <w:p w14:paraId="6C7D1022" w14:textId="7E64FFAF" w:rsidR="007450DC" w:rsidRPr="005567D2" w:rsidRDefault="007450DC" w:rsidP="007505CB">
            <w:pPr>
              <w:spacing w:line="240" w:lineRule="auto"/>
            </w:pPr>
            <w:r w:rsidRPr="005567D2">
              <w:t xml:space="preserve">• Ograniczenie opóźnienia wdrażania AI </w:t>
            </w:r>
            <w:proofErr w:type="spellStart"/>
            <w:r w:rsidRPr="005567D2">
              <w:t>Act</w:t>
            </w:r>
            <w:proofErr w:type="spellEnd"/>
            <w:r w:rsidRPr="005567D2">
              <w:t xml:space="preserve"> wyłącznie do systemów wysokiego ryzyka grozi osłabieniem skuteczności całej regulacji i uniemożliwia osiągnięcie kompleksowej regulacji. Wydłużenie okresu przejściowego również dla przepisów dotyczące GPAIM jest kluczowe zarówno dla zapewnienia pewności prawa, jak i dla stosowania podejścia opartego na ryzyku. </w:t>
            </w:r>
          </w:p>
          <w:p w14:paraId="1DDBC01C" w14:textId="77777777" w:rsidR="007450DC" w:rsidRDefault="007450DC" w:rsidP="007505CB">
            <w:pPr>
              <w:spacing w:line="240" w:lineRule="auto"/>
            </w:pPr>
            <w:r w:rsidRPr="005567D2">
              <w:t xml:space="preserve">• Obecne przepisy dotyczące GPAIM nie rozróżniają w sposób wystarczająco jasny fazy tworzenia modelu od jego praktycznego wykorzystania, co utrudnia skuteczne zarządzanie ryzykiem i osłabia stabilność regulacyjną. Dlatego Omnibus powinien objąć przepisy dotyczące GPAIM również dłuższym okresem przejściowym przed rozpoczęciem ich egzekwowania, aby zapewnić spójność całej regulacji. Tylko tak zdecydowane działanie pozwoli AI </w:t>
            </w:r>
            <w:proofErr w:type="spellStart"/>
            <w:r w:rsidRPr="005567D2">
              <w:t>Act</w:t>
            </w:r>
            <w:proofErr w:type="spellEnd"/>
            <w:r w:rsidRPr="005567D2">
              <w:t xml:space="preserve"> realizować założone cele, nie hamując innowacji ani nie spowalniając rozwoju i wdrażania przełomowych technologii sztucznej inteligencji w UE. </w:t>
            </w:r>
          </w:p>
          <w:p w14:paraId="6A078E4C" w14:textId="0A2EDFE2" w:rsidR="007450DC" w:rsidRPr="005567D2" w:rsidRDefault="007450DC" w:rsidP="007505CB">
            <w:pPr>
              <w:spacing w:line="240" w:lineRule="auto"/>
            </w:pPr>
          </w:p>
        </w:tc>
      </w:tr>
      <w:tr w:rsidR="007450DC" w:rsidRPr="005567D2" w14:paraId="5AB7680F" w14:textId="77777777" w:rsidTr="007450DC">
        <w:tc>
          <w:tcPr>
            <w:tcW w:w="1602" w:type="dxa"/>
          </w:tcPr>
          <w:p w14:paraId="30A385BF" w14:textId="77777777" w:rsidR="007450DC" w:rsidRPr="005567D2" w:rsidRDefault="007450DC" w:rsidP="00410D60">
            <w:pPr>
              <w:pStyle w:val="Akapitzlist"/>
              <w:spacing w:line="240" w:lineRule="auto"/>
              <w:rPr>
                <w:sz w:val="22"/>
                <w:szCs w:val="22"/>
              </w:rPr>
            </w:pPr>
          </w:p>
        </w:tc>
        <w:tc>
          <w:tcPr>
            <w:tcW w:w="1768" w:type="dxa"/>
          </w:tcPr>
          <w:p w14:paraId="0C4EBDA4" w14:textId="55104D66" w:rsidR="007450DC" w:rsidRPr="005567D2" w:rsidRDefault="007450DC" w:rsidP="007505CB">
            <w:pPr>
              <w:spacing w:line="240" w:lineRule="auto"/>
              <w:jc w:val="center"/>
            </w:pPr>
            <w:r w:rsidRPr="005567D2">
              <w:t>Krajowa Izba Gospodarcza</w:t>
            </w:r>
          </w:p>
        </w:tc>
        <w:tc>
          <w:tcPr>
            <w:tcW w:w="2265" w:type="dxa"/>
          </w:tcPr>
          <w:p w14:paraId="3A206378" w14:textId="003F92A6" w:rsidR="007450DC" w:rsidRPr="005567D2" w:rsidRDefault="007450DC" w:rsidP="00410D60">
            <w:pPr>
              <w:spacing w:line="240" w:lineRule="auto"/>
              <w:jc w:val="center"/>
            </w:pPr>
            <w:r w:rsidRPr="005567D2">
              <w:t>Rozporządzenie 2024/1689</w:t>
            </w:r>
          </w:p>
          <w:p w14:paraId="79DB2F3E" w14:textId="77777777" w:rsidR="007450DC" w:rsidRPr="005567D2" w:rsidRDefault="007450DC" w:rsidP="007505CB">
            <w:pPr>
              <w:spacing w:line="240" w:lineRule="auto"/>
              <w:jc w:val="center"/>
            </w:pPr>
            <w:r w:rsidRPr="005567D2">
              <w:t xml:space="preserve">(„AI </w:t>
            </w:r>
            <w:proofErr w:type="spellStart"/>
            <w:r w:rsidRPr="005567D2">
              <w:t>Act</w:t>
            </w:r>
            <w:proofErr w:type="spellEnd"/>
            <w:r w:rsidRPr="005567D2">
              <w:t>”)</w:t>
            </w:r>
          </w:p>
          <w:p w14:paraId="4D644FC5" w14:textId="1AE169AB" w:rsidR="007450DC" w:rsidRPr="005567D2" w:rsidRDefault="007450DC" w:rsidP="007505CB">
            <w:pPr>
              <w:spacing w:line="240" w:lineRule="auto"/>
              <w:jc w:val="center"/>
            </w:pPr>
          </w:p>
          <w:p w14:paraId="7F13C454" w14:textId="2C961B10" w:rsidR="007450DC" w:rsidRPr="00410D60" w:rsidRDefault="007450DC" w:rsidP="007505CB">
            <w:pPr>
              <w:spacing w:line="240" w:lineRule="auto"/>
              <w:jc w:val="center"/>
            </w:pPr>
            <w:r w:rsidRPr="369C09EE">
              <w:t>Art. 113</w:t>
            </w:r>
          </w:p>
          <w:p w14:paraId="4F310F87" w14:textId="77777777" w:rsidR="007450DC" w:rsidRPr="005567D2" w:rsidRDefault="007450DC" w:rsidP="007505CB">
            <w:pPr>
              <w:spacing w:line="240" w:lineRule="auto"/>
              <w:jc w:val="center"/>
            </w:pPr>
          </w:p>
          <w:p w14:paraId="43CDFA78" w14:textId="0794CC49" w:rsidR="007450DC" w:rsidRPr="005567D2" w:rsidRDefault="007450DC" w:rsidP="007505CB">
            <w:pPr>
              <w:spacing w:line="240" w:lineRule="auto"/>
              <w:jc w:val="center"/>
            </w:pPr>
          </w:p>
        </w:tc>
        <w:tc>
          <w:tcPr>
            <w:tcW w:w="10100" w:type="dxa"/>
          </w:tcPr>
          <w:p w14:paraId="6C8FBC02" w14:textId="77777777" w:rsidR="007450DC" w:rsidRDefault="007450DC" w:rsidP="007505CB">
            <w:pPr>
              <w:spacing w:line="240" w:lineRule="auto"/>
            </w:pPr>
            <w:r w:rsidRPr="00AF6773">
              <w:t xml:space="preserve">Finalny raport Omnibus dotyczący </w:t>
            </w:r>
            <w:r w:rsidRPr="005567D2">
              <w:t xml:space="preserve">AI </w:t>
            </w:r>
            <w:proofErr w:type="spellStart"/>
            <w:r w:rsidRPr="005567D2">
              <w:t>Act</w:t>
            </w:r>
            <w:proofErr w:type="spellEnd"/>
            <w:r w:rsidRPr="005567D2">
              <w:t xml:space="preserve"> przewiduje odroczenie rozpoczęcia stosowania przepisów dotyczących systemów AI wysokiego ryzyka. Jego obowiązywanie ma zależeć od tego, czy Komisja potwierdzi, że dostępne są niezbędne wytyczne, normy i inne materiały wdrożeniowe, które mają pomóc przedsiębiorstwom w spełnieniu wymogów. Jeśli takie potwierdzenie nie nadejdzie na czas, przepisy i tak zaczną obowiązywać automatycznie — 2 grudnia 2027 r.  W przypadku systemów z załącznika III oraz 2 sierpnia 2028 r. Dla systemów z załącznika I. Tak skonstruowany mechanizm, choć w założeniu ma dać więcej czasu na przygotowanie materiałów technicznych, w praktyce wprowadza dużą niepewność legislacyjną: nie są jasne warunki, na podstawie których Komisja miałaby wydać potwierdzenie, a różne daty rozpoczęcia stosowania przepisów dodatkowo utrudniają przedsiębiorstwom planowanie działań dostosowawczych. </w:t>
            </w:r>
          </w:p>
          <w:p w14:paraId="37623A9F" w14:textId="77777777" w:rsidR="007450DC" w:rsidRDefault="007450DC" w:rsidP="007505CB">
            <w:pPr>
              <w:spacing w:line="240" w:lineRule="auto"/>
            </w:pPr>
            <w:r w:rsidRPr="005567D2">
              <w:t xml:space="preserve">Aby ograniczyć tę niepewność, Komisja powinna zastąpić obecne, uzależnione  od jej decyzji i rozłożone w czasie terminy jednym, wspólnym i z góry określonym momentem rozpoczęcia stosowania przepisów dotyczących wszystkich systemów wysokiego ryzyka — zarówno z załącznika I, jak i III. Ułatwiłoby to planowanie, pozwoliło firmom odpowiednio wcześnie przygotować niezbędne procesy  i dokumentację, a całemu sektorowi zapewniłoby bardziej stabilne otoczenie legislacyjne. </w:t>
            </w:r>
          </w:p>
          <w:p w14:paraId="613A3B58" w14:textId="77777777" w:rsidR="007450DC" w:rsidRDefault="007450DC" w:rsidP="007505CB">
            <w:pPr>
              <w:spacing w:line="240" w:lineRule="auto"/>
            </w:pPr>
            <w:r w:rsidRPr="005567D2">
              <w:lastRenderedPageBreak/>
              <w:t>Jednocześnie proponowane roczne odroczenie może okazać się niewystarczające. Normy techniczne i wytyczne, które mają stanowić podstawę do oceny zgodności systemów wysokiego ryzyka, prawdopodobnie nie zostaną opracowane przed końcem 2026 r. W efekcie przedsiębiorstwa miałyby bardzo mało czasu na dostosowanie swoich systemów przed sierpniem 2027 r., co rodzi poważne wątpliwości co do realności przewidzianych terminów.</w:t>
            </w:r>
          </w:p>
          <w:p w14:paraId="500EA8C8" w14:textId="64587490" w:rsidR="007450DC" w:rsidRPr="005567D2" w:rsidRDefault="007450DC" w:rsidP="007505CB">
            <w:pPr>
              <w:spacing w:line="240" w:lineRule="auto"/>
            </w:pPr>
          </w:p>
        </w:tc>
      </w:tr>
      <w:tr w:rsidR="007450DC" w:rsidRPr="005168FB" w14:paraId="43764643" w14:textId="77777777" w:rsidTr="007450DC">
        <w:trPr>
          <w:trHeight w:val="390"/>
        </w:trPr>
        <w:tc>
          <w:tcPr>
            <w:tcW w:w="1602" w:type="dxa"/>
          </w:tcPr>
          <w:p w14:paraId="1A84468B" w14:textId="5BABBE12" w:rsidR="007450DC" w:rsidRPr="005168FB" w:rsidRDefault="007450DC" w:rsidP="007505CB">
            <w:pPr>
              <w:spacing w:line="240" w:lineRule="auto"/>
              <w:ind w:left="708"/>
            </w:pPr>
          </w:p>
        </w:tc>
        <w:tc>
          <w:tcPr>
            <w:tcW w:w="1768" w:type="dxa"/>
          </w:tcPr>
          <w:p w14:paraId="5E924F58" w14:textId="0A83C4ED" w:rsidR="007450DC" w:rsidRPr="005567D2" w:rsidRDefault="007450DC" w:rsidP="007505CB">
            <w:pPr>
              <w:spacing w:line="240" w:lineRule="auto"/>
              <w:jc w:val="center"/>
            </w:pPr>
            <w:r w:rsidRPr="005567D2">
              <w:t>Jedna z firm należących do Związku IAB Polska</w:t>
            </w:r>
          </w:p>
        </w:tc>
        <w:tc>
          <w:tcPr>
            <w:tcW w:w="2265" w:type="dxa"/>
          </w:tcPr>
          <w:p w14:paraId="1B9A886F" w14:textId="1F6DB2A5" w:rsidR="007450DC" w:rsidRPr="00A4638E" w:rsidRDefault="007450DC" w:rsidP="00A4638E">
            <w:pPr>
              <w:spacing w:line="240" w:lineRule="auto"/>
              <w:jc w:val="center"/>
              <w:rPr>
                <w:lang w:val="en-GB"/>
              </w:rPr>
            </w:pPr>
            <w:proofErr w:type="spellStart"/>
            <w:r w:rsidRPr="005567D2">
              <w:rPr>
                <w:lang w:val="en-GB"/>
              </w:rPr>
              <w:t>Rozporządzenie</w:t>
            </w:r>
            <w:proofErr w:type="spellEnd"/>
            <w:r w:rsidRPr="005567D2">
              <w:rPr>
                <w:lang w:val="en-GB"/>
              </w:rPr>
              <w:t xml:space="preserve"> 2024/1689  </w:t>
            </w:r>
          </w:p>
          <w:p w14:paraId="76419119" w14:textId="13E4B0B8" w:rsidR="007450DC" w:rsidRPr="005567D2" w:rsidRDefault="007450DC" w:rsidP="007505CB">
            <w:pPr>
              <w:spacing w:line="240" w:lineRule="auto"/>
              <w:jc w:val="center"/>
            </w:pPr>
            <w:r w:rsidRPr="005567D2">
              <w:rPr>
                <w:lang w:val="en-GB"/>
              </w:rPr>
              <w:t>(„AI Act”)</w:t>
            </w:r>
          </w:p>
          <w:p w14:paraId="585F777E" w14:textId="2864B8A9" w:rsidR="007450DC" w:rsidRPr="005567D2" w:rsidRDefault="007450DC" w:rsidP="007505CB">
            <w:pPr>
              <w:spacing w:line="240" w:lineRule="auto"/>
              <w:jc w:val="center"/>
              <w:rPr>
                <w:lang w:val="en-GB"/>
              </w:rPr>
            </w:pPr>
          </w:p>
          <w:p w14:paraId="2FE6D015" w14:textId="36BFAEF1" w:rsidR="007450DC" w:rsidRPr="00A4638E" w:rsidRDefault="007450DC" w:rsidP="007505CB">
            <w:pPr>
              <w:spacing w:line="240" w:lineRule="auto"/>
              <w:jc w:val="center"/>
              <w:rPr>
                <w:lang w:val="en-GB"/>
              </w:rPr>
            </w:pPr>
            <w:r w:rsidRPr="369C09EE">
              <w:rPr>
                <w:lang w:val="en-GB"/>
              </w:rPr>
              <w:t>Art. 113</w:t>
            </w:r>
          </w:p>
        </w:tc>
        <w:tc>
          <w:tcPr>
            <w:tcW w:w="10100" w:type="dxa"/>
          </w:tcPr>
          <w:p w14:paraId="2DFBA3CF" w14:textId="77777777" w:rsidR="007450DC" w:rsidRDefault="007450DC" w:rsidP="007505CB">
            <w:pPr>
              <w:spacing w:line="240" w:lineRule="auto"/>
              <w:jc w:val="both"/>
              <w:rPr>
                <w:color w:val="000000" w:themeColor="text1"/>
                <w:lang w:val="en-US"/>
              </w:rPr>
            </w:pPr>
            <w:r w:rsidRPr="005567D2">
              <w:rPr>
                <w:color w:val="000000" w:themeColor="text1"/>
                <w:lang w:val="en-US"/>
              </w:rPr>
              <w:t xml:space="preserve">The Commission’s proposal to postpone the application of these high-risk provisions is a pragmatic approach, allowing additional time for guidance to mature, standards to be properly adopted, and to prepare. However, the timing of these postponements remains uncertain, as it depends on when the supporting tools are </w:t>
            </w:r>
            <w:proofErr w:type="spellStart"/>
            <w:r w:rsidRPr="005567D2">
              <w:rPr>
                <w:color w:val="000000" w:themeColor="text1"/>
                <w:lang w:val="en-US"/>
              </w:rPr>
              <w:t>finalised</w:t>
            </w:r>
            <w:proofErr w:type="spellEnd"/>
            <w:r w:rsidRPr="005567D2">
              <w:rPr>
                <w:color w:val="000000" w:themeColor="text1"/>
                <w:lang w:val="en-US"/>
              </w:rPr>
              <w:t>. With no clear indication of when these decisions will be adopted, the actual deadlines become open-ended, creating legal uncertainty for businesses and complicating compliance planning. We therefore recommend providing clearer timelines and explicit triggers for the application of these obligations.</w:t>
            </w:r>
          </w:p>
          <w:p w14:paraId="0AB65136" w14:textId="335A6CB2" w:rsidR="007450DC" w:rsidRPr="005567D2" w:rsidRDefault="007450DC" w:rsidP="007505CB">
            <w:pPr>
              <w:spacing w:line="240" w:lineRule="auto"/>
              <w:jc w:val="both"/>
              <w:rPr>
                <w:color w:val="000000" w:themeColor="text1"/>
                <w:lang w:val="en-US"/>
              </w:rPr>
            </w:pPr>
          </w:p>
        </w:tc>
      </w:tr>
      <w:tr w:rsidR="007450DC" w:rsidRPr="005168FB" w14:paraId="50EF066A" w14:textId="77777777" w:rsidTr="007450DC">
        <w:trPr>
          <w:trHeight w:val="390"/>
        </w:trPr>
        <w:tc>
          <w:tcPr>
            <w:tcW w:w="1602" w:type="dxa"/>
          </w:tcPr>
          <w:p w14:paraId="04AD5A2C" w14:textId="24CB3AE1" w:rsidR="007450DC" w:rsidRPr="005567D2" w:rsidRDefault="007450DC" w:rsidP="007505CB">
            <w:pPr>
              <w:spacing w:line="240" w:lineRule="auto"/>
              <w:rPr>
                <w:lang w:val="en-GB"/>
              </w:rPr>
            </w:pPr>
          </w:p>
        </w:tc>
        <w:tc>
          <w:tcPr>
            <w:tcW w:w="1768" w:type="dxa"/>
          </w:tcPr>
          <w:p w14:paraId="03535B39" w14:textId="53D5D911" w:rsidR="007450DC" w:rsidRPr="005567D2" w:rsidRDefault="007450DC" w:rsidP="007505CB">
            <w:pPr>
              <w:spacing w:line="240" w:lineRule="auto"/>
              <w:jc w:val="center"/>
            </w:pPr>
            <w:r w:rsidRPr="005567D2">
              <w:t>Meta</w:t>
            </w:r>
          </w:p>
        </w:tc>
        <w:tc>
          <w:tcPr>
            <w:tcW w:w="2265" w:type="dxa"/>
          </w:tcPr>
          <w:p w14:paraId="1978F614" w14:textId="714C795A" w:rsidR="007450DC" w:rsidRPr="00A4638E" w:rsidRDefault="007450DC" w:rsidP="00A4638E">
            <w:pPr>
              <w:spacing w:line="240" w:lineRule="auto"/>
              <w:jc w:val="center"/>
              <w:rPr>
                <w:lang w:val="en-GB"/>
              </w:rPr>
            </w:pPr>
            <w:proofErr w:type="spellStart"/>
            <w:r w:rsidRPr="005567D2">
              <w:rPr>
                <w:lang w:val="en-GB"/>
              </w:rPr>
              <w:t>Rozporządzenie</w:t>
            </w:r>
            <w:proofErr w:type="spellEnd"/>
            <w:r w:rsidRPr="005567D2">
              <w:rPr>
                <w:lang w:val="en-GB"/>
              </w:rPr>
              <w:t xml:space="preserve"> 2024/1689 </w:t>
            </w:r>
          </w:p>
          <w:p w14:paraId="3EDD62C2" w14:textId="13E4B0B8" w:rsidR="007450DC" w:rsidRPr="005567D2" w:rsidRDefault="007450DC" w:rsidP="007505CB">
            <w:pPr>
              <w:spacing w:line="240" w:lineRule="auto"/>
              <w:jc w:val="center"/>
            </w:pPr>
            <w:r w:rsidRPr="005567D2">
              <w:rPr>
                <w:lang w:val="en-GB"/>
              </w:rPr>
              <w:t>(„AI Act”)</w:t>
            </w:r>
          </w:p>
          <w:p w14:paraId="007E765C" w14:textId="2864B8A9" w:rsidR="007450DC" w:rsidRPr="005567D2" w:rsidRDefault="007450DC" w:rsidP="007505CB">
            <w:pPr>
              <w:spacing w:line="240" w:lineRule="auto"/>
              <w:jc w:val="center"/>
              <w:rPr>
                <w:lang w:val="en-GB"/>
              </w:rPr>
            </w:pPr>
          </w:p>
          <w:p w14:paraId="3A6D1F4F" w14:textId="36BFAEF1" w:rsidR="007450DC" w:rsidRPr="00A4638E" w:rsidRDefault="007450DC" w:rsidP="007505CB">
            <w:pPr>
              <w:spacing w:line="240" w:lineRule="auto"/>
              <w:jc w:val="center"/>
              <w:rPr>
                <w:lang w:val="en-GB"/>
              </w:rPr>
            </w:pPr>
            <w:r w:rsidRPr="369C09EE">
              <w:rPr>
                <w:lang w:val="en-GB"/>
              </w:rPr>
              <w:t>Art. 113</w:t>
            </w:r>
          </w:p>
          <w:p w14:paraId="33C63D8F" w14:textId="3551F529" w:rsidR="007450DC" w:rsidRPr="005567D2" w:rsidRDefault="007450DC" w:rsidP="007505CB">
            <w:pPr>
              <w:spacing w:line="240" w:lineRule="auto"/>
              <w:jc w:val="center"/>
              <w:rPr>
                <w:lang w:val="en-GB"/>
              </w:rPr>
            </w:pPr>
          </w:p>
        </w:tc>
        <w:tc>
          <w:tcPr>
            <w:tcW w:w="10100" w:type="dxa"/>
          </w:tcPr>
          <w:p w14:paraId="0B9E02FB" w14:textId="0427398C" w:rsidR="007450DC" w:rsidRPr="005567D2" w:rsidRDefault="007450DC" w:rsidP="007505CB">
            <w:pPr>
              <w:spacing w:line="240" w:lineRule="auto"/>
              <w:jc w:val="both"/>
              <w:rPr>
                <w:rFonts w:ascii="Aptos" w:eastAsia="Aptos" w:hAnsi="Aptos" w:cs="Aptos"/>
                <w:lang w:val="en-US"/>
              </w:rPr>
            </w:pPr>
            <w:r w:rsidRPr="005567D2">
              <w:rPr>
                <w:rFonts w:ascii="Aptos" w:eastAsia="Aptos" w:hAnsi="Aptos" w:cs="Aptos"/>
                <w:lang w:val="en-US"/>
              </w:rPr>
              <w:t>Postponing only the High-Risk regime in the AI Act acknowledges implementation pressures but fails to address the broader compliance burden and persistent legal uncertainty for businesses in the EU. These challenges extend beyond High-Risk systems to GPAIM provisions, where the rules blur the line between model development and system use, diverging from the principle that risk should be managed at the point of use.</w:t>
            </w:r>
          </w:p>
          <w:p w14:paraId="357F140D" w14:textId="4C0AD127" w:rsidR="007450DC" w:rsidRPr="005567D2" w:rsidRDefault="007450DC" w:rsidP="007505CB">
            <w:pPr>
              <w:spacing w:line="240" w:lineRule="auto"/>
              <w:jc w:val="both"/>
              <w:rPr>
                <w:rFonts w:ascii="Aptos" w:eastAsia="Aptos" w:hAnsi="Aptos" w:cs="Aptos"/>
                <w:lang w:val="en-US"/>
              </w:rPr>
            </w:pPr>
            <w:r w:rsidRPr="005567D2">
              <w:rPr>
                <w:rFonts w:ascii="Aptos" w:eastAsia="Aptos" w:hAnsi="Aptos" w:cs="Aptos"/>
                <w:lang w:val="en-US"/>
              </w:rPr>
              <w:t>Limiting the postponement of the AI Act to the High-Risk regime risks undermining the effectiveness of the legislative process. Extending the</w:t>
            </w:r>
            <w:r w:rsidRPr="005567D2">
              <w:rPr>
                <w:rFonts w:ascii="Aptos" w:eastAsia="Aptos" w:hAnsi="Aptos" w:cs="Aptos"/>
                <w:i/>
                <w:iCs/>
                <w:lang w:val="en-US"/>
              </w:rPr>
              <w:t xml:space="preserve"> </w:t>
            </w:r>
            <w:r w:rsidRPr="005567D2">
              <w:rPr>
                <w:rFonts w:ascii="Aptos" w:eastAsia="Aptos" w:hAnsi="Aptos" w:cs="Aptos"/>
                <w:lang w:val="en-US"/>
              </w:rPr>
              <w:t>grace period to GPAIM provisions is essential for legal certainty and a truly risk-based approach.”</w:t>
            </w:r>
          </w:p>
          <w:p w14:paraId="4E6F0AE9" w14:textId="4B336DC6" w:rsidR="007450DC" w:rsidRPr="005567D2" w:rsidRDefault="007450DC" w:rsidP="007505CB">
            <w:pPr>
              <w:spacing w:line="240" w:lineRule="auto"/>
              <w:jc w:val="both"/>
              <w:rPr>
                <w:rFonts w:ascii="Aptos" w:eastAsia="Aptos" w:hAnsi="Aptos" w:cs="Aptos"/>
                <w:lang w:val="en-US"/>
              </w:rPr>
            </w:pPr>
            <w:r w:rsidRPr="005567D2">
              <w:rPr>
                <w:rFonts w:ascii="Aptos" w:eastAsia="Aptos" w:hAnsi="Aptos" w:cs="Aptos"/>
                <w:lang w:val="en-US"/>
              </w:rPr>
              <w:t>The current GPAIM framework conflates model development with system deployment, complicating risk management and threatening regulatory stability. As such, the omnibus needs to broaden the grace period to also include the start of enforcement of the GPAIM rules to ensure consistency.</w:t>
            </w:r>
          </w:p>
          <w:p w14:paraId="59D3C3E0" w14:textId="35DFD213" w:rsidR="007450DC" w:rsidRDefault="007450DC" w:rsidP="007505CB">
            <w:pPr>
              <w:spacing w:line="240" w:lineRule="auto"/>
              <w:jc w:val="both"/>
              <w:rPr>
                <w:rFonts w:ascii="Aptos" w:eastAsia="Aptos" w:hAnsi="Aptos" w:cs="Aptos"/>
                <w:lang w:val="en-US"/>
              </w:rPr>
            </w:pPr>
            <w:r w:rsidRPr="005567D2">
              <w:rPr>
                <w:rFonts w:ascii="Aptos" w:eastAsia="Aptos" w:hAnsi="Aptos" w:cs="Aptos"/>
                <w:lang w:val="en-US"/>
              </w:rPr>
              <w:t>We call for</w:t>
            </w:r>
            <w:r>
              <w:rPr>
                <w:rFonts w:ascii="Aptos" w:eastAsia="Aptos" w:hAnsi="Aptos" w:cs="Aptos"/>
                <w:lang w:val="en-US"/>
              </w:rPr>
              <w:t xml:space="preserve"> e</w:t>
            </w:r>
            <w:r w:rsidRPr="005567D2">
              <w:rPr>
                <w:rFonts w:ascii="Aptos" w:eastAsia="Aptos" w:hAnsi="Aptos" w:cs="Aptos"/>
                <w:lang w:val="en-US"/>
              </w:rPr>
              <w:t>xtending the grace period to also cover the enforcement of the GPAIM rules by introducing a new point (b) to Article 113. This new provision would specify that Chapter III, Section 4, Chapter V, Chapter VII, Chapter XII, and Article 78 shall apply from 2 August 2025, with the exception of Article 101, which shall apply from the same date on which the high-risk regime enters into force, i.e. no earlier than 2 August 2027.</w:t>
            </w:r>
          </w:p>
          <w:p w14:paraId="7BD864A9" w14:textId="77777777" w:rsidR="007450DC" w:rsidRPr="005567D2" w:rsidRDefault="007450DC" w:rsidP="007505CB">
            <w:pPr>
              <w:spacing w:line="240" w:lineRule="auto"/>
              <w:jc w:val="both"/>
              <w:rPr>
                <w:rFonts w:ascii="Aptos" w:eastAsia="Aptos" w:hAnsi="Aptos" w:cs="Aptos"/>
                <w:lang w:val="en-US"/>
              </w:rPr>
            </w:pPr>
          </w:p>
          <w:p w14:paraId="2148EDDE" w14:textId="00A22785" w:rsidR="007450DC" w:rsidRPr="005168FB" w:rsidRDefault="007450DC" w:rsidP="007505CB">
            <w:pPr>
              <w:spacing w:line="240" w:lineRule="auto"/>
              <w:jc w:val="both"/>
              <w:rPr>
                <w:lang w:val="en-GB"/>
              </w:rPr>
            </w:pPr>
            <w:r w:rsidRPr="005567D2">
              <w:rPr>
                <w:rFonts w:ascii="Aptos" w:eastAsia="Aptos" w:hAnsi="Aptos" w:cs="Aptos"/>
                <w:b/>
                <w:bCs/>
                <w:lang w:val="en-US"/>
              </w:rPr>
              <w:t>“Stop the Clock” on High Risk Regime:</w:t>
            </w:r>
          </w:p>
          <w:p w14:paraId="55EA1796" w14:textId="6F9E0504" w:rsidR="007450DC" w:rsidRPr="005567D2" w:rsidRDefault="007450DC" w:rsidP="007505CB">
            <w:pPr>
              <w:spacing w:line="240" w:lineRule="auto"/>
              <w:jc w:val="both"/>
              <w:rPr>
                <w:rFonts w:ascii="Aptos" w:eastAsia="Aptos" w:hAnsi="Aptos" w:cs="Aptos"/>
                <w:lang w:val="en-US"/>
              </w:rPr>
            </w:pPr>
            <w:r w:rsidRPr="005567D2">
              <w:rPr>
                <w:rFonts w:ascii="Aptos" w:eastAsia="Aptos" w:hAnsi="Aptos" w:cs="Aptos"/>
                <w:lang w:val="en-US"/>
              </w:rPr>
              <w:lastRenderedPageBreak/>
              <w:t>The final Omnibus report on the AI Act introduces a grace period for high-risk AI systems, contingent on the Commission’s confirmation that supporting measures, such as standards or guidelines, are in place. If confirmation is delayed, the rules will automatically apply by the final deadlines: 2 December 2027 for Annex III systems and 2 August 2028 for Annex I systems. While this flexible timeline aims to accommodate the development of standards, it creates significant legal uncertainty for businesses and regulators, as the trigger for Commission confirmation remains unclear and the staggered start dates complicate compliance planning.</w:t>
            </w:r>
          </w:p>
          <w:p w14:paraId="049FBDC0" w14:textId="3E72D0C3" w:rsidR="007450DC" w:rsidRPr="005567D2" w:rsidRDefault="007450DC" w:rsidP="007505CB">
            <w:pPr>
              <w:spacing w:line="240" w:lineRule="auto"/>
              <w:jc w:val="both"/>
              <w:rPr>
                <w:rFonts w:ascii="Aptos" w:eastAsia="Aptos" w:hAnsi="Aptos" w:cs="Aptos"/>
                <w:lang w:val="en-US"/>
              </w:rPr>
            </w:pPr>
            <w:r w:rsidRPr="005567D2">
              <w:rPr>
                <w:rFonts w:ascii="Aptos" w:eastAsia="Aptos" w:hAnsi="Aptos" w:cs="Aptos"/>
                <w:lang w:val="en-US"/>
              </w:rPr>
              <w:t>To address these challenges, the Commission should replace the current conditional and staggered grace periods with a single, fixed</w:t>
            </w:r>
            <w:r w:rsidRPr="005567D2">
              <w:rPr>
                <w:rFonts w:ascii="Aptos" w:eastAsia="Aptos" w:hAnsi="Aptos" w:cs="Aptos"/>
                <w:i/>
                <w:iCs/>
                <w:lang w:val="en-US"/>
              </w:rPr>
              <w:t xml:space="preserve"> </w:t>
            </w:r>
            <w:r w:rsidRPr="005567D2">
              <w:rPr>
                <w:rFonts w:ascii="Aptos" w:eastAsia="Aptos" w:hAnsi="Aptos" w:cs="Aptos"/>
                <w:lang w:val="en-US"/>
              </w:rPr>
              <w:t>deadline for all high-risk AI systems under Annex I and Annex III. This approach would provide legal certainty, administrative simplicity, and efficient implementation, enabling all stakeholders to prepare for compliance with a clear and predictable timeline.</w:t>
            </w:r>
          </w:p>
          <w:p w14:paraId="1E004486" w14:textId="7D88679E" w:rsidR="007450DC" w:rsidRPr="005567D2" w:rsidRDefault="007450DC" w:rsidP="007505CB">
            <w:pPr>
              <w:spacing w:line="240" w:lineRule="auto"/>
              <w:jc w:val="both"/>
              <w:rPr>
                <w:rFonts w:ascii="Aptos" w:eastAsia="Aptos" w:hAnsi="Aptos" w:cs="Aptos"/>
                <w:lang w:val="en-US"/>
              </w:rPr>
            </w:pPr>
            <w:r w:rsidRPr="005567D2">
              <w:rPr>
                <w:rFonts w:ascii="Aptos" w:eastAsia="Aptos" w:hAnsi="Aptos" w:cs="Aptos"/>
                <w:lang w:val="en-US"/>
              </w:rPr>
              <w:t>However, the proposed one-year grace period is likely insufficient, given that relevant standards are not expected to be published before the end of 2026. This would leave stakeholders with only a limited window to achieve compliance before the August 2027 deadline, raising concerns about the adequacy of the lead time provided.</w:t>
            </w:r>
          </w:p>
          <w:p w14:paraId="7781A329" w14:textId="77777777" w:rsidR="007450DC" w:rsidRDefault="007450DC" w:rsidP="007505CB">
            <w:pPr>
              <w:spacing w:line="240" w:lineRule="auto"/>
              <w:jc w:val="both"/>
              <w:rPr>
                <w:rFonts w:ascii="Aptos" w:eastAsia="Aptos" w:hAnsi="Aptos" w:cs="Aptos"/>
                <w:lang w:val="en-US"/>
              </w:rPr>
            </w:pPr>
            <w:r w:rsidRPr="005567D2">
              <w:rPr>
                <w:rFonts w:ascii="Aptos" w:eastAsia="Aptos" w:hAnsi="Aptos" w:cs="Aptos"/>
                <w:lang w:val="en-US"/>
              </w:rPr>
              <w:t>We call for</w:t>
            </w:r>
            <w:r>
              <w:rPr>
                <w:rFonts w:ascii="Aptos" w:eastAsia="Aptos" w:hAnsi="Aptos" w:cs="Aptos"/>
                <w:lang w:val="en-US"/>
              </w:rPr>
              <w:t xml:space="preserve"> s</w:t>
            </w:r>
            <w:r w:rsidRPr="005567D2">
              <w:rPr>
                <w:rFonts w:ascii="Aptos" w:eastAsia="Aptos" w:hAnsi="Aptos" w:cs="Aptos"/>
                <w:lang w:val="en-US"/>
              </w:rPr>
              <w:t xml:space="preserve">etting a single, fixed application date for the high-risk AI obligations, with a realistic lead time after the relevant standards have been </w:t>
            </w:r>
            <w:proofErr w:type="spellStart"/>
            <w:r w:rsidRPr="005567D2">
              <w:rPr>
                <w:rFonts w:ascii="Aptos" w:eastAsia="Aptos" w:hAnsi="Aptos" w:cs="Aptos"/>
                <w:lang w:val="en-US"/>
              </w:rPr>
              <w:t>finalised</w:t>
            </w:r>
            <w:proofErr w:type="spellEnd"/>
            <w:r w:rsidRPr="005567D2">
              <w:rPr>
                <w:rFonts w:ascii="Aptos" w:eastAsia="Aptos" w:hAnsi="Aptos" w:cs="Aptos"/>
                <w:lang w:val="en-US"/>
              </w:rPr>
              <w:t>. This should be achieved by introducing a new third paragraph, point (d), to Article 113, providing that the provisions of the Regulation relating to high-risk AI systems, as listed in Annex I and Annex III, will apply six months after the necessary standards are in place, and in any case not before 2 August 2027.</w:t>
            </w:r>
          </w:p>
          <w:p w14:paraId="7FD8DA68" w14:textId="2F7C1602" w:rsidR="007450DC" w:rsidRPr="005567D2" w:rsidRDefault="007450DC" w:rsidP="007505CB">
            <w:pPr>
              <w:spacing w:line="240" w:lineRule="auto"/>
              <w:jc w:val="both"/>
              <w:rPr>
                <w:rFonts w:ascii="Aptos" w:eastAsia="Aptos" w:hAnsi="Aptos" w:cs="Aptos"/>
                <w:lang w:val="en-US"/>
              </w:rPr>
            </w:pPr>
          </w:p>
        </w:tc>
      </w:tr>
      <w:tr w:rsidR="007450DC" w:rsidRPr="005168FB" w14:paraId="12FE2D8A" w14:textId="77777777" w:rsidTr="007450DC">
        <w:tc>
          <w:tcPr>
            <w:tcW w:w="1602" w:type="dxa"/>
          </w:tcPr>
          <w:p w14:paraId="37BA0022" w14:textId="77777777" w:rsidR="007450DC" w:rsidRPr="00A4638E" w:rsidRDefault="007450DC" w:rsidP="00A4638E">
            <w:pPr>
              <w:spacing w:line="240" w:lineRule="auto"/>
              <w:rPr>
                <w:lang w:val="en-GB"/>
              </w:rPr>
            </w:pPr>
          </w:p>
        </w:tc>
        <w:tc>
          <w:tcPr>
            <w:tcW w:w="1768" w:type="dxa"/>
          </w:tcPr>
          <w:p w14:paraId="75A3EB4B" w14:textId="34FD3BE5" w:rsidR="007450DC" w:rsidRPr="005168FB" w:rsidRDefault="007450DC" w:rsidP="007505CB">
            <w:pPr>
              <w:spacing w:line="240" w:lineRule="auto"/>
              <w:jc w:val="center"/>
            </w:pPr>
            <w:r>
              <w:t>Związek Cyfrowa Polska</w:t>
            </w:r>
          </w:p>
        </w:tc>
        <w:tc>
          <w:tcPr>
            <w:tcW w:w="2265" w:type="dxa"/>
          </w:tcPr>
          <w:p w14:paraId="623EB9C8" w14:textId="77777777" w:rsidR="007450DC" w:rsidRPr="00A4638E" w:rsidRDefault="007450DC" w:rsidP="008F2CB0">
            <w:pPr>
              <w:spacing w:line="240" w:lineRule="auto"/>
              <w:jc w:val="center"/>
              <w:rPr>
                <w:lang w:val="en-GB"/>
              </w:rPr>
            </w:pPr>
            <w:proofErr w:type="spellStart"/>
            <w:r w:rsidRPr="005567D2">
              <w:rPr>
                <w:lang w:val="en-GB"/>
              </w:rPr>
              <w:t>Rozporządzenie</w:t>
            </w:r>
            <w:proofErr w:type="spellEnd"/>
            <w:r w:rsidRPr="005567D2">
              <w:rPr>
                <w:lang w:val="en-GB"/>
              </w:rPr>
              <w:t xml:space="preserve"> 2024/1689 </w:t>
            </w:r>
          </w:p>
          <w:p w14:paraId="1B6A1C41" w14:textId="77777777" w:rsidR="007450DC" w:rsidRPr="005567D2" w:rsidRDefault="007450DC" w:rsidP="008F2CB0">
            <w:pPr>
              <w:spacing w:line="240" w:lineRule="auto"/>
              <w:jc w:val="center"/>
            </w:pPr>
            <w:r w:rsidRPr="005567D2">
              <w:rPr>
                <w:lang w:val="en-GB"/>
              </w:rPr>
              <w:t>(„AI Act”)</w:t>
            </w:r>
          </w:p>
          <w:p w14:paraId="50CAA0FC" w14:textId="77777777" w:rsidR="007450DC" w:rsidRPr="005567D2" w:rsidRDefault="007450DC" w:rsidP="008F2CB0">
            <w:pPr>
              <w:spacing w:line="240" w:lineRule="auto"/>
              <w:jc w:val="center"/>
              <w:rPr>
                <w:lang w:val="en-GB"/>
              </w:rPr>
            </w:pPr>
          </w:p>
          <w:p w14:paraId="088EC64E" w14:textId="77777777" w:rsidR="007450DC" w:rsidRPr="00A4638E" w:rsidRDefault="007450DC" w:rsidP="008F2CB0">
            <w:pPr>
              <w:spacing w:line="240" w:lineRule="auto"/>
              <w:jc w:val="center"/>
              <w:rPr>
                <w:lang w:val="en-GB"/>
              </w:rPr>
            </w:pPr>
            <w:r w:rsidRPr="369C09EE">
              <w:rPr>
                <w:lang w:val="en-GB"/>
              </w:rPr>
              <w:t>Art. 113</w:t>
            </w:r>
          </w:p>
          <w:p w14:paraId="2C869F5F" w14:textId="77777777" w:rsidR="007450DC" w:rsidRPr="369C09EE" w:rsidRDefault="007450DC" w:rsidP="369C09EE">
            <w:pPr>
              <w:spacing w:line="240" w:lineRule="auto"/>
              <w:jc w:val="center"/>
              <w:rPr>
                <w:lang w:val="en-GB"/>
              </w:rPr>
            </w:pPr>
          </w:p>
        </w:tc>
        <w:tc>
          <w:tcPr>
            <w:tcW w:w="10100" w:type="dxa"/>
          </w:tcPr>
          <w:p w14:paraId="69F1D6CD" w14:textId="77777777" w:rsidR="007450DC" w:rsidRPr="008F2CB0" w:rsidRDefault="007450DC" w:rsidP="008F2CB0">
            <w:pPr>
              <w:spacing w:line="240" w:lineRule="auto"/>
              <w:jc w:val="both"/>
            </w:pPr>
            <w:r w:rsidRPr="008F2CB0">
              <w:t xml:space="preserve">Pewny punkt odniesienia dla systemów wysokiego ryzyka (art. 113): Powiązanie terminu w zakresie zgodności z decyzjami administracyjnymi dotyczącymi norm nie pozwala na stosowne planowanie po stronie przedsiębiorstw. Termin na dostosowanie się do wymagań powinien być jasno określony i znany z góry, aby zagwarantować przewidywalność prawa. Proponujemy wyznaczenie następujących terminów: grudzień 2027 r. dla załącznika III i sierpień 2028 r. dla załącznika I. </w:t>
            </w:r>
          </w:p>
          <w:p w14:paraId="439CD48E" w14:textId="77777777" w:rsidR="007450DC" w:rsidRPr="009139DA" w:rsidRDefault="007450DC" w:rsidP="00F34E81">
            <w:pPr>
              <w:spacing w:line="240" w:lineRule="auto"/>
              <w:jc w:val="both"/>
            </w:pPr>
          </w:p>
        </w:tc>
      </w:tr>
      <w:tr w:rsidR="007450DC" w:rsidRPr="005168FB" w14:paraId="3CCB1D73" w14:textId="77777777" w:rsidTr="007450DC">
        <w:tc>
          <w:tcPr>
            <w:tcW w:w="1602" w:type="dxa"/>
          </w:tcPr>
          <w:p w14:paraId="0510C9A0" w14:textId="77777777" w:rsidR="007450DC" w:rsidRPr="00A4638E" w:rsidRDefault="007450DC" w:rsidP="00A4638E">
            <w:pPr>
              <w:spacing w:line="240" w:lineRule="auto"/>
              <w:rPr>
                <w:lang w:val="en-GB"/>
              </w:rPr>
            </w:pPr>
          </w:p>
        </w:tc>
        <w:tc>
          <w:tcPr>
            <w:tcW w:w="1768" w:type="dxa"/>
          </w:tcPr>
          <w:p w14:paraId="7013B7B1" w14:textId="42D4EB3A" w:rsidR="007450DC" w:rsidRPr="005168FB" w:rsidRDefault="007450DC" w:rsidP="007505CB">
            <w:pPr>
              <w:spacing w:line="240" w:lineRule="auto"/>
              <w:jc w:val="center"/>
            </w:pPr>
            <w:r w:rsidRPr="005168FB">
              <w:t xml:space="preserve">Krajowa Izba Gospodarcza </w:t>
            </w:r>
            <w:r>
              <w:t>Elektroniki Telekomunikacji</w:t>
            </w:r>
          </w:p>
        </w:tc>
        <w:tc>
          <w:tcPr>
            <w:tcW w:w="2265" w:type="dxa"/>
          </w:tcPr>
          <w:p w14:paraId="57FF2159" w14:textId="1F6DB2A5" w:rsidR="007450DC" w:rsidRDefault="007450DC" w:rsidP="369C09EE">
            <w:pPr>
              <w:spacing w:line="240" w:lineRule="auto"/>
              <w:jc w:val="center"/>
              <w:rPr>
                <w:lang w:val="en-GB"/>
              </w:rPr>
            </w:pPr>
            <w:proofErr w:type="spellStart"/>
            <w:r w:rsidRPr="369C09EE">
              <w:rPr>
                <w:lang w:val="en-GB"/>
              </w:rPr>
              <w:t>Rozporządzenie</w:t>
            </w:r>
            <w:proofErr w:type="spellEnd"/>
            <w:r w:rsidRPr="369C09EE">
              <w:rPr>
                <w:lang w:val="en-GB"/>
              </w:rPr>
              <w:t xml:space="preserve"> 2024/1689  </w:t>
            </w:r>
          </w:p>
          <w:p w14:paraId="36939540" w14:textId="13E4B0B8" w:rsidR="007450DC" w:rsidRDefault="007450DC" w:rsidP="369C09EE">
            <w:pPr>
              <w:spacing w:line="240" w:lineRule="auto"/>
              <w:jc w:val="center"/>
            </w:pPr>
            <w:r w:rsidRPr="369C09EE">
              <w:rPr>
                <w:lang w:val="en-GB"/>
              </w:rPr>
              <w:t>(„AI Act”)</w:t>
            </w:r>
          </w:p>
          <w:p w14:paraId="56CD5FD1" w14:textId="5C168BE8" w:rsidR="007450DC" w:rsidRDefault="007450DC" w:rsidP="369C09EE">
            <w:pPr>
              <w:spacing w:line="240" w:lineRule="auto"/>
              <w:jc w:val="center"/>
            </w:pPr>
          </w:p>
          <w:p w14:paraId="3F7B06D3" w14:textId="393F7113" w:rsidR="007450DC" w:rsidRPr="005168FB" w:rsidRDefault="007450DC" w:rsidP="000F590B">
            <w:pPr>
              <w:spacing w:line="240" w:lineRule="auto"/>
              <w:jc w:val="center"/>
            </w:pPr>
            <w:r>
              <w:t>Załącznik I lub III</w:t>
            </w:r>
          </w:p>
        </w:tc>
        <w:tc>
          <w:tcPr>
            <w:tcW w:w="10100" w:type="dxa"/>
          </w:tcPr>
          <w:p w14:paraId="1C6C2BD3" w14:textId="77777777" w:rsidR="007450DC" w:rsidRDefault="007450DC" w:rsidP="00F34E81">
            <w:pPr>
              <w:spacing w:line="240" w:lineRule="auto"/>
              <w:jc w:val="both"/>
            </w:pPr>
            <w:proofErr w:type="spellStart"/>
            <w:r w:rsidRPr="009139DA">
              <w:t>KIGEiT</w:t>
            </w:r>
            <w:proofErr w:type="spellEnd"/>
            <w:r w:rsidRPr="009139DA">
              <w:t xml:space="preserve"> popiera wszelkie rozwiązania, które ograniczają obciążenia regulacyjne dla przedsiębiorstw rozwijających i wdrażających systemy sztucznej inteligencji. Kluczowe jest jednak, aby proces regulacyjny nie prowadził do wzrostu niepewności prawnej – szczególnie w zakresie harmonogramu wdrożenia nowych wymagań dla systemów AI wysokiego ryzyka. Żeby nowe przepisy odniosły skutek powinny być wprowadzone bardzo szybko, zanim wejdą w życie obowiązki przewidziane w AIA dla systemów wysokiego ryzyka. </w:t>
            </w:r>
            <w:r w:rsidRPr="00A801D2">
              <w:rPr>
                <w:b/>
              </w:rPr>
              <w:t xml:space="preserve">Proponowane obecnie zróżnicowane okresy przejściowe (6 lub 12 miesięcy w zależności od </w:t>
            </w:r>
            <w:r w:rsidRPr="00A801D2">
              <w:rPr>
                <w:b/>
              </w:rPr>
              <w:lastRenderedPageBreak/>
              <w:t xml:space="preserve">typu systemu, określonego w Załączniku I lub III) mogą wprowadzać dodatkowe komplikacje i niejasności. </w:t>
            </w:r>
            <w:proofErr w:type="spellStart"/>
            <w:r w:rsidRPr="00A801D2">
              <w:rPr>
                <w:b/>
              </w:rPr>
              <w:t>KIGEiT</w:t>
            </w:r>
            <w:proofErr w:type="spellEnd"/>
            <w:r w:rsidRPr="00A801D2">
              <w:rPr>
                <w:b/>
              </w:rPr>
              <w:t xml:space="preserve"> rekomenduje wprowadzenie jednolitego, 12-miesięcznego okresu przejściowego dla wszystkich systemów, co uprości wdrożenie przepisów i zwiększy przewidywalność dla przedsiębiorców. </w:t>
            </w:r>
          </w:p>
          <w:p w14:paraId="4E5F31ED" w14:textId="77777777" w:rsidR="007450DC" w:rsidRPr="00F34E81" w:rsidRDefault="007450DC" w:rsidP="00F34E81">
            <w:pPr>
              <w:spacing w:line="240" w:lineRule="auto"/>
              <w:jc w:val="both"/>
            </w:pPr>
          </w:p>
          <w:p w14:paraId="7001D87C" w14:textId="77777777" w:rsidR="007450DC" w:rsidRDefault="007450DC" w:rsidP="007505CB">
            <w:pPr>
              <w:spacing w:line="240" w:lineRule="auto"/>
              <w:jc w:val="both"/>
            </w:pPr>
            <w:r w:rsidRPr="00F34E81">
              <w:t>Kluczowe jest również, aby wymagania dotyczące AI wysokiego ryzyka obowiązywały dopiero po opracowaniu odpowiednich standardów technicznych i wytycznych, które zapewnią praktyczną możliwość dostosowania się firm do nowych regulacji. Tylko sprawny, transparentny i przewidywalny proces legislacyjny pozwoli uniknąć negatywnych skutków dla innowacyjności i konkurencyjności europejskich przedsiębiorstw.</w:t>
            </w:r>
          </w:p>
          <w:p w14:paraId="6DC19A80" w14:textId="793D2796" w:rsidR="007450DC" w:rsidRPr="005168FB" w:rsidRDefault="007450DC" w:rsidP="007505CB">
            <w:pPr>
              <w:spacing w:line="240" w:lineRule="auto"/>
              <w:jc w:val="both"/>
            </w:pPr>
          </w:p>
        </w:tc>
      </w:tr>
      <w:tr w:rsidR="007450DC" w:rsidRPr="003E5A6B" w14:paraId="1E0DAA07" w14:textId="77777777" w:rsidTr="007450DC">
        <w:tc>
          <w:tcPr>
            <w:tcW w:w="1602" w:type="dxa"/>
          </w:tcPr>
          <w:p w14:paraId="3B006AA6" w14:textId="77777777" w:rsidR="007450DC" w:rsidRPr="00A4638E" w:rsidRDefault="007450DC" w:rsidP="00A4638E">
            <w:pPr>
              <w:spacing w:line="240" w:lineRule="auto"/>
              <w:rPr>
                <w:lang w:val="en-GB"/>
              </w:rPr>
            </w:pPr>
          </w:p>
        </w:tc>
        <w:tc>
          <w:tcPr>
            <w:tcW w:w="1768" w:type="dxa"/>
          </w:tcPr>
          <w:p w14:paraId="1A0845E3" w14:textId="63B5B703" w:rsidR="007450DC" w:rsidRPr="005168FB" w:rsidRDefault="007450DC" w:rsidP="007505CB">
            <w:pPr>
              <w:spacing w:line="240" w:lineRule="auto"/>
              <w:jc w:val="center"/>
            </w:pPr>
            <w:r>
              <w:t>Amerykańska Izba Handlowa w Polsce</w:t>
            </w:r>
          </w:p>
        </w:tc>
        <w:tc>
          <w:tcPr>
            <w:tcW w:w="2265" w:type="dxa"/>
          </w:tcPr>
          <w:p w14:paraId="7A58ED26" w14:textId="2981C301" w:rsidR="007450DC" w:rsidRDefault="007450DC" w:rsidP="369C09EE">
            <w:pPr>
              <w:spacing w:line="240" w:lineRule="auto"/>
              <w:jc w:val="center"/>
            </w:pPr>
            <w:r>
              <w:t>Rozporządzenie</w:t>
            </w:r>
          </w:p>
          <w:p w14:paraId="5225A793" w14:textId="1700F06B" w:rsidR="007450DC" w:rsidRDefault="007450DC" w:rsidP="369C09EE">
            <w:pPr>
              <w:spacing w:line="240" w:lineRule="auto"/>
              <w:jc w:val="center"/>
            </w:pPr>
            <w:r>
              <w:t xml:space="preserve">2024/1689   </w:t>
            </w:r>
          </w:p>
          <w:p w14:paraId="40D66BC1" w14:textId="4808D7DF" w:rsidR="007450DC" w:rsidRDefault="007450DC" w:rsidP="369C09EE">
            <w:pPr>
              <w:spacing w:line="240" w:lineRule="auto"/>
              <w:jc w:val="center"/>
            </w:pPr>
            <w:r>
              <w:t xml:space="preserve">(„AI </w:t>
            </w:r>
            <w:proofErr w:type="spellStart"/>
            <w:r>
              <w:t>Act</w:t>
            </w:r>
            <w:proofErr w:type="spellEnd"/>
            <w:r>
              <w:t>”)</w:t>
            </w:r>
          </w:p>
          <w:p w14:paraId="302A79C3" w14:textId="3657412C" w:rsidR="007450DC" w:rsidRDefault="007450DC" w:rsidP="369C09EE">
            <w:pPr>
              <w:spacing w:line="240" w:lineRule="auto"/>
              <w:jc w:val="center"/>
            </w:pPr>
          </w:p>
          <w:p w14:paraId="4A6DD84D" w14:textId="7D4462D3" w:rsidR="007450DC" w:rsidRDefault="007450DC" w:rsidP="369C09EE">
            <w:pPr>
              <w:spacing w:line="240" w:lineRule="auto"/>
              <w:jc w:val="center"/>
            </w:pPr>
            <w:r>
              <w:t>Załącznik I lub III</w:t>
            </w:r>
          </w:p>
        </w:tc>
        <w:tc>
          <w:tcPr>
            <w:tcW w:w="10100" w:type="dxa"/>
          </w:tcPr>
          <w:p w14:paraId="583037EB" w14:textId="2527B9C3" w:rsidR="007450DC" w:rsidRPr="00655A85" w:rsidRDefault="007450DC" w:rsidP="00655A85">
            <w:pPr>
              <w:spacing w:line="240" w:lineRule="auto"/>
              <w:jc w:val="both"/>
              <w:rPr>
                <w:lang w:val="en-GB"/>
              </w:rPr>
            </w:pPr>
            <w:r w:rsidRPr="00655A85">
              <w:rPr>
                <w:lang w:val="en-GB"/>
              </w:rPr>
              <w:t>The final Omnibus report on the AI Act introduces a grace period for high-risk AI systems,</w:t>
            </w:r>
            <w:r>
              <w:rPr>
                <w:lang w:val="en-GB"/>
              </w:rPr>
              <w:t xml:space="preserve"> </w:t>
            </w:r>
            <w:r w:rsidRPr="00655A85">
              <w:rPr>
                <w:lang w:val="en-GB"/>
              </w:rPr>
              <w:t>contingent on the Commission’s confirmation that supporting measures, such as standards</w:t>
            </w:r>
            <w:r>
              <w:rPr>
                <w:lang w:val="en-GB"/>
              </w:rPr>
              <w:t xml:space="preserve"> </w:t>
            </w:r>
            <w:r w:rsidRPr="00655A85">
              <w:rPr>
                <w:lang w:val="en-GB"/>
              </w:rPr>
              <w:t>or guidelines, are in place. If confirmation is delayed, the rules will automatically apply by the</w:t>
            </w:r>
            <w:r>
              <w:rPr>
                <w:lang w:val="en-GB"/>
              </w:rPr>
              <w:t xml:space="preserve"> </w:t>
            </w:r>
            <w:r w:rsidRPr="00655A85">
              <w:rPr>
                <w:lang w:val="en-GB"/>
              </w:rPr>
              <w:t>final deadlines: 2 December 2027 for Annex III systems and 2 August 2028 for Annex I</w:t>
            </w:r>
            <w:r>
              <w:rPr>
                <w:lang w:val="en-GB"/>
              </w:rPr>
              <w:t xml:space="preserve"> </w:t>
            </w:r>
            <w:r w:rsidRPr="00655A85">
              <w:rPr>
                <w:lang w:val="en-GB"/>
              </w:rPr>
              <w:t>systems. While this flexible timeline aims to accommodate the development of standards, it</w:t>
            </w:r>
            <w:r>
              <w:rPr>
                <w:lang w:val="en-GB"/>
              </w:rPr>
              <w:t xml:space="preserve"> </w:t>
            </w:r>
            <w:r w:rsidRPr="00655A85">
              <w:rPr>
                <w:lang w:val="en-GB"/>
              </w:rPr>
              <w:t>creates significant legal uncertainty for businesses and regulators, as the trigger for</w:t>
            </w:r>
          </w:p>
          <w:p w14:paraId="7DE900E3" w14:textId="2E589382" w:rsidR="007450DC" w:rsidRDefault="007450DC" w:rsidP="00655A85">
            <w:pPr>
              <w:spacing w:line="240" w:lineRule="auto"/>
              <w:jc w:val="both"/>
              <w:rPr>
                <w:lang w:val="en-GB"/>
              </w:rPr>
            </w:pPr>
            <w:r w:rsidRPr="00655A85">
              <w:rPr>
                <w:lang w:val="en-GB"/>
              </w:rPr>
              <w:t>Commission confirmation remains unclear and the staggered start dates complicate</w:t>
            </w:r>
            <w:r>
              <w:rPr>
                <w:lang w:val="en-GB"/>
              </w:rPr>
              <w:t xml:space="preserve"> </w:t>
            </w:r>
            <w:r w:rsidRPr="00655A85">
              <w:rPr>
                <w:lang w:val="en-GB"/>
              </w:rPr>
              <w:t>compliance planning.</w:t>
            </w:r>
          </w:p>
          <w:p w14:paraId="33A4B635" w14:textId="77777777" w:rsidR="007450DC" w:rsidRPr="00655A85" w:rsidRDefault="007450DC" w:rsidP="00655A85">
            <w:pPr>
              <w:spacing w:line="240" w:lineRule="auto"/>
              <w:jc w:val="both"/>
              <w:rPr>
                <w:lang w:val="en-GB"/>
              </w:rPr>
            </w:pPr>
          </w:p>
          <w:p w14:paraId="26771794" w14:textId="3A30EB8C" w:rsidR="007450DC" w:rsidRPr="00655A85" w:rsidRDefault="007450DC" w:rsidP="00655A85">
            <w:pPr>
              <w:spacing w:line="240" w:lineRule="auto"/>
              <w:jc w:val="both"/>
              <w:rPr>
                <w:lang w:val="en-GB"/>
              </w:rPr>
            </w:pPr>
            <w:r w:rsidRPr="00655A85">
              <w:rPr>
                <w:lang w:val="en-GB"/>
              </w:rPr>
              <w:t>To address these challenges, the Commission should replace the current conditional and</w:t>
            </w:r>
            <w:r>
              <w:rPr>
                <w:lang w:val="en-GB"/>
              </w:rPr>
              <w:t xml:space="preserve"> </w:t>
            </w:r>
            <w:r w:rsidRPr="00655A85">
              <w:rPr>
                <w:lang w:val="en-GB"/>
              </w:rPr>
              <w:t>staggered grace periods with a single, fixed deadline for all high-risk AI systems under Annex</w:t>
            </w:r>
            <w:r>
              <w:rPr>
                <w:lang w:val="en-GB"/>
              </w:rPr>
              <w:t xml:space="preserve"> </w:t>
            </w:r>
            <w:r w:rsidRPr="00655A85">
              <w:rPr>
                <w:lang w:val="en-GB"/>
              </w:rPr>
              <w:t>I and Annex III. This approach would provide legal certainty, administrative simplicity, and</w:t>
            </w:r>
            <w:r>
              <w:rPr>
                <w:lang w:val="en-GB"/>
              </w:rPr>
              <w:t xml:space="preserve"> </w:t>
            </w:r>
            <w:r w:rsidRPr="00655A85">
              <w:rPr>
                <w:lang w:val="en-GB"/>
              </w:rPr>
              <w:t>efficient implementation, enabling all stakeholders to prepare for compliance with a clear and</w:t>
            </w:r>
          </w:p>
          <w:p w14:paraId="41D058DD" w14:textId="77777777" w:rsidR="007450DC" w:rsidRPr="00655A85" w:rsidRDefault="007450DC" w:rsidP="00655A85">
            <w:pPr>
              <w:spacing w:line="240" w:lineRule="auto"/>
              <w:jc w:val="both"/>
              <w:rPr>
                <w:lang w:val="en-GB"/>
              </w:rPr>
            </w:pPr>
            <w:r w:rsidRPr="00655A85">
              <w:rPr>
                <w:lang w:val="en-GB"/>
              </w:rPr>
              <w:t>predictable timeline.</w:t>
            </w:r>
          </w:p>
          <w:p w14:paraId="533980FC" w14:textId="77777777" w:rsidR="007450DC" w:rsidRDefault="007450DC" w:rsidP="00655A85">
            <w:pPr>
              <w:spacing w:line="240" w:lineRule="auto"/>
              <w:jc w:val="both"/>
              <w:rPr>
                <w:lang w:val="en-GB"/>
              </w:rPr>
            </w:pPr>
          </w:p>
          <w:p w14:paraId="7421A1C9" w14:textId="5431BE09" w:rsidR="007450DC" w:rsidRPr="00655A85" w:rsidRDefault="007450DC" w:rsidP="00655A85">
            <w:pPr>
              <w:spacing w:line="240" w:lineRule="auto"/>
              <w:jc w:val="both"/>
              <w:rPr>
                <w:lang w:val="en-GB"/>
              </w:rPr>
            </w:pPr>
            <w:r w:rsidRPr="00655A85">
              <w:rPr>
                <w:lang w:val="en-GB"/>
              </w:rPr>
              <w:t>However, the proposed one-year grace period is likely insufficient, given that relevant</w:t>
            </w:r>
            <w:r>
              <w:rPr>
                <w:lang w:val="en-GB"/>
              </w:rPr>
              <w:t xml:space="preserve"> </w:t>
            </w:r>
            <w:r w:rsidRPr="00655A85">
              <w:rPr>
                <w:lang w:val="en-GB"/>
              </w:rPr>
              <w:t>standards are not expected to be published before the end of 2026. This would leave</w:t>
            </w:r>
          </w:p>
          <w:p w14:paraId="1864E6EF" w14:textId="77777777" w:rsidR="007450DC" w:rsidRDefault="007450DC" w:rsidP="00F34E81">
            <w:pPr>
              <w:spacing w:line="240" w:lineRule="auto"/>
              <w:jc w:val="both"/>
              <w:rPr>
                <w:lang w:val="en-GB"/>
              </w:rPr>
            </w:pPr>
            <w:r w:rsidRPr="00655A85">
              <w:rPr>
                <w:lang w:val="en-GB"/>
              </w:rPr>
              <w:t>stakeholders with only a limited window to achieve compliance before the August 2027</w:t>
            </w:r>
            <w:r>
              <w:rPr>
                <w:lang w:val="en-GB"/>
              </w:rPr>
              <w:t xml:space="preserve"> </w:t>
            </w:r>
            <w:r w:rsidRPr="00655A85">
              <w:rPr>
                <w:lang w:val="en-GB"/>
              </w:rPr>
              <w:t>deadline, raising concerns about the adequacy of the lead time provided.</w:t>
            </w:r>
          </w:p>
          <w:p w14:paraId="730FDCB5" w14:textId="195660E6" w:rsidR="007450DC" w:rsidRPr="00655A85" w:rsidRDefault="007450DC" w:rsidP="00F34E81">
            <w:pPr>
              <w:spacing w:line="240" w:lineRule="auto"/>
              <w:jc w:val="both"/>
              <w:rPr>
                <w:lang w:val="en-GB"/>
              </w:rPr>
            </w:pPr>
          </w:p>
        </w:tc>
      </w:tr>
      <w:tr w:rsidR="007450DC" w:rsidRPr="005567D2" w14:paraId="7883C3D0" w14:textId="77777777" w:rsidTr="007450DC">
        <w:tc>
          <w:tcPr>
            <w:tcW w:w="1602" w:type="dxa"/>
          </w:tcPr>
          <w:p w14:paraId="6951E564" w14:textId="77777777" w:rsidR="007450DC" w:rsidRPr="00A4638E" w:rsidRDefault="007450DC" w:rsidP="00A4638E">
            <w:pPr>
              <w:spacing w:line="240" w:lineRule="auto"/>
              <w:rPr>
                <w:lang w:val="en-GB"/>
              </w:rPr>
            </w:pPr>
          </w:p>
        </w:tc>
        <w:tc>
          <w:tcPr>
            <w:tcW w:w="1768" w:type="dxa"/>
          </w:tcPr>
          <w:p w14:paraId="0EAE6440" w14:textId="6E078598" w:rsidR="007450DC" w:rsidRPr="005567D2" w:rsidRDefault="007450DC" w:rsidP="007505CB">
            <w:pPr>
              <w:spacing w:line="240" w:lineRule="auto"/>
              <w:jc w:val="center"/>
            </w:pPr>
            <w:r w:rsidRPr="005567D2">
              <w:t xml:space="preserve">Ogólnopolska Izba  </w:t>
            </w:r>
            <w:r w:rsidRPr="005567D2">
              <w:lastRenderedPageBreak/>
              <w:t>Gospodarcza Wyrobów Medycznych POLMED</w:t>
            </w:r>
          </w:p>
          <w:p w14:paraId="05DA169B" w14:textId="76AAF3FA" w:rsidR="007450DC" w:rsidRPr="005567D2" w:rsidRDefault="007450DC" w:rsidP="007505CB">
            <w:pPr>
              <w:spacing w:line="240" w:lineRule="auto"/>
              <w:jc w:val="center"/>
            </w:pPr>
          </w:p>
        </w:tc>
        <w:tc>
          <w:tcPr>
            <w:tcW w:w="2265" w:type="dxa"/>
          </w:tcPr>
          <w:p w14:paraId="3F9F4A75" w14:textId="7AD468FA" w:rsidR="007450DC" w:rsidRPr="004F7C96" w:rsidRDefault="007450DC" w:rsidP="007505CB">
            <w:pPr>
              <w:spacing w:line="240" w:lineRule="auto"/>
              <w:jc w:val="center"/>
            </w:pPr>
            <w:r>
              <w:lastRenderedPageBreak/>
              <w:t xml:space="preserve">Rozporządzenie 2024/1689  </w:t>
            </w:r>
          </w:p>
          <w:p w14:paraId="66822869" w14:textId="6D3FF49F" w:rsidR="007450DC" w:rsidRPr="004F7C96" w:rsidRDefault="007450DC" w:rsidP="369C09EE">
            <w:pPr>
              <w:spacing w:line="240" w:lineRule="auto"/>
              <w:jc w:val="center"/>
            </w:pPr>
            <w:r>
              <w:lastRenderedPageBreak/>
              <w:t xml:space="preserve">(„AI </w:t>
            </w:r>
            <w:proofErr w:type="spellStart"/>
            <w:r>
              <w:t>Act</w:t>
            </w:r>
            <w:proofErr w:type="spellEnd"/>
            <w:r>
              <w:t xml:space="preserve">”) </w:t>
            </w:r>
          </w:p>
          <w:p w14:paraId="5F73C3EA" w14:textId="335DE89B" w:rsidR="007450DC" w:rsidRPr="004F7C96" w:rsidRDefault="007450DC" w:rsidP="369C09EE">
            <w:pPr>
              <w:spacing w:line="240" w:lineRule="auto"/>
              <w:jc w:val="center"/>
            </w:pPr>
            <w:r>
              <w:t xml:space="preserve"> </w:t>
            </w:r>
          </w:p>
          <w:p w14:paraId="1AA1F3A8" w14:textId="5BD2AE1B" w:rsidR="007450DC" w:rsidRPr="005567D2" w:rsidRDefault="007450DC" w:rsidP="007505CB">
            <w:pPr>
              <w:spacing w:line="240" w:lineRule="auto"/>
              <w:jc w:val="center"/>
            </w:pPr>
            <w:r>
              <w:t>Uwaga ogólna</w:t>
            </w:r>
          </w:p>
        </w:tc>
        <w:tc>
          <w:tcPr>
            <w:tcW w:w="10100" w:type="dxa"/>
          </w:tcPr>
          <w:p w14:paraId="155444B4" w14:textId="06FFC0BA" w:rsidR="007450DC" w:rsidRPr="005567D2" w:rsidRDefault="007450DC" w:rsidP="007505CB">
            <w:pPr>
              <w:spacing w:line="240" w:lineRule="auto"/>
              <w:jc w:val="both"/>
            </w:pPr>
            <w:r w:rsidRPr="005567D2">
              <w:lastRenderedPageBreak/>
              <w:t xml:space="preserve">Wyraźne wyłączenie urządzeń w badaniach klinicznych prowadzonych na podstawie MDR lub w badaniach działania na podstawie IVDR z zakresu stosowania i obowiązków wynikających z AI </w:t>
            </w:r>
            <w:proofErr w:type="spellStart"/>
            <w:r w:rsidRPr="005567D2">
              <w:t>Act</w:t>
            </w:r>
            <w:proofErr w:type="spellEnd"/>
            <w:r>
              <w:t>.</w:t>
            </w:r>
          </w:p>
          <w:p w14:paraId="2278A64E" w14:textId="07AB0885" w:rsidR="007450DC" w:rsidRDefault="007450DC" w:rsidP="369C09EE">
            <w:pPr>
              <w:spacing w:line="240" w:lineRule="auto"/>
              <w:jc w:val="both"/>
            </w:pPr>
          </w:p>
          <w:p w14:paraId="0460863C" w14:textId="60F1BE52" w:rsidR="007450DC" w:rsidRPr="005567D2" w:rsidRDefault="007450DC" w:rsidP="007505CB">
            <w:pPr>
              <w:spacing w:line="240" w:lineRule="auto"/>
              <w:jc w:val="both"/>
            </w:pPr>
            <w:r w:rsidRPr="005567D2">
              <w:t xml:space="preserve">Taka zmiana ograniczy przerywania badań i umożliwi ich dalsze prowadzenie zgodnie z pierwotnie ułożonym i zatwierdzonym planem. Wejście w życie AI </w:t>
            </w:r>
            <w:proofErr w:type="spellStart"/>
            <w:r w:rsidRPr="005567D2">
              <w:t>Act</w:t>
            </w:r>
            <w:proofErr w:type="spellEnd"/>
            <w:r w:rsidRPr="005567D2">
              <w:t xml:space="preserve"> nie będzie więc skutkowało koniecznością ich przerywania i umożliwi swobodne oraz niezakłócone kontynuowanie pracy w sektorze R&amp;D – a tym samym przyspieszy opracowanie i dostarczenie pacjentowi bezpiecznych technologii.</w:t>
            </w:r>
          </w:p>
          <w:p w14:paraId="520D221D" w14:textId="4C61B5AA" w:rsidR="007450DC" w:rsidRPr="005567D2" w:rsidRDefault="007450DC" w:rsidP="007505CB">
            <w:pPr>
              <w:spacing w:line="240" w:lineRule="auto"/>
              <w:jc w:val="both"/>
            </w:pPr>
          </w:p>
        </w:tc>
      </w:tr>
      <w:tr w:rsidR="007450DC" w:rsidRPr="005567D2" w14:paraId="1017CD71" w14:textId="77777777" w:rsidTr="007450DC">
        <w:tc>
          <w:tcPr>
            <w:tcW w:w="1602" w:type="dxa"/>
          </w:tcPr>
          <w:p w14:paraId="44903A50" w14:textId="77777777" w:rsidR="007450DC" w:rsidRPr="00A4638E" w:rsidRDefault="007450DC" w:rsidP="00A4638E">
            <w:pPr>
              <w:spacing w:line="240" w:lineRule="auto"/>
            </w:pPr>
          </w:p>
        </w:tc>
        <w:tc>
          <w:tcPr>
            <w:tcW w:w="1768" w:type="dxa"/>
          </w:tcPr>
          <w:p w14:paraId="3D5FAFC2" w14:textId="15D4D7CA" w:rsidR="007450DC" w:rsidRPr="005567D2" w:rsidRDefault="007450DC" w:rsidP="007505CB">
            <w:pPr>
              <w:spacing w:line="240" w:lineRule="auto"/>
              <w:jc w:val="center"/>
            </w:pPr>
            <w:r w:rsidRPr="005567D2">
              <w:t>Ogólnopolska Izba  Gospodarcza Wyrobów Medycznych POLMED</w:t>
            </w:r>
          </w:p>
          <w:p w14:paraId="6C19DABD" w14:textId="44DA63E7" w:rsidR="007450DC" w:rsidRPr="005567D2" w:rsidRDefault="007450DC" w:rsidP="007505CB">
            <w:pPr>
              <w:spacing w:line="240" w:lineRule="auto"/>
              <w:jc w:val="center"/>
            </w:pPr>
          </w:p>
        </w:tc>
        <w:tc>
          <w:tcPr>
            <w:tcW w:w="2265" w:type="dxa"/>
          </w:tcPr>
          <w:p w14:paraId="0886863C" w14:textId="6BB73394" w:rsidR="007450DC" w:rsidRPr="004F7C96" w:rsidRDefault="007450DC" w:rsidP="007505CB">
            <w:pPr>
              <w:spacing w:line="240" w:lineRule="auto"/>
              <w:jc w:val="center"/>
            </w:pPr>
            <w:r>
              <w:t xml:space="preserve">Rozporządzenie 2024/1689  </w:t>
            </w:r>
          </w:p>
          <w:p w14:paraId="5A4F1A35" w14:textId="23683396" w:rsidR="007450DC" w:rsidRPr="004F7C96" w:rsidRDefault="007450DC" w:rsidP="369C09EE">
            <w:pPr>
              <w:spacing w:line="240" w:lineRule="auto"/>
              <w:jc w:val="center"/>
            </w:pPr>
            <w:r>
              <w:t xml:space="preserve">(„AI </w:t>
            </w:r>
            <w:proofErr w:type="spellStart"/>
            <w:r>
              <w:t>Act</w:t>
            </w:r>
            <w:proofErr w:type="spellEnd"/>
            <w:r>
              <w:t xml:space="preserve">”) </w:t>
            </w:r>
          </w:p>
          <w:p w14:paraId="222C909B" w14:textId="5E62F3C2" w:rsidR="007450DC" w:rsidRPr="004F7C96" w:rsidRDefault="007450DC" w:rsidP="369C09EE">
            <w:pPr>
              <w:spacing w:line="240" w:lineRule="auto"/>
              <w:jc w:val="center"/>
            </w:pPr>
            <w:r>
              <w:t xml:space="preserve"> </w:t>
            </w:r>
          </w:p>
          <w:p w14:paraId="36E97009" w14:textId="741ADE05" w:rsidR="007450DC" w:rsidRPr="005567D2" w:rsidRDefault="007450DC" w:rsidP="007505CB">
            <w:pPr>
              <w:spacing w:line="240" w:lineRule="auto"/>
              <w:jc w:val="center"/>
            </w:pPr>
            <w:r>
              <w:t>Uwaga ogólna</w:t>
            </w:r>
          </w:p>
        </w:tc>
        <w:tc>
          <w:tcPr>
            <w:tcW w:w="10100" w:type="dxa"/>
          </w:tcPr>
          <w:p w14:paraId="1DF74EF6" w14:textId="14D170FB" w:rsidR="007450DC" w:rsidRPr="005567D2" w:rsidRDefault="007450DC" w:rsidP="007505CB">
            <w:pPr>
              <w:spacing w:line="240" w:lineRule="auto"/>
              <w:jc w:val="both"/>
            </w:pPr>
            <w:r w:rsidRPr="005567D2">
              <w:t>Ujednolicenie pojęcia „</w:t>
            </w:r>
            <w:proofErr w:type="spellStart"/>
            <w:r w:rsidRPr="005567D2">
              <w:t>substantial</w:t>
            </w:r>
            <w:proofErr w:type="spellEnd"/>
            <w:r w:rsidRPr="005567D2">
              <w:t xml:space="preserve"> </w:t>
            </w:r>
            <w:proofErr w:type="spellStart"/>
            <w:r w:rsidRPr="005567D2">
              <w:t>modification</w:t>
            </w:r>
            <w:proofErr w:type="spellEnd"/>
            <w:r w:rsidRPr="005567D2">
              <w:t xml:space="preserve">” na gruncie AI </w:t>
            </w:r>
            <w:proofErr w:type="spellStart"/>
            <w:r w:rsidRPr="005567D2">
              <w:t>Act</w:t>
            </w:r>
            <w:proofErr w:type="spellEnd"/>
            <w:r w:rsidRPr="005567D2">
              <w:t xml:space="preserve"> z „</w:t>
            </w:r>
            <w:proofErr w:type="spellStart"/>
            <w:r w:rsidRPr="005567D2">
              <w:t>significant</w:t>
            </w:r>
            <w:proofErr w:type="spellEnd"/>
            <w:r w:rsidRPr="005567D2">
              <w:t>/</w:t>
            </w:r>
            <w:proofErr w:type="spellStart"/>
            <w:r w:rsidRPr="005567D2">
              <w:t>substantial</w:t>
            </w:r>
            <w:proofErr w:type="spellEnd"/>
            <w:r w:rsidRPr="005567D2">
              <w:t xml:space="preserve"> </w:t>
            </w:r>
            <w:proofErr w:type="spellStart"/>
            <w:r w:rsidRPr="005567D2">
              <w:t>change</w:t>
            </w:r>
            <w:proofErr w:type="spellEnd"/>
            <w:r w:rsidRPr="005567D2">
              <w:t>” (MDR/IVDR) oraz opublikowanie wytycznych wyjaśniających które zmiany spełniają powyższą definicję, wskazując praktyczne przykłady odnoszące się do produktów cyfrowych i wykorzystujących technologię AI</w:t>
            </w:r>
          </w:p>
          <w:p w14:paraId="5C2A1F65" w14:textId="29EBEDE6" w:rsidR="007450DC" w:rsidRPr="005567D2" w:rsidRDefault="007450DC" w:rsidP="007505CB">
            <w:pPr>
              <w:spacing w:line="240" w:lineRule="auto"/>
              <w:jc w:val="both"/>
            </w:pPr>
            <w:r w:rsidRPr="005567D2">
              <w:t>Jasne wyjaśnienie i ujednolicenie nomenklatury w zakresie regulacji unijnych pozwoli ograniczyć:</w:t>
            </w:r>
          </w:p>
          <w:p w14:paraId="3350F381" w14:textId="173B015C" w:rsidR="007450DC" w:rsidRPr="005567D2" w:rsidRDefault="007450DC" w:rsidP="007505CB">
            <w:pPr>
              <w:spacing w:line="240" w:lineRule="auto"/>
              <w:jc w:val="both"/>
            </w:pPr>
            <w:r w:rsidRPr="005567D2">
              <w:t>-ryzyko arbitralności i uznaniowości w zakresie oceny poszczególnych zmian i rozbieżność w zakresie takiej oceny w różnych jednostkach mogą prowadzić do naruszenia zasad sprawiedliwości i równego traktowania przedsiębiorców.</w:t>
            </w:r>
          </w:p>
          <w:p w14:paraId="6E2607D7" w14:textId="77777777" w:rsidR="007450DC" w:rsidRDefault="007450DC" w:rsidP="007505CB">
            <w:pPr>
              <w:spacing w:line="240" w:lineRule="auto"/>
              <w:jc w:val="both"/>
            </w:pPr>
            <w:r w:rsidRPr="005567D2">
              <w:t xml:space="preserve">- Generowanie zbędnych kosztów i konieczność oczekiwania na zatwierdzanie zmian, w trybie </w:t>
            </w:r>
            <w:proofErr w:type="spellStart"/>
            <w:r w:rsidRPr="005567D2">
              <w:t>substantial</w:t>
            </w:r>
            <w:proofErr w:type="spellEnd"/>
            <w:r w:rsidRPr="005567D2">
              <w:t xml:space="preserve"> </w:t>
            </w:r>
            <w:proofErr w:type="spellStart"/>
            <w:r w:rsidRPr="005567D2">
              <w:t>modification</w:t>
            </w:r>
            <w:proofErr w:type="spellEnd"/>
            <w:r w:rsidRPr="005567D2">
              <w:t xml:space="preserve">” na gruncie AI </w:t>
            </w:r>
            <w:proofErr w:type="spellStart"/>
            <w:r w:rsidRPr="005567D2">
              <w:t>Act</w:t>
            </w:r>
            <w:proofErr w:type="spellEnd"/>
            <w:r w:rsidRPr="005567D2">
              <w:t xml:space="preserve"> z „</w:t>
            </w:r>
            <w:proofErr w:type="spellStart"/>
            <w:r w:rsidRPr="005567D2">
              <w:t>significant</w:t>
            </w:r>
            <w:proofErr w:type="spellEnd"/>
            <w:r w:rsidRPr="005567D2">
              <w:t>/</w:t>
            </w:r>
            <w:proofErr w:type="spellStart"/>
            <w:r w:rsidRPr="005567D2">
              <w:t>substantial</w:t>
            </w:r>
            <w:proofErr w:type="spellEnd"/>
            <w:r w:rsidRPr="005567D2">
              <w:t xml:space="preserve"> </w:t>
            </w:r>
            <w:proofErr w:type="spellStart"/>
            <w:r w:rsidRPr="005567D2">
              <w:t>change</w:t>
            </w:r>
            <w:proofErr w:type="spellEnd"/>
            <w:r w:rsidRPr="005567D2">
              <w:t xml:space="preserve">” (MDR/IVDR) również w sytuacjach kiedy zmiana nie spełnia takiej definicji – może znacznie przedłużyć czas oczekiwania na wdrożenie nawet standardowych zmian z kategorii </w:t>
            </w:r>
            <w:proofErr w:type="spellStart"/>
            <w:r w:rsidRPr="005567D2">
              <w:t>patching</w:t>
            </w:r>
            <w:proofErr w:type="spellEnd"/>
            <w:r w:rsidRPr="005567D2">
              <w:t xml:space="preserve"> </w:t>
            </w:r>
            <w:proofErr w:type="spellStart"/>
            <w:r w:rsidRPr="005567D2">
              <w:t>security</w:t>
            </w:r>
            <w:proofErr w:type="spellEnd"/>
            <w:r w:rsidRPr="005567D2">
              <w:t xml:space="preserve"> </w:t>
            </w:r>
            <w:proofErr w:type="spellStart"/>
            <w:r w:rsidRPr="005567D2">
              <w:t>vulnerabities</w:t>
            </w:r>
            <w:proofErr w:type="spellEnd"/>
            <w:r w:rsidRPr="005567D2">
              <w:t xml:space="preserve"> a tym samym zmniejszyć bezpieczeństwo danych pacjentów a nawet uczynić dokonywanie takich standardowych aktualizacji nieopłacalnymi dla przedsiębiorców.</w:t>
            </w:r>
          </w:p>
          <w:p w14:paraId="347BC7FC" w14:textId="40826FDE" w:rsidR="007450DC" w:rsidRPr="005567D2" w:rsidRDefault="007450DC" w:rsidP="007505CB">
            <w:pPr>
              <w:spacing w:line="240" w:lineRule="auto"/>
              <w:jc w:val="both"/>
            </w:pPr>
          </w:p>
        </w:tc>
      </w:tr>
      <w:tr w:rsidR="007450DC" w:rsidRPr="005567D2" w14:paraId="3A652C66" w14:textId="77777777" w:rsidTr="007450DC">
        <w:trPr>
          <w:trHeight w:val="390"/>
        </w:trPr>
        <w:tc>
          <w:tcPr>
            <w:tcW w:w="1602" w:type="dxa"/>
          </w:tcPr>
          <w:p w14:paraId="036B26A2" w14:textId="77777777" w:rsidR="007450DC" w:rsidRPr="00A4638E" w:rsidRDefault="007450DC" w:rsidP="00A4638E">
            <w:pPr>
              <w:spacing w:line="240" w:lineRule="auto"/>
              <w:rPr>
                <w:lang w:val="en-GB"/>
              </w:rPr>
            </w:pPr>
          </w:p>
        </w:tc>
        <w:tc>
          <w:tcPr>
            <w:tcW w:w="1768" w:type="dxa"/>
          </w:tcPr>
          <w:p w14:paraId="40B5B5AC" w14:textId="2FE5F1D5" w:rsidR="007450DC" w:rsidRPr="005567D2" w:rsidRDefault="007450DC" w:rsidP="007505CB">
            <w:pPr>
              <w:spacing w:line="240" w:lineRule="auto"/>
              <w:jc w:val="center"/>
            </w:pPr>
            <w:r w:rsidRPr="005567D2">
              <w:t>Jedna z firm należących do Związku IAB Polska</w:t>
            </w:r>
          </w:p>
        </w:tc>
        <w:tc>
          <w:tcPr>
            <w:tcW w:w="2265" w:type="dxa"/>
          </w:tcPr>
          <w:p w14:paraId="03F454D5" w14:textId="62FAD92F" w:rsidR="007450DC" w:rsidRPr="006867A1" w:rsidRDefault="007450DC" w:rsidP="369C09EE">
            <w:pPr>
              <w:spacing w:line="240" w:lineRule="auto"/>
              <w:jc w:val="center"/>
            </w:pPr>
            <w:r>
              <w:t xml:space="preserve">Rozporządzenie 2024/1689  </w:t>
            </w:r>
          </w:p>
          <w:p w14:paraId="40BECD6F" w14:textId="38A2FE7D" w:rsidR="007450DC" w:rsidRPr="006867A1" w:rsidRDefault="007450DC" w:rsidP="369C09EE">
            <w:pPr>
              <w:spacing w:line="240" w:lineRule="auto"/>
              <w:jc w:val="center"/>
            </w:pPr>
            <w:r>
              <w:t xml:space="preserve">(„AI </w:t>
            </w:r>
            <w:proofErr w:type="spellStart"/>
            <w:r>
              <w:t>Act</w:t>
            </w:r>
            <w:proofErr w:type="spellEnd"/>
            <w:r>
              <w:t xml:space="preserve">”) </w:t>
            </w:r>
          </w:p>
          <w:p w14:paraId="38C533A1" w14:textId="44C2908B" w:rsidR="007450DC" w:rsidRPr="006867A1" w:rsidRDefault="007450DC" w:rsidP="369C09EE">
            <w:pPr>
              <w:spacing w:line="240" w:lineRule="auto"/>
              <w:jc w:val="center"/>
            </w:pPr>
            <w:r>
              <w:t xml:space="preserve"> </w:t>
            </w:r>
          </w:p>
          <w:p w14:paraId="16075064" w14:textId="6EEBAA3D" w:rsidR="007450DC" w:rsidRPr="005567D2" w:rsidRDefault="007450DC" w:rsidP="369C09EE">
            <w:pPr>
              <w:spacing w:line="240" w:lineRule="auto"/>
              <w:jc w:val="center"/>
            </w:pPr>
            <w:r w:rsidRPr="005567D2">
              <w:t>Uwaga ogólna</w:t>
            </w:r>
          </w:p>
        </w:tc>
        <w:tc>
          <w:tcPr>
            <w:tcW w:w="10100" w:type="dxa"/>
          </w:tcPr>
          <w:p w14:paraId="03D0A93E" w14:textId="77777777" w:rsidR="007450DC" w:rsidRPr="005567D2" w:rsidRDefault="007450DC" w:rsidP="007505CB">
            <w:pPr>
              <w:spacing w:line="240" w:lineRule="auto"/>
              <w:jc w:val="both"/>
              <w:rPr>
                <w:color w:val="000000" w:themeColor="text1"/>
                <w:lang w:val="en-GB"/>
              </w:rPr>
            </w:pPr>
            <w:r w:rsidRPr="005567D2">
              <w:rPr>
                <w:color w:val="000000" w:themeColor="text1"/>
                <w:lang w:val="en-GB"/>
              </w:rPr>
              <w:t>Implementing the AI Act in a business context is currently hampered by significant regulatory uncertainty, often forcing companies to make bold assumptions. Key definitions, such as AI and "significant generality of a general-purpose AI model" are too vague. Moreover, certain provisions, like measuring FLOPS spent on model training for fine-tuned models, are unrealistic and cannot be reliably implemented across the industry. This is compounded by internal inconsistencies within the regulation, where the Act's legislative purpose conflicts with its actual provisions or related official guidance, such as the suggestion that a single-modality model can be considered a general model. This uncertainty, coupled with delays and potential inconsistencies in domestic regulation across EU countries, severely complicates internal business planning for large, multinational enterprises.</w:t>
            </w:r>
          </w:p>
          <w:p w14:paraId="31A3DC0E" w14:textId="59F1AA4D" w:rsidR="007450DC" w:rsidRPr="007E7B23" w:rsidRDefault="007450DC" w:rsidP="007505CB">
            <w:pPr>
              <w:spacing w:line="240" w:lineRule="auto"/>
              <w:jc w:val="both"/>
              <w:rPr>
                <w:color w:val="000000" w:themeColor="text1"/>
                <w:lang w:val="en-US"/>
              </w:rPr>
            </w:pPr>
            <w:r w:rsidRPr="005567D2">
              <w:rPr>
                <w:color w:val="000000" w:themeColor="text1"/>
                <w:lang w:val="en-US"/>
              </w:rPr>
              <w:t xml:space="preserve">To prevent the current wording from inadvertently </w:t>
            </w:r>
            <w:proofErr w:type="spellStart"/>
            <w:r w:rsidRPr="005567D2">
              <w:rPr>
                <w:color w:val="000000" w:themeColor="text1"/>
                <w:lang w:val="en-US"/>
              </w:rPr>
              <w:t>paralysing</w:t>
            </w:r>
            <w:proofErr w:type="spellEnd"/>
            <w:r w:rsidRPr="005567D2">
              <w:rPr>
                <w:color w:val="000000" w:themeColor="text1"/>
                <w:lang w:val="en-US"/>
              </w:rPr>
              <w:t xml:space="preserve"> business operations or encouraging non-compliance, all definitions and provisions should be simplified and clarified. Consideration should be given to removing overly detailed criteria that are difficult to measure or enforce, especially those related </w:t>
            </w:r>
            <w:r w:rsidRPr="005567D2">
              <w:rPr>
                <w:color w:val="000000" w:themeColor="text1"/>
                <w:lang w:val="en-US"/>
              </w:rPr>
              <w:lastRenderedPageBreak/>
              <w:t>to systemic risk. Most importantly, all official provisions and published materials must be aligned, and a clear, binding roadmap for implementation must be published and strictly adhered to by regulatory bodies to provide the stability businesses need to comply.</w:t>
            </w:r>
          </w:p>
        </w:tc>
      </w:tr>
    </w:tbl>
    <w:p w14:paraId="7B4B3CDF" w14:textId="77777777" w:rsidR="001F29A5" w:rsidRPr="008C2B42" w:rsidRDefault="001F29A5">
      <w:pPr>
        <w:rPr>
          <w:lang w:val="en-GB"/>
        </w:rPr>
      </w:pPr>
    </w:p>
    <w:sectPr w:rsidR="001F29A5" w:rsidRPr="008C2B42" w:rsidSect="0073085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C571" w14:textId="77777777" w:rsidR="007249EE" w:rsidRDefault="007249EE" w:rsidP="004D2A81">
      <w:pPr>
        <w:spacing w:after="0" w:line="240" w:lineRule="auto"/>
      </w:pPr>
      <w:r>
        <w:separator/>
      </w:r>
    </w:p>
  </w:endnote>
  <w:endnote w:type="continuationSeparator" w:id="0">
    <w:p w14:paraId="46474A77" w14:textId="77777777" w:rsidR="007249EE" w:rsidRDefault="007249EE" w:rsidP="004D2A81">
      <w:pPr>
        <w:spacing w:after="0" w:line="240" w:lineRule="auto"/>
      </w:pPr>
      <w:r>
        <w:continuationSeparator/>
      </w:r>
    </w:p>
  </w:endnote>
  <w:endnote w:type="continuationNotice" w:id="1">
    <w:p w14:paraId="07A7DE47" w14:textId="77777777" w:rsidR="007249EE" w:rsidRDefault="00724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1763" w14:textId="77777777" w:rsidR="007249EE" w:rsidRDefault="007249EE" w:rsidP="004D2A81">
      <w:pPr>
        <w:spacing w:after="0" w:line="240" w:lineRule="auto"/>
      </w:pPr>
      <w:r>
        <w:separator/>
      </w:r>
    </w:p>
  </w:footnote>
  <w:footnote w:type="continuationSeparator" w:id="0">
    <w:p w14:paraId="2B8A01C1" w14:textId="77777777" w:rsidR="007249EE" w:rsidRDefault="007249EE" w:rsidP="004D2A81">
      <w:pPr>
        <w:spacing w:after="0" w:line="240" w:lineRule="auto"/>
      </w:pPr>
      <w:r>
        <w:continuationSeparator/>
      </w:r>
    </w:p>
  </w:footnote>
  <w:footnote w:type="continuationNotice" w:id="1">
    <w:p w14:paraId="7AC57E10" w14:textId="77777777" w:rsidR="007249EE" w:rsidRDefault="007249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3CB"/>
    <w:multiLevelType w:val="multilevel"/>
    <w:tmpl w:val="FF42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85680"/>
    <w:multiLevelType w:val="multilevel"/>
    <w:tmpl w:val="88D0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7D50"/>
    <w:multiLevelType w:val="multilevel"/>
    <w:tmpl w:val="850A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46F7C"/>
    <w:multiLevelType w:val="multilevel"/>
    <w:tmpl w:val="596C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674EAC"/>
    <w:multiLevelType w:val="multilevel"/>
    <w:tmpl w:val="B91A8D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24EC58"/>
    <w:multiLevelType w:val="hybridMultilevel"/>
    <w:tmpl w:val="FB6A962A"/>
    <w:lvl w:ilvl="0" w:tplc="46B4D712">
      <w:start w:val="1"/>
      <w:numFmt w:val="decimal"/>
      <w:lvlText w:val="%1."/>
      <w:lvlJc w:val="left"/>
      <w:pPr>
        <w:ind w:left="1080" w:hanging="360"/>
      </w:pPr>
    </w:lvl>
    <w:lvl w:ilvl="1" w:tplc="52887E7A">
      <w:start w:val="1"/>
      <w:numFmt w:val="lowerLetter"/>
      <w:lvlText w:val="%2."/>
      <w:lvlJc w:val="left"/>
      <w:pPr>
        <w:ind w:left="1800" w:hanging="360"/>
      </w:pPr>
    </w:lvl>
    <w:lvl w:ilvl="2" w:tplc="99A034E2">
      <w:start w:val="1"/>
      <w:numFmt w:val="lowerRoman"/>
      <w:lvlText w:val="%3."/>
      <w:lvlJc w:val="right"/>
      <w:pPr>
        <w:ind w:left="2520" w:hanging="180"/>
      </w:pPr>
    </w:lvl>
    <w:lvl w:ilvl="3" w:tplc="335CC844">
      <w:start w:val="1"/>
      <w:numFmt w:val="decimal"/>
      <w:lvlText w:val="%4."/>
      <w:lvlJc w:val="left"/>
      <w:pPr>
        <w:ind w:left="3240" w:hanging="360"/>
      </w:pPr>
    </w:lvl>
    <w:lvl w:ilvl="4" w:tplc="5D3C3DF2">
      <w:start w:val="1"/>
      <w:numFmt w:val="lowerLetter"/>
      <w:lvlText w:val="%5."/>
      <w:lvlJc w:val="left"/>
      <w:pPr>
        <w:ind w:left="3960" w:hanging="360"/>
      </w:pPr>
    </w:lvl>
    <w:lvl w:ilvl="5" w:tplc="DD20CABA">
      <w:start w:val="1"/>
      <w:numFmt w:val="lowerRoman"/>
      <w:lvlText w:val="%6."/>
      <w:lvlJc w:val="right"/>
      <w:pPr>
        <w:ind w:left="4680" w:hanging="180"/>
      </w:pPr>
    </w:lvl>
    <w:lvl w:ilvl="6" w:tplc="E3780720">
      <w:start w:val="1"/>
      <w:numFmt w:val="decimal"/>
      <w:lvlText w:val="%7."/>
      <w:lvlJc w:val="left"/>
      <w:pPr>
        <w:ind w:left="5400" w:hanging="360"/>
      </w:pPr>
    </w:lvl>
    <w:lvl w:ilvl="7" w:tplc="AFA4D730">
      <w:start w:val="1"/>
      <w:numFmt w:val="lowerLetter"/>
      <w:lvlText w:val="%8."/>
      <w:lvlJc w:val="left"/>
      <w:pPr>
        <w:ind w:left="6120" w:hanging="360"/>
      </w:pPr>
    </w:lvl>
    <w:lvl w:ilvl="8" w:tplc="ECB21328">
      <w:start w:val="1"/>
      <w:numFmt w:val="lowerRoman"/>
      <w:lvlText w:val="%9."/>
      <w:lvlJc w:val="right"/>
      <w:pPr>
        <w:ind w:left="6840" w:hanging="180"/>
      </w:pPr>
    </w:lvl>
  </w:abstractNum>
  <w:abstractNum w:abstractNumId="6" w15:restartNumberingAfterBreak="0">
    <w:nsid w:val="118C5A06"/>
    <w:multiLevelType w:val="multilevel"/>
    <w:tmpl w:val="B874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E21E32"/>
    <w:multiLevelType w:val="multilevel"/>
    <w:tmpl w:val="5CD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C4BEB"/>
    <w:multiLevelType w:val="multilevel"/>
    <w:tmpl w:val="968E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65233C"/>
    <w:multiLevelType w:val="hybridMultilevel"/>
    <w:tmpl w:val="B8CE703C"/>
    <w:lvl w:ilvl="0" w:tplc="4BECEB6A">
      <w:start w:val="1"/>
      <w:numFmt w:val="decimal"/>
      <w:lvlText w:val="%1."/>
      <w:lvlJc w:val="left"/>
      <w:pPr>
        <w:ind w:left="1080" w:hanging="360"/>
      </w:pPr>
    </w:lvl>
    <w:lvl w:ilvl="1" w:tplc="F8A8F624">
      <w:start w:val="1"/>
      <w:numFmt w:val="lowerLetter"/>
      <w:lvlText w:val="%2."/>
      <w:lvlJc w:val="left"/>
      <w:pPr>
        <w:ind w:left="1800" w:hanging="360"/>
      </w:pPr>
    </w:lvl>
    <w:lvl w:ilvl="2" w:tplc="878211E0">
      <w:start w:val="1"/>
      <w:numFmt w:val="lowerRoman"/>
      <w:lvlText w:val="%3."/>
      <w:lvlJc w:val="right"/>
      <w:pPr>
        <w:ind w:left="2520" w:hanging="180"/>
      </w:pPr>
    </w:lvl>
    <w:lvl w:ilvl="3" w:tplc="1B4C9608">
      <w:start w:val="1"/>
      <w:numFmt w:val="decimal"/>
      <w:lvlText w:val="%4."/>
      <w:lvlJc w:val="left"/>
      <w:pPr>
        <w:ind w:left="3240" w:hanging="360"/>
      </w:pPr>
    </w:lvl>
    <w:lvl w:ilvl="4" w:tplc="46B64720">
      <w:start w:val="1"/>
      <w:numFmt w:val="lowerLetter"/>
      <w:lvlText w:val="%5."/>
      <w:lvlJc w:val="left"/>
      <w:pPr>
        <w:ind w:left="3960" w:hanging="360"/>
      </w:pPr>
    </w:lvl>
    <w:lvl w:ilvl="5" w:tplc="1602A1AA">
      <w:start w:val="1"/>
      <w:numFmt w:val="lowerRoman"/>
      <w:lvlText w:val="%6."/>
      <w:lvlJc w:val="right"/>
      <w:pPr>
        <w:ind w:left="4680" w:hanging="180"/>
      </w:pPr>
    </w:lvl>
    <w:lvl w:ilvl="6" w:tplc="5FBADAA8">
      <w:start w:val="1"/>
      <w:numFmt w:val="decimal"/>
      <w:lvlText w:val="%7."/>
      <w:lvlJc w:val="left"/>
      <w:pPr>
        <w:ind w:left="5400" w:hanging="360"/>
      </w:pPr>
    </w:lvl>
    <w:lvl w:ilvl="7" w:tplc="0BE247C2">
      <w:start w:val="1"/>
      <w:numFmt w:val="lowerLetter"/>
      <w:lvlText w:val="%8."/>
      <w:lvlJc w:val="left"/>
      <w:pPr>
        <w:ind w:left="6120" w:hanging="360"/>
      </w:pPr>
    </w:lvl>
    <w:lvl w:ilvl="8" w:tplc="345C3848">
      <w:start w:val="1"/>
      <w:numFmt w:val="lowerRoman"/>
      <w:lvlText w:val="%9."/>
      <w:lvlJc w:val="right"/>
      <w:pPr>
        <w:ind w:left="6840" w:hanging="180"/>
      </w:pPr>
    </w:lvl>
  </w:abstractNum>
  <w:abstractNum w:abstractNumId="10" w15:restartNumberingAfterBreak="0">
    <w:nsid w:val="17D61750"/>
    <w:multiLevelType w:val="multilevel"/>
    <w:tmpl w:val="F9E68F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9D71379"/>
    <w:multiLevelType w:val="multilevel"/>
    <w:tmpl w:val="7642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3AA115"/>
    <w:multiLevelType w:val="hybridMultilevel"/>
    <w:tmpl w:val="00E0EFF4"/>
    <w:lvl w:ilvl="0" w:tplc="FDF67AC8">
      <w:start w:val="1"/>
      <w:numFmt w:val="decimal"/>
      <w:lvlText w:val="%1."/>
      <w:lvlJc w:val="left"/>
      <w:pPr>
        <w:ind w:left="720" w:hanging="360"/>
      </w:pPr>
    </w:lvl>
    <w:lvl w:ilvl="1" w:tplc="B4A21EA0">
      <w:start w:val="1"/>
      <w:numFmt w:val="lowerLetter"/>
      <w:lvlText w:val="%2."/>
      <w:lvlJc w:val="left"/>
      <w:pPr>
        <w:ind w:left="1440" w:hanging="360"/>
      </w:pPr>
    </w:lvl>
    <w:lvl w:ilvl="2" w:tplc="325AF77E">
      <w:start w:val="1"/>
      <w:numFmt w:val="lowerRoman"/>
      <w:lvlText w:val="%3."/>
      <w:lvlJc w:val="right"/>
      <w:pPr>
        <w:ind w:left="2160" w:hanging="180"/>
      </w:pPr>
    </w:lvl>
    <w:lvl w:ilvl="3" w:tplc="66DEBD1E">
      <w:start w:val="1"/>
      <w:numFmt w:val="decimal"/>
      <w:lvlText w:val="%4."/>
      <w:lvlJc w:val="left"/>
      <w:pPr>
        <w:ind w:left="2880" w:hanging="360"/>
      </w:pPr>
    </w:lvl>
    <w:lvl w:ilvl="4" w:tplc="B6AA1C3C">
      <w:start w:val="1"/>
      <w:numFmt w:val="lowerLetter"/>
      <w:lvlText w:val="%5."/>
      <w:lvlJc w:val="left"/>
      <w:pPr>
        <w:ind w:left="3600" w:hanging="360"/>
      </w:pPr>
    </w:lvl>
    <w:lvl w:ilvl="5" w:tplc="A53C8DD8">
      <w:start w:val="1"/>
      <w:numFmt w:val="lowerRoman"/>
      <w:lvlText w:val="%6."/>
      <w:lvlJc w:val="right"/>
      <w:pPr>
        <w:ind w:left="4320" w:hanging="180"/>
      </w:pPr>
    </w:lvl>
    <w:lvl w:ilvl="6" w:tplc="2738EFB6">
      <w:start w:val="1"/>
      <w:numFmt w:val="decimal"/>
      <w:lvlText w:val="%7."/>
      <w:lvlJc w:val="left"/>
      <w:pPr>
        <w:ind w:left="5040" w:hanging="360"/>
      </w:pPr>
    </w:lvl>
    <w:lvl w:ilvl="7" w:tplc="D4C2974E">
      <w:start w:val="1"/>
      <w:numFmt w:val="lowerLetter"/>
      <w:lvlText w:val="%8."/>
      <w:lvlJc w:val="left"/>
      <w:pPr>
        <w:ind w:left="5760" w:hanging="360"/>
      </w:pPr>
    </w:lvl>
    <w:lvl w:ilvl="8" w:tplc="1750DD9E">
      <w:start w:val="1"/>
      <w:numFmt w:val="lowerRoman"/>
      <w:lvlText w:val="%9."/>
      <w:lvlJc w:val="right"/>
      <w:pPr>
        <w:ind w:left="6480" w:hanging="180"/>
      </w:pPr>
    </w:lvl>
  </w:abstractNum>
  <w:abstractNum w:abstractNumId="13" w15:restartNumberingAfterBreak="0">
    <w:nsid w:val="1EEB68D7"/>
    <w:multiLevelType w:val="hybridMultilevel"/>
    <w:tmpl w:val="A556800A"/>
    <w:lvl w:ilvl="0" w:tplc="8AE4E8C8">
      <w:start w:val="1"/>
      <w:numFmt w:val="decimal"/>
      <w:lvlText w:val="%1."/>
      <w:lvlJc w:val="left"/>
      <w:pPr>
        <w:ind w:left="1080" w:hanging="360"/>
      </w:pPr>
    </w:lvl>
    <w:lvl w:ilvl="1" w:tplc="DE248CD6">
      <w:start w:val="1"/>
      <w:numFmt w:val="lowerLetter"/>
      <w:lvlText w:val="%2."/>
      <w:lvlJc w:val="left"/>
      <w:pPr>
        <w:ind w:left="1800" w:hanging="360"/>
      </w:pPr>
    </w:lvl>
    <w:lvl w:ilvl="2" w:tplc="6BFE4802">
      <w:start w:val="1"/>
      <w:numFmt w:val="lowerRoman"/>
      <w:lvlText w:val="%3."/>
      <w:lvlJc w:val="right"/>
      <w:pPr>
        <w:ind w:left="2520" w:hanging="180"/>
      </w:pPr>
    </w:lvl>
    <w:lvl w:ilvl="3" w:tplc="E5AA337C">
      <w:start w:val="1"/>
      <w:numFmt w:val="decimal"/>
      <w:lvlText w:val="%4."/>
      <w:lvlJc w:val="left"/>
      <w:pPr>
        <w:ind w:left="3240" w:hanging="360"/>
      </w:pPr>
    </w:lvl>
    <w:lvl w:ilvl="4" w:tplc="7B10B974">
      <w:start w:val="1"/>
      <w:numFmt w:val="lowerLetter"/>
      <w:lvlText w:val="%5."/>
      <w:lvlJc w:val="left"/>
      <w:pPr>
        <w:ind w:left="3960" w:hanging="360"/>
      </w:pPr>
    </w:lvl>
    <w:lvl w:ilvl="5" w:tplc="20C44894">
      <w:start w:val="1"/>
      <w:numFmt w:val="lowerRoman"/>
      <w:lvlText w:val="%6."/>
      <w:lvlJc w:val="right"/>
      <w:pPr>
        <w:ind w:left="4680" w:hanging="180"/>
      </w:pPr>
    </w:lvl>
    <w:lvl w:ilvl="6" w:tplc="A3E65158">
      <w:start w:val="1"/>
      <w:numFmt w:val="decimal"/>
      <w:lvlText w:val="%7."/>
      <w:lvlJc w:val="left"/>
      <w:pPr>
        <w:ind w:left="5400" w:hanging="360"/>
      </w:pPr>
    </w:lvl>
    <w:lvl w:ilvl="7" w:tplc="F9E6AE14">
      <w:start w:val="1"/>
      <w:numFmt w:val="lowerLetter"/>
      <w:lvlText w:val="%8."/>
      <w:lvlJc w:val="left"/>
      <w:pPr>
        <w:ind w:left="6120" w:hanging="360"/>
      </w:pPr>
    </w:lvl>
    <w:lvl w:ilvl="8" w:tplc="E0B6615E">
      <w:start w:val="1"/>
      <w:numFmt w:val="lowerRoman"/>
      <w:lvlText w:val="%9."/>
      <w:lvlJc w:val="right"/>
      <w:pPr>
        <w:ind w:left="6840" w:hanging="180"/>
      </w:pPr>
    </w:lvl>
  </w:abstractNum>
  <w:abstractNum w:abstractNumId="14" w15:restartNumberingAfterBreak="0">
    <w:nsid w:val="1FD27500"/>
    <w:multiLevelType w:val="multilevel"/>
    <w:tmpl w:val="B1D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624540"/>
    <w:multiLevelType w:val="multilevel"/>
    <w:tmpl w:val="D3E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670576"/>
    <w:multiLevelType w:val="hybridMultilevel"/>
    <w:tmpl w:val="39A008D4"/>
    <w:lvl w:ilvl="0" w:tplc="2A648970">
      <w:start w:val="1"/>
      <w:numFmt w:val="decimal"/>
      <w:lvlText w:val="%1."/>
      <w:lvlJc w:val="left"/>
      <w:pPr>
        <w:ind w:left="720" w:hanging="360"/>
      </w:pPr>
    </w:lvl>
    <w:lvl w:ilvl="1" w:tplc="F47E3D96">
      <w:start w:val="1"/>
      <w:numFmt w:val="lowerLetter"/>
      <w:lvlText w:val="%2."/>
      <w:lvlJc w:val="left"/>
      <w:pPr>
        <w:ind w:left="1440" w:hanging="360"/>
      </w:pPr>
    </w:lvl>
    <w:lvl w:ilvl="2" w:tplc="F3AEFFA6">
      <w:start w:val="1"/>
      <w:numFmt w:val="lowerRoman"/>
      <w:lvlText w:val="%3."/>
      <w:lvlJc w:val="right"/>
      <w:pPr>
        <w:ind w:left="2160" w:hanging="180"/>
      </w:pPr>
    </w:lvl>
    <w:lvl w:ilvl="3" w:tplc="06E25C00">
      <w:start w:val="1"/>
      <w:numFmt w:val="decimal"/>
      <w:lvlText w:val="%4."/>
      <w:lvlJc w:val="left"/>
      <w:pPr>
        <w:ind w:left="2880" w:hanging="360"/>
      </w:pPr>
    </w:lvl>
    <w:lvl w:ilvl="4" w:tplc="E2542E14">
      <w:start w:val="1"/>
      <w:numFmt w:val="lowerLetter"/>
      <w:lvlText w:val="%5."/>
      <w:lvlJc w:val="left"/>
      <w:pPr>
        <w:ind w:left="3600" w:hanging="360"/>
      </w:pPr>
    </w:lvl>
    <w:lvl w:ilvl="5" w:tplc="FC7487F0">
      <w:start w:val="1"/>
      <w:numFmt w:val="lowerRoman"/>
      <w:lvlText w:val="%6."/>
      <w:lvlJc w:val="right"/>
      <w:pPr>
        <w:ind w:left="4320" w:hanging="180"/>
      </w:pPr>
    </w:lvl>
    <w:lvl w:ilvl="6" w:tplc="7AE87792">
      <w:start w:val="1"/>
      <w:numFmt w:val="decimal"/>
      <w:lvlText w:val="%7."/>
      <w:lvlJc w:val="left"/>
      <w:pPr>
        <w:ind w:left="5040" w:hanging="360"/>
      </w:pPr>
    </w:lvl>
    <w:lvl w:ilvl="7" w:tplc="A4EEC6E6">
      <w:start w:val="1"/>
      <w:numFmt w:val="lowerLetter"/>
      <w:lvlText w:val="%8."/>
      <w:lvlJc w:val="left"/>
      <w:pPr>
        <w:ind w:left="5760" w:hanging="360"/>
      </w:pPr>
    </w:lvl>
    <w:lvl w:ilvl="8" w:tplc="F2F8D122">
      <w:start w:val="1"/>
      <w:numFmt w:val="lowerRoman"/>
      <w:lvlText w:val="%9."/>
      <w:lvlJc w:val="right"/>
      <w:pPr>
        <w:ind w:left="6480" w:hanging="180"/>
      </w:pPr>
    </w:lvl>
  </w:abstractNum>
  <w:abstractNum w:abstractNumId="17" w15:restartNumberingAfterBreak="0">
    <w:nsid w:val="25974380"/>
    <w:multiLevelType w:val="multilevel"/>
    <w:tmpl w:val="909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D7764C"/>
    <w:multiLevelType w:val="multilevel"/>
    <w:tmpl w:val="15A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484251"/>
    <w:multiLevelType w:val="hybridMultilevel"/>
    <w:tmpl w:val="C916E674"/>
    <w:lvl w:ilvl="0" w:tplc="B18E0C4A">
      <w:start w:val="1"/>
      <w:numFmt w:val="decimal"/>
      <w:lvlText w:val="%1."/>
      <w:lvlJc w:val="left"/>
      <w:pPr>
        <w:ind w:left="1080" w:hanging="360"/>
      </w:pPr>
    </w:lvl>
    <w:lvl w:ilvl="1" w:tplc="B77827C4">
      <w:start w:val="1"/>
      <w:numFmt w:val="lowerLetter"/>
      <w:lvlText w:val="%2."/>
      <w:lvlJc w:val="left"/>
      <w:pPr>
        <w:ind w:left="1800" w:hanging="360"/>
      </w:pPr>
    </w:lvl>
    <w:lvl w:ilvl="2" w:tplc="0B06479A">
      <w:start w:val="1"/>
      <w:numFmt w:val="lowerRoman"/>
      <w:lvlText w:val="%3."/>
      <w:lvlJc w:val="right"/>
      <w:pPr>
        <w:ind w:left="2520" w:hanging="180"/>
      </w:pPr>
    </w:lvl>
    <w:lvl w:ilvl="3" w:tplc="674093CE">
      <w:start w:val="1"/>
      <w:numFmt w:val="decimal"/>
      <w:lvlText w:val="%4."/>
      <w:lvlJc w:val="left"/>
      <w:pPr>
        <w:ind w:left="3240" w:hanging="360"/>
      </w:pPr>
    </w:lvl>
    <w:lvl w:ilvl="4" w:tplc="DC6CD312">
      <w:start w:val="1"/>
      <w:numFmt w:val="lowerLetter"/>
      <w:lvlText w:val="%5."/>
      <w:lvlJc w:val="left"/>
      <w:pPr>
        <w:ind w:left="3960" w:hanging="360"/>
      </w:pPr>
    </w:lvl>
    <w:lvl w:ilvl="5" w:tplc="DE7014F8">
      <w:start w:val="1"/>
      <w:numFmt w:val="lowerRoman"/>
      <w:lvlText w:val="%6."/>
      <w:lvlJc w:val="right"/>
      <w:pPr>
        <w:ind w:left="4680" w:hanging="180"/>
      </w:pPr>
    </w:lvl>
    <w:lvl w:ilvl="6" w:tplc="D9EE25CA">
      <w:start w:val="1"/>
      <w:numFmt w:val="decimal"/>
      <w:lvlText w:val="%7."/>
      <w:lvlJc w:val="left"/>
      <w:pPr>
        <w:ind w:left="5400" w:hanging="360"/>
      </w:pPr>
    </w:lvl>
    <w:lvl w:ilvl="7" w:tplc="FB3E2172">
      <w:start w:val="1"/>
      <w:numFmt w:val="lowerLetter"/>
      <w:lvlText w:val="%8."/>
      <w:lvlJc w:val="left"/>
      <w:pPr>
        <w:ind w:left="6120" w:hanging="360"/>
      </w:pPr>
    </w:lvl>
    <w:lvl w:ilvl="8" w:tplc="7A2A276C">
      <w:start w:val="1"/>
      <w:numFmt w:val="lowerRoman"/>
      <w:lvlText w:val="%9."/>
      <w:lvlJc w:val="right"/>
      <w:pPr>
        <w:ind w:left="6840" w:hanging="180"/>
      </w:pPr>
    </w:lvl>
  </w:abstractNum>
  <w:abstractNum w:abstractNumId="20" w15:restartNumberingAfterBreak="0">
    <w:nsid w:val="3038195C"/>
    <w:multiLevelType w:val="multilevel"/>
    <w:tmpl w:val="434C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D64C49"/>
    <w:multiLevelType w:val="multilevel"/>
    <w:tmpl w:val="865E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54B0C6"/>
    <w:multiLevelType w:val="hybridMultilevel"/>
    <w:tmpl w:val="067C32BE"/>
    <w:lvl w:ilvl="0" w:tplc="E97013AC">
      <w:start w:val="1"/>
      <w:numFmt w:val="decimal"/>
      <w:lvlText w:val="%1."/>
      <w:lvlJc w:val="left"/>
      <w:pPr>
        <w:ind w:left="1080" w:hanging="360"/>
      </w:pPr>
    </w:lvl>
    <w:lvl w:ilvl="1" w:tplc="F198D2C2">
      <w:start w:val="1"/>
      <w:numFmt w:val="lowerLetter"/>
      <w:lvlText w:val="%2."/>
      <w:lvlJc w:val="left"/>
      <w:pPr>
        <w:ind w:left="1800" w:hanging="360"/>
      </w:pPr>
    </w:lvl>
    <w:lvl w:ilvl="2" w:tplc="1AA69B7E">
      <w:start w:val="1"/>
      <w:numFmt w:val="lowerRoman"/>
      <w:lvlText w:val="%3."/>
      <w:lvlJc w:val="right"/>
      <w:pPr>
        <w:ind w:left="2520" w:hanging="180"/>
      </w:pPr>
    </w:lvl>
    <w:lvl w:ilvl="3" w:tplc="DBB6582A">
      <w:start w:val="1"/>
      <w:numFmt w:val="decimal"/>
      <w:lvlText w:val="%4."/>
      <w:lvlJc w:val="left"/>
      <w:pPr>
        <w:ind w:left="3240" w:hanging="360"/>
      </w:pPr>
    </w:lvl>
    <w:lvl w:ilvl="4" w:tplc="95E4D008">
      <w:start w:val="1"/>
      <w:numFmt w:val="lowerLetter"/>
      <w:lvlText w:val="%5."/>
      <w:lvlJc w:val="left"/>
      <w:pPr>
        <w:ind w:left="3960" w:hanging="360"/>
      </w:pPr>
    </w:lvl>
    <w:lvl w:ilvl="5" w:tplc="4754F3BA">
      <w:start w:val="1"/>
      <w:numFmt w:val="lowerRoman"/>
      <w:lvlText w:val="%6."/>
      <w:lvlJc w:val="right"/>
      <w:pPr>
        <w:ind w:left="4680" w:hanging="180"/>
      </w:pPr>
    </w:lvl>
    <w:lvl w:ilvl="6" w:tplc="DE2494D6">
      <w:start w:val="1"/>
      <w:numFmt w:val="decimal"/>
      <w:lvlText w:val="%7."/>
      <w:lvlJc w:val="left"/>
      <w:pPr>
        <w:ind w:left="5400" w:hanging="360"/>
      </w:pPr>
    </w:lvl>
    <w:lvl w:ilvl="7" w:tplc="81BCB2B8">
      <w:start w:val="1"/>
      <w:numFmt w:val="lowerLetter"/>
      <w:lvlText w:val="%8."/>
      <w:lvlJc w:val="left"/>
      <w:pPr>
        <w:ind w:left="6120" w:hanging="360"/>
      </w:pPr>
    </w:lvl>
    <w:lvl w:ilvl="8" w:tplc="AC6C568E">
      <w:start w:val="1"/>
      <w:numFmt w:val="lowerRoman"/>
      <w:lvlText w:val="%9."/>
      <w:lvlJc w:val="right"/>
      <w:pPr>
        <w:ind w:left="6840" w:hanging="180"/>
      </w:pPr>
    </w:lvl>
  </w:abstractNum>
  <w:abstractNum w:abstractNumId="23" w15:restartNumberingAfterBreak="0">
    <w:nsid w:val="3D331F97"/>
    <w:multiLevelType w:val="multilevel"/>
    <w:tmpl w:val="22C0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6A53C6"/>
    <w:multiLevelType w:val="multilevel"/>
    <w:tmpl w:val="45DE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891062"/>
    <w:multiLevelType w:val="hybridMultilevel"/>
    <w:tmpl w:val="E242A36A"/>
    <w:lvl w:ilvl="0" w:tplc="CB0075D6">
      <w:start w:val="1"/>
      <w:numFmt w:val="decimal"/>
      <w:lvlText w:val="%1."/>
      <w:lvlJc w:val="left"/>
      <w:pPr>
        <w:ind w:left="1080" w:hanging="360"/>
      </w:pPr>
    </w:lvl>
    <w:lvl w:ilvl="1" w:tplc="09D0BFA2">
      <w:start w:val="1"/>
      <w:numFmt w:val="lowerLetter"/>
      <w:lvlText w:val="%2."/>
      <w:lvlJc w:val="left"/>
      <w:pPr>
        <w:ind w:left="1800" w:hanging="360"/>
      </w:pPr>
    </w:lvl>
    <w:lvl w:ilvl="2" w:tplc="26D89186">
      <w:start w:val="1"/>
      <w:numFmt w:val="lowerRoman"/>
      <w:lvlText w:val="%3."/>
      <w:lvlJc w:val="right"/>
      <w:pPr>
        <w:ind w:left="2520" w:hanging="180"/>
      </w:pPr>
    </w:lvl>
    <w:lvl w:ilvl="3" w:tplc="3AEA7F24">
      <w:start w:val="1"/>
      <w:numFmt w:val="decimal"/>
      <w:lvlText w:val="%4."/>
      <w:lvlJc w:val="left"/>
      <w:pPr>
        <w:ind w:left="3240" w:hanging="360"/>
      </w:pPr>
    </w:lvl>
    <w:lvl w:ilvl="4" w:tplc="0D2A3F68">
      <w:start w:val="1"/>
      <w:numFmt w:val="lowerLetter"/>
      <w:lvlText w:val="%5."/>
      <w:lvlJc w:val="left"/>
      <w:pPr>
        <w:ind w:left="3960" w:hanging="360"/>
      </w:pPr>
    </w:lvl>
    <w:lvl w:ilvl="5" w:tplc="09EAC194">
      <w:start w:val="1"/>
      <w:numFmt w:val="lowerRoman"/>
      <w:lvlText w:val="%6."/>
      <w:lvlJc w:val="right"/>
      <w:pPr>
        <w:ind w:left="4680" w:hanging="180"/>
      </w:pPr>
    </w:lvl>
    <w:lvl w:ilvl="6" w:tplc="E96444B6">
      <w:start w:val="1"/>
      <w:numFmt w:val="decimal"/>
      <w:lvlText w:val="%7."/>
      <w:lvlJc w:val="left"/>
      <w:pPr>
        <w:ind w:left="5400" w:hanging="360"/>
      </w:pPr>
    </w:lvl>
    <w:lvl w:ilvl="7" w:tplc="81C619A8">
      <w:start w:val="1"/>
      <w:numFmt w:val="lowerLetter"/>
      <w:lvlText w:val="%8."/>
      <w:lvlJc w:val="left"/>
      <w:pPr>
        <w:ind w:left="6120" w:hanging="360"/>
      </w:pPr>
    </w:lvl>
    <w:lvl w:ilvl="8" w:tplc="9782FE58">
      <w:start w:val="1"/>
      <w:numFmt w:val="lowerRoman"/>
      <w:lvlText w:val="%9."/>
      <w:lvlJc w:val="right"/>
      <w:pPr>
        <w:ind w:left="6840" w:hanging="180"/>
      </w:pPr>
    </w:lvl>
  </w:abstractNum>
  <w:abstractNum w:abstractNumId="26" w15:restartNumberingAfterBreak="0">
    <w:nsid w:val="46D80821"/>
    <w:multiLevelType w:val="hybridMultilevel"/>
    <w:tmpl w:val="4E800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6A4FCB"/>
    <w:multiLevelType w:val="multilevel"/>
    <w:tmpl w:val="C03E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16A2AD"/>
    <w:multiLevelType w:val="hybridMultilevel"/>
    <w:tmpl w:val="A914E042"/>
    <w:lvl w:ilvl="0" w:tplc="D2BAC858">
      <w:start w:val="1"/>
      <w:numFmt w:val="decimal"/>
      <w:lvlText w:val="%1."/>
      <w:lvlJc w:val="left"/>
      <w:pPr>
        <w:ind w:left="1080" w:hanging="360"/>
      </w:pPr>
    </w:lvl>
    <w:lvl w:ilvl="1" w:tplc="82488FAA">
      <w:start w:val="1"/>
      <w:numFmt w:val="lowerLetter"/>
      <w:lvlText w:val="%2."/>
      <w:lvlJc w:val="left"/>
      <w:pPr>
        <w:ind w:left="1800" w:hanging="360"/>
      </w:pPr>
    </w:lvl>
    <w:lvl w:ilvl="2" w:tplc="FA042D48">
      <w:start w:val="1"/>
      <w:numFmt w:val="lowerRoman"/>
      <w:lvlText w:val="%3."/>
      <w:lvlJc w:val="right"/>
      <w:pPr>
        <w:ind w:left="2520" w:hanging="180"/>
      </w:pPr>
    </w:lvl>
    <w:lvl w:ilvl="3" w:tplc="8A6CB3E6">
      <w:start w:val="1"/>
      <w:numFmt w:val="decimal"/>
      <w:lvlText w:val="%4."/>
      <w:lvlJc w:val="left"/>
      <w:pPr>
        <w:ind w:left="3240" w:hanging="360"/>
      </w:pPr>
    </w:lvl>
    <w:lvl w:ilvl="4" w:tplc="FB5EF3AC">
      <w:start w:val="1"/>
      <w:numFmt w:val="lowerLetter"/>
      <w:lvlText w:val="%5."/>
      <w:lvlJc w:val="left"/>
      <w:pPr>
        <w:ind w:left="3960" w:hanging="360"/>
      </w:pPr>
    </w:lvl>
    <w:lvl w:ilvl="5" w:tplc="C3B6CF04">
      <w:start w:val="1"/>
      <w:numFmt w:val="lowerRoman"/>
      <w:lvlText w:val="%6."/>
      <w:lvlJc w:val="right"/>
      <w:pPr>
        <w:ind w:left="4680" w:hanging="180"/>
      </w:pPr>
    </w:lvl>
    <w:lvl w:ilvl="6" w:tplc="4FA8502C">
      <w:start w:val="1"/>
      <w:numFmt w:val="decimal"/>
      <w:lvlText w:val="%7."/>
      <w:lvlJc w:val="left"/>
      <w:pPr>
        <w:ind w:left="5400" w:hanging="360"/>
      </w:pPr>
    </w:lvl>
    <w:lvl w:ilvl="7" w:tplc="3146D2C8">
      <w:start w:val="1"/>
      <w:numFmt w:val="lowerLetter"/>
      <w:lvlText w:val="%8."/>
      <w:lvlJc w:val="left"/>
      <w:pPr>
        <w:ind w:left="6120" w:hanging="360"/>
      </w:pPr>
    </w:lvl>
    <w:lvl w:ilvl="8" w:tplc="FE303A20">
      <w:start w:val="1"/>
      <w:numFmt w:val="lowerRoman"/>
      <w:lvlText w:val="%9."/>
      <w:lvlJc w:val="right"/>
      <w:pPr>
        <w:ind w:left="6840" w:hanging="180"/>
      </w:pPr>
    </w:lvl>
  </w:abstractNum>
  <w:abstractNum w:abstractNumId="29" w15:restartNumberingAfterBreak="0">
    <w:nsid w:val="535D51AF"/>
    <w:multiLevelType w:val="multilevel"/>
    <w:tmpl w:val="D67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1E17E5"/>
    <w:multiLevelType w:val="multilevel"/>
    <w:tmpl w:val="C706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868B7"/>
    <w:multiLevelType w:val="multilevel"/>
    <w:tmpl w:val="FB46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9E74F2"/>
    <w:multiLevelType w:val="multilevel"/>
    <w:tmpl w:val="4E10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337AD"/>
    <w:multiLevelType w:val="multilevel"/>
    <w:tmpl w:val="2BBE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3C0CEF"/>
    <w:multiLevelType w:val="multilevel"/>
    <w:tmpl w:val="D22C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353DA0"/>
    <w:multiLevelType w:val="hybridMultilevel"/>
    <w:tmpl w:val="80B8737A"/>
    <w:lvl w:ilvl="0" w:tplc="94EC98B8">
      <w:start w:val="1"/>
      <w:numFmt w:val="decimal"/>
      <w:lvlText w:val="%1."/>
      <w:lvlJc w:val="left"/>
      <w:pPr>
        <w:ind w:left="1080" w:hanging="360"/>
      </w:pPr>
    </w:lvl>
    <w:lvl w:ilvl="1" w:tplc="47E6B23C">
      <w:start w:val="1"/>
      <w:numFmt w:val="lowerLetter"/>
      <w:lvlText w:val="%2."/>
      <w:lvlJc w:val="left"/>
      <w:pPr>
        <w:ind w:left="1800" w:hanging="360"/>
      </w:pPr>
    </w:lvl>
    <w:lvl w:ilvl="2" w:tplc="309A09FA">
      <w:start w:val="1"/>
      <w:numFmt w:val="lowerRoman"/>
      <w:lvlText w:val="%3."/>
      <w:lvlJc w:val="right"/>
      <w:pPr>
        <w:ind w:left="2520" w:hanging="180"/>
      </w:pPr>
    </w:lvl>
    <w:lvl w:ilvl="3" w:tplc="12C8F93C">
      <w:start w:val="1"/>
      <w:numFmt w:val="decimal"/>
      <w:lvlText w:val="%4."/>
      <w:lvlJc w:val="left"/>
      <w:pPr>
        <w:ind w:left="3240" w:hanging="360"/>
      </w:pPr>
    </w:lvl>
    <w:lvl w:ilvl="4" w:tplc="1276B9AC">
      <w:start w:val="1"/>
      <w:numFmt w:val="lowerLetter"/>
      <w:lvlText w:val="%5."/>
      <w:lvlJc w:val="left"/>
      <w:pPr>
        <w:ind w:left="3960" w:hanging="360"/>
      </w:pPr>
    </w:lvl>
    <w:lvl w:ilvl="5" w:tplc="6DB8C520">
      <w:start w:val="1"/>
      <w:numFmt w:val="lowerRoman"/>
      <w:lvlText w:val="%6."/>
      <w:lvlJc w:val="right"/>
      <w:pPr>
        <w:ind w:left="4680" w:hanging="180"/>
      </w:pPr>
    </w:lvl>
    <w:lvl w:ilvl="6" w:tplc="E10879AE">
      <w:start w:val="1"/>
      <w:numFmt w:val="decimal"/>
      <w:lvlText w:val="%7."/>
      <w:lvlJc w:val="left"/>
      <w:pPr>
        <w:ind w:left="5400" w:hanging="360"/>
      </w:pPr>
    </w:lvl>
    <w:lvl w:ilvl="7" w:tplc="ADE49578">
      <w:start w:val="1"/>
      <w:numFmt w:val="lowerLetter"/>
      <w:lvlText w:val="%8."/>
      <w:lvlJc w:val="left"/>
      <w:pPr>
        <w:ind w:left="6120" w:hanging="360"/>
      </w:pPr>
    </w:lvl>
    <w:lvl w:ilvl="8" w:tplc="96DABCB0">
      <w:start w:val="1"/>
      <w:numFmt w:val="lowerRoman"/>
      <w:lvlText w:val="%9."/>
      <w:lvlJc w:val="right"/>
      <w:pPr>
        <w:ind w:left="6840" w:hanging="180"/>
      </w:pPr>
    </w:lvl>
  </w:abstractNum>
  <w:abstractNum w:abstractNumId="36" w15:restartNumberingAfterBreak="0">
    <w:nsid w:val="6B212962"/>
    <w:multiLevelType w:val="hybridMultilevel"/>
    <w:tmpl w:val="A6802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D8DFBA7"/>
    <w:multiLevelType w:val="hybridMultilevel"/>
    <w:tmpl w:val="37C60922"/>
    <w:lvl w:ilvl="0" w:tplc="D7B4C400">
      <w:start w:val="1"/>
      <w:numFmt w:val="decimal"/>
      <w:lvlText w:val="%1."/>
      <w:lvlJc w:val="left"/>
      <w:pPr>
        <w:ind w:left="1080" w:hanging="360"/>
      </w:pPr>
    </w:lvl>
    <w:lvl w:ilvl="1" w:tplc="B3B23A80">
      <w:start w:val="1"/>
      <w:numFmt w:val="lowerLetter"/>
      <w:lvlText w:val="%2."/>
      <w:lvlJc w:val="left"/>
      <w:pPr>
        <w:ind w:left="1800" w:hanging="360"/>
      </w:pPr>
    </w:lvl>
    <w:lvl w:ilvl="2" w:tplc="BD3C39FA">
      <w:start w:val="1"/>
      <w:numFmt w:val="lowerRoman"/>
      <w:lvlText w:val="%3."/>
      <w:lvlJc w:val="right"/>
      <w:pPr>
        <w:ind w:left="2520" w:hanging="180"/>
      </w:pPr>
    </w:lvl>
    <w:lvl w:ilvl="3" w:tplc="8BC0F0E2">
      <w:start w:val="1"/>
      <w:numFmt w:val="decimal"/>
      <w:lvlText w:val="%4."/>
      <w:lvlJc w:val="left"/>
      <w:pPr>
        <w:ind w:left="3240" w:hanging="360"/>
      </w:pPr>
    </w:lvl>
    <w:lvl w:ilvl="4" w:tplc="B5A4CBCA">
      <w:start w:val="1"/>
      <w:numFmt w:val="lowerLetter"/>
      <w:lvlText w:val="%5."/>
      <w:lvlJc w:val="left"/>
      <w:pPr>
        <w:ind w:left="3960" w:hanging="360"/>
      </w:pPr>
    </w:lvl>
    <w:lvl w:ilvl="5" w:tplc="83167BA4">
      <w:start w:val="1"/>
      <w:numFmt w:val="lowerRoman"/>
      <w:lvlText w:val="%6."/>
      <w:lvlJc w:val="right"/>
      <w:pPr>
        <w:ind w:left="4680" w:hanging="180"/>
      </w:pPr>
    </w:lvl>
    <w:lvl w:ilvl="6" w:tplc="CCCA0BC6">
      <w:start w:val="1"/>
      <w:numFmt w:val="decimal"/>
      <w:lvlText w:val="%7."/>
      <w:lvlJc w:val="left"/>
      <w:pPr>
        <w:ind w:left="5400" w:hanging="360"/>
      </w:pPr>
    </w:lvl>
    <w:lvl w:ilvl="7" w:tplc="E558FCC0">
      <w:start w:val="1"/>
      <w:numFmt w:val="lowerLetter"/>
      <w:lvlText w:val="%8."/>
      <w:lvlJc w:val="left"/>
      <w:pPr>
        <w:ind w:left="6120" w:hanging="360"/>
      </w:pPr>
    </w:lvl>
    <w:lvl w:ilvl="8" w:tplc="F72A9E8E">
      <w:start w:val="1"/>
      <w:numFmt w:val="lowerRoman"/>
      <w:lvlText w:val="%9."/>
      <w:lvlJc w:val="right"/>
      <w:pPr>
        <w:ind w:left="6840" w:hanging="180"/>
      </w:pPr>
    </w:lvl>
  </w:abstractNum>
  <w:abstractNum w:abstractNumId="38" w15:restartNumberingAfterBreak="0">
    <w:nsid w:val="71A33D1F"/>
    <w:multiLevelType w:val="multilevel"/>
    <w:tmpl w:val="15FA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0F124D"/>
    <w:multiLevelType w:val="multilevel"/>
    <w:tmpl w:val="7E74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713C27"/>
    <w:multiLevelType w:val="multilevel"/>
    <w:tmpl w:val="DD3C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B62DFF"/>
    <w:multiLevelType w:val="multilevel"/>
    <w:tmpl w:val="AA36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5557069">
    <w:abstractNumId w:val="13"/>
  </w:num>
  <w:num w:numId="2" w16cid:durableId="1301692835">
    <w:abstractNumId w:val="12"/>
  </w:num>
  <w:num w:numId="3" w16cid:durableId="1661613760">
    <w:abstractNumId w:val="37"/>
  </w:num>
  <w:num w:numId="4" w16cid:durableId="258563169">
    <w:abstractNumId w:val="19"/>
  </w:num>
  <w:num w:numId="5" w16cid:durableId="225653818">
    <w:abstractNumId w:val="5"/>
  </w:num>
  <w:num w:numId="6" w16cid:durableId="1739398055">
    <w:abstractNumId w:val="9"/>
  </w:num>
  <w:num w:numId="7" w16cid:durableId="604993971">
    <w:abstractNumId w:val="22"/>
  </w:num>
  <w:num w:numId="8" w16cid:durableId="22751213">
    <w:abstractNumId w:val="28"/>
  </w:num>
  <w:num w:numId="9" w16cid:durableId="1904295478">
    <w:abstractNumId w:val="25"/>
  </w:num>
  <w:num w:numId="10" w16cid:durableId="173500742">
    <w:abstractNumId w:val="35"/>
  </w:num>
  <w:num w:numId="11" w16cid:durableId="738283700">
    <w:abstractNumId w:val="26"/>
  </w:num>
  <w:num w:numId="12" w16cid:durableId="2081638203">
    <w:abstractNumId w:val="7"/>
  </w:num>
  <w:num w:numId="13" w16cid:durableId="1955626459">
    <w:abstractNumId w:val="8"/>
  </w:num>
  <w:num w:numId="14" w16cid:durableId="1916894769">
    <w:abstractNumId w:val="30"/>
  </w:num>
  <w:num w:numId="15" w16cid:durableId="1005788419">
    <w:abstractNumId w:val="34"/>
  </w:num>
  <w:num w:numId="16" w16cid:durableId="560562115">
    <w:abstractNumId w:val="15"/>
  </w:num>
  <w:num w:numId="17" w16cid:durableId="1276599395">
    <w:abstractNumId w:val="29"/>
  </w:num>
  <w:num w:numId="18" w16cid:durableId="906232248">
    <w:abstractNumId w:val="3"/>
  </w:num>
  <w:num w:numId="19" w16cid:durableId="1304234869">
    <w:abstractNumId w:val="14"/>
  </w:num>
  <w:num w:numId="20" w16cid:durableId="1200701357">
    <w:abstractNumId w:val="21"/>
  </w:num>
  <w:num w:numId="21" w16cid:durableId="1836990147">
    <w:abstractNumId w:val="20"/>
  </w:num>
  <w:num w:numId="22" w16cid:durableId="87506655">
    <w:abstractNumId w:val="23"/>
  </w:num>
  <w:num w:numId="23" w16cid:durableId="1386219510">
    <w:abstractNumId w:val="31"/>
  </w:num>
  <w:num w:numId="24" w16cid:durableId="936250591">
    <w:abstractNumId w:val="18"/>
  </w:num>
  <w:num w:numId="25" w16cid:durableId="1900897860">
    <w:abstractNumId w:val="41"/>
  </w:num>
  <w:num w:numId="26" w16cid:durableId="1458640144">
    <w:abstractNumId w:val="6"/>
  </w:num>
  <w:num w:numId="27" w16cid:durableId="1117410549">
    <w:abstractNumId w:val="0"/>
  </w:num>
  <w:num w:numId="28" w16cid:durableId="435059623">
    <w:abstractNumId w:val="24"/>
  </w:num>
  <w:num w:numId="29" w16cid:durableId="1537886332">
    <w:abstractNumId w:val="1"/>
  </w:num>
  <w:num w:numId="30" w16cid:durableId="1608000912">
    <w:abstractNumId w:val="33"/>
  </w:num>
  <w:num w:numId="31" w16cid:durableId="2057452">
    <w:abstractNumId w:val="39"/>
  </w:num>
  <w:num w:numId="32" w16cid:durableId="2013213232">
    <w:abstractNumId w:val="40"/>
  </w:num>
  <w:num w:numId="33" w16cid:durableId="1705330694">
    <w:abstractNumId w:val="2"/>
  </w:num>
  <w:num w:numId="34" w16cid:durableId="1438283612">
    <w:abstractNumId w:val="27"/>
  </w:num>
  <w:num w:numId="35" w16cid:durableId="1888293932">
    <w:abstractNumId w:val="32"/>
  </w:num>
  <w:num w:numId="36" w16cid:durableId="1529953137">
    <w:abstractNumId w:val="11"/>
  </w:num>
  <w:num w:numId="37" w16cid:durableId="1375277771">
    <w:abstractNumId w:val="38"/>
  </w:num>
  <w:num w:numId="38" w16cid:durableId="2074506195">
    <w:abstractNumId w:val="17"/>
  </w:num>
  <w:num w:numId="39" w16cid:durableId="1318222091">
    <w:abstractNumId w:val="36"/>
  </w:num>
  <w:num w:numId="40" w16cid:durableId="1621689758">
    <w:abstractNumId w:val="16"/>
  </w:num>
  <w:num w:numId="41" w16cid:durableId="1307784517">
    <w:abstractNumId w:val="4"/>
  </w:num>
  <w:num w:numId="42" w16cid:durableId="10061288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3A"/>
    <w:rsid w:val="000005C2"/>
    <w:rsid w:val="000023C3"/>
    <w:rsid w:val="00005D60"/>
    <w:rsid w:val="00006176"/>
    <w:rsid w:val="000102E0"/>
    <w:rsid w:val="000147AA"/>
    <w:rsid w:val="00016E71"/>
    <w:rsid w:val="000223F2"/>
    <w:rsid w:val="00025F38"/>
    <w:rsid w:val="00033087"/>
    <w:rsid w:val="00034443"/>
    <w:rsid w:val="0004283B"/>
    <w:rsid w:val="00043964"/>
    <w:rsid w:val="000536A7"/>
    <w:rsid w:val="00055723"/>
    <w:rsid w:val="00061122"/>
    <w:rsid w:val="000618D1"/>
    <w:rsid w:val="00074533"/>
    <w:rsid w:val="00074DAB"/>
    <w:rsid w:val="00076251"/>
    <w:rsid w:val="000815EF"/>
    <w:rsid w:val="0008222C"/>
    <w:rsid w:val="00082AA6"/>
    <w:rsid w:val="00087987"/>
    <w:rsid w:val="00091A54"/>
    <w:rsid w:val="0009472D"/>
    <w:rsid w:val="000A0A24"/>
    <w:rsid w:val="000A1C80"/>
    <w:rsid w:val="000A2CDD"/>
    <w:rsid w:val="000A52C7"/>
    <w:rsid w:val="000A77D9"/>
    <w:rsid w:val="000B0E59"/>
    <w:rsid w:val="000B6438"/>
    <w:rsid w:val="000B6D13"/>
    <w:rsid w:val="000D1C9A"/>
    <w:rsid w:val="000D4CAE"/>
    <w:rsid w:val="000E05D4"/>
    <w:rsid w:val="000E1E07"/>
    <w:rsid w:val="000E3B25"/>
    <w:rsid w:val="000E59D2"/>
    <w:rsid w:val="000E7844"/>
    <w:rsid w:val="000F0883"/>
    <w:rsid w:val="000F353F"/>
    <w:rsid w:val="000F590B"/>
    <w:rsid w:val="00100745"/>
    <w:rsid w:val="00100DC4"/>
    <w:rsid w:val="0010108D"/>
    <w:rsid w:val="00102128"/>
    <w:rsid w:val="00104B96"/>
    <w:rsid w:val="00104DEC"/>
    <w:rsid w:val="00106A44"/>
    <w:rsid w:val="00110D40"/>
    <w:rsid w:val="00111F0E"/>
    <w:rsid w:val="00115579"/>
    <w:rsid w:val="00127DDE"/>
    <w:rsid w:val="00127FDA"/>
    <w:rsid w:val="001348B8"/>
    <w:rsid w:val="001537F4"/>
    <w:rsid w:val="001544EF"/>
    <w:rsid w:val="00161766"/>
    <w:rsid w:val="00167A27"/>
    <w:rsid w:val="00171298"/>
    <w:rsid w:val="001738D7"/>
    <w:rsid w:val="001759ED"/>
    <w:rsid w:val="0017748A"/>
    <w:rsid w:val="00177764"/>
    <w:rsid w:val="00177A10"/>
    <w:rsid w:val="001851E2"/>
    <w:rsid w:val="00186EB4"/>
    <w:rsid w:val="00193A08"/>
    <w:rsid w:val="00196A07"/>
    <w:rsid w:val="001A4AF1"/>
    <w:rsid w:val="001A60B6"/>
    <w:rsid w:val="001B10A2"/>
    <w:rsid w:val="001B66ED"/>
    <w:rsid w:val="001C2170"/>
    <w:rsid w:val="001C61F5"/>
    <w:rsid w:val="001D3572"/>
    <w:rsid w:val="001E3DEB"/>
    <w:rsid w:val="001E56B1"/>
    <w:rsid w:val="001E65CB"/>
    <w:rsid w:val="001F1378"/>
    <w:rsid w:val="001F19B5"/>
    <w:rsid w:val="001F240F"/>
    <w:rsid w:val="001F29A5"/>
    <w:rsid w:val="001F46E5"/>
    <w:rsid w:val="001F4EA6"/>
    <w:rsid w:val="0020516D"/>
    <w:rsid w:val="00205DC8"/>
    <w:rsid w:val="00210A0D"/>
    <w:rsid w:val="00214867"/>
    <w:rsid w:val="0021494E"/>
    <w:rsid w:val="002166BB"/>
    <w:rsid w:val="00216B7B"/>
    <w:rsid w:val="002200A5"/>
    <w:rsid w:val="00220BC8"/>
    <w:rsid w:val="0022140D"/>
    <w:rsid w:val="00222446"/>
    <w:rsid w:val="00235C69"/>
    <w:rsid w:val="00245B9F"/>
    <w:rsid w:val="0024613E"/>
    <w:rsid w:val="00246C7A"/>
    <w:rsid w:val="00252D5C"/>
    <w:rsid w:val="00262FDC"/>
    <w:rsid w:val="0026783F"/>
    <w:rsid w:val="00270D00"/>
    <w:rsid w:val="002750AB"/>
    <w:rsid w:val="00275363"/>
    <w:rsid w:val="00277D89"/>
    <w:rsid w:val="00280A54"/>
    <w:rsid w:val="00282317"/>
    <w:rsid w:val="002A15D7"/>
    <w:rsid w:val="002B546C"/>
    <w:rsid w:val="002C17E6"/>
    <w:rsid w:val="002C41B1"/>
    <w:rsid w:val="002D31D7"/>
    <w:rsid w:val="002E28FB"/>
    <w:rsid w:val="002F5767"/>
    <w:rsid w:val="002F75FB"/>
    <w:rsid w:val="00306317"/>
    <w:rsid w:val="00307F1F"/>
    <w:rsid w:val="00311ED8"/>
    <w:rsid w:val="00313F2D"/>
    <w:rsid w:val="0031597A"/>
    <w:rsid w:val="00320F32"/>
    <w:rsid w:val="003226FC"/>
    <w:rsid w:val="003233A3"/>
    <w:rsid w:val="00323B77"/>
    <w:rsid w:val="00323F8E"/>
    <w:rsid w:val="0032402D"/>
    <w:rsid w:val="00327DDE"/>
    <w:rsid w:val="003330A3"/>
    <w:rsid w:val="0033332F"/>
    <w:rsid w:val="00335115"/>
    <w:rsid w:val="00338D09"/>
    <w:rsid w:val="00340950"/>
    <w:rsid w:val="003429B1"/>
    <w:rsid w:val="0034422F"/>
    <w:rsid w:val="00345A68"/>
    <w:rsid w:val="00345E99"/>
    <w:rsid w:val="003509EC"/>
    <w:rsid w:val="00355C42"/>
    <w:rsid w:val="00365B94"/>
    <w:rsid w:val="00366C24"/>
    <w:rsid w:val="00367201"/>
    <w:rsid w:val="003745FB"/>
    <w:rsid w:val="003763BD"/>
    <w:rsid w:val="003806E4"/>
    <w:rsid w:val="00380CBB"/>
    <w:rsid w:val="0038127B"/>
    <w:rsid w:val="00384ADB"/>
    <w:rsid w:val="00385291"/>
    <w:rsid w:val="003874F6"/>
    <w:rsid w:val="003877CB"/>
    <w:rsid w:val="00397E1C"/>
    <w:rsid w:val="003A04B9"/>
    <w:rsid w:val="003B2447"/>
    <w:rsid w:val="003B28BA"/>
    <w:rsid w:val="003B4C48"/>
    <w:rsid w:val="003B6D40"/>
    <w:rsid w:val="003C1B48"/>
    <w:rsid w:val="003C1FA3"/>
    <w:rsid w:val="003C4D52"/>
    <w:rsid w:val="003C7658"/>
    <w:rsid w:val="003D2303"/>
    <w:rsid w:val="003D345F"/>
    <w:rsid w:val="003D4049"/>
    <w:rsid w:val="003E4C19"/>
    <w:rsid w:val="003E55B0"/>
    <w:rsid w:val="003E5A6B"/>
    <w:rsid w:val="003F0E7A"/>
    <w:rsid w:val="003F13F4"/>
    <w:rsid w:val="003F1BDC"/>
    <w:rsid w:val="00402705"/>
    <w:rsid w:val="00403BFE"/>
    <w:rsid w:val="00403C87"/>
    <w:rsid w:val="0040615D"/>
    <w:rsid w:val="00410D60"/>
    <w:rsid w:val="004120F3"/>
    <w:rsid w:val="00413DA6"/>
    <w:rsid w:val="00415DC5"/>
    <w:rsid w:val="00416B9B"/>
    <w:rsid w:val="00430334"/>
    <w:rsid w:val="00430BE0"/>
    <w:rsid w:val="004323C1"/>
    <w:rsid w:val="00443D86"/>
    <w:rsid w:val="00446A12"/>
    <w:rsid w:val="00447280"/>
    <w:rsid w:val="004473EC"/>
    <w:rsid w:val="00447571"/>
    <w:rsid w:val="004514FC"/>
    <w:rsid w:val="0045495B"/>
    <w:rsid w:val="00455D0F"/>
    <w:rsid w:val="00455D92"/>
    <w:rsid w:val="00456948"/>
    <w:rsid w:val="004605EF"/>
    <w:rsid w:val="00460E4D"/>
    <w:rsid w:val="004646EA"/>
    <w:rsid w:val="004675BB"/>
    <w:rsid w:val="00472D64"/>
    <w:rsid w:val="00477903"/>
    <w:rsid w:val="00477980"/>
    <w:rsid w:val="00480AEC"/>
    <w:rsid w:val="004829FB"/>
    <w:rsid w:val="00487C88"/>
    <w:rsid w:val="00492532"/>
    <w:rsid w:val="00493538"/>
    <w:rsid w:val="00495537"/>
    <w:rsid w:val="004A04A0"/>
    <w:rsid w:val="004B614F"/>
    <w:rsid w:val="004B76C5"/>
    <w:rsid w:val="004C1CFC"/>
    <w:rsid w:val="004D13C6"/>
    <w:rsid w:val="004D1F36"/>
    <w:rsid w:val="004D2A81"/>
    <w:rsid w:val="004D3D05"/>
    <w:rsid w:val="004D578A"/>
    <w:rsid w:val="004D7680"/>
    <w:rsid w:val="004E0756"/>
    <w:rsid w:val="004E3F7E"/>
    <w:rsid w:val="004E4398"/>
    <w:rsid w:val="004E5C3C"/>
    <w:rsid w:val="004E7C3F"/>
    <w:rsid w:val="004F1643"/>
    <w:rsid w:val="004F42BD"/>
    <w:rsid w:val="004F7047"/>
    <w:rsid w:val="004F7C96"/>
    <w:rsid w:val="0050184A"/>
    <w:rsid w:val="00502E20"/>
    <w:rsid w:val="005037ED"/>
    <w:rsid w:val="00505CEA"/>
    <w:rsid w:val="00506320"/>
    <w:rsid w:val="005067C2"/>
    <w:rsid w:val="0051457F"/>
    <w:rsid w:val="005150E1"/>
    <w:rsid w:val="0051559D"/>
    <w:rsid w:val="005168FB"/>
    <w:rsid w:val="00517155"/>
    <w:rsid w:val="005217CE"/>
    <w:rsid w:val="00521F5F"/>
    <w:rsid w:val="00525397"/>
    <w:rsid w:val="00525A45"/>
    <w:rsid w:val="00532691"/>
    <w:rsid w:val="00537D7D"/>
    <w:rsid w:val="0054724E"/>
    <w:rsid w:val="0055093D"/>
    <w:rsid w:val="00552006"/>
    <w:rsid w:val="00552B8B"/>
    <w:rsid w:val="00555A63"/>
    <w:rsid w:val="005567D2"/>
    <w:rsid w:val="005665F5"/>
    <w:rsid w:val="005711B6"/>
    <w:rsid w:val="00580054"/>
    <w:rsid w:val="00581A53"/>
    <w:rsid w:val="00581DC2"/>
    <w:rsid w:val="005876A6"/>
    <w:rsid w:val="0059273F"/>
    <w:rsid w:val="00592C3B"/>
    <w:rsid w:val="005A22B1"/>
    <w:rsid w:val="005B1516"/>
    <w:rsid w:val="005B3E83"/>
    <w:rsid w:val="005B4943"/>
    <w:rsid w:val="005B64EC"/>
    <w:rsid w:val="005C5F89"/>
    <w:rsid w:val="005D3C27"/>
    <w:rsid w:val="005D60B5"/>
    <w:rsid w:val="005E10DE"/>
    <w:rsid w:val="005E41AF"/>
    <w:rsid w:val="005E64BC"/>
    <w:rsid w:val="005E76AE"/>
    <w:rsid w:val="005F52AB"/>
    <w:rsid w:val="005F6558"/>
    <w:rsid w:val="00602011"/>
    <w:rsid w:val="00603F42"/>
    <w:rsid w:val="00605B94"/>
    <w:rsid w:val="00607AA4"/>
    <w:rsid w:val="00612181"/>
    <w:rsid w:val="00615A20"/>
    <w:rsid w:val="00617B9A"/>
    <w:rsid w:val="00621E9E"/>
    <w:rsid w:val="0062240E"/>
    <w:rsid w:val="00630AE8"/>
    <w:rsid w:val="00633D34"/>
    <w:rsid w:val="0063697F"/>
    <w:rsid w:val="00637CA9"/>
    <w:rsid w:val="0064121A"/>
    <w:rsid w:val="006447F3"/>
    <w:rsid w:val="00650580"/>
    <w:rsid w:val="00650A10"/>
    <w:rsid w:val="00653133"/>
    <w:rsid w:val="00653596"/>
    <w:rsid w:val="0065595F"/>
    <w:rsid w:val="00655A85"/>
    <w:rsid w:val="006571B1"/>
    <w:rsid w:val="00657509"/>
    <w:rsid w:val="00660778"/>
    <w:rsid w:val="00660947"/>
    <w:rsid w:val="00660A50"/>
    <w:rsid w:val="006756E6"/>
    <w:rsid w:val="0068178D"/>
    <w:rsid w:val="00682F23"/>
    <w:rsid w:val="006849E8"/>
    <w:rsid w:val="006851A9"/>
    <w:rsid w:val="006867A1"/>
    <w:rsid w:val="006927C6"/>
    <w:rsid w:val="006A005F"/>
    <w:rsid w:val="006A1175"/>
    <w:rsid w:val="006A5308"/>
    <w:rsid w:val="006A5484"/>
    <w:rsid w:val="006B128F"/>
    <w:rsid w:val="006B67B9"/>
    <w:rsid w:val="006B793A"/>
    <w:rsid w:val="006C0AAA"/>
    <w:rsid w:val="006C7E2E"/>
    <w:rsid w:val="006D27E2"/>
    <w:rsid w:val="006D2C65"/>
    <w:rsid w:val="006D5545"/>
    <w:rsid w:val="006D7299"/>
    <w:rsid w:val="006D7CBF"/>
    <w:rsid w:val="006E5DEC"/>
    <w:rsid w:val="006F02A7"/>
    <w:rsid w:val="006F7265"/>
    <w:rsid w:val="007027D1"/>
    <w:rsid w:val="00702F8F"/>
    <w:rsid w:val="00706E1F"/>
    <w:rsid w:val="007070F8"/>
    <w:rsid w:val="00713088"/>
    <w:rsid w:val="00713C3E"/>
    <w:rsid w:val="00715B10"/>
    <w:rsid w:val="007249EE"/>
    <w:rsid w:val="00725D2D"/>
    <w:rsid w:val="00730858"/>
    <w:rsid w:val="00737DAE"/>
    <w:rsid w:val="00740024"/>
    <w:rsid w:val="0074402F"/>
    <w:rsid w:val="007450DC"/>
    <w:rsid w:val="00746674"/>
    <w:rsid w:val="007505CB"/>
    <w:rsid w:val="00753281"/>
    <w:rsid w:val="00753A75"/>
    <w:rsid w:val="007601DD"/>
    <w:rsid w:val="00762C05"/>
    <w:rsid w:val="007640B0"/>
    <w:rsid w:val="00770A32"/>
    <w:rsid w:val="00785B62"/>
    <w:rsid w:val="00786215"/>
    <w:rsid w:val="00786C53"/>
    <w:rsid w:val="00786E4F"/>
    <w:rsid w:val="00790EB3"/>
    <w:rsid w:val="00792EDF"/>
    <w:rsid w:val="007A5E1D"/>
    <w:rsid w:val="007A7052"/>
    <w:rsid w:val="007B034D"/>
    <w:rsid w:val="007B1D8B"/>
    <w:rsid w:val="007B324B"/>
    <w:rsid w:val="007B486D"/>
    <w:rsid w:val="007B5CD1"/>
    <w:rsid w:val="007B60F7"/>
    <w:rsid w:val="007B7E33"/>
    <w:rsid w:val="007C7835"/>
    <w:rsid w:val="007E35ED"/>
    <w:rsid w:val="007E4085"/>
    <w:rsid w:val="007E69DE"/>
    <w:rsid w:val="007E7B23"/>
    <w:rsid w:val="007E7DC3"/>
    <w:rsid w:val="00800976"/>
    <w:rsid w:val="0080173B"/>
    <w:rsid w:val="00803093"/>
    <w:rsid w:val="00803447"/>
    <w:rsid w:val="00804917"/>
    <w:rsid w:val="008052FA"/>
    <w:rsid w:val="0080585F"/>
    <w:rsid w:val="00806BA1"/>
    <w:rsid w:val="0082752E"/>
    <w:rsid w:val="00827FFA"/>
    <w:rsid w:val="00832076"/>
    <w:rsid w:val="0083229C"/>
    <w:rsid w:val="00842089"/>
    <w:rsid w:val="008509A5"/>
    <w:rsid w:val="00851882"/>
    <w:rsid w:val="00852193"/>
    <w:rsid w:val="0085D078"/>
    <w:rsid w:val="008600A6"/>
    <w:rsid w:val="00861FDE"/>
    <w:rsid w:val="00867893"/>
    <w:rsid w:val="0087114A"/>
    <w:rsid w:val="00873AE4"/>
    <w:rsid w:val="0087460B"/>
    <w:rsid w:val="008766F7"/>
    <w:rsid w:val="00876B23"/>
    <w:rsid w:val="0087EE97"/>
    <w:rsid w:val="0088017B"/>
    <w:rsid w:val="00884663"/>
    <w:rsid w:val="00892EAD"/>
    <w:rsid w:val="008938B0"/>
    <w:rsid w:val="0089519C"/>
    <w:rsid w:val="008A1B09"/>
    <w:rsid w:val="008A4329"/>
    <w:rsid w:val="008A6F5E"/>
    <w:rsid w:val="008B096F"/>
    <w:rsid w:val="008B0A4C"/>
    <w:rsid w:val="008B0E79"/>
    <w:rsid w:val="008B4B7E"/>
    <w:rsid w:val="008C01D6"/>
    <w:rsid w:val="008C2B42"/>
    <w:rsid w:val="008D162A"/>
    <w:rsid w:val="008D41CB"/>
    <w:rsid w:val="008F2CB0"/>
    <w:rsid w:val="008F31C0"/>
    <w:rsid w:val="009002B6"/>
    <w:rsid w:val="00901FF6"/>
    <w:rsid w:val="00902285"/>
    <w:rsid w:val="00902883"/>
    <w:rsid w:val="00904852"/>
    <w:rsid w:val="00905431"/>
    <w:rsid w:val="009072F8"/>
    <w:rsid w:val="00912902"/>
    <w:rsid w:val="009139DA"/>
    <w:rsid w:val="00913F07"/>
    <w:rsid w:val="009148B6"/>
    <w:rsid w:val="00917A6D"/>
    <w:rsid w:val="0092093F"/>
    <w:rsid w:val="00924CA7"/>
    <w:rsid w:val="009257F2"/>
    <w:rsid w:val="00926454"/>
    <w:rsid w:val="00932655"/>
    <w:rsid w:val="00937A1D"/>
    <w:rsid w:val="009425BB"/>
    <w:rsid w:val="00944A08"/>
    <w:rsid w:val="00951B25"/>
    <w:rsid w:val="00955496"/>
    <w:rsid w:val="00955815"/>
    <w:rsid w:val="0096417F"/>
    <w:rsid w:val="0097103D"/>
    <w:rsid w:val="00973F59"/>
    <w:rsid w:val="00977830"/>
    <w:rsid w:val="009824F3"/>
    <w:rsid w:val="00986C97"/>
    <w:rsid w:val="009904FD"/>
    <w:rsid w:val="00995840"/>
    <w:rsid w:val="009A0699"/>
    <w:rsid w:val="009A4D9E"/>
    <w:rsid w:val="009A5BF1"/>
    <w:rsid w:val="009B2E1E"/>
    <w:rsid w:val="009B3D18"/>
    <w:rsid w:val="009B592C"/>
    <w:rsid w:val="009C74E0"/>
    <w:rsid w:val="009D51D9"/>
    <w:rsid w:val="009D7662"/>
    <w:rsid w:val="009E3295"/>
    <w:rsid w:val="009F3913"/>
    <w:rsid w:val="009F4AAE"/>
    <w:rsid w:val="009F70E8"/>
    <w:rsid w:val="00A003B0"/>
    <w:rsid w:val="00A02F15"/>
    <w:rsid w:val="00A04813"/>
    <w:rsid w:val="00A074D0"/>
    <w:rsid w:val="00A15B6F"/>
    <w:rsid w:val="00A2501E"/>
    <w:rsid w:val="00A2689D"/>
    <w:rsid w:val="00A3220E"/>
    <w:rsid w:val="00A32375"/>
    <w:rsid w:val="00A32DAC"/>
    <w:rsid w:val="00A33B88"/>
    <w:rsid w:val="00A42B09"/>
    <w:rsid w:val="00A4638E"/>
    <w:rsid w:val="00A661E0"/>
    <w:rsid w:val="00A6686E"/>
    <w:rsid w:val="00A67BDB"/>
    <w:rsid w:val="00A67D85"/>
    <w:rsid w:val="00A713F4"/>
    <w:rsid w:val="00A7502D"/>
    <w:rsid w:val="00A77923"/>
    <w:rsid w:val="00A801D2"/>
    <w:rsid w:val="00A824C3"/>
    <w:rsid w:val="00A9078E"/>
    <w:rsid w:val="00A9476F"/>
    <w:rsid w:val="00A96300"/>
    <w:rsid w:val="00A97ECE"/>
    <w:rsid w:val="00A99A07"/>
    <w:rsid w:val="00AB0F54"/>
    <w:rsid w:val="00AB4D1F"/>
    <w:rsid w:val="00AC01EC"/>
    <w:rsid w:val="00AD0A82"/>
    <w:rsid w:val="00AD1C3B"/>
    <w:rsid w:val="00AD3DDF"/>
    <w:rsid w:val="00AD5FCC"/>
    <w:rsid w:val="00AD644E"/>
    <w:rsid w:val="00AE0DA8"/>
    <w:rsid w:val="00AE4B75"/>
    <w:rsid w:val="00AE6445"/>
    <w:rsid w:val="00AE6F1B"/>
    <w:rsid w:val="00AF12F6"/>
    <w:rsid w:val="00AF6773"/>
    <w:rsid w:val="00AF7F1A"/>
    <w:rsid w:val="00B04A7A"/>
    <w:rsid w:val="00B06832"/>
    <w:rsid w:val="00B06BF4"/>
    <w:rsid w:val="00B100AD"/>
    <w:rsid w:val="00B119A8"/>
    <w:rsid w:val="00B131E5"/>
    <w:rsid w:val="00B15C25"/>
    <w:rsid w:val="00B21636"/>
    <w:rsid w:val="00B2184E"/>
    <w:rsid w:val="00B23626"/>
    <w:rsid w:val="00B256D9"/>
    <w:rsid w:val="00B26F4E"/>
    <w:rsid w:val="00B3087F"/>
    <w:rsid w:val="00B3168D"/>
    <w:rsid w:val="00B3299E"/>
    <w:rsid w:val="00B41185"/>
    <w:rsid w:val="00B428B2"/>
    <w:rsid w:val="00B45A87"/>
    <w:rsid w:val="00B52A9A"/>
    <w:rsid w:val="00B571CE"/>
    <w:rsid w:val="00B5726E"/>
    <w:rsid w:val="00B62029"/>
    <w:rsid w:val="00B75BF1"/>
    <w:rsid w:val="00B75CA2"/>
    <w:rsid w:val="00B81CA1"/>
    <w:rsid w:val="00B86CC7"/>
    <w:rsid w:val="00B87EDA"/>
    <w:rsid w:val="00B99801"/>
    <w:rsid w:val="00BA072F"/>
    <w:rsid w:val="00BA2305"/>
    <w:rsid w:val="00BA2F1A"/>
    <w:rsid w:val="00BA3244"/>
    <w:rsid w:val="00BA4FB2"/>
    <w:rsid w:val="00BA5A89"/>
    <w:rsid w:val="00BA7002"/>
    <w:rsid w:val="00BA705C"/>
    <w:rsid w:val="00BB5DB9"/>
    <w:rsid w:val="00BB60E1"/>
    <w:rsid w:val="00BC0435"/>
    <w:rsid w:val="00BC6F04"/>
    <w:rsid w:val="00BD0C14"/>
    <w:rsid w:val="00BD0FEA"/>
    <w:rsid w:val="00BF111F"/>
    <w:rsid w:val="00BF1814"/>
    <w:rsid w:val="00BF2217"/>
    <w:rsid w:val="00C02A2C"/>
    <w:rsid w:val="00C05DB6"/>
    <w:rsid w:val="00C14758"/>
    <w:rsid w:val="00C15945"/>
    <w:rsid w:val="00C20DAF"/>
    <w:rsid w:val="00C21B55"/>
    <w:rsid w:val="00C225BF"/>
    <w:rsid w:val="00C228CC"/>
    <w:rsid w:val="00C23031"/>
    <w:rsid w:val="00C240D7"/>
    <w:rsid w:val="00C249B4"/>
    <w:rsid w:val="00C27576"/>
    <w:rsid w:val="00C27A4C"/>
    <w:rsid w:val="00C31779"/>
    <w:rsid w:val="00C35CB6"/>
    <w:rsid w:val="00C37558"/>
    <w:rsid w:val="00C442B3"/>
    <w:rsid w:val="00C46452"/>
    <w:rsid w:val="00C5020B"/>
    <w:rsid w:val="00C61078"/>
    <w:rsid w:val="00C657A4"/>
    <w:rsid w:val="00C65962"/>
    <w:rsid w:val="00C671F8"/>
    <w:rsid w:val="00C67A53"/>
    <w:rsid w:val="00C70AEB"/>
    <w:rsid w:val="00C71581"/>
    <w:rsid w:val="00C76BE0"/>
    <w:rsid w:val="00C77716"/>
    <w:rsid w:val="00C80ED4"/>
    <w:rsid w:val="00C850FF"/>
    <w:rsid w:val="00C930E3"/>
    <w:rsid w:val="00C931E3"/>
    <w:rsid w:val="00CA6322"/>
    <w:rsid w:val="00CA6CF2"/>
    <w:rsid w:val="00CB14BE"/>
    <w:rsid w:val="00CB2617"/>
    <w:rsid w:val="00CB519F"/>
    <w:rsid w:val="00CB6B2F"/>
    <w:rsid w:val="00CC1706"/>
    <w:rsid w:val="00CC1C02"/>
    <w:rsid w:val="00CC3B5B"/>
    <w:rsid w:val="00CC50BB"/>
    <w:rsid w:val="00CC680B"/>
    <w:rsid w:val="00CD0450"/>
    <w:rsid w:val="00CD770A"/>
    <w:rsid w:val="00CD7ED6"/>
    <w:rsid w:val="00CE121C"/>
    <w:rsid w:val="00CE3D90"/>
    <w:rsid w:val="00CE4165"/>
    <w:rsid w:val="00D02408"/>
    <w:rsid w:val="00D07DC2"/>
    <w:rsid w:val="00D14665"/>
    <w:rsid w:val="00D155CE"/>
    <w:rsid w:val="00D1705F"/>
    <w:rsid w:val="00D24958"/>
    <w:rsid w:val="00D269DE"/>
    <w:rsid w:val="00D274E6"/>
    <w:rsid w:val="00D33A1D"/>
    <w:rsid w:val="00D34248"/>
    <w:rsid w:val="00D34CBB"/>
    <w:rsid w:val="00D406F1"/>
    <w:rsid w:val="00D43891"/>
    <w:rsid w:val="00D43956"/>
    <w:rsid w:val="00D455E8"/>
    <w:rsid w:val="00D45A90"/>
    <w:rsid w:val="00D500F6"/>
    <w:rsid w:val="00D54AF8"/>
    <w:rsid w:val="00D6022E"/>
    <w:rsid w:val="00D643CF"/>
    <w:rsid w:val="00D661B2"/>
    <w:rsid w:val="00D66D13"/>
    <w:rsid w:val="00D71203"/>
    <w:rsid w:val="00D72872"/>
    <w:rsid w:val="00D80ED0"/>
    <w:rsid w:val="00D836A6"/>
    <w:rsid w:val="00D87745"/>
    <w:rsid w:val="00D920F9"/>
    <w:rsid w:val="00D929EE"/>
    <w:rsid w:val="00D93B4D"/>
    <w:rsid w:val="00D959ED"/>
    <w:rsid w:val="00D95F35"/>
    <w:rsid w:val="00D96BE4"/>
    <w:rsid w:val="00DB1882"/>
    <w:rsid w:val="00DB1F5C"/>
    <w:rsid w:val="00DB469D"/>
    <w:rsid w:val="00DB4983"/>
    <w:rsid w:val="00DC12E0"/>
    <w:rsid w:val="00DC665F"/>
    <w:rsid w:val="00DC7892"/>
    <w:rsid w:val="00DD0E1C"/>
    <w:rsid w:val="00DD3008"/>
    <w:rsid w:val="00DD47F5"/>
    <w:rsid w:val="00DD7AB3"/>
    <w:rsid w:val="00DE0B28"/>
    <w:rsid w:val="00DF30D0"/>
    <w:rsid w:val="00DF7B29"/>
    <w:rsid w:val="00E07DF4"/>
    <w:rsid w:val="00E10433"/>
    <w:rsid w:val="00E105B3"/>
    <w:rsid w:val="00E148FC"/>
    <w:rsid w:val="00E150BB"/>
    <w:rsid w:val="00E15C74"/>
    <w:rsid w:val="00E2269D"/>
    <w:rsid w:val="00E24049"/>
    <w:rsid w:val="00E24871"/>
    <w:rsid w:val="00E254E3"/>
    <w:rsid w:val="00E25F7F"/>
    <w:rsid w:val="00E303E9"/>
    <w:rsid w:val="00E30EAF"/>
    <w:rsid w:val="00E30EB9"/>
    <w:rsid w:val="00E37135"/>
    <w:rsid w:val="00E40553"/>
    <w:rsid w:val="00E447BA"/>
    <w:rsid w:val="00E44B4B"/>
    <w:rsid w:val="00E47DF3"/>
    <w:rsid w:val="00E52194"/>
    <w:rsid w:val="00E53540"/>
    <w:rsid w:val="00E5631D"/>
    <w:rsid w:val="00E56467"/>
    <w:rsid w:val="00E575ED"/>
    <w:rsid w:val="00E5782C"/>
    <w:rsid w:val="00E62604"/>
    <w:rsid w:val="00E649E4"/>
    <w:rsid w:val="00E6696A"/>
    <w:rsid w:val="00E71DB8"/>
    <w:rsid w:val="00E807C8"/>
    <w:rsid w:val="00E83751"/>
    <w:rsid w:val="00E848E5"/>
    <w:rsid w:val="00E86018"/>
    <w:rsid w:val="00E9234F"/>
    <w:rsid w:val="00E92D4A"/>
    <w:rsid w:val="00EA174A"/>
    <w:rsid w:val="00EA36B7"/>
    <w:rsid w:val="00EA7024"/>
    <w:rsid w:val="00EB15BE"/>
    <w:rsid w:val="00EB5558"/>
    <w:rsid w:val="00EC110E"/>
    <w:rsid w:val="00EC5DC4"/>
    <w:rsid w:val="00ED5623"/>
    <w:rsid w:val="00ED6324"/>
    <w:rsid w:val="00ED69A1"/>
    <w:rsid w:val="00EE1F9C"/>
    <w:rsid w:val="00EE7DF1"/>
    <w:rsid w:val="00EF3BB5"/>
    <w:rsid w:val="00F01777"/>
    <w:rsid w:val="00F0196C"/>
    <w:rsid w:val="00F053A3"/>
    <w:rsid w:val="00F075BD"/>
    <w:rsid w:val="00F14F62"/>
    <w:rsid w:val="00F1716D"/>
    <w:rsid w:val="00F203DC"/>
    <w:rsid w:val="00F2145F"/>
    <w:rsid w:val="00F225E6"/>
    <w:rsid w:val="00F22C8C"/>
    <w:rsid w:val="00F2412A"/>
    <w:rsid w:val="00F24D9C"/>
    <w:rsid w:val="00F26370"/>
    <w:rsid w:val="00F272A4"/>
    <w:rsid w:val="00F32EB3"/>
    <w:rsid w:val="00F33CC0"/>
    <w:rsid w:val="00F34E81"/>
    <w:rsid w:val="00F36FAF"/>
    <w:rsid w:val="00F4192F"/>
    <w:rsid w:val="00F424B1"/>
    <w:rsid w:val="00F452B3"/>
    <w:rsid w:val="00F57C3D"/>
    <w:rsid w:val="00F57F1C"/>
    <w:rsid w:val="00F60706"/>
    <w:rsid w:val="00F63596"/>
    <w:rsid w:val="00F64519"/>
    <w:rsid w:val="00F655CB"/>
    <w:rsid w:val="00F66116"/>
    <w:rsid w:val="00F67410"/>
    <w:rsid w:val="00F73798"/>
    <w:rsid w:val="00F814FA"/>
    <w:rsid w:val="00F8421A"/>
    <w:rsid w:val="00F85BFF"/>
    <w:rsid w:val="00F86E4D"/>
    <w:rsid w:val="00F8777D"/>
    <w:rsid w:val="00F904BD"/>
    <w:rsid w:val="00F93617"/>
    <w:rsid w:val="00F96482"/>
    <w:rsid w:val="00FB671C"/>
    <w:rsid w:val="00FB740B"/>
    <w:rsid w:val="00FB75BB"/>
    <w:rsid w:val="00FC3CB8"/>
    <w:rsid w:val="00FC4C6A"/>
    <w:rsid w:val="00FC592E"/>
    <w:rsid w:val="00FC7E4C"/>
    <w:rsid w:val="00FD1362"/>
    <w:rsid w:val="00FD18A4"/>
    <w:rsid w:val="00FD2BDD"/>
    <w:rsid w:val="00FD5FC6"/>
    <w:rsid w:val="00FD65D1"/>
    <w:rsid w:val="00FE47CC"/>
    <w:rsid w:val="00FF1CE2"/>
    <w:rsid w:val="00FF2295"/>
    <w:rsid w:val="00FF4ED6"/>
    <w:rsid w:val="00FF57D4"/>
    <w:rsid w:val="00FF58E6"/>
    <w:rsid w:val="00FF7BE5"/>
    <w:rsid w:val="0115BAAF"/>
    <w:rsid w:val="01342BE0"/>
    <w:rsid w:val="0153A912"/>
    <w:rsid w:val="0153AFEF"/>
    <w:rsid w:val="0156E770"/>
    <w:rsid w:val="015EEA09"/>
    <w:rsid w:val="016E13C6"/>
    <w:rsid w:val="01AD0D80"/>
    <w:rsid w:val="01B2139A"/>
    <w:rsid w:val="01C7EB2F"/>
    <w:rsid w:val="01C93DF3"/>
    <w:rsid w:val="01DD05B8"/>
    <w:rsid w:val="01ED1B66"/>
    <w:rsid w:val="021B0A7E"/>
    <w:rsid w:val="0249C1C8"/>
    <w:rsid w:val="0254AB99"/>
    <w:rsid w:val="02695419"/>
    <w:rsid w:val="028B5BBE"/>
    <w:rsid w:val="0294EF1E"/>
    <w:rsid w:val="029BADC9"/>
    <w:rsid w:val="029BB1B0"/>
    <w:rsid w:val="02A08D04"/>
    <w:rsid w:val="02AC8235"/>
    <w:rsid w:val="02EEA6C9"/>
    <w:rsid w:val="0304682B"/>
    <w:rsid w:val="031354F9"/>
    <w:rsid w:val="03280EAE"/>
    <w:rsid w:val="032D8E79"/>
    <w:rsid w:val="034415B3"/>
    <w:rsid w:val="036B420A"/>
    <w:rsid w:val="037E4F75"/>
    <w:rsid w:val="039247DF"/>
    <w:rsid w:val="03AEC9DA"/>
    <w:rsid w:val="03C8913D"/>
    <w:rsid w:val="041A9C04"/>
    <w:rsid w:val="0451878B"/>
    <w:rsid w:val="045AB164"/>
    <w:rsid w:val="04785E19"/>
    <w:rsid w:val="047EA8AE"/>
    <w:rsid w:val="0484CB5A"/>
    <w:rsid w:val="0489B7C0"/>
    <w:rsid w:val="04A4ABAC"/>
    <w:rsid w:val="04A67618"/>
    <w:rsid w:val="04AEF90E"/>
    <w:rsid w:val="04D17744"/>
    <w:rsid w:val="04E636EC"/>
    <w:rsid w:val="04E85084"/>
    <w:rsid w:val="05042EEB"/>
    <w:rsid w:val="050AF44D"/>
    <w:rsid w:val="051D8286"/>
    <w:rsid w:val="051ECBA0"/>
    <w:rsid w:val="052CCA27"/>
    <w:rsid w:val="05863F81"/>
    <w:rsid w:val="058D842C"/>
    <w:rsid w:val="05A5EC9D"/>
    <w:rsid w:val="05AA9468"/>
    <w:rsid w:val="05BC3F78"/>
    <w:rsid w:val="05BCA5EB"/>
    <w:rsid w:val="05BF806B"/>
    <w:rsid w:val="05CF2A16"/>
    <w:rsid w:val="05F92C29"/>
    <w:rsid w:val="05FBDDAB"/>
    <w:rsid w:val="0696D15E"/>
    <w:rsid w:val="06A4C10D"/>
    <w:rsid w:val="06B76D87"/>
    <w:rsid w:val="06E710B6"/>
    <w:rsid w:val="0702D40C"/>
    <w:rsid w:val="0733DA2C"/>
    <w:rsid w:val="0762EF71"/>
    <w:rsid w:val="07A5E8B9"/>
    <w:rsid w:val="07BE8F6C"/>
    <w:rsid w:val="07C4D6C4"/>
    <w:rsid w:val="07C566FF"/>
    <w:rsid w:val="07D04B6B"/>
    <w:rsid w:val="08012E5A"/>
    <w:rsid w:val="080DAE8B"/>
    <w:rsid w:val="082871ED"/>
    <w:rsid w:val="08759537"/>
    <w:rsid w:val="087BCB88"/>
    <w:rsid w:val="08E89C50"/>
    <w:rsid w:val="091922F1"/>
    <w:rsid w:val="09338A5E"/>
    <w:rsid w:val="094A92EF"/>
    <w:rsid w:val="09525BB5"/>
    <w:rsid w:val="097D4406"/>
    <w:rsid w:val="097F4C4C"/>
    <w:rsid w:val="0983BA8C"/>
    <w:rsid w:val="0998A1AF"/>
    <w:rsid w:val="099B6361"/>
    <w:rsid w:val="09F0ED6A"/>
    <w:rsid w:val="09FDAC1C"/>
    <w:rsid w:val="0A03CB8C"/>
    <w:rsid w:val="0A299E31"/>
    <w:rsid w:val="0A50394C"/>
    <w:rsid w:val="0A6096E9"/>
    <w:rsid w:val="0A910406"/>
    <w:rsid w:val="0AA94F00"/>
    <w:rsid w:val="0AF1811C"/>
    <w:rsid w:val="0AF96AF4"/>
    <w:rsid w:val="0B1A3325"/>
    <w:rsid w:val="0B37AD3B"/>
    <w:rsid w:val="0B3AA34C"/>
    <w:rsid w:val="0B3EFFBD"/>
    <w:rsid w:val="0B7BDA43"/>
    <w:rsid w:val="0B8CA56B"/>
    <w:rsid w:val="0B954403"/>
    <w:rsid w:val="0B9BFEAB"/>
    <w:rsid w:val="0BAC4913"/>
    <w:rsid w:val="0BC2409F"/>
    <w:rsid w:val="0BC43D9E"/>
    <w:rsid w:val="0BE81160"/>
    <w:rsid w:val="0BF58119"/>
    <w:rsid w:val="0C08C494"/>
    <w:rsid w:val="0C16953E"/>
    <w:rsid w:val="0C2157AD"/>
    <w:rsid w:val="0C3E71E6"/>
    <w:rsid w:val="0C4E6D9E"/>
    <w:rsid w:val="0C5C094E"/>
    <w:rsid w:val="0C7CC4EF"/>
    <w:rsid w:val="0CDE5BCF"/>
    <w:rsid w:val="0CFB4C6C"/>
    <w:rsid w:val="0CFF2549"/>
    <w:rsid w:val="0D0BF761"/>
    <w:rsid w:val="0D0F168E"/>
    <w:rsid w:val="0D2295E8"/>
    <w:rsid w:val="0D4C63C6"/>
    <w:rsid w:val="0D7EEC12"/>
    <w:rsid w:val="0D880768"/>
    <w:rsid w:val="0DD02C48"/>
    <w:rsid w:val="0DF1D7AE"/>
    <w:rsid w:val="0E3CC12E"/>
    <w:rsid w:val="0E461DE1"/>
    <w:rsid w:val="0E57ED37"/>
    <w:rsid w:val="0E81C4AE"/>
    <w:rsid w:val="0E847F3F"/>
    <w:rsid w:val="0E9E1773"/>
    <w:rsid w:val="0ECA402D"/>
    <w:rsid w:val="0ED15793"/>
    <w:rsid w:val="0EF2B014"/>
    <w:rsid w:val="0F1E6360"/>
    <w:rsid w:val="0F393FBE"/>
    <w:rsid w:val="0F7CE190"/>
    <w:rsid w:val="0F9603DF"/>
    <w:rsid w:val="0FB92109"/>
    <w:rsid w:val="0FE833B3"/>
    <w:rsid w:val="0FF46C33"/>
    <w:rsid w:val="10209D2B"/>
    <w:rsid w:val="10358CAF"/>
    <w:rsid w:val="103A583C"/>
    <w:rsid w:val="104D20B8"/>
    <w:rsid w:val="10542388"/>
    <w:rsid w:val="1065B832"/>
    <w:rsid w:val="106C7D1C"/>
    <w:rsid w:val="107A5206"/>
    <w:rsid w:val="10A373FC"/>
    <w:rsid w:val="10ADEA50"/>
    <w:rsid w:val="10E00C80"/>
    <w:rsid w:val="10F1AC66"/>
    <w:rsid w:val="10F4E66D"/>
    <w:rsid w:val="10F5B693"/>
    <w:rsid w:val="1105E028"/>
    <w:rsid w:val="110B8DF5"/>
    <w:rsid w:val="111C7F0E"/>
    <w:rsid w:val="118ECE9B"/>
    <w:rsid w:val="119D9953"/>
    <w:rsid w:val="11CFA6D2"/>
    <w:rsid w:val="121D0226"/>
    <w:rsid w:val="121FCEED"/>
    <w:rsid w:val="1220CCB2"/>
    <w:rsid w:val="1245C25C"/>
    <w:rsid w:val="127221CA"/>
    <w:rsid w:val="12729991"/>
    <w:rsid w:val="1275C5E5"/>
    <w:rsid w:val="12AD2F1F"/>
    <w:rsid w:val="12CDF32A"/>
    <w:rsid w:val="12CE047F"/>
    <w:rsid w:val="12F1DDA3"/>
    <w:rsid w:val="12FBBDC6"/>
    <w:rsid w:val="13042FB4"/>
    <w:rsid w:val="13346238"/>
    <w:rsid w:val="134D6218"/>
    <w:rsid w:val="1382A179"/>
    <w:rsid w:val="138ABFA2"/>
    <w:rsid w:val="13ACF43F"/>
    <w:rsid w:val="13B91437"/>
    <w:rsid w:val="13DB91AA"/>
    <w:rsid w:val="13F21086"/>
    <w:rsid w:val="141C83F7"/>
    <w:rsid w:val="142ED795"/>
    <w:rsid w:val="143054BA"/>
    <w:rsid w:val="143B29FE"/>
    <w:rsid w:val="143B7848"/>
    <w:rsid w:val="14524306"/>
    <w:rsid w:val="14688CA0"/>
    <w:rsid w:val="14726657"/>
    <w:rsid w:val="14AA32EB"/>
    <w:rsid w:val="14CC6FFD"/>
    <w:rsid w:val="14F322E4"/>
    <w:rsid w:val="14FB3672"/>
    <w:rsid w:val="14FD40BB"/>
    <w:rsid w:val="151E40E9"/>
    <w:rsid w:val="152EDAEF"/>
    <w:rsid w:val="157CF29C"/>
    <w:rsid w:val="158057A6"/>
    <w:rsid w:val="1587FE93"/>
    <w:rsid w:val="159F46CD"/>
    <w:rsid w:val="15A39E7B"/>
    <w:rsid w:val="16189452"/>
    <w:rsid w:val="161E307E"/>
    <w:rsid w:val="1655D08E"/>
    <w:rsid w:val="16865F6B"/>
    <w:rsid w:val="16A1F536"/>
    <w:rsid w:val="16F5FA78"/>
    <w:rsid w:val="16F88776"/>
    <w:rsid w:val="1702229C"/>
    <w:rsid w:val="17229236"/>
    <w:rsid w:val="17257275"/>
    <w:rsid w:val="172A8062"/>
    <w:rsid w:val="17309F08"/>
    <w:rsid w:val="17384F8C"/>
    <w:rsid w:val="176648B7"/>
    <w:rsid w:val="17959330"/>
    <w:rsid w:val="1799F776"/>
    <w:rsid w:val="17CF4169"/>
    <w:rsid w:val="17D08FBD"/>
    <w:rsid w:val="17F04A22"/>
    <w:rsid w:val="180DADE8"/>
    <w:rsid w:val="181D174B"/>
    <w:rsid w:val="181E9273"/>
    <w:rsid w:val="1834C2E0"/>
    <w:rsid w:val="18397ED3"/>
    <w:rsid w:val="18407810"/>
    <w:rsid w:val="18BEDA9C"/>
    <w:rsid w:val="18C1AFDA"/>
    <w:rsid w:val="18F1E4B4"/>
    <w:rsid w:val="18F31421"/>
    <w:rsid w:val="19721C72"/>
    <w:rsid w:val="198C6F51"/>
    <w:rsid w:val="1999105C"/>
    <w:rsid w:val="19F81292"/>
    <w:rsid w:val="19FE6A5C"/>
    <w:rsid w:val="1A138724"/>
    <w:rsid w:val="1A223256"/>
    <w:rsid w:val="1A3571BA"/>
    <w:rsid w:val="1A376B61"/>
    <w:rsid w:val="1A3B2CD0"/>
    <w:rsid w:val="1A4BE15A"/>
    <w:rsid w:val="1A52D8CD"/>
    <w:rsid w:val="1A80FE5D"/>
    <w:rsid w:val="1A8118DB"/>
    <w:rsid w:val="1A8CE595"/>
    <w:rsid w:val="1A922CAF"/>
    <w:rsid w:val="1AD56406"/>
    <w:rsid w:val="1ADCD11A"/>
    <w:rsid w:val="1B3C143C"/>
    <w:rsid w:val="1B3E53AD"/>
    <w:rsid w:val="1B412342"/>
    <w:rsid w:val="1B4AC991"/>
    <w:rsid w:val="1B4EEFE7"/>
    <w:rsid w:val="1B51DC6C"/>
    <w:rsid w:val="1B53E881"/>
    <w:rsid w:val="1B72C0B7"/>
    <w:rsid w:val="1B8AEA1E"/>
    <w:rsid w:val="1B8C001D"/>
    <w:rsid w:val="1BCA6BA6"/>
    <w:rsid w:val="1BD658C0"/>
    <w:rsid w:val="1BDD63DD"/>
    <w:rsid w:val="1BEF6010"/>
    <w:rsid w:val="1C025751"/>
    <w:rsid w:val="1C034601"/>
    <w:rsid w:val="1C136C3C"/>
    <w:rsid w:val="1C8F0B10"/>
    <w:rsid w:val="1CB3AC46"/>
    <w:rsid w:val="1CBD5241"/>
    <w:rsid w:val="1CC3FAB7"/>
    <w:rsid w:val="1CC9268C"/>
    <w:rsid w:val="1CDFDCBF"/>
    <w:rsid w:val="1D1489CD"/>
    <w:rsid w:val="1D1CDAA7"/>
    <w:rsid w:val="1D24BD02"/>
    <w:rsid w:val="1D25743F"/>
    <w:rsid w:val="1D267800"/>
    <w:rsid w:val="1D31D1B9"/>
    <w:rsid w:val="1D61C48D"/>
    <w:rsid w:val="1D691E0C"/>
    <w:rsid w:val="1DB81D44"/>
    <w:rsid w:val="1DFC514F"/>
    <w:rsid w:val="1E02083B"/>
    <w:rsid w:val="1E066553"/>
    <w:rsid w:val="1E245518"/>
    <w:rsid w:val="1E282310"/>
    <w:rsid w:val="1E2BEAFD"/>
    <w:rsid w:val="1E2D3476"/>
    <w:rsid w:val="1E5171A9"/>
    <w:rsid w:val="1E769AA1"/>
    <w:rsid w:val="1E8C6B65"/>
    <w:rsid w:val="1EB13E59"/>
    <w:rsid w:val="1EC29E23"/>
    <w:rsid w:val="1EE800F9"/>
    <w:rsid w:val="1EFC7237"/>
    <w:rsid w:val="1F1DF855"/>
    <w:rsid w:val="1F20788E"/>
    <w:rsid w:val="1FA39C87"/>
    <w:rsid w:val="1FC3F295"/>
    <w:rsid w:val="1FD8FAFA"/>
    <w:rsid w:val="1FDDBA61"/>
    <w:rsid w:val="1FFE0D91"/>
    <w:rsid w:val="1FFEE580"/>
    <w:rsid w:val="204D8E4D"/>
    <w:rsid w:val="2076D613"/>
    <w:rsid w:val="208244B5"/>
    <w:rsid w:val="20C125C1"/>
    <w:rsid w:val="20E2B602"/>
    <w:rsid w:val="20E58E14"/>
    <w:rsid w:val="20E81D22"/>
    <w:rsid w:val="210D2D3B"/>
    <w:rsid w:val="211F879A"/>
    <w:rsid w:val="215685D9"/>
    <w:rsid w:val="21569FF8"/>
    <w:rsid w:val="215D3A99"/>
    <w:rsid w:val="21B6BCC3"/>
    <w:rsid w:val="21C6EE33"/>
    <w:rsid w:val="221FC471"/>
    <w:rsid w:val="222B0700"/>
    <w:rsid w:val="223FEE1D"/>
    <w:rsid w:val="2292CE68"/>
    <w:rsid w:val="22AA75FF"/>
    <w:rsid w:val="22B85755"/>
    <w:rsid w:val="22BA9F27"/>
    <w:rsid w:val="22EDB2D1"/>
    <w:rsid w:val="23079146"/>
    <w:rsid w:val="2321E080"/>
    <w:rsid w:val="233B2D27"/>
    <w:rsid w:val="2346129E"/>
    <w:rsid w:val="234B4A44"/>
    <w:rsid w:val="235ACF1F"/>
    <w:rsid w:val="236A4CCA"/>
    <w:rsid w:val="236C88A4"/>
    <w:rsid w:val="2398B511"/>
    <w:rsid w:val="239F721C"/>
    <w:rsid w:val="23B13DDB"/>
    <w:rsid w:val="23C86028"/>
    <w:rsid w:val="246893A8"/>
    <w:rsid w:val="246A8EB3"/>
    <w:rsid w:val="249EF770"/>
    <w:rsid w:val="24C58CB1"/>
    <w:rsid w:val="24C82276"/>
    <w:rsid w:val="24D65FB6"/>
    <w:rsid w:val="24FAD2A7"/>
    <w:rsid w:val="24FB169E"/>
    <w:rsid w:val="251C5C11"/>
    <w:rsid w:val="252CC6F5"/>
    <w:rsid w:val="2560B567"/>
    <w:rsid w:val="2587EDAA"/>
    <w:rsid w:val="258C0D87"/>
    <w:rsid w:val="259C2BCD"/>
    <w:rsid w:val="25CE1C53"/>
    <w:rsid w:val="2608BC91"/>
    <w:rsid w:val="2613017B"/>
    <w:rsid w:val="261EA227"/>
    <w:rsid w:val="263CE120"/>
    <w:rsid w:val="265E110C"/>
    <w:rsid w:val="2677FB1F"/>
    <w:rsid w:val="2681EB42"/>
    <w:rsid w:val="268B6680"/>
    <w:rsid w:val="26BB48A4"/>
    <w:rsid w:val="26FAC941"/>
    <w:rsid w:val="270A04A7"/>
    <w:rsid w:val="2712094C"/>
    <w:rsid w:val="276D2DA3"/>
    <w:rsid w:val="276E172B"/>
    <w:rsid w:val="27B70C1F"/>
    <w:rsid w:val="27CB5314"/>
    <w:rsid w:val="27CC70B4"/>
    <w:rsid w:val="27F979BA"/>
    <w:rsid w:val="2800BAAA"/>
    <w:rsid w:val="280828E3"/>
    <w:rsid w:val="2818F247"/>
    <w:rsid w:val="2825EBA2"/>
    <w:rsid w:val="283E7D10"/>
    <w:rsid w:val="284431D3"/>
    <w:rsid w:val="28545FF7"/>
    <w:rsid w:val="28683D80"/>
    <w:rsid w:val="28B8B097"/>
    <w:rsid w:val="28BE596A"/>
    <w:rsid w:val="28E48D50"/>
    <w:rsid w:val="28EEFCAE"/>
    <w:rsid w:val="28F07471"/>
    <w:rsid w:val="2913129B"/>
    <w:rsid w:val="2936C263"/>
    <w:rsid w:val="29631CFA"/>
    <w:rsid w:val="2965B57A"/>
    <w:rsid w:val="29778844"/>
    <w:rsid w:val="29904C2A"/>
    <w:rsid w:val="29AC9883"/>
    <w:rsid w:val="29C54534"/>
    <w:rsid w:val="29C8ACD8"/>
    <w:rsid w:val="29CC4251"/>
    <w:rsid w:val="29CC5232"/>
    <w:rsid w:val="29ED25D4"/>
    <w:rsid w:val="29F039EE"/>
    <w:rsid w:val="29FE8EBA"/>
    <w:rsid w:val="2A08E11A"/>
    <w:rsid w:val="2A6DB698"/>
    <w:rsid w:val="2AD60C92"/>
    <w:rsid w:val="2AE6B941"/>
    <w:rsid w:val="2B0D7987"/>
    <w:rsid w:val="2B139D60"/>
    <w:rsid w:val="2B359C25"/>
    <w:rsid w:val="2B63D69A"/>
    <w:rsid w:val="2B7D90D5"/>
    <w:rsid w:val="2B87BA13"/>
    <w:rsid w:val="2BA41D05"/>
    <w:rsid w:val="2BAB74BA"/>
    <w:rsid w:val="2BABE4FB"/>
    <w:rsid w:val="2BB61BBD"/>
    <w:rsid w:val="2BC39F1B"/>
    <w:rsid w:val="2BD2BA5C"/>
    <w:rsid w:val="2C0508C4"/>
    <w:rsid w:val="2C102770"/>
    <w:rsid w:val="2C3D542D"/>
    <w:rsid w:val="2C41E2EB"/>
    <w:rsid w:val="2C43C29E"/>
    <w:rsid w:val="2C68F487"/>
    <w:rsid w:val="2C6B1D3D"/>
    <w:rsid w:val="2C8C5BF9"/>
    <w:rsid w:val="2C91B253"/>
    <w:rsid w:val="2CC64391"/>
    <w:rsid w:val="2CD6D5F1"/>
    <w:rsid w:val="2CF67315"/>
    <w:rsid w:val="2CF990EC"/>
    <w:rsid w:val="2CF9D95C"/>
    <w:rsid w:val="2D142F57"/>
    <w:rsid w:val="2D245B80"/>
    <w:rsid w:val="2D4DE246"/>
    <w:rsid w:val="2D555459"/>
    <w:rsid w:val="2D58F1D3"/>
    <w:rsid w:val="2D5B7B2A"/>
    <w:rsid w:val="2D6596C9"/>
    <w:rsid w:val="2D8C7F69"/>
    <w:rsid w:val="2D90FE55"/>
    <w:rsid w:val="2DC77531"/>
    <w:rsid w:val="2DD5DB42"/>
    <w:rsid w:val="2E481EAF"/>
    <w:rsid w:val="2E5C8818"/>
    <w:rsid w:val="2E6A170C"/>
    <w:rsid w:val="2E71153E"/>
    <w:rsid w:val="2E8A7ECC"/>
    <w:rsid w:val="2E9606F6"/>
    <w:rsid w:val="2E982574"/>
    <w:rsid w:val="2EE6C26F"/>
    <w:rsid w:val="2EF0F103"/>
    <w:rsid w:val="2EFF9981"/>
    <w:rsid w:val="2F50C2D9"/>
    <w:rsid w:val="2F6C32EC"/>
    <w:rsid w:val="2FB22303"/>
    <w:rsid w:val="2FE3F7DA"/>
    <w:rsid w:val="2FE88BFB"/>
    <w:rsid w:val="2FF0DE94"/>
    <w:rsid w:val="304801D2"/>
    <w:rsid w:val="3065BAF1"/>
    <w:rsid w:val="306E7D68"/>
    <w:rsid w:val="30B6B401"/>
    <w:rsid w:val="30CE525C"/>
    <w:rsid w:val="30E84867"/>
    <w:rsid w:val="30F0847D"/>
    <w:rsid w:val="31028760"/>
    <w:rsid w:val="31299078"/>
    <w:rsid w:val="31314B5C"/>
    <w:rsid w:val="318CC59C"/>
    <w:rsid w:val="3199D863"/>
    <w:rsid w:val="31A7B0F7"/>
    <w:rsid w:val="31AF4D34"/>
    <w:rsid w:val="31B9013F"/>
    <w:rsid w:val="31E77534"/>
    <w:rsid w:val="31EB0628"/>
    <w:rsid w:val="31FF80A9"/>
    <w:rsid w:val="321CEAC3"/>
    <w:rsid w:val="32263880"/>
    <w:rsid w:val="3226BBF1"/>
    <w:rsid w:val="3226BE43"/>
    <w:rsid w:val="3238243F"/>
    <w:rsid w:val="3249EEDA"/>
    <w:rsid w:val="325440C8"/>
    <w:rsid w:val="3254FEF5"/>
    <w:rsid w:val="325E3CDE"/>
    <w:rsid w:val="3263820C"/>
    <w:rsid w:val="327CAA40"/>
    <w:rsid w:val="327F0B33"/>
    <w:rsid w:val="329CE39F"/>
    <w:rsid w:val="32A6A5F1"/>
    <w:rsid w:val="32B7EC7A"/>
    <w:rsid w:val="32D51DBF"/>
    <w:rsid w:val="3300A085"/>
    <w:rsid w:val="33035BA4"/>
    <w:rsid w:val="330CA2AF"/>
    <w:rsid w:val="3314A17D"/>
    <w:rsid w:val="332C5D59"/>
    <w:rsid w:val="3330B2EF"/>
    <w:rsid w:val="33CC9FD1"/>
    <w:rsid w:val="3423ADE9"/>
    <w:rsid w:val="342DFD49"/>
    <w:rsid w:val="343E146F"/>
    <w:rsid w:val="3454E4C8"/>
    <w:rsid w:val="3466EDDB"/>
    <w:rsid w:val="349D0AC2"/>
    <w:rsid w:val="34A4828D"/>
    <w:rsid w:val="34EB9155"/>
    <w:rsid w:val="351CABF2"/>
    <w:rsid w:val="35472571"/>
    <w:rsid w:val="354D2495"/>
    <w:rsid w:val="356CEA5A"/>
    <w:rsid w:val="358A4984"/>
    <w:rsid w:val="35B49466"/>
    <w:rsid w:val="35B577CA"/>
    <w:rsid w:val="35BB64E8"/>
    <w:rsid w:val="3631DC42"/>
    <w:rsid w:val="3644BD8F"/>
    <w:rsid w:val="364D1703"/>
    <w:rsid w:val="3659AB74"/>
    <w:rsid w:val="369C09EE"/>
    <w:rsid w:val="36C0EECC"/>
    <w:rsid w:val="36CA9999"/>
    <w:rsid w:val="37055637"/>
    <w:rsid w:val="3717EA90"/>
    <w:rsid w:val="372AA3C4"/>
    <w:rsid w:val="372D472E"/>
    <w:rsid w:val="373B178A"/>
    <w:rsid w:val="373B6B90"/>
    <w:rsid w:val="374B4CEF"/>
    <w:rsid w:val="3755E685"/>
    <w:rsid w:val="375D20B0"/>
    <w:rsid w:val="37656188"/>
    <w:rsid w:val="3773E17C"/>
    <w:rsid w:val="377F1EBA"/>
    <w:rsid w:val="37C9304D"/>
    <w:rsid w:val="37D8ADC3"/>
    <w:rsid w:val="37F7FC53"/>
    <w:rsid w:val="37F8DB6D"/>
    <w:rsid w:val="37F98D93"/>
    <w:rsid w:val="37FAF8E7"/>
    <w:rsid w:val="380F7A4E"/>
    <w:rsid w:val="382A9A69"/>
    <w:rsid w:val="384E43AF"/>
    <w:rsid w:val="385982B1"/>
    <w:rsid w:val="3891EF66"/>
    <w:rsid w:val="38DB4C93"/>
    <w:rsid w:val="38F0AB6F"/>
    <w:rsid w:val="38F22566"/>
    <w:rsid w:val="390903E5"/>
    <w:rsid w:val="39110682"/>
    <w:rsid w:val="3938A9CF"/>
    <w:rsid w:val="39456A66"/>
    <w:rsid w:val="3950FC75"/>
    <w:rsid w:val="39A55EA2"/>
    <w:rsid w:val="39BFFCBA"/>
    <w:rsid w:val="39E65651"/>
    <w:rsid w:val="3A2A59CC"/>
    <w:rsid w:val="3A39C891"/>
    <w:rsid w:val="3A4DCDEE"/>
    <w:rsid w:val="3A58A017"/>
    <w:rsid w:val="3A63B8DC"/>
    <w:rsid w:val="3A6605B0"/>
    <w:rsid w:val="3A6712FF"/>
    <w:rsid w:val="3A9DCC0B"/>
    <w:rsid w:val="3AA449B0"/>
    <w:rsid w:val="3AA66D4D"/>
    <w:rsid w:val="3AC38F45"/>
    <w:rsid w:val="3AD5A96D"/>
    <w:rsid w:val="3AF3E22F"/>
    <w:rsid w:val="3B075646"/>
    <w:rsid w:val="3B0FB194"/>
    <w:rsid w:val="3B25DCEC"/>
    <w:rsid w:val="3B408491"/>
    <w:rsid w:val="3B43D875"/>
    <w:rsid w:val="3B4C63A5"/>
    <w:rsid w:val="3B789FC6"/>
    <w:rsid w:val="3B98BD9F"/>
    <w:rsid w:val="3BA14F51"/>
    <w:rsid w:val="3BB50C5F"/>
    <w:rsid w:val="3BC92A5F"/>
    <w:rsid w:val="3C3FD693"/>
    <w:rsid w:val="3C5F5E8E"/>
    <w:rsid w:val="3C7206BE"/>
    <w:rsid w:val="3C75B56C"/>
    <w:rsid w:val="3C8C3C74"/>
    <w:rsid w:val="3C91E734"/>
    <w:rsid w:val="3CA3AB1C"/>
    <w:rsid w:val="3CAAE582"/>
    <w:rsid w:val="3CC2DF25"/>
    <w:rsid w:val="3D29D30C"/>
    <w:rsid w:val="3D2A2D0E"/>
    <w:rsid w:val="3D355743"/>
    <w:rsid w:val="3D4987E5"/>
    <w:rsid w:val="3D588C1E"/>
    <w:rsid w:val="3D62925A"/>
    <w:rsid w:val="3D654A51"/>
    <w:rsid w:val="3D671935"/>
    <w:rsid w:val="3DC3FAA8"/>
    <w:rsid w:val="3DE2BA8E"/>
    <w:rsid w:val="3DE3F460"/>
    <w:rsid w:val="3DE978A4"/>
    <w:rsid w:val="3E1514E2"/>
    <w:rsid w:val="3E1CC6BE"/>
    <w:rsid w:val="3E245112"/>
    <w:rsid w:val="3E452581"/>
    <w:rsid w:val="3E4B9E44"/>
    <w:rsid w:val="3E4C1CFB"/>
    <w:rsid w:val="3EB78D53"/>
    <w:rsid w:val="3EC9FE31"/>
    <w:rsid w:val="3EF9085C"/>
    <w:rsid w:val="3F01BA8C"/>
    <w:rsid w:val="3F14D628"/>
    <w:rsid w:val="3F1B3CD6"/>
    <w:rsid w:val="3F4DCA4F"/>
    <w:rsid w:val="3F9C40D9"/>
    <w:rsid w:val="3FDB3FDD"/>
    <w:rsid w:val="40653D9B"/>
    <w:rsid w:val="407411FC"/>
    <w:rsid w:val="4080F74A"/>
    <w:rsid w:val="408F5321"/>
    <w:rsid w:val="4098E527"/>
    <w:rsid w:val="40A40016"/>
    <w:rsid w:val="40A4F1A6"/>
    <w:rsid w:val="40F81234"/>
    <w:rsid w:val="4106D7FB"/>
    <w:rsid w:val="41200ED3"/>
    <w:rsid w:val="4121C906"/>
    <w:rsid w:val="41286D2E"/>
    <w:rsid w:val="41645D17"/>
    <w:rsid w:val="416F86FD"/>
    <w:rsid w:val="417129A3"/>
    <w:rsid w:val="41A8DE60"/>
    <w:rsid w:val="41AFD72A"/>
    <w:rsid w:val="41C7A878"/>
    <w:rsid w:val="41C9F722"/>
    <w:rsid w:val="41CC44B4"/>
    <w:rsid w:val="4204350A"/>
    <w:rsid w:val="420734B7"/>
    <w:rsid w:val="4219C697"/>
    <w:rsid w:val="42254153"/>
    <w:rsid w:val="424F489B"/>
    <w:rsid w:val="42580996"/>
    <w:rsid w:val="425C3F03"/>
    <w:rsid w:val="425E874E"/>
    <w:rsid w:val="426E1F7D"/>
    <w:rsid w:val="4272FB55"/>
    <w:rsid w:val="428B56FA"/>
    <w:rsid w:val="429A0627"/>
    <w:rsid w:val="42B99822"/>
    <w:rsid w:val="42C07B7E"/>
    <w:rsid w:val="42C99C0D"/>
    <w:rsid w:val="42D8D2AD"/>
    <w:rsid w:val="42E223F4"/>
    <w:rsid w:val="42F8B53E"/>
    <w:rsid w:val="42FAA1BB"/>
    <w:rsid w:val="4313E304"/>
    <w:rsid w:val="4322FF73"/>
    <w:rsid w:val="4344112F"/>
    <w:rsid w:val="4366469E"/>
    <w:rsid w:val="43901738"/>
    <w:rsid w:val="43A82291"/>
    <w:rsid w:val="43AC857A"/>
    <w:rsid w:val="43CFEF6F"/>
    <w:rsid w:val="441AE0A8"/>
    <w:rsid w:val="442D3DE9"/>
    <w:rsid w:val="446CBC7A"/>
    <w:rsid w:val="4480C862"/>
    <w:rsid w:val="4483EFCC"/>
    <w:rsid w:val="448D7CF6"/>
    <w:rsid w:val="44A2039A"/>
    <w:rsid w:val="44A83C38"/>
    <w:rsid w:val="44A988D6"/>
    <w:rsid w:val="44AD113C"/>
    <w:rsid w:val="44B3C06A"/>
    <w:rsid w:val="44C0323A"/>
    <w:rsid w:val="44F007C6"/>
    <w:rsid w:val="450E3788"/>
    <w:rsid w:val="451F4328"/>
    <w:rsid w:val="452E9071"/>
    <w:rsid w:val="453CB9FA"/>
    <w:rsid w:val="456CC811"/>
    <w:rsid w:val="457A1111"/>
    <w:rsid w:val="4589A2EA"/>
    <w:rsid w:val="45E15098"/>
    <w:rsid w:val="45FAF4D5"/>
    <w:rsid w:val="463267CC"/>
    <w:rsid w:val="46462A79"/>
    <w:rsid w:val="464C63EE"/>
    <w:rsid w:val="46895D0D"/>
    <w:rsid w:val="469AD398"/>
    <w:rsid w:val="46B7340C"/>
    <w:rsid w:val="46C3F20C"/>
    <w:rsid w:val="46E9F5B8"/>
    <w:rsid w:val="47225EE2"/>
    <w:rsid w:val="473FE55A"/>
    <w:rsid w:val="47478678"/>
    <w:rsid w:val="4788F3BE"/>
    <w:rsid w:val="47957341"/>
    <w:rsid w:val="479E6FC3"/>
    <w:rsid w:val="47B70441"/>
    <w:rsid w:val="47B93044"/>
    <w:rsid w:val="47EF8054"/>
    <w:rsid w:val="47F16D2F"/>
    <w:rsid w:val="47FA83B5"/>
    <w:rsid w:val="4804A745"/>
    <w:rsid w:val="481B498A"/>
    <w:rsid w:val="48AD7E9D"/>
    <w:rsid w:val="48D1B740"/>
    <w:rsid w:val="492B3503"/>
    <w:rsid w:val="493632A3"/>
    <w:rsid w:val="497CDD9E"/>
    <w:rsid w:val="49921F5F"/>
    <w:rsid w:val="49922081"/>
    <w:rsid w:val="4994EE46"/>
    <w:rsid w:val="49A871AF"/>
    <w:rsid w:val="49C0D9F2"/>
    <w:rsid w:val="49E4D697"/>
    <w:rsid w:val="49F5A1D4"/>
    <w:rsid w:val="4A264C3D"/>
    <w:rsid w:val="4A3C3362"/>
    <w:rsid w:val="4A3DBEA5"/>
    <w:rsid w:val="4A5858A4"/>
    <w:rsid w:val="4A6828F8"/>
    <w:rsid w:val="4A83994A"/>
    <w:rsid w:val="4A8C7C61"/>
    <w:rsid w:val="4A945282"/>
    <w:rsid w:val="4A9C2056"/>
    <w:rsid w:val="4AAE4237"/>
    <w:rsid w:val="4AB2687D"/>
    <w:rsid w:val="4AE6000B"/>
    <w:rsid w:val="4AEFF479"/>
    <w:rsid w:val="4AFEFF33"/>
    <w:rsid w:val="4AFF9B51"/>
    <w:rsid w:val="4B1787BD"/>
    <w:rsid w:val="4B6437C7"/>
    <w:rsid w:val="4B74C42E"/>
    <w:rsid w:val="4B96A85B"/>
    <w:rsid w:val="4B96AEFB"/>
    <w:rsid w:val="4B9CA6F0"/>
    <w:rsid w:val="4BD9CD2A"/>
    <w:rsid w:val="4C15DFCB"/>
    <w:rsid w:val="4C4BA701"/>
    <w:rsid w:val="4C9929CE"/>
    <w:rsid w:val="4C9D2D52"/>
    <w:rsid w:val="4CA0EC31"/>
    <w:rsid w:val="4CC7461D"/>
    <w:rsid w:val="4CCED55F"/>
    <w:rsid w:val="4CD2827A"/>
    <w:rsid w:val="4CD3C1D2"/>
    <w:rsid w:val="4CDD8470"/>
    <w:rsid w:val="4CDF0957"/>
    <w:rsid w:val="4CFEFCEC"/>
    <w:rsid w:val="4D55ACA8"/>
    <w:rsid w:val="4D56916F"/>
    <w:rsid w:val="4D63877C"/>
    <w:rsid w:val="4D70DBFB"/>
    <w:rsid w:val="4D7F6D76"/>
    <w:rsid w:val="4D8D9131"/>
    <w:rsid w:val="4D9624CC"/>
    <w:rsid w:val="4DB554AF"/>
    <w:rsid w:val="4DD654D5"/>
    <w:rsid w:val="4E0D92E6"/>
    <w:rsid w:val="4E20C091"/>
    <w:rsid w:val="4E2ACF54"/>
    <w:rsid w:val="4E388097"/>
    <w:rsid w:val="4E4C93C8"/>
    <w:rsid w:val="4E55968C"/>
    <w:rsid w:val="4E57BF5D"/>
    <w:rsid w:val="4E5AAE84"/>
    <w:rsid w:val="4E7808A0"/>
    <w:rsid w:val="4ED1E178"/>
    <w:rsid w:val="4ED35036"/>
    <w:rsid w:val="4EE04841"/>
    <w:rsid w:val="4EEC0ADB"/>
    <w:rsid w:val="4EFEE07E"/>
    <w:rsid w:val="4EFF6A37"/>
    <w:rsid w:val="4F1C31DA"/>
    <w:rsid w:val="4F2A9760"/>
    <w:rsid w:val="4F2CAD28"/>
    <w:rsid w:val="4F459157"/>
    <w:rsid w:val="4F5B9053"/>
    <w:rsid w:val="4F8E3FAC"/>
    <w:rsid w:val="4F9624BD"/>
    <w:rsid w:val="4F96EC92"/>
    <w:rsid w:val="4FB0563E"/>
    <w:rsid w:val="4FC8B35E"/>
    <w:rsid w:val="4FDB3513"/>
    <w:rsid w:val="4FDB9D21"/>
    <w:rsid w:val="4FE1D8C0"/>
    <w:rsid w:val="4FEEEBDC"/>
    <w:rsid w:val="4FFC1B18"/>
    <w:rsid w:val="500E60E9"/>
    <w:rsid w:val="500F2AE7"/>
    <w:rsid w:val="5077B428"/>
    <w:rsid w:val="507AA730"/>
    <w:rsid w:val="50C9DAF4"/>
    <w:rsid w:val="50CC3E76"/>
    <w:rsid w:val="50E964F9"/>
    <w:rsid w:val="5113F37D"/>
    <w:rsid w:val="5119E6D7"/>
    <w:rsid w:val="514A206C"/>
    <w:rsid w:val="514B2E68"/>
    <w:rsid w:val="517A15E1"/>
    <w:rsid w:val="517C4994"/>
    <w:rsid w:val="5182BC0D"/>
    <w:rsid w:val="51C51822"/>
    <w:rsid w:val="51C91667"/>
    <w:rsid w:val="51DD9C0A"/>
    <w:rsid w:val="5209D4B9"/>
    <w:rsid w:val="52101D7D"/>
    <w:rsid w:val="52250E61"/>
    <w:rsid w:val="52540357"/>
    <w:rsid w:val="528BF230"/>
    <w:rsid w:val="52A3D61D"/>
    <w:rsid w:val="52B14EC3"/>
    <w:rsid w:val="52BBB0F1"/>
    <w:rsid w:val="52C2AD4B"/>
    <w:rsid w:val="52CACEC8"/>
    <w:rsid w:val="52E11611"/>
    <w:rsid w:val="52EAD188"/>
    <w:rsid w:val="52ED81A0"/>
    <w:rsid w:val="532AFC1C"/>
    <w:rsid w:val="534175FC"/>
    <w:rsid w:val="535D874C"/>
    <w:rsid w:val="535E599D"/>
    <w:rsid w:val="53604045"/>
    <w:rsid w:val="53805052"/>
    <w:rsid w:val="538699D2"/>
    <w:rsid w:val="538A3464"/>
    <w:rsid w:val="538C99F8"/>
    <w:rsid w:val="53988A4C"/>
    <w:rsid w:val="539ECD2F"/>
    <w:rsid w:val="53A4F5DD"/>
    <w:rsid w:val="53D86DF8"/>
    <w:rsid w:val="53E1E5DC"/>
    <w:rsid w:val="53F48098"/>
    <w:rsid w:val="53F4C360"/>
    <w:rsid w:val="540BE078"/>
    <w:rsid w:val="5420DCC6"/>
    <w:rsid w:val="5426442B"/>
    <w:rsid w:val="543918F5"/>
    <w:rsid w:val="544765C2"/>
    <w:rsid w:val="544A825C"/>
    <w:rsid w:val="548FC38C"/>
    <w:rsid w:val="54A98079"/>
    <w:rsid w:val="54B5C18B"/>
    <w:rsid w:val="54E39E54"/>
    <w:rsid w:val="54EC1F49"/>
    <w:rsid w:val="5555389D"/>
    <w:rsid w:val="555A34CC"/>
    <w:rsid w:val="55F21609"/>
    <w:rsid w:val="55FA31B8"/>
    <w:rsid w:val="5611B09A"/>
    <w:rsid w:val="56225EEE"/>
    <w:rsid w:val="563C9530"/>
    <w:rsid w:val="563CE150"/>
    <w:rsid w:val="564FA553"/>
    <w:rsid w:val="56514869"/>
    <w:rsid w:val="56663EE8"/>
    <w:rsid w:val="567EEC0F"/>
    <w:rsid w:val="568E8249"/>
    <w:rsid w:val="57371268"/>
    <w:rsid w:val="574044FA"/>
    <w:rsid w:val="575E2831"/>
    <w:rsid w:val="57665D85"/>
    <w:rsid w:val="576D6276"/>
    <w:rsid w:val="57745047"/>
    <w:rsid w:val="57B000E3"/>
    <w:rsid w:val="57CC201C"/>
    <w:rsid w:val="57D282A6"/>
    <w:rsid w:val="5826338F"/>
    <w:rsid w:val="5829AE6F"/>
    <w:rsid w:val="58355732"/>
    <w:rsid w:val="583AB94C"/>
    <w:rsid w:val="5843A11F"/>
    <w:rsid w:val="58652E7A"/>
    <w:rsid w:val="586A7FDB"/>
    <w:rsid w:val="58982768"/>
    <w:rsid w:val="58BFE845"/>
    <w:rsid w:val="58C65BB1"/>
    <w:rsid w:val="58CFF38E"/>
    <w:rsid w:val="591EF989"/>
    <w:rsid w:val="596F120A"/>
    <w:rsid w:val="599307F0"/>
    <w:rsid w:val="599B47DA"/>
    <w:rsid w:val="59A427AB"/>
    <w:rsid w:val="59B41484"/>
    <w:rsid w:val="59BFA342"/>
    <w:rsid w:val="5A12EBF0"/>
    <w:rsid w:val="5A16A223"/>
    <w:rsid w:val="5A300935"/>
    <w:rsid w:val="5A33F5A4"/>
    <w:rsid w:val="5A3E3F07"/>
    <w:rsid w:val="5A4430DB"/>
    <w:rsid w:val="5A4E58D4"/>
    <w:rsid w:val="5A77D5D9"/>
    <w:rsid w:val="5A80D156"/>
    <w:rsid w:val="5A90D010"/>
    <w:rsid w:val="5AD060C4"/>
    <w:rsid w:val="5AF5D9B2"/>
    <w:rsid w:val="5B0B8FC9"/>
    <w:rsid w:val="5B3452A6"/>
    <w:rsid w:val="5B37EFB6"/>
    <w:rsid w:val="5B7B13A4"/>
    <w:rsid w:val="5B7FE80E"/>
    <w:rsid w:val="5BC46036"/>
    <w:rsid w:val="5BD1619A"/>
    <w:rsid w:val="5C4E415E"/>
    <w:rsid w:val="5C61A496"/>
    <w:rsid w:val="5CA04F7A"/>
    <w:rsid w:val="5CC0A6B7"/>
    <w:rsid w:val="5CC8D145"/>
    <w:rsid w:val="5CD5478E"/>
    <w:rsid w:val="5CDD1B4B"/>
    <w:rsid w:val="5CF9E72E"/>
    <w:rsid w:val="5D68092D"/>
    <w:rsid w:val="5D6B321A"/>
    <w:rsid w:val="5D7C3573"/>
    <w:rsid w:val="5D91451D"/>
    <w:rsid w:val="5D97E65F"/>
    <w:rsid w:val="5DD172F2"/>
    <w:rsid w:val="5E0E9EA5"/>
    <w:rsid w:val="5E0F16CF"/>
    <w:rsid w:val="5E2C808D"/>
    <w:rsid w:val="5E4FE65A"/>
    <w:rsid w:val="5E5497FE"/>
    <w:rsid w:val="5E63C4FD"/>
    <w:rsid w:val="5E64A194"/>
    <w:rsid w:val="5EB2438C"/>
    <w:rsid w:val="5ECBAFED"/>
    <w:rsid w:val="5EE8C47F"/>
    <w:rsid w:val="5EFEC045"/>
    <w:rsid w:val="5F14596E"/>
    <w:rsid w:val="5F5A73A3"/>
    <w:rsid w:val="5F62501D"/>
    <w:rsid w:val="5F9468DE"/>
    <w:rsid w:val="5F9EBDED"/>
    <w:rsid w:val="5FB7A6D0"/>
    <w:rsid w:val="5FD9B7C8"/>
    <w:rsid w:val="5FDBE191"/>
    <w:rsid w:val="60040151"/>
    <w:rsid w:val="6010E6B9"/>
    <w:rsid w:val="601849EE"/>
    <w:rsid w:val="605896DE"/>
    <w:rsid w:val="606C1491"/>
    <w:rsid w:val="606F0FF1"/>
    <w:rsid w:val="607FAEF1"/>
    <w:rsid w:val="609F3A70"/>
    <w:rsid w:val="60C9B8A5"/>
    <w:rsid w:val="610638A7"/>
    <w:rsid w:val="61105C13"/>
    <w:rsid w:val="612C5397"/>
    <w:rsid w:val="612FF9A1"/>
    <w:rsid w:val="6130FC82"/>
    <w:rsid w:val="614947A6"/>
    <w:rsid w:val="61BB98A6"/>
    <w:rsid w:val="61C84104"/>
    <w:rsid w:val="61CF044B"/>
    <w:rsid w:val="61E32E48"/>
    <w:rsid w:val="62867631"/>
    <w:rsid w:val="62894DF8"/>
    <w:rsid w:val="62D09A7D"/>
    <w:rsid w:val="631FC4C8"/>
    <w:rsid w:val="63635564"/>
    <w:rsid w:val="6374D331"/>
    <w:rsid w:val="63A06544"/>
    <w:rsid w:val="63AE4710"/>
    <w:rsid w:val="63CE4120"/>
    <w:rsid w:val="63D1E134"/>
    <w:rsid w:val="63E89856"/>
    <w:rsid w:val="640EB686"/>
    <w:rsid w:val="643AB79B"/>
    <w:rsid w:val="645847E0"/>
    <w:rsid w:val="645A745C"/>
    <w:rsid w:val="64A1F645"/>
    <w:rsid w:val="64A87D77"/>
    <w:rsid w:val="64D83D77"/>
    <w:rsid w:val="64E36D00"/>
    <w:rsid w:val="64F65C97"/>
    <w:rsid w:val="64FF7631"/>
    <w:rsid w:val="65074845"/>
    <w:rsid w:val="6527FB88"/>
    <w:rsid w:val="65343868"/>
    <w:rsid w:val="65491AD7"/>
    <w:rsid w:val="6588C320"/>
    <w:rsid w:val="658B0916"/>
    <w:rsid w:val="658D2F99"/>
    <w:rsid w:val="6594DAE0"/>
    <w:rsid w:val="6599B914"/>
    <w:rsid w:val="65A00D82"/>
    <w:rsid w:val="65A6E0F8"/>
    <w:rsid w:val="65D03132"/>
    <w:rsid w:val="65D72A5C"/>
    <w:rsid w:val="660245F6"/>
    <w:rsid w:val="660E859B"/>
    <w:rsid w:val="661B0EDA"/>
    <w:rsid w:val="662FB62F"/>
    <w:rsid w:val="663FE325"/>
    <w:rsid w:val="6676FA32"/>
    <w:rsid w:val="66A1BE82"/>
    <w:rsid w:val="66A20118"/>
    <w:rsid w:val="66AA0491"/>
    <w:rsid w:val="66D54565"/>
    <w:rsid w:val="66E2D8AD"/>
    <w:rsid w:val="6714E73C"/>
    <w:rsid w:val="672F45D4"/>
    <w:rsid w:val="673C2F7C"/>
    <w:rsid w:val="677D58AB"/>
    <w:rsid w:val="67BB668F"/>
    <w:rsid w:val="67F9BC15"/>
    <w:rsid w:val="684FE5A3"/>
    <w:rsid w:val="6883791E"/>
    <w:rsid w:val="6891474F"/>
    <w:rsid w:val="6896CF80"/>
    <w:rsid w:val="689BFBA5"/>
    <w:rsid w:val="68A09313"/>
    <w:rsid w:val="68A91B2D"/>
    <w:rsid w:val="68CE1C2B"/>
    <w:rsid w:val="68FD1323"/>
    <w:rsid w:val="6956B840"/>
    <w:rsid w:val="6979143E"/>
    <w:rsid w:val="69B4152A"/>
    <w:rsid w:val="69BFC07C"/>
    <w:rsid w:val="69E8E785"/>
    <w:rsid w:val="69F543DD"/>
    <w:rsid w:val="6A1A271B"/>
    <w:rsid w:val="6A21E19F"/>
    <w:rsid w:val="6A598F07"/>
    <w:rsid w:val="6A5F59D0"/>
    <w:rsid w:val="6A67C338"/>
    <w:rsid w:val="6A81712F"/>
    <w:rsid w:val="6AA2FA2E"/>
    <w:rsid w:val="6AD39324"/>
    <w:rsid w:val="6AD48ED6"/>
    <w:rsid w:val="6AF20FEB"/>
    <w:rsid w:val="6B19E6A8"/>
    <w:rsid w:val="6B234D27"/>
    <w:rsid w:val="6B25BF49"/>
    <w:rsid w:val="6B2CFC1F"/>
    <w:rsid w:val="6B382182"/>
    <w:rsid w:val="6B4CD31A"/>
    <w:rsid w:val="6B598CD1"/>
    <w:rsid w:val="6B6AE4F8"/>
    <w:rsid w:val="6B908E50"/>
    <w:rsid w:val="6BC4BF6E"/>
    <w:rsid w:val="6BD86357"/>
    <w:rsid w:val="6BE3E1D9"/>
    <w:rsid w:val="6BEB0319"/>
    <w:rsid w:val="6BF8C880"/>
    <w:rsid w:val="6BFDC40B"/>
    <w:rsid w:val="6C184537"/>
    <w:rsid w:val="6C496BFA"/>
    <w:rsid w:val="6C4987CE"/>
    <w:rsid w:val="6C62BDD5"/>
    <w:rsid w:val="6C6F2976"/>
    <w:rsid w:val="6C729B33"/>
    <w:rsid w:val="6C919B50"/>
    <w:rsid w:val="6C9B050A"/>
    <w:rsid w:val="6C9CB155"/>
    <w:rsid w:val="6CA7148F"/>
    <w:rsid w:val="6CD24782"/>
    <w:rsid w:val="6CEEC724"/>
    <w:rsid w:val="6CF13895"/>
    <w:rsid w:val="6CF973C1"/>
    <w:rsid w:val="6D0015ED"/>
    <w:rsid w:val="6D164CBB"/>
    <w:rsid w:val="6D3334ED"/>
    <w:rsid w:val="6D5EF035"/>
    <w:rsid w:val="6D6A9978"/>
    <w:rsid w:val="6D6DE4FC"/>
    <w:rsid w:val="6D7EC812"/>
    <w:rsid w:val="6D7F3D86"/>
    <w:rsid w:val="6D90E8DE"/>
    <w:rsid w:val="6DA52DDF"/>
    <w:rsid w:val="6DA7B9CF"/>
    <w:rsid w:val="6DD0CD57"/>
    <w:rsid w:val="6DE55878"/>
    <w:rsid w:val="6E097AEA"/>
    <w:rsid w:val="6E1BA11B"/>
    <w:rsid w:val="6E403462"/>
    <w:rsid w:val="6E7F73FB"/>
    <w:rsid w:val="6E912C41"/>
    <w:rsid w:val="6ECD0D7D"/>
    <w:rsid w:val="6EDBC13E"/>
    <w:rsid w:val="6F088D7E"/>
    <w:rsid w:val="6F25EA14"/>
    <w:rsid w:val="6F318291"/>
    <w:rsid w:val="6F855860"/>
    <w:rsid w:val="6F9E043A"/>
    <w:rsid w:val="6FA1D7FD"/>
    <w:rsid w:val="6FABAB61"/>
    <w:rsid w:val="6FADAB84"/>
    <w:rsid w:val="6FD80F9E"/>
    <w:rsid w:val="6FE31A76"/>
    <w:rsid w:val="6FE6B107"/>
    <w:rsid w:val="6FFC6982"/>
    <w:rsid w:val="702567DE"/>
    <w:rsid w:val="702FA8B0"/>
    <w:rsid w:val="705587DA"/>
    <w:rsid w:val="705D3B58"/>
    <w:rsid w:val="70A3E642"/>
    <w:rsid w:val="70CFFFF8"/>
    <w:rsid w:val="70D05580"/>
    <w:rsid w:val="70DC0DF5"/>
    <w:rsid w:val="71262F6B"/>
    <w:rsid w:val="7138F0C8"/>
    <w:rsid w:val="715B9483"/>
    <w:rsid w:val="717C7337"/>
    <w:rsid w:val="719841BE"/>
    <w:rsid w:val="7198A1BA"/>
    <w:rsid w:val="71CD2AED"/>
    <w:rsid w:val="71ECE2DC"/>
    <w:rsid w:val="7200F080"/>
    <w:rsid w:val="721BEF0D"/>
    <w:rsid w:val="7274D9AE"/>
    <w:rsid w:val="727F9462"/>
    <w:rsid w:val="72AA9279"/>
    <w:rsid w:val="72DB3680"/>
    <w:rsid w:val="72DD49C7"/>
    <w:rsid w:val="730B53AA"/>
    <w:rsid w:val="731BACF6"/>
    <w:rsid w:val="7339AFC7"/>
    <w:rsid w:val="73411E57"/>
    <w:rsid w:val="7344D642"/>
    <w:rsid w:val="73647F41"/>
    <w:rsid w:val="73A3E838"/>
    <w:rsid w:val="73A59845"/>
    <w:rsid w:val="73BEB6E1"/>
    <w:rsid w:val="73C95CD3"/>
    <w:rsid w:val="73CA0FCF"/>
    <w:rsid w:val="73F4F89C"/>
    <w:rsid w:val="7410FB58"/>
    <w:rsid w:val="7423A65B"/>
    <w:rsid w:val="742C5BE8"/>
    <w:rsid w:val="7431EEAA"/>
    <w:rsid w:val="744327BA"/>
    <w:rsid w:val="74522E29"/>
    <w:rsid w:val="74726A09"/>
    <w:rsid w:val="749826CD"/>
    <w:rsid w:val="74A22235"/>
    <w:rsid w:val="74A3B235"/>
    <w:rsid w:val="74B121E8"/>
    <w:rsid w:val="74C7B7EA"/>
    <w:rsid w:val="74D82F93"/>
    <w:rsid w:val="74EDD3AD"/>
    <w:rsid w:val="74FCE99F"/>
    <w:rsid w:val="75050C5C"/>
    <w:rsid w:val="75155B9A"/>
    <w:rsid w:val="752825B7"/>
    <w:rsid w:val="752B152E"/>
    <w:rsid w:val="7537940D"/>
    <w:rsid w:val="75430F49"/>
    <w:rsid w:val="75721BC5"/>
    <w:rsid w:val="7573C499"/>
    <w:rsid w:val="75B29B03"/>
    <w:rsid w:val="75BC11CF"/>
    <w:rsid w:val="75D3BD0C"/>
    <w:rsid w:val="75D51F9B"/>
    <w:rsid w:val="76008AC0"/>
    <w:rsid w:val="76165420"/>
    <w:rsid w:val="76225BF4"/>
    <w:rsid w:val="76506FA2"/>
    <w:rsid w:val="7697E7F7"/>
    <w:rsid w:val="76A84548"/>
    <w:rsid w:val="76AA7084"/>
    <w:rsid w:val="76C8CCEE"/>
    <w:rsid w:val="76DA88EC"/>
    <w:rsid w:val="76F9C360"/>
    <w:rsid w:val="771246B6"/>
    <w:rsid w:val="7722BCD5"/>
    <w:rsid w:val="77381BF9"/>
    <w:rsid w:val="77441A01"/>
    <w:rsid w:val="7760B68A"/>
    <w:rsid w:val="777C0DAC"/>
    <w:rsid w:val="77897629"/>
    <w:rsid w:val="780FFA73"/>
    <w:rsid w:val="781D02DA"/>
    <w:rsid w:val="78222238"/>
    <w:rsid w:val="78250BB3"/>
    <w:rsid w:val="783DD92E"/>
    <w:rsid w:val="785EDB70"/>
    <w:rsid w:val="7895FA42"/>
    <w:rsid w:val="78AD2E14"/>
    <w:rsid w:val="78B30B93"/>
    <w:rsid w:val="78C6A244"/>
    <w:rsid w:val="78D0A358"/>
    <w:rsid w:val="78D71E58"/>
    <w:rsid w:val="78FB6B52"/>
    <w:rsid w:val="79092EEF"/>
    <w:rsid w:val="7915C2BD"/>
    <w:rsid w:val="79163305"/>
    <w:rsid w:val="79369288"/>
    <w:rsid w:val="79375587"/>
    <w:rsid w:val="793F047C"/>
    <w:rsid w:val="79512441"/>
    <w:rsid w:val="79AD1632"/>
    <w:rsid w:val="79C148E4"/>
    <w:rsid w:val="79C41A72"/>
    <w:rsid w:val="79ED47E3"/>
    <w:rsid w:val="79EFAA71"/>
    <w:rsid w:val="7A2FFE37"/>
    <w:rsid w:val="7A33638F"/>
    <w:rsid w:val="7A37F071"/>
    <w:rsid w:val="7A3A8E40"/>
    <w:rsid w:val="7A599582"/>
    <w:rsid w:val="7A8F8DCD"/>
    <w:rsid w:val="7A9315FB"/>
    <w:rsid w:val="7A98D03D"/>
    <w:rsid w:val="7AC493F9"/>
    <w:rsid w:val="7AE27860"/>
    <w:rsid w:val="7AF775C7"/>
    <w:rsid w:val="7B0607D7"/>
    <w:rsid w:val="7B2227CD"/>
    <w:rsid w:val="7B30803E"/>
    <w:rsid w:val="7B30B084"/>
    <w:rsid w:val="7B833264"/>
    <w:rsid w:val="7B8E7430"/>
    <w:rsid w:val="7BAB95DF"/>
    <w:rsid w:val="7BBAB19E"/>
    <w:rsid w:val="7BD9055A"/>
    <w:rsid w:val="7BF12EF5"/>
    <w:rsid w:val="7C05C603"/>
    <w:rsid w:val="7C2B730E"/>
    <w:rsid w:val="7C2F102A"/>
    <w:rsid w:val="7C3C3279"/>
    <w:rsid w:val="7C84C2CB"/>
    <w:rsid w:val="7C85E893"/>
    <w:rsid w:val="7CA35148"/>
    <w:rsid w:val="7CB5A0C2"/>
    <w:rsid w:val="7CC450EE"/>
    <w:rsid w:val="7CD2DEB9"/>
    <w:rsid w:val="7CD4A986"/>
    <w:rsid w:val="7CFB07A0"/>
    <w:rsid w:val="7D05A2CB"/>
    <w:rsid w:val="7D2104DF"/>
    <w:rsid w:val="7D2227D6"/>
    <w:rsid w:val="7D2A3C10"/>
    <w:rsid w:val="7D305100"/>
    <w:rsid w:val="7D332A44"/>
    <w:rsid w:val="7D37A35A"/>
    <w:rsid w:val="7D58B724"/>
    <w:rsid w:val="7D669772"/>
    <w:rsid w:val="7D6D6FE3"/>
    <w:rsid w:val="7D8605EA"/>
    <w:rsid w:val="7DAD2486"/>
    <w:rsid w:val="7DC18E77"/>
    <w:rsid w:val="7DCA49F5"/>
    <w:rsid w:val="7E1DD89A"/>
    <w:rsid w:val="7E365A2C"/>
    <w:rsid w:val="7E4D3793"/>
    <w:rsid w:val="7E9DFB1F"/>
    <w:rsid w:val="7EA399C0"/>
    <w:rsid w:val="7ED331D5"/>
    <w:rsid w:val="7EDD3543"/>
    <w:rsid w:val="7EE1D473"/>
    <w:rsid w:val="7EEF6185"/>
    <w:rsid w:val="7EFF305D"/>
    <w:rsid w:val="7F2C510A"/>
    <w:rsid w:val="7F5688CE"/>
    <w:rsid w:val="7F7C5460"/>
    <w:rsid w:val="7FE3EF7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9BE4C"/>
  <w15:docId w15:val="{D0952B98-96B1-4300-BA28-F67F297D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2CB0"/>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6B79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6B79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6B793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6B793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6B793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6B793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6B793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6B793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6B793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793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B793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B793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B793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B793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B79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B79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B79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B793A"/>
    <w:rPr>
      <w:rFonts w:eastAsiaTheme="majorEastAsia" w:cstheme="majorBidi"/>
      <w:color w:val="272727" w:themeColor="text1" w:themeTint="D8"/>
    </w:rPr>
  </w:style>
  <w:style w:type="paragraph" w:styleId="Tytu">
    <w:name w:val="Title"/>
    <w:basedOn w:val="Normalny"/>
    <w:next w:val="Normalny"/>
    <w:link w:val="TytuZnak"/>
    <w:uiPriority w:val="10"/>
    <w:qFormat/>
    <w:rsid w:val="006B793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B79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B793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B79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B793A"/>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6B793A"/>
    <w:rPr>
      <w:i/>
      <w:iCs/>
      <w:color w:val="404040" w:themeColor="text1" w:themeTint="BF"/>
    </w:rPr>
  </w:style>
  <w:style w:type="paragraph" w:styleId="Akapitzlist">
    <w:name w:val="List Paragraph"/>
    <w:basedOn w:val="Normalny"/>
    <w:uiPriority w:val="34"/>
    <w:qFormat/>
    <w:rsid w:val="006B793A"/>
    <w:pPr>
      <w:spacing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6B793A"/>
    <w:rPr>
      <w:i/>
      <w:iCs/>
      <w:color w:val="0F4761" w:themeColor="accent1" w:themeShade="BF"/>
    </w:rPr>
  </w:style>
  <w:style w:type="paragraph" w:styleId="Cytatintensywny">
    <w:name w:val="Intense Quote"/>
    <w:basedOn w:val="Normalny"/>
    <w:next w:val="Normalny"/>
    <w:link w:val="CytatintensywnyZnak"/>
    <w:uiPriority w:val="30"/>
    <w:qFormat/>
    <w:rsid w:val="006B79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6B793A"/>
    <w:rPr>
      <w:i/>
      <w:iCs/>
      <w:color w:val="0F4761" w:themeColor="accent1" w:themeShade="BF"/>
    </w:rPr>
  </w:style>
  <w:style w:type="character" w:styleId="Odwoanieintensywne">
    <w:name w:val="Intense Reference"/>
    <w:basedOn w:val="Domylnaczcionkaakapitu"/>
    <w:uiPriority w:val="32"/>
    <w:qFormat/>
    <w:rsid w:val="006B793A"/>
    <w:rPr>
      <w:b/>
      <w:bCs/>
      <w:smallCaps/>
      <w:color w:val="0F4761" w:themeColor="accent1" w:themeShade="BF"/>
      <w:spacing w:val="5"/>
    </w:rPr>
  </w:style>
  <w:style w:type="table" w:styleId="Tabela-Siatka">
    <w:name w:val="Table Grid"/>
    <w:basedOn w:val="Standardowy"/>
    <w:uiPriority w:val="39"/>
    <w:rsid w:val="00340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96300"/>
    <w:rPr>
      <w:sz w:val="16"/>
      <w:szCs w:val="16"/>
    </w:rPr>
  </w:style>
  <w:style w:type="paragraph" w:styleId="Tekstkomentarza">
    <w:name w:val="annotation text"/>
    <w:basedOn w:val="Normalny"/>
    <w:link w:val="TekstkomentarzaZnak"/>
    <w:uiPriority w:val="99"/>
    <w:unhideWhenUsed/>
    <w:rsid w:val="00A96300"/>
    <w:pPr>
      <w:spacing w:line="240" w:lineRule="auto"/>
    </w:pPr>
    <w:rPr>
      <w:sz w:val="20"/>
      <w:szCs w:val="20"/>
    </w:rPr>
  </w:style>
  <w:style w:type="character" w:customStyle="1" w:styleId="TekstkomentarzaZnak">
    <w:name w:val="Tekst komentarza Znak"/>
    <w:basedOn w:val="Domylnaczcionkaakapitu"/>
    <w:link w:val="Tekstkomentarza"/>
    <w:uiPriority w:val="99"/>
    <w:rsid w:val="00A96300"/>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A96300"/>
    <w:rPr>
      <w:b/>
      <w:bCs/>
    </w:rPr>
  </w:style>
  <w:style w:type="character" w:customStyle="1" w:styleId="TematkomentarzaZnak">
    <w:name w:val="Temat komentarza Znak"/>
    <w:basedOn w:val="TekstkomentarzaZnak"/>
    <w:link w:val="Tematkomentarza"/>
    <w:uiPriority w:val="99"/>
    <w:semiHidden/>
    <w:rsid w:val="00A96300"/>
    <w:rPr>
      <w:b/>
      <w:bCs/>
      <w:kern w:val="0"/>
      <w:sz w:val="20"/>
      <w:szCs w:val="20"/>
      <w14:ligatures w14:val="none"/>
    </w:rPr>
  </w:style>
  <w:style w:type="character" w:customStyle="1" w:styleId="eop">
    <w:name w:val="eop"/>
    <w:basedOn w:val="Domylnaczcionkaakapitu"/>
    <w:rsid w:val="00082AA6"/>
  </w:style>
  <w:style w:type="character" w:customStyle="1" w:styleId="findhit">
    <w:name w:val="findhit"/>
    <w:basedOn w:val="Domylnaczcionkaakapitu"/>
    <w:rsid w:val="00082AA6"/>
  </w:style>
  <w:style w:type="paragraph" w:customStyle="1" w:styleId="paragraph">
    <w:name w:val="paragraph"/>
    <w:basedOn w:val="Normalny"/>
    <w:rsid w:val="00082AA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82AA6"/>
  </w:style>
  <w:style w:type="paragraph" w:styleId="Tekstprzypisudolnego">
    <w:name w:val="footnote text"/>
    <w:basedOn w:val="Normalny"/>
    <w:link w:val="TekstprzypisudolnegoZnak"/>
    <w:uiPriority w:val="99"/>
    <w:semiHidden/>
    <w:unhideWhenUsed/>
    <w:rsid w:val="004D2A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D2A81"/>
    <w:rPr>
      <w:kern w:val="0"/>
      <w:sz w:val="20"/>
      <w:szCs w:val="20"/>
      <w14:ligatures w14:val="none"/>
    </w:rPr>
  </w:style>
  <w:style w:type="character" w:styleId="Odwoanieprzypisudolnego">
    <w:name w:val="footnote reference"/>
    <w:basedOn w:val="Domylnaczcionkaakapitu"/>
    <w:uiPriority w:val="99"/>
    <w:semiHidden/>
    <w:unhideWhenUsed/>
    <w:rsid w:val="004D2A81"/>
    <w:rPr>
      <w:vertAlign w:val="superscript"/>
    </w:rPr>
  </w:style>
  <w:style w:type="paragraph" w:styleId="Nagwek">
    <w:name w:val="header"/>
    <w:basedOn w:val="Normalny"/>
    <w:link w:val="NagwekZnak"/>
    <w:uiPriority w:val="99"/>
    <w:semiHidden/>
    <w:unhideWhenUsed/>
    <w:rsid w:val="002F75F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F75FB"/>
    <w:rPr>
      <w:kern w:val="0"/>
      <w:sz w:val="22"/>
      <w:szCs w:val="22"/>
      <w14:ligatures w14:val="none"/>
    </w:rPr>
  </w:style>
  <w:style w:type="paragraph" w:styleId="Stopka">
    <w:name w:val="footer"/>
    <w:basedOn w:val="Normalny"/>
    <w:link w:val="StopkaZnak"/>
    <w:uiPriority w:val="99"/>
    <w:semiHidden/>
    <w:unhideWhenUsed/>
    <w:rsid w:val="002F75F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F75FB"/>
    <w:rPr>
      <w:kern w:val="0"/>
      <w:sz w:val="22"/>
      <w:szCs w:val="22"/>
      <w14:ligatures w14:val="none"/>
    </w:rPr>
  </w:style>
  <w:style w:type="paragraph" w:styleId="Bezodstpw">
    <w:name w:val="No Spacing"/>
    <w:uiPriority w:val="1"/>
    <w:qFormat/>
    <w:rsid w:val="71CD2A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3490">
      <w:bodyDiv w:val="1"/>
      <w:marLeft w:val="0"/>
      <w:marRight w:val="0"/>
      <w:marTop w:val="0"/>
      <w:marBottom w:val="0"/>
      <w:divBdr>
        <w:top w:val="none" w:sz="0" w:space="0" w:color="auto"/>
        <w:left w:val="none" w:sz="0" w:space="0" w:color="auto"/>
        <w:bottom w:val="none" w:sz="0" w:space="0" w:color="auto"/>
        <w:right w:val="none" w:sz="0" w:space="0" w:color="auto"/>
      </w:divBdr>
      <w:divsChild>
        <w:div w:id="1263881269">
          <w:marLeft w:val="0"/>
          <w:marRight w:val="0"/>
          <w:marTop w:val="0"/>
          <w:marBottom w:val="0"/>
          <w:divBdr>
            <w:top w:val="none" w:sz="0" w:space="0" w:color="auto"/>
            <w:left w:val="none" w:sz="0" w:space="0" w:color="auto"/>
            <w:bottom w:val="none" w:sz="0" w:space="0" w:color="auto"/>
            <w:right w:val="none" w:sz="0" w:space="0" w:color="auto"/>
          </w:divBdr>
          <w:divsChild>
            <w:div w:id="655574366">
              <w:marLeft w:val="0"/>
              <w:marRight w:val="0"/>
              <w:marTop w:val="0"/>
              <w:marBottom w:val="0"/>
              <w:divBdr>
                <w:top w:val="none" w:sz="0" w:space="0" w:color="auto"/>
                <w:left w:val="none" w:sz="0" w:space="0" w:color="auto"/>
                <w:bottom w:val="none" w:sz="0" w:space="0" w:color="auto"/>
                <w:right w:val="none" w:sz="0" w:space="0" w:color="auto"/>
              </w:divBdr>
              <w:divsChild>
                <w:div w:id="18183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006">
      <w:bodyDiv w:val="1"/>
      <w:marLeft w:val="0"/>
      <w:marRight w:val="0"/>
      <w:marTop w:val="0"/>
      <w:marBottom w:val="0"/>
      <w:divBdr>
        <w:top w:val="none" w:sz="0" w:space="0" w:color="auto"/>
        <w:left w:val="none" w:sz="0" w:space="0" w:color="auto"/>
        <w:bottom w:val="none" w:sz="0" w:space="0" w:color="auto"/>
        <w:right w:val="none" w:sz="0" w:space="0" w:color="auto"/>
      </w:divBdr>
      <w:divsChild>
        <w:div w:id="1683629069">
          <w:marLeft w:val="0"/>
          <w:marRight w:val="0"/>
          <w:marTop w:val="0"/>
          <w:marBottom w:val="0"/>
          <w:divBdr>
            <w:top w:val="none" w:sz="0" w:space="0" w:color="auto"/>
            <w:left w:val="none" w:sz="0" w:space="0" w:color="auto"/>
            <w:bottom w:val="none" w:sz="0" w:space="0" w:color="auto"/>
            <w:right w:val="none" w:sz="0" w:space="0" w:color="auto"/>
          </w:divBdr>
          <w:divsChild>
            <w:div w:id="169218832">
              <w:marLeft w:val="0"/>
              <w:marRight w:val="0"/>
              <w:marTop w:val="0"/>
              <w:marBottom w:val="0"/>
              <w:divBdr>
                <w:top w:val="none" w:sz="0" w:space="0" w:color="auto"/>
                <w:left w:val="none" w:sz="0" w:space="0" w:color="auto"/>
                <w:bottom w:val="none" w:sz="0" w:space="0" w:color="auto"/>
                <w:right w:val="none" w:sz="0" w:space="0" w:color="auto"/>
              </w:divBdr>
              <w:divsChild>
                <w:div w:id="2556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7572">
      <w:bodyDiv w:val="1"/>
      <w:marLeft w:val="0"/>
      <w:marRight w:val="0"/>
      <w:marTop w:val="0"/>
      <w:marBottom w:val="0"/>
      <w:divBdr>
        <w:top w:val="none" w:sz="0" w:space="0" w:color="auto"/>
        <w:left w:val="none" w:sz="0" w:space="0" w:color="auto"/>
        <w:bottom w:val="none" w:sz="0" w:space="0" w:color="auto"/>
        <w:right w:val="none" w:sz="0" w:space="0" w:color="auto"/>
      </w:divBdr>
      <w:divsChild>
        <w:div w:id="1103846231">
          <w:marLeft w:val="0"/>
          <w:marRight w:val="0"/>
          <w:marTop w:val="0"/>
          <w:marBottom w:val="0"/>
          <w:divBdr>
            <w:top w:val="none" w:sz="0" w:space="0" w:color="auto"/>
            <w:left w:val="none" w:sz="0" w:space="0" w:color="auto"/>
            <w:bottom w:val="none" w:sz="0" w:space="0" w:color="auto"/>
            <w:right w:val="none" w:sz="0" w:space="0" w:color="auto"/>
          </w:divBdr>
          <w:divsChild>
            <w:div w:id="2146579888">
              <w:marLeft w:val="0"/>
              <w:marRight w:val="0"/>
              <w:marTop w:val="0"/>
              <w:marBottom w:val="0"/>
              <w:divBdr>
                <w:top w:val="none" w:sz="0" w:space="0" w:color="auto"/>
                <w:left w:val="none" w:sz="0" w:space="0" w:color="auto"/>
                <w:bottom w:val="none" w:sz="0" w:space="0" w:color="auto"/>
                <w:right w:val="none" w:sz="0" w:space="0" w:color="auto"/>
              </w:divBdr>
              <w:divsChild>
                <w:div w:id="16828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46333">
      <w:bodyDiv w:val="1"/>
      <w:marLeft w:val="0"/>
      <w:marRight w:val="0"/>
      <w:marTop w:val="0"/>
      <w:marBottom w:val="0"/>
      <w:divBdr>
        <w:top w:val="none" w:sz="0" w:space="0" w:color="auto"/>
        <w:left w:val="none" w:sz="0" w:space="0" w:color="auto"/>
        <w:bottom w:val="none" w:sz="0" w:space="0" w:color="auto"/>
        <w:right w:val="none" w:sz="0" w:space="0" w:color="auto"/>
      </w:divBdr>
      <w:divsChild>
        <w:div w:id="35394849">
          <w:marLeft w:val="0"/>
          <w:marRight w:val="0"/>
          <w:marTop w:val="0"/>
          <w:marBottom w:val="0"/>
          <w:divBdr>
            <w:top w:val="none" w:sz="0" w:space="0" w:color="auto"/>
            <w:left w:val="none" w:sz="0" w:space="0" w:color="auto"/>
            <w:bottom w:val="none" w:sz="0" w:space="0" w:color="auto"/>
            <w:right w:val="none" w:sz="0" w:space="0" w:color="auto"/>
          </w:divBdr>
          <w:divsChild>
            <w:div w:id="1491823724">
              <w:marLeft w:val="0"/>
              <w:marRight w:val="0"/>
              <w:marTop w:val="0"/>
              <w:marBottom w:val="0"/>
              <w:divBdr>
                <w:top w:val="none" w:sz="0" w:space="0" w:color="auto"/>
                <w:left w:val="none" w:sz="0" w:space="0" w:color="auto"/>
                <w:bottom w:val="none" w:sz="0" w:space="0" w:color="auto"/>
                <w:right w:val="none" w:sz="0" w:space="0" w:color="auto"/>
              </w:divBdr>
              <w:divsChild>
                <w:div w:id="491456497">
                  <w:marLeft w:val="0"/>
                  <w:marRight w:val="0"/>
                  <w:marTop w:val="0"/>
                  <w:marBottom w:val="0"/>
                  <w:divBdr>
                    <w:top w:val="none" w:sz="0" w:space="0" w:color="auto"/>
                    <w:left w:val="none" w:sz="0" w:space="0" w:color="auto"/>
                    <w:bottom w:val="none" w:sz="0" w:space="0" w:color="auto"/>
                    <w:right w:val="none" w:sz="0" w:space="0" w:color="auto"/>
                  </w:divBdr>
                </w:div>
                <w:div w:id="892887007">
                  <w:marLeft w:val="0"/>
                  <w:marRight w:val="0"/>
                  <w:marTop w:val="0"/>
                  <w:marBottom w:val="0"/>
                  <w:divBdr>
                    <w:top w:val="none" w:sz="0" w:space="0" w:color="auto"/>
                    <w:left w:val="none" w:sz="0" w:space="0" w:color="auto"/>
                    <w:bottom w:val="none" w:sz="0" w:space="0" w:color="auto"/>
                    <w:right w:val="none" w:sz="0" w:space="0" w:color="auto"/>
                  </w:divBdr>
                </w:div>
                <w:div w:id="21013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2763">
          <w:marLeft w:val="0"/>
          <w:marRight w:val="0"/>
          <w:marTop w:val="0"/>
          <w:marBottom w:val="0"/>
          <w:divBdr>
            <w:top w:val="none" w:sz="0" w:space="0" w:color="auto"/>
            <w:left w:val="none" w:sz="0" w:space="0" w:color="auto"/>
            <w:bottom w:val="none" w:sz="0" w:space="0" w:color="auto"/>
            <w:right w:val="none" w:sz="0" w:space="0" w:color="auto"/>
          </w:divBdr>
          <w:divsChild>
            <w:div w:id="1627420391">
              <w:marLeft w:val="0"/>
              <w:marRight w:val="0"/>
              <w:marTop w:val="0"/>
              <w:marBottom w:val="0"/>
              <w:divBdr>
                <w:top w:val="none" w:sz="0" w:space="0" w:color="auto"/>
                <w:left w:val="none" w:sz="0" w:space="0" w:color="auto"/>
                <w:bottom w:val="none" w:sz="0" w:space="0" w:color="auto"/>
                <w:right w:val="none" w:sz="0" w:space="0" w:color="auto"/>
              </w:divBdr>
              <w:divsChild>
                <w:div w:id="4723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2972">
          <w:marLeft w:val="0"/>
          <w:marRight w:val="0"/>
          <w:marTop w:val="0"/>
          <w:marBottom w:val="0"/>
          <w:divBdr>
            <w:top w:val="none" w:sz="0" w:space="0" w:color="auto"/>
            <w:left w:val="none" w:sz="0" w:space="0" w:color="auto"/>
            <w:bottom w:val="none" w:sz="0" w:space="0" w:color="auto"/>
            <w:right w:val="none" w:sz="0" w:space="0" w:color="auto"/>
          </w:divBdr>
          <w:divsChild>
            <w:div w:id="67851745">
              <w:marLeft w:val="0"/>
              <w:marRight w:val="0"/>
              <w:marTop w:val="0"/>
              <w:marBottom w:val="0"/>
              <w:divBdr>
                <w:top w:val="none" w:sz="0" w:space="0" w:color="auto"/>
                <w:left w:val="none" w:sz="0" w:space="0" w:color="auto"/>
                <w:bottom w:val="none" w:sz="0" w:space="0" w:color="auto"/>
                <w:right w:val="none" w:sz="0" w:space="0" w:color="auto"/>
              </w:divBdr>
              <w:divsChild>
                <w:div w:id="938872801">
                  <w:marLeft w:val="0"/>
                  <w:marRight w:val="0"/>
                  <w:marTop w:val="0"/>
                  <w:marBottom w:val="0"/>
                  <w:divBdr>
                    <w:top w:val="none" w:sz="0" w:space="0" w:color="auto"/>
                    <w:left w:val="none" w:sz="0" w:space="0" w:color="auto"/>
                    <w:bottom w:val="none" w:sz="0" w:space="0" w:color="auto"/>
                    <w:right w:val="none" w:sz="0" w:space="0" w:color="auto"/>
                  </w:divBdr>
                </w:div>
                <w:div w:id="12085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58279">
      <w:bodyDiv w:val="1"/>
      <w:marLeft w:val="0"/>
      <w:marRight w:val="0"/>
      <w:marTop w:val="0"/>
      <w:marBottom w:val="0"/>
      <w:divBdr>
        <w:top w:val="none" w:sz="0" w:space="0" w:color="auto"/>
        <w:left w:val="none" w:sz="0" w:space="0" w:color="auto"/>
        <w:bottom w:val="none" w:sz="0" w:space="0" w:color="auto"/>
        <w:right w:val="none" w:sz="0" w:space="0" w:color="auto"/>
      </w:divBdr>
    </w:div>
    <w:div w:id="676732403">
      <w:bodyDiv w:val="1"/>
      <w:marLeft w:val="0"/>
      <w:marRight w:val="0"/>
      <w:marTop w:val="0"/>
      <w:marBottom w:val="0"/>
      <w:divBdr>
        <w:top w:val="none" w:sz="0" w:space="0" w:color="auto"/>
        <w:left w:val="none" w:sz="0" w:space="0" w:color="auto"/>
        <w:bottom w:val="none" w:sz="0" w:space="0" w:color="auto"/>
        <w:right w:val="none" w:sz="0" w:space="0" w:color="auto"/>
      </w:divBdr>
      <w:divsChild>
        <w:div w:id="1322848258">
          <w:marLeft w:val="0"/>
          <w:marRight w:val="0"/>
          <w:marTop w:val="0"/>
          <w:marBottom w:val="0"/>
          <w:divBdr>
            <w:top w:val="none" w:sz="0" w:space="0" w:color="auto"/>
            <w:left w:val="none" w:sz="0" w:space="0" w:color="auto"/>
            <w:bottom w:val="none" w:sz="0" w:space="0" w:color="auto"/>
            <w:right w:val="none" w:sz="0" w:space="0" w:color="auto"/>
          </w:divBdr>
          <w:divsChild>
            <w:div w:id="1517966157">
              <w:marLeft w:val="0"/>
              <w:marRight w:val="0"/>
              <w:marTop w:val="0"/>
              <w:marBottom w:val="0"/>
              <w:divBdr>
                <w:top w:val="none" w:sz="0" w:space="0" w:color="auto"/>
                <w:left w:val="none" w:sz="0" w:space="0" w:color="auto"/>
                <w:bottom w:val="none" w:sz="0" w:space="0" w:color="auto"/>
                <w:right w:val="none" w:sz="0" w:space="0" w:color="auto"/>
              </w:divBdr>
              <w:divsChild>
                <w:div w:id="6447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68755">
      <w:bodyDiv w:val="1"/>
      <w:marLeft w:val="0"/>
      <w:marRight w:val="0"/>
      <w:marTop w:val="0"/>
      <w:marBottom w:val="0"/>
      <w:divBdr>
        <w:top w:val="none" w:sz="0" w:space="0" w:color="auto"/>
        <w:left w:val="none" w:sz="0" w:space="0" w:color="auto"/>
        <w:bottom w:val="none" w:sz="0" w:space="0" w:color="auto"/>
        <w:right w:val="none" w:sz="0" w:space="0" w:color="auto"/>
      </w:divBdr>
      <w:divsChild>
        <w:div w:id="126243318">
          <w:marLeft w:val="0"/>
          <w:marRight w:val="0"/>
          <w:marTop w:val="0"/>
          <w:marBottom w:val="0"/>
          <w:divBdr>
            <w:top w:val="none" w:sz="0" w:space="0" w:color="auto"/>
            <w:left w:val="none" w:sz="0" w:space="0" w:color="auto"/>
            <w:bottom w:val="none" w:sz="0" w:space="0" w:color="auto"/>
            <w:right w:val="none" w:sz="0" w:space="0" w:color="auto"/>
          </w:divBdr>
          <w:divsChild>
            <w:div w:id="1812869023">
              <w:marLeft w:val="0"/>
              <w:marRight w:val="0"/>
              <w:marTop w:val="0"/>
              <w:marBottom w:val="0"/>
              <w:divBdr>
                <w:top w:val="none" w:sz="0" w:space="0" w:color="auto"/>
                <w:left w:val="none" w:sz="0" w:space="0" w:color="auto"/>
                <w:bottom w:val="none" w:sz="0" w:space="0" w:color="auto"/>
                <w:right w:val="none" w:sz="0" w:space="0" w:color="auto"/>
              </w:divBdr>
              <w:divsChild>
                <w:div w:id="1384062040">
                  <w:marLeft w:val="0"/>
                  <w:marRight w:val="0"/>
                  <w:marTop w:val="0"/>
                  <w:marBottom w:val="0"/>
                  <w:divBdr>
                    <w:top w:val="none" w:sz="0" w:space="0" w:color="auto"/>
                    <w:left w:val="none" w:sz="0" w:space="0" w:color="auto"/>
                    <w:bottom w:val="none" w:sz="0" w:space="0" w:color="auto"/>
                    <w:right w:val="none" w:sz="0" w:space="0" w:color="auto"/>
                  </w:divBdr>
                </w:div>
                <w:div w:id="1721588644">
                  <w:marLeft w:val="0"/>
                  <w:marRight w:val="0"/>
                  <w:marTop w:val="0"/>
                  <w:marBottom w:val="0"/>
                  <w:divBdr>
                    <w:top w:val="none" w:sz="0" w:space="0" w:color="auto"/>
                    <w:left w:val="none" w:sz="0" w:space="0" w:color="auto"/>
                    <w:bottom w:val="none" w:sz="0" w:space="0" w:color="auto"/>
                    <w:right w:val="none" w:sz="0" w:space="0" w:color="auto"/>
                  </w:divBdr>
                </w:div>
                <w:div w:id="2019309285">
                  <w:marLeft w:val="0"/>
                  <w:marRight w:val="0"/>
                  <w:marTop w:val="0"/>
                  <w:marBottom w:val="0"/>
                  <w:divBdr>
                    <w:top w:val="none" w:sz="0" w:space="0" w:color="auto"/>
                    <w:left w:val="none" w:sz="0" w:space="0" w:color="auto"/>
                    <w:bottom w:val="none" w:sz="0" w:space="0" w:color="auto"/>
                    <w:right w:val="none" w:sz="0" w:space="0" w:color="auto"/>
                  </w:divBdr>
                  <w:divsChild>
                    <w:div w:id="1312174367">
                      <w:marLeft w:val="0"/>
                      <w:marRight w:val="0"/>
                      <w:marTop w:val="30"/>
                      <w:marBottom w:val="30"/>
                      <w:divBdr>
                        <w:top w:val="none" w:sz="0" w:space="0" w:color="auto"/>
                        <w:left w:val="none" w:sz="0" w:space="0" w:color="auto"/>
                        <w:bottom w:val="none" w:sz="0" w:space="0" w:color="auto"/>
                        <w:right w:val="none" w:sz="0" w:space="0" w:color="auto"/>
                      </w:divBdr>
                      <w:divsChild>
                        <w:div w:id="88814415">
                          <w:marLeft w:val="0"/>
                          <w:marRight w:val="0"/>
                          <w:marTop w:val="0"/>
                          <w:marBottom w:val="0"/>
                          <w:divBdr>
                            <w:top w:val="none" w:sz="0" w:space="0" w:color="auto"/>
                            <w:left w:val="none" w:sz="0" w:space="0" w:color="auto"/>
                            <w:bottom w:val="none" w:sz="0" w:space="0" w:color="auto"/>
                            <w:right w:val="none" w:sz="0" w:space="0" w:color="auto"/>
                          </w:divBdr>
                          <w:divsChild>
                            <w:div w:id="1145977326">
                              <w:marLeft w:val="0"/>
                              <w:marRight w:val="0"/>
                              <w:marTop w:val="0"/>
                              <w:marBottom w:val="0"/>
                              <w:divBdr>
                                <w:top w:val="none" w:sz="0" w:space="0" w:color="auto"/>
                                <w:left w:val="none" w:sz="0" w:space="0" w:color="auto"/>
                                <w:bottom w:val="none" w:sz="0" w:space="0" w:color="auto"/>
                                <w:right w:val="none" w:sz="0" w:space="0" w:color="auto"/>
                              </w:divBdr>
                              <w:divsChild>
                                <w:div w:id="878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763">
                          <w:marLeft w:val="0"/>
                          <w:marRight w:val="0"/>
                          <w:marTop w:val="0"/>
                          <w:marBottom w:val="0"/>
                          <w:divBdr>
                            <w:top w:val="none" w:sz="0" w:space="0" w:color="auto"/>
                            <w:left w:val="none" w:sz="0" w:space="0" w:color="auto"/>
                            <w:bottom w:val="none" w:sz="0" w:space="0" w:color="auto"/>
                            <w:right w:val="none" w:sz="0" w:space="0" w:color="auto"/>
                          </w:divBdr>
                          <w:divsChild>
                            <w:div w:id="850609384">
                              <w:marLeft w:val="0"/>
                              <w:marRight w:val="0"/>
                              <w:marTop w:val="0"/>
                              <w:marBottom w:val="0"/>
                              <w:divBdr>
                                <w:top w:val="none" w:sz="0" w:space="0" w:color="auto"/>
                                <w:left w:val="none" w:sz="0" w:space="0" w:color="auto"/>
                                <w:bottom w:val="none" w:sz="0" w:space="0" w:color="auto"/>
                                <w:right w:val="none" w:sz="0" w:space="0" w:color="auto"/>
                              </w:divBdr>
                              <w:divsChild>
                                <w:div w:id="215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4716">
                          <w:marLeft w:val="0"/>
                          <w:marRight w:val="0"/>
                          <w:marTop w:val="0"/>
                          <w:marBottom w:val="0"/>
                          <w:divBdr>
                            <w:top w:val="none" w:sz="0" w:space="0" w:color="auto"/>
                            <w:left w:val="none" w:sz="0" w:space="0" w:color="auto"/>
                            <w:bottom w:val="none" w:sz="0" w:space="0" w:color="auto"/>
                            <w:right w:val="none" w:sz="0" w:space="0" w:color="auto"/>
                          </w:divBdr>
                          <w:divsChild>
                            <w:div w:id="710954767">
                              <w:marLeft w:val="0"/>
                              <w:marRight w:val="0"/>
                              <w:marTop w:val="0"/>
                              <w:marBottom w:val="0"/>
                              <w:divBdr>
                                <w:top w:val="none" w:sz="0" w:space="0" w:color="auto"/>
                                <w:left w:val="none" w:sz="0" w:space="0" w:color="auto"/>
                                <w:bottom w:val="none" w:sz="0" w:space="0" w:color="auto"/>
                                <w:right w:val="none" w:sz="0" w:space="0" w:color="auto"/>
                              </w:divBdr>
                              <w:divsChild>
                                <w:div w:id="1717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1778">
                          <w:marLeft w:val="0"/>
                          <w:marRight w:val="0"/>
                          <w:marTop w:val="0"/>
                          <w:marBottom w:val="0"/>
                          <w:divBdr>
                            <w:top w:val="none" w:sz="0" w:space="0" w:color="auto"/>
                            <w:left w:val="none" w:sz="0" w:space="0" w:color="auto"/>
                            <w:bottom w:val="none" w:sz="0" w:space="0" w:color="auto"/>
                            <w:right w:val="none" w:sz="0" w:space="0" w:color="auto"/>
                          </w:divBdr>
                          <w:divsChild>
                            <w:div w:id="1125716">
                              <w:marLeft w:val="0"/>
                              <w:marRight w:val="0"/>
                              <w:marTop w:val="0"/>
                              <w:marBottom w:val="0"/>
                              <w:divBdr>
                                <w:top w:val="none" w:sz="0" w:space="0" w:color="auto"/>
                                <w:left w:val="none" w:sz="0" w:space="0" w:color="auto"/>
                                <w:bottom w:val="none" w:sz="0" w:space="0" w:color="auto"/>
                                <w:right w:val="none" w:sz="0" w:space="0" w:color="auto"/>
                              </w:divBdr>
                              <w:divsChild>
                                <w:div w:id="8336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3436">
                          <w:marLeft w:val="0"/>
                          <w:marRight w:val="0"/>
                          <w:marTop w:val="0"/>
                          <w:marBottom w:val="0"/>
                          <w:divBdr>
                            <w:top w:val="none" w:sz="0" w:space="0" w:color="auto"/>
                            <w:left w:val="none" w:sz="0" w:space="0" w:color="auto"/>
                            <w:bottom w:val="none" w:sz="0" w:space="0" w:color="auto"/>
                            <w:right w:val="none" w:sz="0" w:space="0" w:color="auto"/>
                          </w:divBdr>
                          <w:divsChild>
                            <w:div w:id="1173646077">
                              <w:marLeft w:val="0"/>
                              <w:marRight w:val="0"/>
                              <w:marTop w:val="0"/>
                              <w:marBottom w:val="0"/>
                              <w:divBdr>
                                <w:top w:val="none" w:sz="0" w:space="0" w:color="auto"/>
                                <w:left w:val="none" w:sz="0" w:space="0" w:color="auto"/>
                                <w:bottom w:val="none" w:sz="0" w:space="0" w:color="auto"/>
                                <w:right w:val="none" w:sz="0" w:space="0" w:color="auto"/>
                              </w:divBdr>
                              <w:divsChild>
                                <w:div w:id="21321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6670">
                          <w:marLeft w:val="0"/>
                          <w:marRight w:val="0"/>
                          <w:marTop w:val="0"/>
                          <w:marBottom w:val="0"/>
                          <w:divBdr>
                            <w:top w:val="none" w:sz="0" w:space="0" w:color="auto"/>
                            <w:left w:val="none" w:sz="0" w:space="0" w:color="auto"/>
                            <w:bottom w:val="none" w:sz="0" w:space="0" w:color="auto"/>
                            <w:right w:val="none" w:sz="0" w:space="0" w:color="auto"/>
                          </w:divBdr>
                          <w:divsChild>
                            <w:div w:id="796532178">
                              <w:marLeft w:val="0"/>
                              <w:marRight w:val="0"/>
                              <w:marTop w:val="0"/>
                              <w:marBottom w:val="0"/>
                              <w:divBdr>
                                <w:top w:val="none" w:sz="0" w:space="0" w:color="auto"/>
                                <w:left w:val="none" w:sz="0" w:space="0" w:color="auto"/>
                                <w:bottom w:val="none" w:sz="0" w:space="0" w:color="auto"/>
                                <w:right w:val="none" w:sz="0" w:space="0" w:color="auto"/>
                              </w:divBdr>
                              <w:divsChild>
                                <w:div w:id="10204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60456">
                          <w:marLeft w:val="0"/>
                          <w:marRight w:val="0"/>
                          <w:marTop w:val="0"/>
                          <w:marBottom w:val="0"/>
                          <w:divBdr>
                            <w:top w:val="none" w:sz="0" w:space="0" w:color="auto"/>
                            <w:left w:val="none" w:sz="0" w:space="0" w:color="auto"/>
                            <w:bottom w:val="none" w:sz="0" w:space="0" w:color="auto"/>
                            <w:right w:val="none" w:sz="0" w:space="0" w:color="auto"/>
                          </w:divBdr>
                          <w:divsChild>
                            <w:div w:id="980888322">
                              <w:marLeft w:val="0"/>
                              <w:marRight w:val="0"/>
                              <w:marTop w:val="0"/>
                              <w:marBottom w:val="0"/>
                              <w:divBdr>
                                <w:top w:val="none" w:sz="0" w:space="0" w:color="auto"/>
                                <w:left w:val="none" w:sz="0" w:space="0" w:color="auto"/>
                                <w:bottom w:val="none" w:sz="0" w:space="0" w:color="auto"/>
                                <w:right w:val="none" w:sz="0" w:space="0" w:color="auto"/>
                              </w:divBdr>
                              <w:divsChild>
                                <w:div w:id="116551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966431">
                          <w:marLeft w:val="0"/>
                          <w:marRight w:val="0"/>
                          <w:marTop w:val="0"/>
                          <w:marBottom w:val="0"/>
                          <w:divBdr>
                            <w:top w:val="none" w:sz="0" w:space="0" w:color="auto"/>
                            <w:left w:val="none" w:sz="0" w:space="0" w:color="auto"/>
                            <w:bottom w:val="none" w:sz="0" w:space="0" w:color="auto"/>
                            <w:right w:val="none" w:sz="0" w:space="0" w:color="auto"/>
                          </w:divBdr>
                          <w:divsChild>
                            <w:div w:id="1223367085">
                              <w:marLeft w:val="0"/>
                              <w:marRight w:val="0"/>
                              <w:marTop w:val="0"/>
                              <w:marBottom w:val="0"/>
                              <w:divBdr>
                                <w:top w:val="none" w:sz="0" w:space="0" w:color="auto"/>
                                <w:left w:val="none" w:sz="0" w:space="0" w:color="auto"/>
                                <w:bottom w:val="none" w:sz="0" w:space="0" w:color="auto"/>
                                <w:right w:val="none" w:sz="0" w:space="0" w:color="auto"/>
                              </w:divBdr>
                              <w:divsChild>
                                <w:div w:id="20533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88944">
                          <w:marLeft w:val="0"/>
                          <w:marRight w:val="0"/>
                          <w:marTop w:val="0"/>
                          <w:marBottom w:val="0"/>
                          <w:divBdr>
                            <w:top w:val="none" w:sz="0" w:space="0" w:color="auto"/>
                            <w:left w:val="none" w:sz="0" w:space="0" w:color="auto"/>
                            <w:bottom w:val="none" w:sz="0" w:space="0" w:color="auto"/>
                            <w:right w:val="none" w:sz="0" w:space="0" w:color="auto"/>
                          </w:divBdr>
                          <w:divsChild>
                            <w:div w:id="1287007105">
                              <w:marLeft w:val="0"/>
                              <w:marRight w:val="0"/>
                              <w:marTop w:val="0"/>
                              <w:marBottom w:val="0"/>
                              <w:divBdr>
                                <w:top w:val="none" w:sz="0" w:space="0" w:color="auto"/>
                                <w:left w:val="none" w:sz="0" w:space="0" w:color="auto"/>
                                <w:bottom w:val="none" w:sz="0" w:space="0" w:color="auto"/>
                                <w:right w:val="none" w:sz="0" w:space="0" w:color="auto"/>
                              </w:divBdr>
                              <w:divsChild>
                                <w:div w:id="10587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7069">
                          <w:marLeft w:val="0"/>
                          <w:marRight w:val="0"/>
                          <w:marTop w:val="0"/>
                          <w:marBottom w:val="0"/>
                          <w:divBdr>
                            <w:top w:val="none" w:sz="0" w:space="0" w:color="auto"/>
                            <w:left w:val="none" w:sz="0" w:space="0" w:color="auto"/>
                            <w:bottom w:val="none" w:sz="0" w:space="0" w:color="auto"/>
                            <w:right w:val="none" w:sz="0" w:space="0" w:color="auto"/>
                          </w:divBdr>
                          <w:divsChild>
                            <w:div w:id="1389765064">
                              <w:marLeft w:val="0"/>
                              <w:marRight w:val="0"/>
                              <w:marTop w:val="0"/>
                              <w:marBottom w:val="0"/>
                              <w:divBdr>
                                <w:top w:val="none" w:sz="0" w:space="0" w:color="auto"/>
                                <w:left w:val="none" w:sz="0" w:space="0" w:color="auto"/>
                                <w:bottom w:val="none" w:sz="0" w:space="0" w:color="auto"/>
                                <w:right w:val="none" w:sz="0" w:space="0" w:color="auto"/>
                              </w:divBdr>
                              <w:divsChild>
                                <w:div w:id="100821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77756">
                          <w:marLeft w:val="0"/>
                          <w:marRight w:val="0"/>
                          <w:marTop w:val="0"/>
                          <w:marBottom w:val="0"/>
                          <w:divBdr>
                            <w:top w:val="none" w:sz="0" w:space="0" w:color="auto"/>
                            <w:left w:val="none" w:sz="0" w:space="0" w:color="auto"/>
                            <w:bottom w:val="none" w:sz="0" w:space="0" w:color="auto"/>
                            <w:right w:val="none" w:sz="0" w:space="0" w:color="auto"/>
                          </w:divBdr>
                          <w:divsChild>
                            <w:div w:id="932009807">
                              <w:marLeft w:val="0"/>
                              <w:marRight w:val="0"/>
                              <w:marTop w:val="0"/>
                              <w:marBottom w:val="0"/>
                              <w:divBdr>
                                <w:top w:val="none" w:sz="0" w:space="0" w:color="auto"/>
                                <w:left w:val="none" w:sz="0" w:space="0" w:color="auto"/>
                                <w:bottom w:val="none" w:sz="0" w:space="0" w:color="auto"/>
                                <w:right w:val="none" w:sz="0" w:space="0" w:color="auto"/>
                              </w:divBdr>
                              <w:divsChild>
                                <w:div w:id="9695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9761">
                          <w:marLeft w:val="0"/>
                          <w:marRight w:val="0"/>
                          <w:marTop w:val="0"/>
                          <w:marBottom w:val="0"/>
                          <w:divBdr>
                            <w:top w:val="none" w:sz="0" w:space="0" w:color="auto"/>
                            <w:left w:val="none" w:sz="0" w:space="0" w:color="auto"/>
                            <w:bottom w:val="none" w:sz="0" w:space="0" w:color="auto"/>
                            <w:right w:val="none" w:sz="0" w:space="0" w:color="auto"/>
                          </w:divBdr>
                          <w:divsChild>
                            <w:div w:id="572281405">
                              <w:marLeft w:val="0"/>
                              <w:marRight w:val="0"/>
                              <w:marTop w:val="0"/>
                              <w:marBottom w:val="0"/>
                              <w:divBdr>
                                <w:top w:val="none" w:sz="0" w:space="0" w:color="auto"/>
                                <w:left w:val="none" w:sz="0" w:space="0" w:color="auto"/>
                                <w:bottom w:val="none" w:sz="0" w:space="0" w:color="auto"/>
                                <w:right w:val="none" w:sz="0" w:space="0" w:color="auto"/>
                              </w:divBdr>
                              <w:divsChild>
                                <w:div w:id="83049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7360">
                          <w:marLeft w:val="0"/>
                          <w:marRight w:val="0"/>
                          <w:marTop w:val="0"/>
                          <w:marBottom w:val="0"/>
                          <w:divBdr>
                            <w:top w:val="none" w:sz="0" w:space="0" w:color="auto"/>
                            <w:left w:val="none" w:sz="0" w:space="0" w:color="auto"/>
                            <w:bottom w:val="none" w:sz="0" w:space="0" w:color="auto"/>
                            <w:right w:val="none" w:sz="0" w:space="0" w:color="auto"/>
                          </w:divBdr>
                          <w:divsChild>
                            <w:div w:id="1426803144">
                              <w:marLeft w:val="0"/>
                              <w:marRight w:val="0"/>
                              <w:marTop w:val="0"/>
                              <w:marBottom w:val="0"/>
                              <w:divBdr>
                                <w:top w:val="none" w:sz="0" w:space="0" w:color="auto"/>
                                <w:left w:val="none" w:sz="0" w:space="0" w:color="auto"/>
                                <w:bottom w:val="none" w:sz="0" w:space="0" w:color="auto"/>
                                <w:right w:val="none" w:sz="0" w:space="0" w:color="auto"/>
                              </w:divBdr>
                              <w:divsChild>
                                <w:div w:id="1453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1825">
                          <w:marLeft w:val="0"/>
                          <w:marRight w:val="0"/>
                          <w:marTop w:val="0"/>
                          <w:marBottom w:val="0"/>
                          <w:divBdr>
                            <w:top w:val="none" w:sz="0" w:space="0" w:color="auto"/>
                            <w:left w:val="none" w:sz="0" w:space="0" w:color="auto"/>
                            <w:bottom w:val="none" w:sz="0" w:space="0" w:color="auto"/>
                            <w:right w:val="none" w:sz="0" w:space="0" w:color="auto"/>
                          </w:divBdr>
                          <w:divsChild>
                            <w:div w:id="1823161112">
                              <w:marLeft w:val="0"/>
                              <w:marRight w:val="0"/>
                              <w:marTop w:val="0"/>
                              <w:marBottom w:val="0"/>
                              <w:divBdr>
                                <w:top w:val="none" w:sz="0" w:space="0" w:color="auto"/>
                                <w:left w:val="none" w:sz="0" w:space="0" w:color="auto"/>
                                <w:bottom w:val="none" w:sz="0" w:space="0" w:color="auto"/>
                                <w:right w:val="none" w:sz="0" w:space="0" w:color="auto"/>
                              </w:divBdr>
                              <w:divsChild>
                                <w:div w:id="5337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9791">
                          <w:marLeft w:val="0"/>
                          <w:marRight w:val="0"/>
                          <w:marTop w:val="0"/>
                          <w:marBottom w:val="0"/>
                          <w:divBdr>
                            <w:top w:val="none" w:sz="0" w:space="0" w:color="auto"/>
                            <w:left w:val="none" w:sz="0" w:space="0" w:color="auto"/>
                            <w:bottom w:val="none" w:sz="0" w:space="0" w:color="auto"/>
                            <w:right w:val="none" w:sz="0" w:space="0" w:color="auto"/>
                          </w:divBdr>
                          <w:divsChild>
                            <w:div w:id="1851990593">
                              <w:marLeft w:val="0"/>
                              <w:marRight w:val="0"/>
                              <w:marTop w:val="0"/>
                              <w:marBottom w:val="0"/>
                              <w:divBdr>
                                <w:top w:val="none" w:sz="0" w:space="0" w:color="auto"/>
                                <w:left w:val="none" w:sz="0" w:space="0" w:color="auto"/>
                                <w:bottom w:val="none" w:sz="0" w:space="0" w:color="auto"/>
                                <w:right w:val="none" w:sz="0" w:space="0" w:color="auto"/>
                              </w:divBdr>
                              <w:divsChild>
                                <w:div w:id="11031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0851">
                          <w:marLeft w:val="0"/>
                          <w:marRight w:val="0"/>
                          <w:marTop w:val="0"/>
                          <w:marBottom w:val="0"/>
                          <w:divBdr>
                            <w:top w:val="none" w:sz="0" w:space="0" w:color="auto"/>
                            <w:left w:val="none" w:sz="0" w:space="0" w:color="auto"/>
                            <w:bottom w:val="none" w:sz="0" w:space="0" w:color="auto"/>
                            <w:right w:val="none" w:sz="0" w:space="0" w:color="auto"/>
                          </w:divBdr>
                          <w:divsChild>
                            <w:div w:id="1982148842">
                              <w:marLeft w:val="0"/>
                              <w:marRight w:val="0"/>
                              <w:marTop w:val="0"/>
                              <w:marBottom w:val="0"/>
                              <w:divBdr>
                                <w:top w:val="none" w:sz="0" w:space="0" w:color="auto"/>
                                <w:left w:val="none" w:sz="0" w:space="0" w:color="auto"/>
                                <w:bottom w:val="none" w:sz="0" w:space="0" w:color="auto"/>
                                <w:right w:val="none" w:sz="0" w:space="0" w:color="auto"/>
                              </w:divBdr>
                              <w:divsChild>
                                <w:div w:id="5853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1507">
                          <w:marLeft w:val="0"/>
                          <w:marRight w:val="0"/>
                          <w:marTop w:val="0"/>
                          <w:marBottom w:val="0"/>
                          <w:divBdr>
                            <w:top w:val="none" w:sz="0" w:space="0" w:color="auto"/>
                            <w:left w:val="none" w:sz="0" w:space="0" w:color="auto"/>
                            <w:bottom w:val="none" w:sz="0" w:space="0" w:color="auto"/>
                            <w:right w:val="none" w:sz="0" w:space="0" w:color="auto"/>
                          </w:divBdr>
                          <w:divsChild>
                            <w:div w:id="1515730351">
                              <w:marLeft w:val="0"/>
                              <w:marRight w:val="0"/>
                              <w:marTop w:val="0"/>
                              <w:marBottom w:val="0"/>
                              <w:divBdr>
                                <w:top w:val="none" w:sz="0" w:space="0" w:color="auto"/>
                                <w:left w:val="none" w:sz="0" w:space="0" w:color="auto"/>
                                <w:bottom w:val="none" w:sz="0" w:space="0" w:color="auto"/>
                                <w:right w:val="none" w:sz="0" w:space="0" w:color="auto"/>
                              </w:divBdr>
                              <w:divsChild>
                                <w:div w:id="10565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4617">
                          <w:marLeft w:val="0"/>
                          <w:marRight w:val="0"/>
                          <w:marTop w:val="0"/>
                          <w:marBottom w:val="0"/>
                          <w:divBdr>
                            <w:top w:val="none" w:sz="0" w:space="0" w:color="auto"/>
                            <w:left w:val="none" w:sz="0" w:space="0" w:color="auto"/>
                            <w:bottom w:val="none" w:sz="0" w:space="0" w:color="auto"/>
                            <w:right w:val="none" w:sz="0" w:space="0" w:color="auto"/>
                          </w:divBdr>
                          <w:divsChild>
                            <w:div w:id="1386291066">
                              <w:marLeft w:val="0"/>
                              <w:marRight w:val="0"/>
                              <w:marTop w:val="0"/>
                              <w:marBottom w:val="0"/>
                              <w:divBdr>
                                <w:top w:val="none" w:sz="0" w:space="0" w:color="auto"/>
                                <w:left w:val="none" w:sz="0" w:space="0" w:color="auto"/>
                                <w:bottom w:val="none" w:sz="0" w:space="0" w:color="auto"/>
                                <w:right w:val="none" w:sz="0" w:space="0" w:color="auto"/>
                              </w:divBdr>
                              <w:divsChild>
                                <w:div w:id="12083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25">
                          <w:marLeft w:val="0"/>
                          <w:marRight w:val="0"/>
                          <w:marTop w:val="0"/>
                          <w:marBottom w:val="0"/>
                          <w:divBdr>
                            <w:top w:val="none" w:sz="0" w:space="0" w:color="auto"/>
                            <w:left w:val="none" w:sz="0" w:space="0" w:color="auto"/>
                            <w:bottom w:val="none" w:sz="0" w:space="0" w:color="auto"/>
                            <w:right w:val="none" w:sz="0" w:space="0" w:color="auto"/>
                          </w:divBdr>
                          <w:divsChild>
                            <w:div w:id="1019820907">
                              <w:marLeft w:val="0"/>
                              <w:marRight w:val="0"/>
                              <w:marTop w:val="0"/>
                              <w:marBottom w:val="0"/>
                              <w:divBdr>
                                <w:top w:val="none" w:sz="0" w:space="0" w:color="auto"/>
                                <w:left w:val="none" w:sz="0" w:space="0" w:color="auto"/>
                                <w:bottom w:val="none" w:sz="0" w:space="0" w:color="auto"/>
                                <w:right w:val="none" w:sz="0" w:space="0" w:color="auto"/>
                              </w:divBdr>
                              <w:divsChild>
                                <w:div w:id="11646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9705">
                          <w:marLeft w:val="0"/>
                          <w:marRight w:val="0"/>
                          <w:marTop w:val="0"/>
                          <w:marBottom w:val="0"/>
                          <w:divBdr>
                            <w:top w:val="none" w:sz="0" w:space="0" w:color="auto"/>
                            <w:left w:val="none" w:sz="0" w:space="0" w:color="auto"/>
                            <w:bottom w:val="none" w:sz="0" w:space="0" w:color="auto"/>
                            <w:right w:val="none" w:sz="0" w:space="0" w:color="auto"/>
                          </w:divBdr>
                          <w:divsChild>
                            <w:div w:id="1723946514">
                              <w:marLeft w:val="0"/>
                              <w:marRight w:val="0"/>
                              <w:marTop w:val="0"/>
                              <w:marBottom w:val="0"/>
                              <w:divBdr>
                                <w:top w:val="none" w:sz="0" w:space="0" w:color="auto"/>
                                <w:left w:val="none" w:sz="0" w:space="0" w:color="auto"/>
                                <w:bottom w:val="none" w:sz="0" w:space="0" w:color="auto"/>
                                <w:right w:val="none" w:sz="0" w:space="0" w:color="auto"/>
                              </w:divBdr>
                              <w:divsChild>
                                <w:div w:id="11342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3740">
                          <w:marLeft w:val="0"/>
                          <w:marRight w:val="0"/>
                          <w:marTop w:val="0"/>
                          <w:marBottom w:val="0"/>
                          <w:divBdr>
                            <w:top w:val="none" w:sz="0" w:space="0" w:color="auto"/>
                            <w:left w:val="none" w:sz="0" w:space="0" w:color="auto"/>
                            <w:bottom w:val="none" w:sz="0" w:space="0" w:color="auto"/>
                            <w:right w:val="none" w:sz="0" w:space="0" w:color="auto"/>
                          </w:divBdr>
                          <w:divsChild>
                            <w:div w:id="120003987">
                              <w:marLeft w:val="0"/>
                              <w:marRight w:val="0"/>
                              <w:marTop w:val="0"/>
                              <w:marBottom w:val="0"/>
                              <w:divBdr>
                                <w:top w:val="none" w:sz="0" w:space="0" w:color="auto"/>
                                <w:left w:val="none" w:sz="0" w:space="0" w:color="auto"/>
                                <w:bottom w:val="none" w:sz="0" w:space="0" w:color="auto"/>
                                <w:right w:val="none" w:sz="0" w:space="0" w:color="auto"/>
                              </w:divBdr>
                              <w:divsChild>
                                <w:div w:id="13252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4749">
                          <w:marLeft w:val="0"/>
                          <w:marRight w:val="0"/>
                          <w:marTop w:val="0"/>
                          <w:marBottom w:val="0"/>
                          <w:divBdr>
                            <w:top w:val="none" w:sz="0" w:space="0" w:color="auto"/>
                            <w:left w:val="none" w:sz="0" w:space="0" w:color="auto"/>
                            <w:bottom w:val="none" w:sz="0" w:space="0" w:color="auto"/>
                            <w:right w:val="none" w:sz="0" w:space="0" w:color="auto"/>
                          </w:divBdr>
                          <w:divsChild>
                            <w:div w:id="64962092">
                              <w:marLeft w:val="0"/>
                              <w:marRight w:val="0"/>
                              <w:marTop w:val="0"/>
                              <w:marBottom w:val="0"/>
                              <w:divBdr>
                                <w:top w:val="none" w:sz="0" w:space="0" w:color="auto"/>
                                <w:left w:val="none" w:sz="0" w:space="0" w:color="auto"/>
                                <w:bottom w:val="none" w:sz="0" w:space="0" w:color="auto"/>
                                <w:right w:val="none" w:sz="0" w:space="0" w:color="auto"/>
                              </w:divBdr>
                              <w:divsChild>
                                <w:div w:id="17019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35661">
                          <w:marLeft w:val="0"/>
                          <w:marRight w:val="0"/>
                          <w:marTop w:val="0"/>
                          <w:marBottom w:val="0"/>
                          <w:divBdr>
                            <w:top w:val="none" w:sz="0" w:space="0" w:color="auto"/>
                            <w:left w:val="none" w:sz="0" w:space="0" w:color="auto"/>
                            <w:bottom w:val="none" w:sz="0" w:space="0" w:color="auto"/>
                            <w:right w:val="none" w:sz="0" w:space="0" w:color="auto"/>
                          </w:divBdr>
                          <w:divsChild>
                            <w:div w:id="1776048549">
                              <w:marLeft w:val="0"/>
                              <w:marRight w:val="0"/>
                              <w:marTop w:val="0"/>
                              <w:marBottom w:val="0"/>
                              <w:divBdr>
                                <w:top w:val="none" w:sz="0" w:space="0" w:color="auto"/>
                                <w:left w:val="none" w:sz="0" w:space="0" w:color="auto"/>
                                <w:bottom w:val="none" w:sz="0" w:space="0" w:color="auto"/>
                                <w:right w:val="none" w:sz="0" w:space="0" w:color="auto"/>
                              </w:divBdr>
                              <w:divsChild>
                                <w:div w:id="16939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013">
                          <w:marLeft w:val="0"/>
                          <w:marRight w:val="0"/>
                          <w:marTop w:val="0"/>
                          <w:marBottom w:val="0"/>
                          <w:divBdr>
                            <w:top w:val="none" w:sz="0" w:space="0" w:color="auto"/>
                            <w:left w:val="none" w:sz="0" w:space="0" w:color="auto"/>
                            <w:bottom w:val="none" w:sz="0" w:space="0" w:color="auto"/>
                            <w:right w:val="none" w:sz="0" w:space="0" w:color="auto"/>
                          </w:divBdr>
                          <w:divsChild>
                            <w:div w:id="341472936">
                              <w:marLeft w:val="0"/>
                              <w:marRight w:val="0"/>
                              <w:marTop w:val="0"/>
                              <w:marBottom w:val="0"/>
                              <w:divBdr>
                                <w:top w:val="none" w:sz="0" w:space="0" w:color="auto"/>
                                <w:left w:val="none" w:sz="0" w:space="0" w:color="auto"/>
                                <w:bottom w:val="none" w:sz="0" w:space="0" w:color="auto"/>
                                <w:right w:val="none" w:sz="0" w:space="0" w:color="auto"/>
                              </w:divBdr>
                              <w:divsChild>
                                <w:div w:id="14552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9063">
                          <w:marLeft w:val="0"/>
                          <w:marRight w:val="0"/>
                          <w:marTop w:val="0"/>
                          <w:marBottom w:val="0"/>
                          <w:divBdr>
                            <w:top w:val="none" w:sz="0" w:space="0" w:color="auto"/>
                            <w:left w:val="none" w:sz="0" w:space="0" w:color="auto"/>
                            <w:bottom w:val="none" w:sz="0" w:space="0" w:color="auto"/>
                            <w:right w:val="none" w:sz="0" w:space="0" w:color="auto"/>
                          </w:divBdr>
                          <w:divsChild>
                            <w:div w:id="590049846">
                              <w:marLeft w:val="0"/>
                              <w:marRight w:val="0"/>
                              <w:marTop w:val="0"/>
                              <w:marBottom w:val="0"/>
                              <w:divBdr>
                                <w:top w:val="none" w:sz="0" w:space="0" w:color="auto"/>
                                <w:left w:val="none" w:sz="0" w:space="0" w:color="auto"/>
                                <w:bottom w:val="none" w:sz="0" w:space="0" w:color="auto"/>
                                <w:right w:val="none" w:sz="0" w:space="0" w:color="auto"/>
                              </w:divBdr>
                              <w:divsChild>
                                <w:div w:id="2301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8708">
                          <w:marLeft w:val="0"/>
                          <w:marRight w:val="0"/>
                          <w:marTop w:val="0"/>
                          <w:marBottom w:val="0"/>
                          <w:divBdr>
                            <w:top w:val="none" w:sz="0" w:space="0" w:color="auto"/>
                            <w:left w:val="none" w:sz="0" w:space="0" w:color="auto"/>
                            <w:bottom w:val="none" w:sz="0" w:space="0" w:color="auto"/>
                            <w:right w:val="none" w:sz="0" w:space="0" w:color="auto"/>
                          </w:divBdr>
                          <w:divsChild>
                            <w:div w:id="463544133">
                              <w:marLeft w:val="0"/>
                              <w:marRight w:val="0"/>
                              <w:marTop w:val="0"/>
                              <w:marBottom w:val="0"/>
                              <w:divBdr>
                                <w:top w:val="none" w:sz="0" w:space="0" w:color="auto"/>
                                <w:left w:val="none" w:sz="0" w:space="0" w:color="auto"/>
                                <w:bottom w:val="none" w:sz="0" w:space="0" w:color="auto"/>
                                <w:right w:val="none" w:sz="0" w:space="0" w:color="auto"/>
                              </w:divBdr>
                              <w:divsChild>
                                <w:div w:id="7190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0078">
                          <w:marLeft w:val="0"/>
                          <w:marRight w:val="0"/>
                          <w:marTop w:val="0"/>
                          <w:marBottom w:val="0"/>
                          <w:divBdr>
                            <w:top w:val="none" w:sz="0" w:space="0" w:color="auto"/>
                            <w:left w:val="none" w:sz="0" w:space="0" w:color="auto"/>
                            <w:bottom w:val="none" w:sz="0" w:space="0" w:color="auto"/>
                            <w:right w:val="none" w:sz="0" w:space="0" w:color="auto"/>
                          </w:divBdr>
                          <w:divsChild>
                            <w:div w:id="2017727868">
                              <w:marLeft w:val="0"/>
                              <w:marRight w:val="0"/>
                              <w:marTop w:val="0"/>
                              <w:marBottom w:val="0"/>
                              <w:divBdr>
                                <w:top w:val="none" w:sz="0" w:space="0" w:color="auto"/>
                                <w:left w:val="none" w:sz="0" w:space="0" w:color="auto"/>
                                <w:bottom w:val="none" w:sz="0" w:space="0" w:color="auto"/>
                                <w:right w:val="none" w:sz="0" w:space="0" w:color="auto"/>
                              </w:divBdr>
                              <w:divsChild>
                                <w:div w:id="11533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4617">
                          <w:marLeft w:val="0"/>
                          <w:marRight w:val="0"/>
                          <w:marTop w:val="0"/>
                          <w:marBottom w:val="0"/>
                          <w:divBdr>
                            <w:top w:val="none" w:sz="0" w:space="0" w:color="auto"/>
                            <w:left w:val="none" w:sz="0" w:space="0" w:color="auto"/>
                            <w:bottom w:val="none" w:sz="0" w:space="0" w:color="auto"/>
                            <w:right w:val="none" w:sz="0" w:space="0" w:color="auto"/>
                          </w:divBdr>
                          <w:divsChild>
                            <w:div w:id="883173330">
                              <w:marLeft w:val="0"/>
                              <w:marRight w:val="0"/>
                              <w:marTop w:val="0"/>
                              <w:marBottom w:val="0"/>
                              <w:divBdr>
                                <w:top w:val="none" w:sz="0" w:space="0" w:color="auto"/>
                                <w:left w:val="none" w:sz="0" w:space="0" w:color="auto"/>
                                <w:bottom w:val="none" w:sz="0" w:space="0" w:color="auto"/>
                                <w:right w:val="none" w:sz="0" w:space="0" w:color="auto"/>
                              </w:divBdr>
                              <w:divsChild>
                                <w:div w:id="11584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02435">
                          <w:marLeft w:val="0"/>
                          <w:marRight w:val="0"/>
                          <w:marTop w:val="0"/>
                          <w:marBottom w:val="0"/>
                          <w:divBdr>
                            <w:top w:val="none" w:sz="0" w:space="0" w:color="auto"/>
                            <w:left w:val="none" w:sz="0" w:space="0" w:color="auto"/>
                            <w:bottom w:val="none" w:sz="0" w:space="0" w:color="auto"/>
                            <w:right w:val="none" w:sz="0" w:space="0" w:color="auto"/>
                          </w:divBdr>
                          <w:divsChild>
                            <w:div w:id="490029989">
                              <w:marLeft w:val="0"/>
                              <w:marRight w:val="0"/>
                              <w:marTop w:val="0"/>
                              <w:marBottom w:val="0"/>
                              <w:divBdr>
                                <w:top w:val="none" w:sz="0" w:space="0" w:color="auto"/>
                                <w:left w:val="none" w:sz="0" w:space="0" w:color="auto"/>
                                <w:bottom w:val="none" w:sz="0" w:space="0" w:color="auto"/>
                                <w:right w:val="none" w:sz="0" w:space="0" w:color="auto"/>
                              </w:divBdr>
                              <w:divsChild>
                                <w:div w:id="8728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0773">
                          <w:marLeft w:val="0"/>
                          <w:marRight w:val="0"/>
                          <w:marTop w:val="0"/>
                          <w:marBottom w:val="0"/>
                          <w:divBdr>
                            <w:top w:val="none" w:sz="0" w:space="0" w:color="auto"/>
                            <w:left w:val="none" w:sz="0" w:space="0" w:color="auto"/>
                            <w:bottom w:val="none" w:sz="0" w:space="0" w:color="auto"/>
                            <w:right w:val="none" w:sz="0" w:space="0" w:color="auto"/>
                          </w:divBdr>
                          <w:divsChild>
                            <w:div w:id="251402583">
                              <w:marLeft w:val="0"/>
                              <w:marRight w:val="0"/>
                              <w:marTop w:val="0"/>
                              <w:marBottom w:val="0"/>
                              <w:divBdr>
                                <w:top w:val="none" w:sz="0" w:space="0" w:color="auto"/>
                                <w:left w:val="none" w:sz="0" w:space="0" w:color="auto"/>
                                <w:bottom w:val="none" w:sz="0" w:space="0" w:color="auto"/>
                                <w:right w:val="none" w:sz="0" w:space="0" w:color="auto"/>
                              </w:divBdr>
                              <w:divsChild>
                                <w:div w:id="18322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4118">
                          <w:marLeft w:val="0"/>
                          <w:marRight w:val="0"/>
                          <w:marTop w:val="0"/>
                          <w:marBottom w:val="0"/>
                          <w:divBdr>
                            <w:top w:val="none" w:sz="0" w:space="0" w:color="auto"/>
                            <w:left w:val="none" w:sz="0" w:space="0" w:color="auto"/>
                            <w:bottom w:val="none" w:sz="0" w:space="0" w:color="auto"/>
                            <w:right w:val="none" w:sz="0" w:space="0" w:color="auto"/>
                          </w:divBdr>
                          <w:divsChild>
                            <w:div w:id="1848010244">
                              <w:marLeft w:val="0"/>
                              <w:marRight w:val="0"/>
                              <w:marTop w:val="0"/>
                              <w:marBottom w:val="0"/>
                              <w:divBdr>
                                <w:top w:val="none" w:sz="0" w:space="0" w:color="auto"/>
                                <w:left w:val="none" w:sz="0" w:space="0" w:color="auto"/>
                                <w:bottom w:val="none" w:sz="0" w:space="0" w:color="auto"/>
                                <w:right w:val="none" w:sz="0" w:space="0" w:color="auto"/>
                              </w:divBdr>
                              <w:divsChild>
                                <w:div w:id="19472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4392">
                          <w:marLeft w:val="0"/>
                          <w:marRight w:val="0"/>
                          <w:marTop w:val="0"/>
                          <w:marBottom w:val="0"/>
                          <w:divBdr>
                            <w:top w:val="none" w:sz="0" w:space="0" w:color="auto"/>
                            <w:left w:val="none" w:sz="0" w:space="0" w:color="auto"/>
                            <w:bottom w:val="none" w:sz="0" w:space="0" w:color="auto"/>
                            <w:right w:val="none" w:sz="0" w:space="0" w:color="auto"/>
                          </w:divBdr>
                          <w:divsChild>
                            <w:div w:id="1334604296">
                              <w:marLeft w:val="0"/>
                              <w:marRight w:val="0"/>
                              <w:marTop w:val="0"/>
                              <w:marBottom w:val="0"/>
                              <w:divBdr>
                                <w:top w:val="none" w:sz="0" w:space="0" w:color="auto"/>
                                <w:left w:val="none" w:sz="0" w:space="0" w:color="auto"/>
                                <w:bottom w:val="none" w:sz="0" w:space="0" w:color="auto"/>
                                <w:right w:val="none" w:sz="0" w:space="0" w:color="auto"/>
                              </w:divBdr>
                              <w:divsChild>
                                <w:div w:id="13775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8613">
                          <w:marLeft w:val="0"/>
                          <w:marRight w:val="0"/>
                          <w:marTop w:val="0"/>
                          <w:marBottom w:val="0"/>
                          <w:divBdr>
                            <w:top w:val="none" w:sz="0" w:space="0" w:color="auto"/>
                            <w:left w:val="none" w:sz="0" w:space="0" w:color="auto"/>
                            <w:bottom w:val="none" w:sz="0" w:space="0" w:color="auto"/>
                            <w:right w:val="none" w:sz="0" w:space="0" w:color="auto"/>
                          </w:divBdr>
                          <w:divsChild>
                            <w:div w:id="607396865">
                              <w:marLeft w:val="0"/>
                              <w:marRight w:val="0"/>
                              <w:marTop w:val="0"/>
                              <w:marBottom w:val="0"/>
                              <w:divBdr>
                                <w:top w:val="none" w:sz="0" w:space="0" w:color="auto"/>
                                <w:left w:val="none" w:sz="0" w:space="0" w:color="auto"/>
                                <w:bottom w:val="none" w:sz="0" w:space="0" w:color="auto"/>
                                <w:right w:val="none" w:sz="0" w:space="0" w:color="auto"/>
                              </w:divBdr>
                              <w:divsChild>
                                <w:div w:id="1967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2750">
                          <w:marLeft w:val="0"/>
                          <w:marRight w:val="0"/>
                          <w:marTop w:val="0"/>
                          <w:marBottom w:val="0"/>
                          <w:divBdr>
                            <w:top w:val="none" w:sz="0" w:space="0" w:color="auto"/>
                            <w:left w:val="none" w:sz="0" w:space="0" w:color="auto"/>
                            <w:bottom w:val="none" w:sz="0" w:space="0" w:color="auto"/>
                            <w:right w:val="none" w:sz="0" w:space="0" w:color="auto"/>
                          </w:divBdr>
                          <w:divsChild>
                            <w:div w:id="1458186822">
                              <w:marLeft w:val="0"/>
                              <w:marRight w:val="0"/>
                              <w:marTop w:val="0"/>
                              <w:marBottom w:val="0"/>
                              <w:divBdr>
                                <w:top w:val="none" w:sz="0" w:space="0" w:color="auto"/>
                                <w:left w:val="none" w:sz="0" w:space="0" w:color="auto"/>
                                <w:bottom w:val="none" w:sz="0" w:space="0" w:color="auto"/>
                                <w:right w:val="none" w:sz="0" w:space="0" w:color="auto"/>
                              </w:divBdr>
                              <w:divsChild>
                                <w:div w:id="11882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7346">
                          <w:marLeft w:val="0"/>
                          <w:marRight w:val="0"/>
                          <w:marTop w:val="0"/>
                          <w:marBottom w:val="0"/>
                          <w:divBdr>
                            <w:top w:val="none" w:sz="0" w:space="0" w:color="auto"/>
                            <w:left w:val="none" w:sz="0" w:space="0" w:color="auto"/>
                            <w:bottom w:val="none" w:sz="0" w:space="0" w:color="auto"/>
                            <w:right w:val="none" w:sz="0" w:space="0" w:color="auto"/>
                          </w:divBdr>
                          <w:divsChild>
                            <w:div w:id="1650089609">
                              <w:marLeft w:val="0"/>
                              <w:marRight w:val="0"/>
                              <w:marTop w:val="0"/>
                              <w:marBottom w:val="0"/>
                              <w:divBdr>
                                <w:top w:val="none" w:sz="0" w:space="0" w:color="auto"/>
                                <w:left w:val="none" w:sz="0" w:space="0" w:color="auto"/>
                                <w:bottom w:val="none" w:sz="0" w:space="0" w:color="auto"/>
                                <w:right w:val="none" w:sz="0" w:space="0" w:color="auto"/>
                              </w:divBdr>
                              <w:divsChild>
                                <w:div w:id="9403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475">
                          <w:marLeft w:val="0"/>
                          <w:marRight w:val="0"/>
                          <w:marTop w:val="0"/>
                          <w:marBottom w:val="0"/>
                          <w:divBdr>
                            <w:top w:val="none" w:sz="0" w:space="0" w:color="auto"/>
                            <w:left w:val="none" w:sz="0" w:space="0" w:color="auto"/>
                            <w:bottom w:val="none" w:sz="0" w:space="0" w:color="auto"/>
                            <w:right w:val="none" w:sz="0" w:space="0" w:color="auto"/>
                          </w:divBdr>
                          <w:divsChild>
                            <w:div w:id="379983251">
                              <w:marLeft w:val="0"/>
                              <w:marRight w:val="0"/>
                              <w:marTop w:val="0"/>
                              <w:marBottom w:val="0"/>
                              <w:divBdr>
                                <w:top w:val="none" w:sz="0" w:space="0" w:color="auto"/>
                                <w:left w:val="none" w:sz="0" w:space="0" w:color="auto"/>
                                <w:bottom w:val="none" w:sz="0" w:space="0" w:color="auto"/>
                                <w:right w:val="none" w:sz="0" w:space="0" w:color="auto"/>
                              </w:divBdr>
                              <w:divsChild>
                                <w:div w:id="1119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3691">
                          <w:marLeft w:val="0"/>
                          <w:marRight w:val="0"/>
                          <w:marTop w:val="0"/>
                          <w:marBottom w:val="0"/>
                          <w:divBdr>
                            <w:top w:val="none" w:sz="0" w:space="0" w:color="auto"/>
                            <w:left w:val="none" w:sz="0" w:space="0" w:color="auto"/>
                            <w:bottom w:val="none" w:sz="0" w:space="0" w:color="auto"/>
                            <w:right w:val="none" w:sz="0" w:space="0" w:color="auto"/>
                          </w:divBdr>
                          <w:divsChild>
                            <w:div w:id="1433470288">
                              <w:marLeft w:val="0"/>
                              <w:marRight w:val="0"/>
                              <w:marTop w:val="0"/>
                              <w:marBottom w:val="0"/>
                              <w:divBdr>
                                <w:top w:val="none" w:sz="0" w:space="0" w:color="auto"/>
                                <w:left w:val="none" w:sz="0" w:space="0" w:color="auto"/>
                                <w:bottom w:val="none" w:sz="0" w:space="0" w:color="auto"/>
                                <w:right w:val="none" w:sz="0" w:space="0" w:color="auto"/>
                              </w:divBdr>
                              <w:divsChild>
                                <w:div w:id="8403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2781">
                          <w:marLeft w:val="0"/>
                          <w:marRight w:val="0"/>
                          <w:marTop w:val="0"/>
                          <w:marBottom w:val="0"/>
                          <w:divBdr>
                            <w:top w:val="none" w:sz="0" w:space="0" w:color="auto"/>
                            <w:left w:val="none" w:sz="0" w:space="0" w:color="auto"/>
                            <w:bottom w:val="none" w:sz="0" w:space="0" w:color="auto"/>
                            <w:right w:val="none" w:sz="0" w:space="0" w:color="auto"/>
                          </w:divBdr>
                          <w:divsChild>
                            <w:div w:id="1610627565">
                              <w:marLeft w:val="0"/>
                              <w:marRight w:val="0"/>
                              <w:marTop w:val="0"/>
                              <w:marBottom w:val="0"/>
                              <w:divBdr>
                                <w:top w:val="none" w:sz="0" w:space="0" w:color="auto"/>
                                <w:left w:val="none" w:sz="0" w:space="0" w:color="auto"/>
                                <w:bottom w:val="none" w:sz="0" w:space="0" w:color="auto"/>
                                <w:right w:val="none" w:sz="0" w:space="0" w:color="auto"/>
                              </w:divBdr>
                              <w:divsChild>
                                <w:div w:id="3622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8451">
                          <w:marLeft w:val="0"/>
                          <w:marRight w:val="0"/>
                          <w:marTop w:val="0"/>
                          <w:marBottom w:val="0"/>
                          <w:divBdr>
                            <w:top w:val="none" w:sz="0" w:space="0" w:color="auto"/>
                            <w:left w:val="none" w:sz="0" w:space="0" w:color="auto"/>
                            <w:bottom w:val="none" w:sz="0" w:space="0" w:color="auto"/>
                            <w:right w:val="none" w:sz="0" w:space="0" w:color="auto"/>
                          </w:divBdr>
                          <w:divsChild>
                            <w:div w:id="2073773410">
                              <w:marLeft w:val="0"/>
                              <w:marRight w:val="0"/>
                              <w:marTop w:val="0"/>
                              <w:marBottom w:val="0"/>
                              <w:divBdr>
                                <w:top w:val="none" w:sz="0" w:space="0" w:color="auto"/>
                                <w:left w:val="none" w:sz="0" w:space="0" w:color="auto"/>
                                <w:bottom w:val="none" w:sz="0" w:space="0" w:color="auto"/>
                                <w:right w:val="none" w:sz="0" w:space="0" w:color="auto"/>
                              </w:divBdr>
                              <w:divsChild>
                                <w:div w:id="12806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9444">
                          <w:marLeft w:val="0"/>
                          <w:marRight w:val="0"/>
                          <w:marTop w:val="0"/>
                          <w:marBottom w:val="0"/>
                          <w:divBdr>
                            <w:top w:val="none" w:sz="0" w:space="0" w:color="auto"/>
                            <w:left w:val="none" w:sz="0" w:space="0" w:color="auto"/>
                            <w:bottom w:val="none" w:sz="0" w:space="0" w:color="auto"/>
                            <w:right w:val="none" w:sz="0" w:space="0" w:color="auto"/>
                          </w:divBdr>
                          <w:divsChild>
                            <w:div w:id="957488335">
                              <w:marLeft w:val="0"/>
                              <w:marRight w:val="0"/>
                              <w:marTop w:val="0"/>
                              <w:marBottom w:val="0"/>
                              <w:divBdr>
                                <w:top w:val="none" w:sz="0" w:space="0" w:color="auto"/>
                                <w:left w:val="none" w:sz="0" w:space="0" w:color="auto"/>
                                <w:bottom w:val="none" w:sz="0" w:space="0" w:color="auto"/>
                                <w:right w:val="none" w:sz="0" w:space="0" w:color="auto"/>
                              </w:divBdr>
                              <w:divsChild>
                                <w:div w:id="1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9636">
                          <w:marLeft w:val="0"/>
                          <w:marRight w:val="0"/>
                          <w:marTop w:val="0"/>
                          <w:marBottom w:val="0"/>
                          <w:divBdr>
                            <w:top w:val="none" w:sz="0" w:space="0" w:color="auto"/>
                            <w:left w:val="none" w:sz="0" w:space="0" w:color="auto"/>
                            <w:bottom w:val="none" w:sz="0" w:space="0" w:color="auto"/>
                            <w:right w:val="none" w:sz="0" w:space="0" w:color="auto"/>
                          </w:divBdr>
                          <w:divsChild>
                            <w:div w:id="411775815">
                              <w:marLeft w:val="0"/>
                              <w:marRight w:val="0"/>
                              <w:marTop w:val="0"/>
                              <w:marBottom w:val="0"/>
                              <w:divBdr>
                                <w:top w:val="none" w:sz="0" w:space="0" w:color="auto"/>
                                <w:left w:val="none" w:sz="0" w:space="0" w:color="auto"/>
                                <w:bottom w:val="none" w:sz="0" w:space="0" w:color="auto"/>
                                <w:right w:val="none" w:sz="0" w:space="0" w:color="auto"/>
                              </w:divBdr>
                              <w:divsChild>
                                <w:div w:id="3662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5950">
                          <w:marLeft w:val="0"/>
                          <w:marRight w:val="0"/>
                          <w:marTop w:val="0"/>
                          <w:marBottom w:val="0"/>
                          <w:divBdr>
                            <w:top w:val="none" w:sz="0" w:space="0" w:color="auto"/>
                            <w:left w:val="none" w:sz="0" w:space="0" w:color="auto"/>
                            <w:bottom w:val="none" w:sz="0" w:space="0" w:color="auto"/>
                            <w:right w:val="none" w:sz="0" w:space="0" w:color="auto"/>
                          </w:divBdr>
                          <w:divsChild>
                            <w:div w:id="2018606494">
                              <w:marLeft w:val="0"/>
                              <w:marRight w:val="0"/>
                              <w:marTop w:val="0"/>
                              <w:marBottom w:val="0"/>
                              <w:divBdr>
                                <w:top w:val="none" w:sz="0" w:space="0" w:color="auto"/>
                                <w:left w:val="none" w:sz="0" w:space="0" w:color="auto"/>
                                <w:bottom w:val="none" w:sz="0" w:space="0" w:color="auto"/>
                                <w:right w:val="none" w:sz="0" w:space="0" w:color="auto"/>
                              </w:divBdr>
                              <w:divsChild>
                                <w:div w:id="2538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4668">
                          <w:marLeft w:val="0"/>
                          <w:marRight w:val="0"/>
                          <w:marTop w:val="0"/>
                          <w:marBottom w:val="0"/>
                          <w:divBdr>
                            <w:top w:val="none" w:sz="0" w:space="0" w:color="auto"/>
                            <w:left w:val="none" w:sz="0" w:space="0" w:color="auto"/>
                            <w:bottom w:val="none" w:sz="0" w:space="0" w:color="auto"/>
                            <w:right w:val="none" w:sz="0" w:space="0" w:color="auto"/>
                          </w:divBdr>
                          <w:divsChild>
                            <w:div w:id="512568889">
                              <w:marLeft w:val="0"/>
                              <w:marRight w:val="0"/>
                              <w:marTop w:val="0"/>
                              <w:marBottom w:val="0"/>
                              <w:divBdr>
                                <w:top w:val="none" w:sz="0" w:space="0" w:color="auto"/>
                                <w:left w:val="none" w:sz="0" w:space="0" w:color="auto"/>
                                <w:bottom w:val="none" w:sz="0" w:space="0" w:color="auto"/>
                                <w:right w:val="none" w:sz="0" w:space="0" w:color="auto"/>
                              </w:divBdr>
                              <w:divsChild>
                                <w:div w:id="9100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4906">
                          <w:marLeft w:val="0"/>
                          <w:marRight w:val="0"/>
                          <w:marTop w:val="0"/>
                          <w:marBottom w:val="0"/>
                          <w:divBdr>
                            <w:top w:val="none" w:sz="0" w:space="0" w:color="auto"/>
                            <w:left w:val="none" w:sz="0" w:space="0" w:color="auto"/>
                            <w:bottom w:val="none" w:sz="0" w:space="0" w:color="auto"/>
                            <w:right w:val="none" w:sz="0" w:space="0" w:color="auto"/>
                          </w:divBdr>
                          <w:divsChild>
                            <w:div w:id="974985330">
                              <w:marLeft w:val="0"/>
                              <w:marRight w:val="0"/>
                              <w:marTop w:val="0"/>
                              <w:marBottom w:val="0"/>
                              <w:divBdr>
                                <w:top w:val="none" w:sz="0" w:space="0" w:color="auto"/>
                                <w:left w:val="none" w:sz="0" w:space="0" w:color="auto"/>
                                <w:bottom w:val="none" w:sz="0" w:space="0" w:color="auto"/>
                                <w:right w:val="none" w:sz="0" w:space="0" w:color="auto"/>
                              </w:divBdr>
                              <w:divsChild>
                                <w:div w:id="1533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11739">
                          <w:marLeft w:val="0"/>
                          <w:marRight w:val="0"/>
                          <w:marTop w:val="0"/>
                          <w:marBottom w:val="0"/>
                          <w:divBdr>
                            <w:top w:val="none" w:sz="0" w:space="0" w:color="auto"/>
                            <w:left w:val="none" w:sz="0" w:space="0" w:color="auto"/>
                            <w:bottom w:val="none" w:sz="0" w:space="0" w:color="auto"/>
                            <w:right w:val="none" w:sz="0" w:space="0" w:color="auto"/>
                          </w:divBdr>
                          <w:divsChild>
                            <w:div w:id="1839036737">
                              <w:marLeft w:val="0"/>
                              <w:marRight w:val="0"/>
                              <w:marTop w:val="0"/>
                              <w:marBottom w:val="0"/>
                              <w:divBdr>
                                <w:top w:val="none" w:sz="0" w:space="0" w:color="auto"/>
                                <w:left w:val="none" w:sz="0" w:space="0" w:color="auto"/>
                                <w:bottom w:val="none" w:sz="0" w:space="0" w:color="auto"/>
                                <w:right w:val="none" w:sz="0" w:space="0" w:color="auto"/>
                              </w:divBdr>
                              <w:divsChild>
                                <w:div w:id="6731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37788">
                          <w:marLeft w:val="0"/>
                          <w:marRight w:val="0"/>
                          <w:marTop w:val="0"/>
                          <w:marBottom w:val="0"/>
                          <w:divBdr>
                            <w:top w:val="none" w:sz="0" w:space="0" w:color="auto"/>
                            <w:left w:val="none" w:sz="0" w:space="0" w:color="auto"/>
                            <w:bottom w:val="none" w:sz="0" w:space="0" w:color="auto"/>
                            <w:right w:val="none" w:sz="0" w:space="0" w:color="auto"/>
                          </w:divBdr>
                          <w:divsChild>
                            <w:div w:id="983201903">
                              <w:marLeft w:val="0"/>
                              <w:marRight w:val="0"/>
                              <w:marTop w:val="0"/>
                              <w:marBottom w:val="0"/>
                              <w:divBdr>
                                <w:top w:val="none" w:sz="0" w:space="0" w:color="auto"/>
                                <w:left w:val="none" w:sz="0" w:space="0" w:color="auto"/>
                                <w:bottom w:val="none" w:sz="0" w:space="0" w:color="auto"/>
                                <w:right w:val="none" w:sz="0" w:space="0" w:color="auto"/>
                              </w:divBdr>
                              <w:divsChild>
                                <w:div w:id="2248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3116">
                          <w:marLeft w:val="0"/>
                          <w:marRight w:val="0"/>
                          <w:marTop w:val="0"/>
                          <w:marBottom w:val="0"/>
                          <w:divBdr>
                            <w:top w:val="none" w:sz="0" w:space="0" w:color="auto"/>
                            <w:left w:val="none" w:sz="0" w:space="0" w:color="auto"/>
                            <w:bottom w:val="none" w:sz="0" w:space="0" w:color="auto"/>
                            <w:right w:val="none" w:sz="0" w:space="0" w:color="auto"/>
                          </w:divBdr>
                          <w:divsChild>
                            <w:div w:id="1315136545">
                              <w:marLeft w:val="0"/>
                              <w:marRight w:val="0"/>
                              <w:marTop w:val="0"/>
                              <w:marBottom w:val="0"/>
                              <w:divBdr>
                                <w:top w:val="none" w:sz="0" w:space="0" w:color="auto"/>
                                <w:left w:val="none" w:sz="0" w:space="0" w:color="auto"/>
                                <w:bottom w:val="none" w:sz="0" w:space="0" w:color="auto"/>
                                <w:right w:val="none" w:sz="0" w:space="0" w:color="auto"/>
                              </w:divBdr>
                              <w:divsChild>
                                <w:div w:id="11947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4551">
                          <w:marLeft w:val="0"/>
                          <w:marRight w:val="0"/>
                          <w:marTop w:val="0"/>
                          <w:marBottom w:val="0"/>
                          <w:divBdr>
                            <w:top w:val="none" w:sz="0" w:space="0" w:color="auto"/>
                            <w:left w:val="none" w:sz="0" w:space="0" w:color="auto"/>
                            <w:bottom w:val="none" w:sz="0" w:space="0" w:color="auto"/>
                            <w:right w:val="none" w:sz="0" w:space="0" w:color="auto"/>
                          </w:divBdr>
                          <w:divsChild>
                            <w:div w:id="17119822">
                              <w:marLeft w:val="0"/>
                              <w:marRight w:val="0"/>
                              <w:marTop w:val="0"/>
                              <w:marBottom w:val="0"/>
                              <w:divBdr>
                                <w:top w:val="none" w:sz="0" w:space="0" w:color="auto"/>
                                <w:left w:val="none" w:sz="0" w:space="0" w:color="auto"/>
                                <w:bottom w:val="none" w:sz="0" w:space="0" w:color="auto"/>
                                <w:right w:val="none" w:sz="0" w:space="0" w:color="auto"/>
                              </w:divBdr>
                              <w:divsChild>
                                <w:div w:id="18591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0022">
                          <w:marLeft w:val="0"/>
                          <w:marRight w:val="0"/>
                          <w:marTop w:val="0"/>
                          <w:marBottom w:val="0"/>
                          <w:divBdr>
                            <w:top w:val="none" w:sz="0" w:space="0" w:color="auto"/>
                            <w:left w:val="none" w:sz="0" w:space="0" w:color="auto"/>
                            <w:bottom w:val="none" w:sz="0" w:space="0" w:color="auto"/>
                            <w:right w:val="none" w:sz="0" w:space="0" w:color="auto"/>
                          </w:divBdr>
                          <w:divsChild>
                            <w:div w:id="1602953224">
                              <w:marLeft w:val="0"/>
                              <w:marRight w:val="0"/>
                              <w:marTop w:val="0"/>
                              <w:marBottom w:val="0"/>
                              <w:divBdr>
                                <w:top w:val="none" w:sz="0" w:space="0" w:color="auto"/>
                                <w:left w:val="none" w:sz="0" w:space="0" w:color="auto"/>
                                <w:bottom w:val="none" w:sz="0" w:space="0" w:color="auto"/>
                                <w:right w:val="none" w:sz="0" w:space="0" w:color="auto"/>
                              </w:divBdr>
                              <w:divsChild>
                                <w:div w:id="13290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29969">
                          <w:marLeft w:val="0"/>
                          <w:marRight w:val="0"/>
                          <w:marTop w:val="0"/>
                          <w:marBottom w:val="0"/>
                          <w:divBdr>
                            <w:top w:val="none" w:sz="0" w:space="0" w:color="auto"/>
                            <w:left w:val="none" w:sz="0" w:space="0" w:color="auto"/>
                            <w:bottom w:val="none" w:sz="0" w:space="0" w:color="auto"/>
                            <w:right w:val="none" w:sz="0" w:space="0" w:color="auto"/>
                          </w:divBdr>
                          <w:divsChild>
                            <w:div w:id="1749574125">
                              <w:marLeft w:val="0"/>
                              <w:marRight w:val="0"/>
                              <w:marTop w:val="0"/>
                              <w:marBottom w:val="0"/>
                              <w:divBdr>
                                <w:top w:val="none" w:sz="0" w:space="0" w:color="auto"/>
                                <w:left w:val="none" w:sz="0" w:space="0" w:color="auto"/>
                                <w:bottom w:val="none" w:sz="0" w:space="0" w:color="auto"/>
                                <w:right w:val="none" w:sz="0" w:space="0" w:color="auto"/>
                              </w:divBdr>
                              <w:divsChild>
                                <w:div w:id="18287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092">
                          <w:marLeft w:val="0"/>
                          <w:marRight w:val="0"/>
                          <w:marTop w:val="0"/>
                          <w:marBottom w:val="0"/>
                          <w:divBdr>
                            <w:top w:val="none" w:sz="0" w:space="0" w:color="auto"/>
                            <w:left w:val="none" w:sz="0" w:space="0" w:color="auto"/>
                            <w:bottom w:val="none" w:sz="0" w:space="0" w:color="auto"/>
                            <w:right w:val="none" w:sz="0" w:space="0" w:color="auto"/>
                          </w:divBdr>
                          <w:divsChild>
                            <w:div w:id="96486457">
                              <w:marLeft w:val="0"/>
                              <w:marRight w:val="0"/>
                              <w:marTop w:val="0"/>
                              <w:marBottom w:val="0"/>
                              <w:divBdr>
                                <w:top w:val="none" w:sz="0" w:space="0" w:color="auto"/>
                                <w:left w:val="none" w:sz="0" w:space="0" w:color="auto"/>
                                <w:bottom w:val="none" w:sz="0" w:space="0" w:color="auto"/>
                                <w:right w:val="none" w:sz="0" w:space="0" w:color="auto"/>
                              </w:divBdr>
                              <w:divsChild>
                                <w:div w:id="333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073">
                          <w:marLeft w:val="0"/>
                          <w:marRight w:val="0"/>
                          <w:marTop w:val="0"/>
                          <w:marBottom w:val="0"/>
                          <w:divBdr>
                            <w:top w:val="none" w:sz="0" w:space="0" w:color="auto"/>
                            <w:left w:val="none" w:sz="0" w:space="0" w:color="auto"/>
                            <w:bottom w:val="none" w:sz="0" w:space="0" w:color="auto"/>
                            <w:right w:val="none" w:sz="0" w:space="0" w:color="auto"/>
                          </w:divBdr>
                          <w:divsChild>
                            <w:div w:id="1535846669">
                              <w:marLeft w:val="0"/>
                              <w:marRight w:val="0"/>
                              <w:marTop w:val="0"/>
                              <w:marBottom w:val="0"/>
                              <w:divBdr>
                                <w:top w:val="none" w:sz="0" w:space="0" w:color="auto"/>
                                <w:left w:val="none" w:sz="0" w:space="0" w:color="auto"/>
                                <w:bottom w:val="none" w:sz="0" w:space="0" w:color="auto"/>
                                <w:right w:val="none" w:sz="0" w:space="0" w:color="auto"/>
                              </w:divBdr>
                              <w:divsChild>
                                <w:div w:id="6176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6674">
                          <w:marLeft w:val="0"/>
                          <w:marRight w:val="0"/>
                          <w:marTop w:val="0"/>
                          <w:marBottom w:val="0"/>
                          <w:divBdr>
                            <w:top w:val="none" w:sz="0" w:space="0" w:color="auto"/>
                            <w:left w:val="none" w:sz="0" w:space="0" w:color="auto"/>
                            <w:bottom w:val="none" w:sz="0" w:space="0" w:color="auto"/>
                            <w:right w:val="none" w:sz="0" w:space="0" w:color="auto"/>
                          </w:divBdr>
                          <w:divsChild>
                            <w:div w:id="903881423">
                              <w:marLeft w:val="0"/>
                              <w:marRight w:val="0"/>
                              <w:marTop w:val="0"/>
                              <w:marBottom w:val="0"/>
                              <w:divBdr>
                                <w:top w:val="none" w:sz="0" w:space="0" w:color="auto"/>
                                <w:left w:val="none" w:sz="0" w:space="0" w:color="auto"/>
                                <w:bottom w:val="none" w:sz="0" w:space="0" w:color="auto"/>
                                <w:right w:val="none" w:sz="0" w:space="0" w:color="auto"/>
                              </w:divBdr>
                              <w:divsChild>
                                <w:div w:id="17471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7109">
                          <w:marLeft w:val="0"/>
                          <w:marRight w:val="0"/>
                          <w:marTop w:val="0"/>
                          <w:marBottom w:val="0"/>
                          <w:divBdr>
                            <w:top w:val="none" w:sz="0" w:space="0" w:color="auto"/>
                            <w:left w:val="none" w:sz="0" w:space="0" w:color="auto"/>
                            <w:bottom w:val="none" w:sz="0" w:space="0" w:color="auto"/>
                            <w:right w:val="none" w:sz="0" w:space="0" w:color="auto"/>
                          </w:divBdr>
                          <w:divsChild>
                            <w:div w:id="1027027744">
                              <w:marLeft w:val="0"/>
                              <w:marRight w:val="0"/>
                              <w:marTop w:val="0"/>
                              <w:marBottom w:val="0"/>
                              <w:divBdr>
                                <w:top w:val="none" w:sz="0" w:space="0" w:color="auto"/>
                                <w:left w:val="none" w:sz="0" w:space="0" w:color="auto"/>
                                <w:bottom w:val="none" w:sz="0" w:space="0" w:color="auto"/>
                                <w:right w:val="none" w:sz="0" w:space="0" w:color="auto"/>
                              </w:divBdr>
                              <w:divsChild>
                                <w:div w:id="3466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6536">
                          <w:marLeft w:val="0"/>
                          <w:marRight w:val="0"/>
                          <w:marTop w:val="0"/>
                          <w:marBottom w:val="0"/>
                          <w:divBdr>
                            <w:top w:val="none" w:sz="0" w:space="0" w:color="auto"/>
                            <w:left w:val="none" w:sz="0" w:space="0" w:color="auto"/>
                            <w:bottom w:val="none" w:sz="0" w:space="0" w:color="auto"/>
                            <w:right w:val="none" w:sz="0" w:space="0" w:color="auto"/>
                          </w:divBdr>
                          <w:divsChild>
                            <w:div w:id="164830519">
                              <w:marLeft w:val="0"/>
                              <w:marRight w:val="0"/>
                              <w:marTop w:val="0"/>
                              <w:marBottom w:val="0"/>
                              <w:divBdr>
                                <w:top w:val="none" w:sz="0" w:space="0" w:color="auto"/>
                                <w:left w:val="none" w:sz="0" w:space="0" w:color="auto"/>
                                <w:bottom w:val="none" w:sz="0" w:space="0" w:color="auto"/>
                                <w:right w:val="none" w:sz="0" w:space="0" w:color="auto"/>
                              </w:divBdr>
                              <w:divsChild>
                                <w:div w:id="17710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96282">
                          <w:marLeft w:val="0"/>
                          <w:marRight w:val="0"/>
                          <w:marTop w:val="0"/>
                          <w:marBottom w:val="0"/>
                          <w:divBdr>
                            <w:top w:val="none" w:sz="0" w:space="0" w:color="auto"/>
                            <w:left w:val="none" w:sz="0" w:space="0" w:color="auto"/>
                            <w:bottom w:val="none" w:sz="0" w:space="0" w:color="auto"/>
                            <w:right w:val="none" w:sz="0" w:space="0" w:color="auto"/>
                          </w:divBdr>
                          <w:divsChild>
                            <w:div w:id="1999654006">
                              <w:marLeft w:val="0"/>
                              <w:marRight w:val="0"/>
                              <w:marTop w:val="0"/>
                              <w:marBottom w:val="0"/>
                              <w:divBdr>
                                <w:top w:val="none" w:sz="0" w:space="0" w:color="auto"/>
                                <w:left w:val="none" w:sz="0" w:space="0" w:color="auto"/>
                                <w:bottom w:val="none" w:sz="0" w:space="0" w:color="auto"/>
                                <w:right w:val="none" w:sz="0" w:space="0" w:color="auto"/>
                              </w:divBdr>
                              <w:divsChild>
                                <w:div w:id="19246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7109">
                          <w:marLeft w:val="0"/>
                          <w:marRight w:val="0"/>
                          <w:marTop w:val="0"/>
                          <w:marBottom w:val="0"/>
                          <w:divBdr>
                            <w:top w:val="none" w:sz="0" w:space="0" w:color="auto"/>
                            <w:left w:val="none" w:sz="0" w:space="0" w:color="auto"/>
                            <w:bottom w:val="none" w:sz="0" w:space="0" w:color="auto"/>
                            <w:right w:val="none" w:sz="0" w:space="0" w:color="auto"/>
                          </w:divBdr>
                          <w:divsChild>
                            <w:div w:id="402148327">
                              <w:marLeft w:val="0"/>
                              <w:marRight w:val="0"/>
                              <w:marTop w:val="0"/>
                              <w:marBottom w:val="0"/>
                              <w:divBdr>
                                <w:top w:val="none" w:sz="0" w:space="0" w:color="auto"/>
                                <w:left w:val="none" w:sz="0" w:space="0" w:color="auto"/>
                                <w:bottom w:val="none" w:sz="0" w:space="0" w:color="auto"/>
                                <w:right w:val="none" w:sz="0" w:space="0" w:color="auto"/>
                              </w:divBdr>
                              <w:divsChild>
                                <w:div w:id="7825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7401">
                          <w:marLeft w:val="0"/>
                          <w:marRight w:val="0"/>
                          <w:marTop w:val="0"/>
                          <w:marBottom w:val="0"/>
                          <w:divBdr>
                            <w:top w:val="none" w:sz="0" w:space="0" w:color="auto"/>
                            <w:left w:val="none" w:sz="0" w:space="0" w:color="auto"/>
                            <w:bottom w:val="none" w:sz="0" w:space="0" w:color="auto"/>
                            <w:right w:val="none" w:sz="0" w:space="0" w:color="auto"/>
                          </w:divBdr>
                          <w:divsChild>
                            <w:div w:id="1868834485">
                              <w:marLeft w:val="0"/>
                              <w:marRight w:val="0"/>
                              <w:marTop w:val="0"/>
                              <w:marBottom w:val="0"/>
                              <w:divBdr>
                                <w:top w:val="none" w:sz="0" w:space="0" w:color="auto"/>
                                <w:left w:val="none" w:sz="0" w:space="0" w:color="auto"/>
                                <w:bottom w:val="none" w:sz="0" w:space="0" w:color="auto"/>
                                <w:right w:val="none" w:sz="0" w:space="0" w:color="auto"/>
                              </w:divBdr>
                              <w:divsChild>
                                <w:div w:id="12265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2142">
                          <w:marLeft w:val="0"/>
                          <w:marRight w:val="0"/>
                          <w:marTop w:val="0"/>
                          <w:marBottom w:val="0"/>
                          <w:divBdr>
                            <w:top w:val="none" w:sz="0" w:space="0" w:color="auto"/>
                            <w:left w:val="none" w:sz="0" w:space="0" w:color="auto"/>
                            <w:bottom w:val="none" w:sz="0" w:space="0" w:color="auto"/>
                            <w:right w:val="none" w:sz="0" w:space="0" w:color="auto"/>
                          </w:divBdr>
                          <w:divsChild>
                            <w:div w:id="1183132278">
                              <w:marLeft w:val="0"/>
                              <w:marRight w:val="0"/>
                              <w:marTop w:val="0"/>
                              <w:marBottom w:val="0"/>
                              <w:divBdr>
                                <w:top w:val="none" w:sz="0" w:space="0" w:color="auto"/>
                                <w:left w:val="none" w:sz="0" w:space="0" w:color="auto"/>
                                <w:bottom w:val="none" w:sz="0" w:space="0" w:color="auto"/>
                                <w:right w:val="none" w:sz="0" w:space="0" w:color="auto"/>
                              </w:divBdr>
                              <w:divsChild>
                                <w:div w:id="1296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5965">
                          <w:marLeft w:val="0"/>
                          <w:marRight w:val="0"/>
                          <w:marTop w:val="0"/>
                          <w:marBottom w:val="0"/>
                          <w:divBdr>
                            <w:top w:val="none" w:sz="0" w:space="0" w:color="auto"/>
                            <w:left w:val="none" w:sz="0" w:space="0" w:color="auto"/>
                            <w:bottom w:val="none" w:sz="0" w:space="0" w:color="auto"/>
                            <w:right w:val="none" w:sz="0" w:space="0" w:color="auto"/>
                          </w:divBdr>
                          <w:divsChild>
                            <w:div w:id="1995571610">
                              <w:marLeft w:val="0"/>
                              <w:marRight w:val="0"/>
                              <w:marTop w:val="0"/>
                              <w:marBottom w:val="0"/>
                              <w:divBdr>
                                <w:top w:val="none" w:sz="0" w:space="0" w:color="auto"/>
                                <w:left w:val="none" w:sz="0" w:space="0" w:color="auto"/>
                                <w:bottom w:val="none" w:sz="0" w:space="0" w:color="auto"/>
                                <w:right w:val="none" w:sz="0" w:space="0" w:color="auto"/>
                              </w:divBdr>
                              <w:divsChild>
                                <w:div w:id="1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6489">
                          <w:marLeft w:val="0"/>
                          <w:marRight w:val="0"/>
                          <w:marTop w:val="0"/>
                          <w:marBottom w:val="0"/>
                          <w:divBdr>
                            <w:top w:val="none" w:sz="0" w:space="0" w:color="auto"/>
                            <w:left w:val="none" w:sz="0" w:space="0" w:color="auto"/>
                            <w:bottom w:val="none" w:sz="0" w:space="0" w:color="auto"/>
                            <w:right w:val="none" w:sz="0" w:space="0" w:color="auto"/>
                          </w:divBdr>
                          <w:divsChild>
                            <w:div w:id="1000501519">
                              <w:marLeft w:val="0"/>
                              <w:marRight w:val="0"/>
                              <w:marTop w:val="0"/>
                              <w:marBottom w:val="0"/>
                              <w:divBdr>
                                <w:top w:val="none" w:sz="0" w:space="0" w:color="auto"/>
                                <w:left w:val="none" w:sz="0" w:space="0" w:color="auto"/>
                                <w:bottom w:val="none" w:sz="0" w:space="0" w:color="auto"/>
                                <w:right w:val="none" w:sz="0" w:space="0" w:color="auto"/>
                              </w:divBdr>
                              <w:divsChild>
                                <w:div w:id="8422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1266">
                          <w:marLeft w:val="0"/>
                          <w:marRight w:val="0"/>
                          <w:marTop w:val="0"/>
                          <w:marBottom w:val="0"/>
                          <w:divBdr>
                            <w:top w:val="none" w:sz="0" w:space="0" w:color="auto"/>
                            <w:left w:val="none" w:sz="0" w:space="0" w:color="auto"/>
                            <w:bottom w:val="none" w:sz="0" w:space="0" w:color="auto"/>
                            <w:right w:val="none" w:sz="0" w:space="0" w:color="auto"/>
                          </w:divBdr>
                          <w:divsChild>
                            <w:div w:id="1795904187">
                              <w:marLeft w:val="0"/>
                              <w:marRight w:val="0"/>
                              <w:marTop w:val="0"/>
                              <w:marBottom w:val="0"/>
                              <w:divBdr>
                                <w:top w:val="none" w:sz="0" w:space="0" w:color="auto"/>
                                <w:left w:val="none" w:sz="0" w:space="0" w:color="auto"/>
                                <w:bottom w:val="none" w:sz="0" w:space="0" w:color="auto"/>
                                <w:right w:val="none" w:sz="0" w:space="0" w:color="auto"/>
                              </w:divBdr>
                              <w:divsChild>
                                <w:div w:id="4098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3562">
                          <w:marLeft w:val="0"/>
                          <w:marRight w:val="0"/>
                          <w:marTop w:val="0"/>
                          <w:marBottom w:val="0"/>
                          <w:divBdr>
                            <w:top w:val="none" w:sz="0" w:space="0" w:color="auto"/>
                            <w:left w:val="none" w:sz="0" w:space="0" w:color="auto"/>
                            <w:bottom w:val="none" w:sz="0" w:space="0" w:color="auto"/>
                            <w:right w:val="none" w:sz="0" w:space="0" w:color="auto"/>
                          </w:divBdr>
                          <w:divsChild>
                            <w:div w:id="825633291">
                              <w:marLeft w:val="0"/>
                              <w:marRight w:val="0"/>
                              <w:marTop w:val="0"/>
                              <w:marBottom w:val="0"/>
                              <w:divBdr>
                                <w:top w:val="none" w:sz="0" w:space="0" w:color="auto"/>
                                <w:left w:val="none" w:sz="0" w:space="0" w:color="auto"/>
                                <w:bottom w:val="none" w:sz="0" w:space="0" w:color="auto"/>
                                <w:right w:val="none" w:sz="0" w:space="0" w:color="auto"/>
                              </w:divBdr>
                              <w:divsChild>
                                <w:div w:id="16997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52996">
                          <w:marLeft w:val="0"/>
                          <w:marRight w:val="0"/>
                          <w:marTop w:val="0"/>
                          <w:marBottom w:val="0"/>
                          <w:divBdr>
                            <w:top w:val="none" w:sz="0" w:space="0" w:color="auto"/>
                            <w:left w:val="none" w:sz="0" w:space="0" w:color="auto"/>
                            <w:bottom w:val="none" w:sz="0" w:space="0" w:color="auto"/>
                            <w:right w:val="none" w:sz="0" w:space="0" w:color="auto"/>
                          </w:divBdr>
                          <w:divsChild>
                            <w:div w:id="91434084">
                              <w:marLeft w:val="0"/>
                              <w:marRight w:val="0"/>
                              <w:marTop w:val="0"/>
                              <w:marBottom w:val="0"/>
                              <w:divBdr>
                                <w:top w:val="none" w:sz="0" w:space="0" w:color="auto"/>
                                <w:left w:val="none" w:sz="0" w:space="0" w:color="auto"/>
                                <w:bottom w:val="none" w:sz="0" w:space="0" w:color="auto"/>
                                <w:right w:val="none" w:sz="0" w:space="0" w:color="auto"/>
                              </w:divBdr>
                              <w:divsChild>
                                <w:div w:id="21136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3371">
                          <w:marLeft w:val="0"/>
                          <w:marRight w:val="0"/>
                          <w:marTop w:val="0"/>
                          <w:marBottom w:val="0"/>
                          <w:divBdr>
                            <w:top w:val="none" w:sz="0" w:space="0" w:color="auto"/>
                            <w:left w:val="none" w:sz="0" w:space="0" w:color="auto"/>
                            <w:bottom w:val="none" w:sz="0" w:space="0" w:color="auto"/>
                            <w:right w:val="none" w:sz="0" w:space="0" w:color="auto"/>
                          </w:divBdr>
                          <w:divsChild>
                            <w:div w:id="1990744847">
                              <w:marLeft w:val="0"/>
                              <w:marRight w:val="0"/>
                              <w:marTop w:val="0"/>
                              <w:marBottom w:val="0"/>
                              <w:divBdr>
                                <w:top w:val="none" w:sz="0" w:space="0" w:color="auto"/>
                                <w:left w:val="none" w:sz="0" w:space="0" w:color="auto"/>
                                <w:bottom w:val="none" w:sz="0" w:space="0" w:color="auto"/>
                                <w:right w:val="none" w:sz="0" w:space="0" w:color="auto"/>
                              </w:divBdr>
                              <w:divsChild>
                                <w:div w:id="8756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2506">
                          <w:marLeft w:val="0"/>
                          <w:marRight w:val="0"/>
                          <w:marTop w:val="0"/>
                          <w:marBottom w:val="0"/>
                          <w:divBdr>
                            <w:top w:val="none" w:sz="0" w:space="0" w:color="auto"/>
                            <w:left w:val="none" w:sz="0" w:space="0" w:color="auto"/>
                            <w:bottom w:val="none" w:sz="0" w:space="0" w:color="auto"/>
                            <w:right w:val="none" w:sz="0" w:space="0" w:color="auto"/>
                          </w:divBdr>
                          <w:divsChild>
                            <w:div w:id="398476489">
                              <w:marLeft w:val="0"/>
                              <w:marRight w:val="0"/>
                              <w:marTop w:val="0"/>
                              <w:marBottom w:val="0"/>
                              <w:divBdr>
                                <w:top w:val="none" w:sz="0" w:space="0" w:color="auto"/>
                                <w:left w:val="none" w:sz="0" w:space="0" w:color="auto"/>
                                <w:bottom w:val="none" w:sz="0" w:space="0" w:color="auto"/>
                                <w:right w:val="none" w:sz="0" w:space="0" w:color="auto"/>
                              </w:divBdr>
                              <w:divsChild>
                                <w:div w:id="42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7069">
                          <w:marLeft w:val="0"/>
                          <w:marRight w:val="0"/>
                          <w:marTop w:val="0"/>
                          <w:marBottom w:val="0"/>
                          <w:divBdr>
                            <w:top w:val="none" w:sz="0" w:space="0" w:color="auto"/>
                            <w:left w:val="none" w:sz="0" w:space="0" w:color="auto"/>
                            <w:bottom w:val="none" w:sz="0" w:space="0" w:color="auto"/>
                            <w:right w:val="none" w:sz="0" w:space="0" w:color="auto"/>
                          </w:divBdr>
                          <w:divsChild>
                            <w:div w:id="77100253">
                              <w:marLeft w:val="0"/>
                              <w:marRight w:val="0"/>
                              <w:marTop w:val="0"/>
                              <w:marBottom w:val="0"/>
                              <w:divBdr>
                                <w:top w:val="none" w:sz="0" w:space="0" w:color="auto"/>
                                <w:left w:val="none" w:sz="0" w:space="0" w:color="auto"/>
                                <w:bottom w:val="none" w:sz="0" w:space="0" w:color="auto"/>
                                <w:right w:val="none" w:sz="0" w:space="0" w:color="auto"/>
                              </w:divBdr>
                              <w:divsChild>
                                <w:div w:id="16111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64892">
                          <w:marLeft w:val="0"/>
                          <w:marRight w:val="0"/>
                          <w:marTop w:val="0"/>
                          <w:marBottom w:val="0"/>
                          <w:divBdr>
                            <w:top w:val="none" w:sz="0" w:space="0" w:color="auto"/>
                            <w:left w:val="none" w:sz="0" w:space="0" w:color="auto"/>
                            <w:bottom w:val="none" w:sz="0" w:space="0" w:color="auto"/>
                            <w:right w:val="none" w:sz="0" w:space="0" w:color="auto"/>
                          </w:divBdr>
                          <w:divsChild>
                            <w:div w:id="261493224">
                              <w:marLeft w:val="0"/>
                              <w:marRight w:val="0"/>
                              <w:marTop w:val="0"/>
                              <w:marBottom w:val="0"/>
                              <w:divBdr>
                                <w:top w:val="none" w:sz="0" w:space="0" w:color="auto"/>
                                <w:left w:val="none" w:sz="0" w:space="0" w:color="auto"/>
                                <w:bottom w:val="none" w:sz="0" w:space="0" w:color="auto"/>
                                <w:right w:val="none" w:sz="0" w:space="0" w:color="auto"/>
                              </w:divBdr>
                              <w:divsChild>
                                <w:div w:id="905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02084">
      <w:bodyDiv w:val="1"/>
      <w:marLeft w:val="0"/>
      <w:marRight w:val="0"/>
      <w:marTop w:val="0"/>
      <w:marBottom w:val="0"/>
      <w:divBdr>
        <w:top w:val="none" w:sz="0" w:space="0" w:color="auto"/>
        <w:left w:val="none" w:sz="0" w:space="0" w:color="auto"/>
        <w:bottom w:val="none" w:sz="0" w:space="0" w:color="auto"/>
        <w:right w:val="none" w:sz="0" w:space="0" w:color="auto"/>
      </w:divBdr>
      <w:divsChild>
        <w:div w:id="1368604300">
          <w:marLeft w:val="0"/>
          <w:marRight w:val="0"/>
          <w:marTop w:val="0"/>
          <w:marBottom w:val="0"/>
          <w:divBdr>
            <w:top w:val="none" w:sz="0" w:space="0" w:color="auto"/>
            <w:left w:val="none" w:sz="0" w:space="0" w:color="auto"/>
            <w:bottom w:val="none" w:sz="0" w:space="0" w:color="auto"/>
            <w:right w:val="none" w:sz="0" w:space="0" w:color="auto"/>
          </w:divBdr>
          <w:divsChild>
            <w:div w:id="447970468">
              <w:marLeft w:val="0"/>
              <w:marRight w:val="0"/>
              <w:marTop w:val="0"/>
              <w:marBottom w:val="0"/>
              <w:divBdr>
                <w:top w:val="none" w:sz="0" w:space="0" w:color="auto"/>
                <w:left w:val="none" w:sz="0" w:space="0" w:color="auto"/>
                <w:bottom w:val="none" w:sz="0" w:space="0" w:color="auto"/>
                <w:right w:val="none" w:sz="0" w:space="0" w:color="auto"/>
              </w:divBdr>
              <w:divsChild>
                <w:div w:id="6393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4167">
          <w:marLeft w:val="0"/>
          <w:marRight w:val="0"/>
          <w:marTop w:val="0"/>
          <w:marBottom w:val="0"/>
          <w:divBdr>
            <w:top w:val="none" w:sz="0" w:space="0" w:color="auto"/>
            <w:left w:val="none" w:sz="0" w:space="0" w:color="auto"/>
            <w:bottom w:val="none" w:sz="0" w:space="0" w:color="auto"/>
            <w:right w:val="none" w:sz="0" w:space="0" w:color="auto"/>
          </w:divBdr>
          <w:divsChild>
            <w:div w:id="594024342">
              <w:marLeft w:val="0"/>
              <w:marRight w:val="0"/>
              <w:marTop w:val="0"/>
              <w:marBottom w:val="0"/>
              <w:divBdr>
                <w:top w:val="none" w:sz="0" w:space="0" w:color="auto"/>
                <w:left w:val="none" w:sz="0" w:space="0" w:color="auto"/>
                <w:bottom w:val="none" w:sz="0" w:space="0" w:color="auto"/>
                <w:right w:val="none" w:sz="0" w:space="0" w:color="auto"/>
              </w:divBdr>
              <w:divsChild>
                <w:div w:id="1625311443">
                  <w:marLeft w:val="0"/>
                  <w:marRight w:val="0"/>
                  <w:marTop w:val="0"/>
                  <w:marBottom w:val="0"/>
                  <w:divBdr>
                    <w:top w:val="none" w:sz="0" w:space="0" w:color="auto"/>
                    <w:left w:val="none" w:sz="0" w:space="0" w:color="auto"/>
                    <w:bottom w:val="none" w:sz="0" w:space="0" w:color="auto"/>
                    <w:right w:val="none" w:sz="0" w:space="0" w:color="auto"/>
                  </w:divBdr>
                </w:div>
                <w:div w:id="16389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057">
          <w:marLeft w:val="0"/>
          <w:marRight w:val="0"/>
          <w:marTop w:val="0"/>
          <w:marBottom w:val="0"/>
          <w:divBdr>
            <w:top w:val="none" w:sz="0" w:space="0" w:color="auto"/>
            <w:left w:val="none" w:sz="0" w:space="0" w:color="auto"/>
            <w:bottom w:val="none" w:sz="0" w:space="0" w:color="auto"/>
            <w:right w:val="none" w:sz="0" w:space="0" w:color="auto"/>
          </w:divBdr>
          <w:divsChild>
            <w:div w:id="1955478155">
              <w:marLeft w:val="0"/>
              <w:marRight w:val="0"/>
              <w:marTop w:val="0"/>
              <w:marBottom w:val="0"/>
              <w:divBdr>
                <w:top w:val="none" w:sz="0" w:space="0" w:color="auto"/>
                <w:left w:val="none" w:sz="0" w:space="0" w:color="auto"/>
                <w:bottom w:val="none" w:sz="0" w:space="0" w:color="auto"/>
                <w:right w:val="none" w:sz="0" w:space="0" w:color="auto"/>
              </w:divBdr>
              <w:divsChild>
                <w:div w:id="31077938">
                  <w:marLeft w:val="0"/>
                  <w:marRight w:val="0"/>
                  <w:marTop w:val="0"/>
                  <w:marBottom w:val="0"/>
                  <w:divBdr>
                    <w:top w:val="none" w:sz="0" w:space="0" w:color="auto"/>
                    <w:left w:val="none" w:sz="0" w:space="0" w:color="auto"/>
                    <w:bottom w:val="none" w:sz="0" w:space="0" w:color="auto"/>
                    <w:right w:val="none" w:sz="0" w:space="0" w:color="auto"/>
                  </w:divBdr>
                </w:div>
                <w:div w:id="36710184">
                  <w:marLeft w:val="0"/>
                  <w:marRight w:val="0"/>
                  <w:marTop w:val="0"/>
                  <w:marBottom w:val="0"/>
                  <w:divBdr>
                    <w:top w:val="none" w:sz="0" w:space="0" w:color="auto"/>
                    <w:left w:val="none" w:sz="0" w:space="0" w:color="auto"/>
                    <w:bottom w:val="none" w:sz="0" w:space="0" w:color="auto"/>
                    <w:right w:val="none" w:sz="0" w:space="0" w:color="auto"/>
                  </w:divBdr>
                </w:div>
                <w:div w:id="141431510">
                  <w:marLeft w:val="0"/>
                  <w:marRight w:val="0"/>
                  <w:marTop w:val="0"/>
                  <w:marBottom w:val="0"/>
                  <w:divBdr>
                    <w:top w:val="none" w:sz="0" w:space="0" w:color="auto"/>
                    <w:left w:val="none" w:sz="0" w:space="0" w:color="auto"/>
                    <w:bottom w:val="none" w:sz="0" w:space="0" w:color="auto"/>
                    <w:right w:val="none" w:sz="0" w:space="0" w:color="auto"/>
                  </w:divBdr>
                </w:div>
                <w:div w:id="167907598">
                  <w:marLeft w:val="0"/>
                  <w:marRight w:val="0"/>
                  <w:marTop w:val="0"/>
                  <w:marBottom w:val="0"/>
                  <w:divBdr>
                    <w:top w:val="none" w:sz="0" w:space="0" w:color="auto"/>
                    <w:left w:val="none" w:sz="0" w:space="0" w:color="auto"/>
                    <w:bottom w:val="none" w:sz="0" w:space="0" w:color="auto"/>
                    <w:right w:val="none" w:sz="0" w:space="0" w:color="auto"/>
                  </w:divBdr>
                </w:div>
                <w:div w:id="169373601">
                  <w:marLeft w:val="0"/>
                  <w:marRight w:val="0"/>
                  <w:marTop w:val="0"/>
                  <w:marBottom w:val="0"/>
                  <w:divBdr>
                    <w:top w:val="none" w:sz="0" w:space="0" w:color="auto"/>
                    <w:left w:val="none" w:sz="0" w:space="0" w:color="auto"/>
                    <w:bottom w:val="none" w:sz="0" w:space="0" w:color="auto"/>
                    <w:right w:val="none" w:sz="0" w:space="0" w:color="auto"/>
                  </w:divBdr>
                </w:div>
                <w:div w:id="204830072">
                  <w:marLeft w:val="0"/>
                  <w:marRight w:val="0"/>
                  <w:marTop w:val="0"/>
                  <w:marBottom w:val="0"/>
                  <w:divBdr>
                    <w:top w:val="none" w:sz="0" w:space="0" w:color="auto"/>
                    <w:left w:val="none" w:sz="0" w:space="0" w:color="auto"/>
                    <w:bottom w:val="none" w:sz="0" w:space="0" w:color="auto"/>
                    <w:right w:val="none" w:sz="0" w:space="0" w:color="auto"/>
                  </w:divBdr>
                </w:div>
                <w:div w:id="220600277">
                  <w:marLeft w:val="0"/>
                  <w:marRight w:val="0"/>
                  <w:marTop w:val="0"/>
                  <w:marBottom w:val="0"/>
                  <w:divBdr>
                    <w:top w:val="none" w:sz="0" w:space="0" w:color="auto"/>
                    <w:left w:val="none" w:sz="0" w:space="0" w:color="auto"/>
                    <w:bottom w:val="none" w:sz="0" w:space="0" w:color="auto"/>
                    <w:right w:val="none" w:sz="0" w:space="0" w:color="auto"/>
                  </w:divBdr>
                </w:div>
                <w:div w:id="246118489">
                  <w:marLeft w:val="0"/>
                  <w:marRight w:val="0"/>
                  <w:marTop w:val="0"/>
                  <w:marBottom w:val="0"/>
                  <w:divBdr>
                    <w:top w:val="none" w:sz="0" w:space="0" w:color="auto"/>
                    <w:left w:val="none" w:sz="0" w:space="0" w:color="auto"/>
                    <w:bottom w:val="none" w:sz="0" w:space="0" w:color="auto"/>
                    <w:right w:val="none" w:sz="0" w:space="0" w:color="auto"/>
                  </w:divBdr>
                </w:div>
                <w:div w:id="280068059">
                  <w:marLeft w:val="0"/>
                  <w:marRight w:val="0"/>
                  <w:marTop w:val="0"/>
                  <w:marBottom w:val="0"/>
                  <w:divBdr>
                    <w:top w:val="none" w:sz="0" w:space="0" w:color="auto"/>
                    <w:left w:val="none" w:sz="0" w:space="0" w:color="auto"/>
                    <w:bottom w:val="none" w:sz="0" w:space="0" w:color="auto"/>
                    <w:right w:val="none" w:sz="0" w:space="0" w:color="auto"/>
                  </w:divBdr>
                </w:div>
                <w:div w:id="290550419">
                  <w:marLeft w:val="0"/>
                  <w:marRight w:val="0"/>
                  <w:marTop w:val="0"/>
                  <w:marBottom w:val="0"/>
                  <w:divBdr>
                    <w:top w:val="none" w:sz="0" w:space="0" w:color="auto"/>
                    <w:left w:val="none" w:sz="0" w:space="0" w:color="auto"/>
                    <w:bottom w:val="none" w:sz="0" w:space="0" w:color="auto"/>
                    <w:right w:val="none" w:sz="0" w:space="0" w:color="auto"/>
                  </w:divBdr>
                </w:div>
                <w:div w:id="302276311">
                  <w:marLeft w:val="0"/>
                  <w:marRight w:val="0"/>
                  <w:marTop w:val="0"/>
                  <w:marBottom w:val="0"/>
                  <w:divBdr>
                    <w:top w:val="none" w:sz="0" w:space="0" w:color="auto"/>
                    <w:left w:val="none" w:sz="0" w:space="0" w:color="auto"/>
                    <w:bottom w:val="none" w:sz="0" w:space="0" w:color="auto"/>
                    <w:right w:val="none" w:sz="0" w:space="0" w:color="auto"/>
                  </w:divBdr>
                </w:div>
                <w:div w:id="316616324">
                  <w:marLeft w:val="0"/>
                  <w:marRight w:val="0"/>
                  <w:marTop w:val="0"/>
                  <w:marBottom w:val="0"/>
                  <w:divBdr>
                    <w:top w:val="none" w:sz="0" w:space="0" w:color="auto"/>
                    <w:left w:val="none" w:sz="0" w:space="0" w:color="auto"/>
                    <w:bottom w:val="none" w:sz="0" w:space="0" w:color="auto"/>
                    <w:right w:val="none" w:sz="0" w:space="0" w:color="auto"/>
                  </w:divBdr>
                </w:div>
                <w:div w:id="356855129">
                  <w:marLeft w:val="0"/>
                  <w:marRight w:val="0"/>
                  <w:marTop w:val="0"/>
                  <w:marBottom w:val="0"/>
                  <w:divBdr>
                    <w:top w:val="none" w:sz="0" w:space="0" w:color="auto"/>
                    <w:left w:val="none" w:sz="0" w:space="0" w:color="auto"/>
                    <w:bottom w:val="none" w:sz="0" w:space="0" w:color="auto"/>
                    <w:right w:val="none" w:sz="0" w:space="0" w:color="auto"/>
                  </w:divBdr>
                </w:div>
                <w:div w:id="365954719">
                  <w:marLeft w:val="0"/>
                  <w:marRight w:val="0"/>
                  <w:marTop w:val="0"/>
                  <w:marBottom w:val="0"/>
                  <w:divBdr>
                    <w:top w:val="none" w:sz="0" w:space="0" w:color="auto"/>
                    <w:left w:val="none" w:sz="0" w:space="0" w:color="auto"/>
                    <w:bottom w:val="none" w:sz="0" w:space="0" w:color="auto"/>
                    <w:right w:val="none" w:sz="0" w:space="0" w:color="auto"/>
                  </w:divBdr>
                </w:div>
                <w:div w:id="383219615">
                  <w:marLeft w:val="0"/>
                  <w:marRight w:val="0"/>
                  <w:marTop w:val="0"/>
                  <w:marBottom w:val="0"/>
                  <w:divBdr>
                    <w:top w:val="none" w:sz="0" w:space="0" w:color="auto"/>
                    <w:left w:val="none" w:sz="0" w:space="0" w:color="auto"/>
                    <w:bottom w:val="none" w:sz="0" w:space="0" w:color="auto"/>
                    <w:right w:val="none" w:sz="0" w:space="0" w:color="auto"/>
                  </w:divBdr>
                </w:div>
                <w:div w:id="532575190">
                  <w:marLeft w:val="0"/>
                  <w:marRight w:val="0"/>
                  <w:marTop w:val="0"/>
                  <w:marBottom w:val="0"/>
                  <w:divBdr>
                    <w:top w:val="none" w:sz="0" w:space="0" w:color="auto"/>
                    <w:left w:val="none" w:sz="0" w:space="0" w:color="auto"/>
                    <w:bottom w:val="none" w:sz="0" w:space="0" w:color="auto"/>
                    <w:right w:val="none" w:sz="0" w:space="0" w:color="auto"/>
                  </w:divBdr>
                </w:div>
                <w:div w:id="580794634">
                  <w:marLeft w:val="0"/>
                  <w:marRight w:val="0"/>
                  <w:marTop w:val="0"/>
                  <w:marBottom w:val="0"/>
                  <w:divBdr>
                    <w:top w:val="none" w:sz="0" w:space="0" w:color="auto"/>
                    <w:left w:val="none" w:sz="0" w:space="0" w:color="auto"/>
                    <w:bottom w:val="none" w:sz="0" w:space="0" w:color="auto"/>
                    <w:right w:val="none" w:sz="0" w:space="0" w:color="auto"/>
                  </w:divBdr>
                </w:div>
                <w:div w:id="623388236">
                  <w:marLeft w:val="0"/>
                  <w:marRight w:val="0"/>
                  <w:marTop w:val="0"/>
                  <w:marBottom w:val="0"/>
                  <w:divBdr>
                    <w:top w:val="none" w:sz="0" w:space="0" w:color="auto"/>
                    <w:left w:val="none" w:sz="0" w:space="0" w:color="auto"/>
                    <w:bottom w:val="none" w:sz="0" w:space="0" w:color="auto"/>
                    <w:right w:val="none" w:sz="0" w:space="0" w:color="auto"/>
                  </w:divBdr>
                </w:div>
                <w:div w:id="627777996">
                  <w:marLeft w:val="0"/>
                  <w:marRight w:val="0"/>
                  <w:marTop w:val="0"/>
                  <w:marBottom w:val="0"/>
                  <w:divBdr>
                    <w:top w:val="none" w:sz="0" w:space="0" w:color="auto"/>
                    <w:left w:val="none" w:sz="0" w:space="0" w:color="auto"/>
                    <w:bottom w:val="none" w:sz="0" w:space="0" w:color="auto"/>
                    <w:right w:val="none" w:sz="0" w:space="0" w:color="auto"/>
                  </w:divBdr>
                </w:div>
                <w:div w:id="631718576">
                  <w:marLeft w:val="0"/>
                  <w:marRight w:val="0"/>
                  <w:marTop w:val="0"/>
                  <w:marBottom w:val="0"/>
                  <w:divBdr>
                    <w:top w:val="none" w:sz="0" w:space="0" w:color="auto"/>
                    <w:left w:val="none" w:sz="0" w:space="0" w:color="auto"/>
                    <w:bottom w:val="none" w:sz="0" w:space="0" w:color="auto"/>
                    <w:right w:val="none" w:sz="0" w:space="0" w:color="auto"/>
                  </w:divBdr>
                </w:div>
                <w:div w:id="673991616">
                  <w:marLeft w:val="0"/>
                  <w:marRight w:val="0"/>
                  <w:marTop w:val="0"/>
                  <w:marBottom w:val="0"/>
                  <w:divBdr>
                    <w:top w:val="none" w:sz="0" w:space="0" w:color="auto"/>
                    <w:left w:val="none" w:sz="0" w:space="0" w:color="auto"/>
                    <w:bottom w:val="none" w:sz="0" w:space="0" w:color="auto"/>
                    <w:right w:val="none" w:sz="0" w:space="0" w:color="auto"/>
                  </w:divBdr>
                </w:div>
                <w:div w:id="684600330">
                  <w:marLeft w:val="0"/>
                  <w:marRight w:val="0"/>
                  <w:marTop w:val="0"/>
                  <w:marBottom w:val="0"/>
                  <w:divBdr>
                    <w:top w:val="none" w:sz="0" w:space="0" w:color="auto"/>
                    <w:left w:val="none" w:sz="0" w:space="0" w:color="auto"/>
                    <w:bottom w:val="none" w:sz="0" w:space="0" w:color="auto"/>
                    <w:right w:val="none" w:sz="0" w:space="0" w:color="auto"/>
                  </w:divBdr>
                </w:div>
                <w:div w:id="746154490">
                  <w:marLeft w:val="0"/>
                  <w:marRight w:val="0"/>
                  <w:marTop w:val="0"/>
                  <w:marBottom w:val="0"/>
                  <w:divBdr>
                    <w:top w:val="none" w:sz="0" w:space="0" w:color="auto"/>
                    <w:left w:val="none" w:sz="0" w:space="0" w:color="auto"/>
                    <w:bottom w:val="none" w:sz="0" w:space="0" w:color="auto"/>
                    <w:right w:val="none" w:sz="0" w:space="0" w:color="auto"/>
                  </w:divBdr>
                </w:div>
                <w:div w:id="788089535">
                  <w:marLeft w:val="0"/>
                  <w:marRight w:val="0"/>
                  <w:marTop w:val="0"/>
                  <w:marBottom w:val="0"/>
                  <w:divBdr>
                    <w:top w:val="none" w:sz="0" w:space="0" w:color="auto"/>
                    <w:left w:val="none" w:sz="0" w:space="0" w:color="auto"/>
                    <w:bottom w:val="none" w:sz="0" w:space="0" w:color="auto"/>
                    <w:right w:val="none" w:sz="0" w:space="0" w:color="auto"/>
                  </w:divBdr>
                </w:div>
                <w:div w:id="809712565">
                  <w:marLeft w:val="0"/>
                  <w:marRight w:val="0"/>
                  <w:marTop w:val="0"/>
                  <w:marBottom w:val="0"/>
                  <w:divBdr>
                    <w:top w:val="none" w:sz="0" w:space="0" w:color="auto"/>
                    <w:left w:val="none" w:sz="0" w:space="0" w:color="auto"/>
                    <w:bottom w:val="none" w:sz="0" w:space="0" w:color="auto"/>
                    <w:right w:val="none" w:sz="0" w:space="0" w:color="auto"/>
                  </w:divBdr>
                </w:div>
                <w:div w:id="812678632">
                  <w:marLeft w:val="0"/>
                  <w:marRight w:val="0"/>
                  <w:marTop w:val="0"/>
                  <w:marBottom w:val="0"/>
                  <w:divBdr>
                    <w:top w:val="none" w:sz="0" w:space="0" w:color="auto"/>
                    <w:left w:val="none" w:sz="0" w:space="0" w:color="auto"/>
                    <w:bottom w:val="none" w:sz="0" w:space="0" w:color="auto"/>
                    <w:right w:val="none" w:sz="0" w:space="0" w:color="auto"/>
                  </w:divBdr>
                </w:div>
                <w:div w:id="828785060">
                  <w:marLeft w:val="0"/>
                  <w:marRight w:val="0"/>
                  <w:marTop w:val="0"/>
                  <w:marBottom w:val="0"/>
                  <w:divBdr>
                    <w:top w:val="none" w:sz="0" w:space="0" w:color="auto"/>
                    <w:left w:val="none" w:sz="0" w:space="0" w:color="auto"/>
                    <w:bottom w:val="none" w:sz="0" w:space="0" w:color="auto"/>
                    <w:right w:val="none" w:sz="0" w:space="0" w:color="auto"/>
                  </w:divBdr>
                </w:div>
                <w:div w:id="851184020">
                  <w:marLeft w:val="0"/>
                  <w:marRight w:val="0"/>
                  <w:marTop w:val="0"/>
                  <w:marBottom w:val="0"/>
                  <w:divBdr>
                    <w:top w:val="none" w:sz="0" w:space="0" w:color="auto"/>
                    <w:left w:val="none" w:sz="0" w:space="0" w:color="auto"/>
                    <w:bottom w:val="none" w:sz="0" w:space="0" w:color="auto"/>
                    <w:right w:val="none" w:sz="0" w:space="0" w:color="auto"/>
                  </w:divBdr>
                </w:div>
                <w:div w:id="866261385">
                  <w:marLeft w:val="0"/>
                  <w:marRight w:val="0"/>
                  <w:marTop w:val="0"/>
                  <w:marBottom w:val="0"/>
                  <w:divBdr>
                    <w:top w:val="none" w:sz="0" w:space="0" w:color="auto"/>
                    <w:left w:val="none" w:sz="0" w:space="0" w:color="auto"/>
                    <w:bottom w:val="none" w:sz="0" w:space="0" w:color="auto"/>
                    <w:right w:val="none" w:sz="0" w:space="0" w:color="auto"/>
                  </w:divBdr>
                </w:div>
                <w:div w:id="874073620">
                  <w:marLeft w:val="0"/>
                  <w:marRight w:val="0"/>
                  <w:marTop w:val="0"/>
                  <w:marBottom w:val="0"/>
                  <w:divBdr>
                    <w:top w:val="none" w:sz="0" w:space="0" w:color="auto"/>
                    <w:left w:val="none" w:sz="0" w:space="0" w:color="auto"/>
                    <w:bottom w:val="none" w:sz="0" w:space="0" w:color="auto"/>
                    <w:right w:val="none" w:sz="0" w:space="0" w:color="auto"/>
                  </w:divBdr>
                </w:div>
                <w:div w:id="888225966">
                  <w:marLeft w:val="0"/>
                  <w:marRight w:val="0"/>
                  <w:marTop w:val="0"/>
                  <w:marBottom w:val="0"/>
                  <w:divBdr>
                    <w:top w:val="none" w:sz="0" w:space="0" w:color="auto"/>
                    <w:left w:val="none" w:sz="0" w:space="0" w:color="auto"/>
                    <w:bottom w:val="none" w:sz="0" w:space="0" w:color="auto"/>
                    <w:right w:val="none" w:sz="0" w:space="0" w:color="auto"/>
                  </w:divBdr>
                </w:div>
                <w:div w:id="921720210">
                  <w:marLeft w:val="0"/>
                  <w:marRight w:val="0"/>
                  <w:marTop w:val="0"/>
                  <w:marBottom w:val="0"/>
                  <w:divBdr>
                    <w:top w:val="none" w:sz="0" w:space="0" w:color="auto"/>
                    <w:left w:val="none" w:sz="0" w:space="0" w:color="auto"/>
                    <w:bottom w:val="none" w:sz="0" w:space="0" w:color="auto"/>
                    <w:right w:val="none" w:sz="0" w:space="0" w:color="auto"/>
                  </w:divBdr>
                </w:div>
                <w:div w:id="933510276">
                  <w:marLeft w:val="0"/>
                  <w:marRight w:val="0"/>
                  <w:marTop w:val="0"/>
                  <w:marBottom w:val="0"/>
                  <w:divBdr>
                    <w:top w:val="none" w:sz="0" w:space="0" w:color="auto"/>
                    <w:left w:val="none" w:sz="0" w:space="0" w:color="auto"/>
                    <w:bottom w:val="none" w:sz="0" w:space="0" w:color="auto"/>
                    <w:right w:val="none" w:sz="0" w:space="0" w:color="auto"/>
                  </w:divBdr>
                </w:div>
                <w:div w:id="934704833">
                  <w:marLeft w:val="0"/>
                  <w:marRight w:val="0"/>
                  <w:marTop w:val="0"/>
                  <w:marBottom w:val="0"/>
                  <w:divBdr>
                    <w:top w:val="none" w:sz="0" w:space="0" w:color="auto"/>
                    <w:left w:val="none" w:sz="0" w:space="0" w:color="auto"/>
                    <w:bottom w:val="none" w:sz="0" w:space="0" w:color="auto"/>
                    <w:right w:val="none" w:sz="0" w:space="0" w:color="auto"/>
                  </w:divBdr>
                </w:div>
                <w:div w:id="935868012">
                  <w:marLeft w:val="0"/>
                  <w:marRight w:val="0"/>
                  <w:marTop w:val="0"/>
                  <w:marBottom w:val="0"/>
                  <w:divBdr>
                    <w:top w:val="none" w:sz="0" w:space="0" w:color="auto"/>
                    <w:left w:val="none" w:sz="0" w:space="0" w:color="auto"/>
                    <w:bottom w:val="none" w:sz="0" w:space="0" w:color="auto"/>
                    <w:right w:val="none" w:sz="0" w:space="0" w:color="auto"/>
                  </w:divBdr>
                </w:div>
                <w:div w:id="1011686286">
                  <w:marLeft w:val="0"/>
                  <w:marRight w:val="0"/>
                  <w:marTop w:val="0"/>
                  <w:marBottom w:val="0"/>
                  <w:divBdr>
                    <w:top w:val="none" w:sz="0" w:space="0" w:color="auto"/>
                    <w:left w:val="none" w:sz="0" w:space="0" w:color="auto"/>
                    <w:bottom w:val="none" w:sz="0" w:space="0" w:color="auto"/>
                    <w:right w:val="none" w:sz="0" w:space="0" w:color="auto"/>
                  </w:divBdr>
                </w:div>
                <w:div w:id="1051269413">
                  <w:marLeft w:val="0"/>
                  <w:marRight w:val="0"/>
                  <w:marTop w:val="0"/>
                  <w:marBottom w:val="0"/>
                  <w:divBdr>
                    <w:top w:val="none" w:sz="0" w:space="0" w:color="auto"/>
                    <w:left w:val="none" w:sz="0" w:space="0" w:color="auto"/>
                    <w:bottom w:val="none" w:sz="0" w:space="0" w:color="auto"/>
                    <w:right w:val="none" w:sz="0" w:space="0" w:color="auto"/>
                  </w:divBdr>
                </w:div>
                <w:div w:id="1201551877">
                  <w:marLeft w:val="0"/>
                  <w:marRight w:val="0"/>
                  <w:marTop w:val="0"/>
                  <w:marBottom w:val="0"/>
                  <w:divBdr>
                    <w:top w:val="none" w:sz="0" w:space="0" w:color="auto"/>
                    <w:left w:val="none" w:sz="0" w:space="0" w:color="auto"/>
                    <w:bottom w:val="none" w:sz="0" w:space="0" w:color="auto"/>
                    <w:right w:val="none" w:sz="0" w:space="0" w:color="auto"/>
                  </w:divBdr>
                </w:div>
                <w:div w:id="1224487840">
                  <w:marLeft w:val="0"/>
                  <w:marRight w:val="0"/>
                  <w:marTop w:val="0"/>
                  <w:marBottom w:val="0"/>
                  <w:divBdr>
                    <w:top w:val="none" w:sz="0" w:space="0" w:color="auto"/>
                    <w:left w:val="none" w:sz="0" w:space="0" w:color="auto"/>
                    <w:bottom w:val="none" w:sz="0" w:space="0" w:color="auto"/>
                    <w:right w:val="none" w:sz="0" w:space="0" w:color="auto"/>
                  </w:divBdr>
                </w:div>
                <w:div w:id="1294406617">
                  <w:marLeft w:val="0"/>
                  <w:marRight w:val="0"/>
                  <w:marTop w:val="0"/>
                  <w:marBottom w:val="0"/>
                  <w:divBdr>
                    <w:top w:val="none" w:sz="0" w:space="0" w:color="auto"/>
                    <w:left w:val="none" w:sz="0" w:space="0" w:color="auto"/>
                    <w:bottom w:val="none" w:sz="0" w:space="0" w:color="auto"/>
                    <w:right w:val="none" w:sz="0" w:space="0" w:color="auto"/>
                  </w:divBdr>
                </w:div>
                <w:div w:id="1302226945">
                  <w:marLeft w:val="0"/>
                  <w:marRight w:val="0"/>
                  <w:marTop w:val="0"/>
                  <w:marBottom w:val="0"/>
                  <w:divBdr>
                    <w:top w:val="none" w:sz="0" w:space="0" w:color="auto"/>
                    <w:left w:val="none" w:sz="0" w:space="0" w:color="auto"/>
                    <w:bottom w:val="none" w:sz="0" w:space="0" w:color="auto"/>
                    <w:right w:val="none" w:sz="0" w:space="0" w:color="auto"/>
                  </w:divBdr>
                </w:div>
                <w:div w:id="1319462039">
                  <w:marLeft w:val="0"/>
                  <w:marRight w:val="0"/>
                  <w:marTop w:val="0"/>
                  <w:marBottom w:val="0"/>
                  <w:divBdr>
                    <w:top w:val="none" w:sz="0" w:space="0" w:color="auto"/>
                    <w:left w:val="none" w:sz="0" w:space="0" w:color="auto"/>
                    <w:bottom w:val="none" w:sz="0" w:space="0" w:color="auto"/>
                    <w:right w:val="none" w:sz="0" w:space="0" w:color="auto"/>
                  </w:divBdr>
                </w:div>
                <w:div w:id="1365444720">
                  <w:marLeft w:val="0"/>
                  <w:marRight w:val="0"/>
                  <w:marTop w:val="0"/>
                  <w:marBottom w:val="0"/>
                  <w:divBdr>
                    <w:top w:val="none" w:sz="0" w:space="0" w:color="auto"/>
                    <w:left w:val="none" w:sz="0" w:space="0" w:color="auto"/>
                    <w:bottom w:val="none" w:sz="0" w:space="0" w:color="auto"/>
                    <w:right w:val="none" w:sz="0" w:space="0" w:color="auto"/>
                  </w:divBdr>
                </w:div>
                <w:div w:id="1389694789">
                  <w:marLeft w:val="0"/>
                  <w:marRight w:val="0"/>
                  <w:marTop w:val="0"/>
                  <w:marBottom w:val="0"/>
                  <w:divBdr>
                    <w:top w:val="none" w:sz="0" w:space="0" w:color="auto"/>
                    <w:left w:val="none" w:sz="0" w:space="0" w:color="auto"/>
                    <w:bottom w:val="none" w:sz="0" w:space="0" w:color="auto"/>
                    <w:right w:val="none" w:sz="0" w:space="0" w:color="auto"/>
                  </w:divBdr>
                </w:div>
                <w:div w:id="1424257670">
                  <w:marLeft w:val="0"/>
                  <w:marRight w:val="0"/>
                  <w:marTop w:val="0"/>
                  <w:marBottom w:val="0"/>
                  <w:divBdr>
                    <w:top w:val="none" w:sz="0" w:space="0" w:color="auto"/>
                    <w:left w:val="none" w:sz="0" w:space="0" w:color="auto"/>
                    <w:bottom w:val="none" w:sz="0" w:space="0" w:color="auto"/>
                    <w:right w:val="none" w:sz="0" w:space="0" w:color="auto"/>
                  </w:divBdr>
                </w:div>
                <w:div w:id="1473714140">
                  <w:marLeft w:val="0"/>
                  <w:marRight w:val="0"/>
                  <w:marTop w:val="0"/>
                  <w:marBottom w:val="0"/>
                  <w:divBdr>
                    <w:top w:val="none" w:sz="0" w:space="0" w:color="auto"/>
                    <w:left w:val="none" w:sz="0" w:space="0" w:color="auto"/>
                    <w:bottom w:val="none" w:sz="0" w:space="0" w:color="auto"/>
                    <w:right w:val="none" w:sz="0" w:space="0" w:color="auto"/>
                  </w:divBdr>
                </w:div>
                <w:div w:id="1539510564">
                  <w:marLeft w:val="0"/>
                  <w:marRight w:val="0"/>
                  <w:marTop w:val="0"/>
                  <w:marBottom w:val="0"/>
                  <w:divBdr>
                    <w:top w:val="none" w:sz="0" w:space="0" w:color="auto"/>
                    <w:left w:val="none" w:sz="0" w:space="0" w:color="auto"/>
                    <w:bottom w:val="none" w:sz="0" w:space="0" w:color="auto"/>
                    <w:right w:val="none" w:sz="0" w:space="0" w:color="auto"/>
                  </w:divBdr>
                </w:div>
                <w:div w:id="1582445998">
                  <w:marLeft w:val="0"/>
                  <w:marRight w:val="0"/>
                  <w:marTop w:val="0"/>
                  <w:marBottom w:val="0"/>
                  <w:divBdr>
                    <w:top w:val="none" w:sz="0" w:space="0" w:color="auto"/>
                    <w:left w:val="none" w:sz="0" w:space="0" w:color="auto"/>
                    <w:bottom w:val="none" w:sz="0" w:space="0" w:color="auto"/>
                    <w:right w:val="none" w:sz="0" w:space="0" w:color="auto"/>
                  </w:divBdr>
                </w:div>
                <w:div w:id="1602954963">
                  <w:marLeft w:val="0"/>
                  <w:marRight w:val="0"/>
                  <w:marTop w:val="0"/>
                  <w:marBottom w:val="0"/>
                  <w:divBdr>
                    <w:top w:val="none" w:sz="0" w:space="0" w:color="auto"/>
                    <w:left w:val="none" w:sz="0" w:space="0" w:color="auto"/>
                    <w:bottom w:val="none" w:sz="0" w:space="0" w:color="auto"/>
                    <w:right w:val="none" w:sz="0" w:space="0" w:color="auto"/>
                  </w:divBdr>
                </w:div>
                <w:div w:id="1609385634">
                  <w:marLeft w:val="0"/>
                  <w:marRight w:val="0"/>
                  <w:marTop w:val="0"/>
                  <w:marBottom w:val="0"/>
                  <w:divBdr>
                    <w:top w:val="none" w:sz="0" w:space="0" w:color="auto"/>
                    <w:left w:val="none" w:sz="0" w:space="0" w:color="auto"/>
                    <w:bottom w:val="none" w:sz="0" w:space="0" w:color="auto"/>
                    <w:right w:val="none" w:sz="0" w:space="0" w:color="auto"/>
                  </w:divBdr>
                </w:div>
                <w:div w:id="1712998007">
                  <w:marLeft w:val="0"/>
                  <w:marRight w:val="0"/>
                  <w:marTop w:val="0"/>
                  <w:marBottom w:val="0"/>
                  <w:divBdr>
                    <w:top w:val="none" w:sz="0" w:space="0" w:color="auto"/>
                    <w:left w:val="none" w:sz="0" w:space="0" w:color="auto"/>
                    <w:bottom w:val="none" w:sz="0" w:space="0" w:color="auto"/>
                    <w:right w:val="none" w:sz="0" w:space="0" w:color="auto"/>
                  </w:divBdr>
                </w:div>
                <w:div w:id="1753316224">
                  <w:marLeft w:val="0"/>
                  <w:marRight w:val="0"/>
                  <w:marTop w:val="0"/>
                  <w:marBottom w:val="0"/>
                  <w:divBdr>
                    <w:top w:val="none" w:sz="0" w:space="0" w:color="auto"/>
                    <w:left w:val="none" w:sz="0" w:space="0" w:color="auto"/>
                    <w:bottom w:val="none" w:sz="0" w:space="0" w:color="auto"/>
                    <w:right w:val="none" w:sz="0" w:space="0" w:color="auto"/>
                  </w:divBdr>
                </w:div>
                <w:div w:id="1785346262">
                  <w:marLeft w:val="0"/>
                  <w:marRight w:val="0"/>
                  <w:marTop w:val="0"/>
                  <w:marBottom w:val="0"/>
                  <w:divBdr>
                    <w:top w:val="none" w:sz="0" w:space="0" w:color="auto"/>
                    <w:left w:val="none" w:sz="0" w:space="0" w:color="auto"/>
                    <w:bottom w:val="none" w:sz="0" w:space="0" w:color="auto"/>
                    <w:right w:val="none" w:sz="0" w:space="0" w:color="auto"/>
                  </w:divBdr>
                </w:div>
                <w:div w:id="1803620011">
                  <w:marLeft w:val="0"/>
                  <w:marRight w:val="0"/>
                  <w:marTop w:val="0"/>
                  <w:marBottom w:val="0"/>
                  <w:divBdr>
                    <w:top w:val="none" w:sz="0" w:space="0" w:color="auto"/>
                    <w:left w:val="none" w:sz="0" w:space="0" w:color="auto"/>
                    <w:bottom w:val="none" w:sz="0" w:space="0" w:color="auto"/>
                    <w:right w:val="none" w:sz="0" w:space="0" w:color="auto"/>
                  </w:divBdr>
                </w:div>
                <w:div w:id="1845902070">
                  <w:marLeft w:val="0"/>
                  <w:marRight w:val="0"/>
                  <w:marTop w:val="0"/>
                  <w:marBottom w:val="0"/>
                  <w:divBdr>
                    <w:top w:val="none" w:sz="0" w:space="0" w:color="auto"/>
                    <w:left w:val="none" w:sz="0" w:space="0" w:color="auto"/>
                    <w:bottom w:val="none" w:sz="0" w:space="0" w:color="auto"/>
                    <w:right w:val="none" w:sz="0" w:space="0" w:color="auto"/>
                  </w:divBdr>
                </w:div>
                <w:div w:id="1881357905">
                  <w:marLeft w:val="0"/>
                  <w:marRight w:val="0"/>
                  <w:marTop w:val="0"/>
                  <w:marBottom w:val="0"/>
                  <w:divBdr>
                    <w:top w:val="none" w:sz="0" w:space="0" w:color="auto"/>
                    <w:left w:val="none" w:sz="0" w:space="0" w:color="auto"/>
                    <w:bottom w:val="none" w:sz="0" w:space="0" w:color="auto"/>
                    <w:right w:val="none" w:sz="0" w:space="0" w:color="auto"/>
                  </w:divBdr>
                </w:div>
                <w:div w:id="1930499913">
                  <w:marLeft w:val="0"/>
                  <w:marRight w:val="0"/>
                  <w:marTop w:val="0"/>
                  <w:marBottom w:val="0"/>
                  <w:divBdr>
                    <w:top w:val="none" w:sz="0" w:space="0" w:color="auto"/>
                    <w:left w:val="none" w:sz="0" w:space="0" w:color="auto"/>
                    <w:bottom w:val="none" w:sz="0" w:space="0" w:color="auto"/>
                    <w:right w:val="none" w:sz="0" w:space="0" w:color="auto"/>
                  </w:divBdr>
                </w:div>
                <w:div w:id="1991010487">
                  <w:marLeft w:val="0"/>
                  <w:marRight w:val="0"/>
                  <w:marTop w:val="0"/>
                  <w:marBottom w:val="0"/>
                  <w:divBdr>
                    <w:top w:val="none" w:sz="0" w:space="0" w:color="auto"/>
                    <w:left w:val="none" w:sz="0" w:space="0" w:color="auto"/>
                    <w:bottom w:val="none" w:sz="0" w:space="0" w:color="auto"/>
                    <w:right w:val="none" w:sz="0" w:space="0" w:color="auto"/>
                  </w:divBdr>
                </w:div>
                <w:div w:id="2000158880">
                  <w:marLeft w:val="0"/>
                  <w:marRight w:val="0"/>
                  <w:marTop w:val="0"/>
                  <w:marBottom w:val="0"/>
                  <w:divBdr>
                    <w:top w:val="none" w:sz="0" w:space="0" w:color="auto"/>
                    <w:left w:val="none" w:sz="0" w:space="0" w:color="auto"/>
                    <w:bottom w:val="none" w:sz="0" w:space="0" w:color="auto"/>
                    <w:right w:val="none" w:sz="0" w:space="0" w:color="auto"/>
                  </w:divBdr>
                </w:div>
                <w:div w:id="2026513620">
                  <w:marLeft w:val="0"/>
                  <w:marRight w:val="0"/>
                  <w:marTop w:val="0"/>
                  <w:marBottom w:val="0"/>
                  <w:divBdr>
                    <w:top w:val="none" w:sz="0" w:space="0" w:color="auto"/>
                    <w:left w:val="none" w:sz="0" w:space="0" w:color="auto"/>
                    <w:bottom w:val="none" w:sz="0" w:space="0" w:color="auto"/>
                    <w:right w:val="none" w:sz="0" w:space="0" w:color="auto"/>
                  </w:divBdr>
                </w:div>
                <w:div w:id="2056811913">
                  <w:marLeft w:val="0"/>
                  <w:marRight w:val="0"/>
                  <w:marTop w:val="0"/>
                  <w:marBottom w:val="0"/>
                  <w:divBdr>
                    <w:top w:val="none" w:sz="0" w:space="0" w:color="auto"/>
                    <w:left w:val="none" w:sz="0" w:space="0" w:color="auto"/>
                    <w:bottom w:val="none" w:sz="0" w:space="0" w:color="auto"/>
                    <w:right w:val="none" w:sz="0" w:space="0" w:color="auto"/>
                  </w:divBdr>
                </w:div>
                <w:div w:id="2061401201">
                  <w:marLeft w:val="0"/>
                  <w:marRight w:val="0"/>
                  <w:marTop w:val="0"/>
                  <w:marBottom w:val="0"/>
                  <w:divBdr>
                    <w:top w:val="none" w:sz="0" w:space="0" w:color="auto"/>
                    <w:left w:val="none" w:sz="0" w:space="0" w:color="auto"/>
                    <w:bottom w:val="none" w:sz="0" w:space="0" w:color="auto"/>
                    <w:right w:val="none" w:sz="0" w:space="0" w:color="auto"/>
                  </w:divBdr>
                </w:div>
                <w:div w:id="21338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15556">
      <w:bodyDiv w:val="1"/>
      <w:marLeft w:val="0"/>
      <w:marRight w:val="0"/>
      <w:marTop w:val="0"/>
      <w:marBottom w:val="0"/>
      <w:divBdr>
        <w:top w:val="none" w:sz="0" w:space="0" w:color="auto"/>
        <w:left w:val="none" w:sz="0" w:space="0" w:color="auto"/>
        <w:bottom w:val="none" w:sz="0" w:space="0" w:color="auto"/>
        <w:right w:val="none" w:sz="0" w:space="0" w:color="auto"/>
      </w:divBdr>
      <w:divsChild>
        <w:div w:id="616524466">
          <w:marLeft w:val="0"/>
          <w:marRight w:val="0"/>
          <w:marTop w:val="0"/>
          <w:marBottom w:val="0"/>
          <w:divBdr>
            <w:top w:val="none" w:sz="0" w:space="0" w:color="auto"/>
            <w:left w:val="none" w:sz="0" w:space="0" w:color="auto"/>
            <w:bottom w:val="none" w:sz="0" w:space="0" w:color="auto"/>
            <w:right w:val="none" w:sz="0" w:space="0" w:color="auto"/>
          </w:divBdr>
          <w:divsChild>
            <w:div w:id="1682928979">
              <w:marLeft w:val="0"/>
              <w:marRight w:val="0"/>
              <w:marTop w:val="0"/>
              <w:marBottom w:val="0"/>
              <w:divBdr>
                <w:top w:val="none" w:sz="0" w:space="0" w:color="auto"/>
                <w:left w:val="none" w:sz="0" w:space="0" w:color="auto"/>
                <w:bottom w:val="none" w:sz="0" w:space="0" w:color="auto"/>
                <w:right w:val="none" w:sz="0" w:space="0" w:color="auto"/>
              </w:divBdr>
              <w:divsChild>
                <w:div w:id="325715982">
                  <w:marLeft w:val="0"/>
                  <w:marRight w:val="0"/>
                  <w:marTop w:val="0"/>
                  <w:marBottom w:val="0"/>
                  <w:divBdr>
                    <w:top w:val="none" w:sz="0" w:space="0" w:color="auto"/>
                    <w:left w:val="none" w:sz="0" w:space="0" w:color="auto"/>
                    <w:bottom w:val="none" w:sz="0" w:space="0" w:color="auto"/>
                    <w:right w:val="none" w:sz="0" w:space="0" w:color="auto"/>
                  </w:divBdr>
                </w:div>
                <w:div w:id="1211727788">
                  <w:marLeft w:val="0"/>
                  <w:marRight w:val="0"/>
                  <w:marTop w:val="0"/>
                  <w:marBottom w:val="0"/>
                  <w:divBdr>
                    <w:top w:val="none" w:sz="0" w:space="0" w:color="auto"/>
                    <w:left w:val="none" w:sz="0" w:space="0" w:color="auto"/>
                    <w:bottom w:val="none" w:sz="0" w:space="0" w:color="auto"/>
                    <w:right w:val="none" w:sz="0" w:space="0" w:color="auto"/>
                  </w:divBdr>
                </w:div>
                <w:div w:id="20240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27554">
      <w:bodyDiv w:val="1"/>
      <w:marLeft w:val="0"/>
      <w:marRight w:val="0"/>
      <w:marTop w:val="0"/>
      <w:marBottom w:val="0"/>
      <w:divBdr>
        <w:top w:val="none" w:sz="0" w:space="0" w:color="auto"/>
        <w:left w:val="none" w:sz="0" w:space="0" w:color="auto"/>
        <w:bottom w:val="none" w:sz="0" w:space="0" w:color="auto"/>
        <w:right w:val="none" w:sz="0" w:space="0" w:color="auto"/>
      </w:divBdr>
      <w:divsChild>
        <w:div w:id="1536427692">
          <w:marLeft w:val="0"/>
          <w:marRight w:val="0"/>
          <w:marTop w:val="0"/>
          <w:marBottom w:val="0"/>
          <w:divBdr>
            <w:top w:val="none" w:sz="0" w:space="0" w:color="auto"/>
            <w:left w:val="none" w:sz="0" w:space="0" w:color="auto"/>
            <w:bottom w:val="none" w:sz="0" w:space="0" w:color="auto"/>
            <w:right w:val="none" w:sz="0" w:space="0" w:color="auto"/>
          </w:divBdr>
          <w:divsChild>
            <w:div w:id="1610357898">
              <w:marLeft w:val="0"/>
              <w:marRight w:val="0"/>
              <w:marTop w:val="0"/>
              <w:marBottom w:val="0"/>
              <w:divBdr>
                <w:top w:val="none" w:sz="0" w:space="0" w:color="auto"/>
                <w:left w:val="none" w:sz="0" w:space="0" w:color="auto"/>
                <w:bottom w:val="none" w:sz="0" w:space="0" w:color="auto"/>
                <w:right w:val="none" w:sz="0" w:space="0" w:color="auto"/>
              </w:divBdr>
              <w:divsChild>
                <w:div w:id="816920260">
                  <w:marLeft w:val="0"/>
                  <w:marRight w:val="0"/>
                  <w:marTop w:val="0"/>
                  <w:marBottom w:val="0"/>
                  <w:divBdr>
                    <w:top w:val="none" w:sz="0" w:space="0" w:color="auto"/>
                    <w:left w:val="none" w:sz="0" w:space="0" w:color="auto"/>
                    <w:bottom w:val="none" w:sz="0" w:space="0" w:color="auto"/>
                    <w:right w:val="none" w:sz="0" w:space="0" w:color="auto"/>
                  </w:divBdr>
                </w:div>
                <w:div w:id="985889600">
                  <w:marLeft w:val="0"/>
                  <w:marRight w:val="0"/>
                  <w:marTop w:val="0"/>
                  <w:marBottom w:val="0"/>
                  <w:divBdr>
                    <w:top w:val="none" w:sz="0" w:space="0" w:color="auto"/>
                    <w:left w:val="none" w:sz="0" w:space="0" w:color="auto"/>
                    <w:bottom w:val="none" w:sz="0" w:space="0" w:color="auto"/>
                    <w:right w:val="none" w:sz="0" w:space="0" w:color="auto"/>
                  </w:divBdr>
                </w:div>
                <w:div w:id="12254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2400">
      <w:bodyDiv w:val="1"/>
      <w:marLeft w:val="0"/>
      <w:marRight w:val="0"/>
      <w:marTop w:val="0"/>
      <w:marBottom w:val="0"/>
      <w:divBdr>
        <w:top w:val="none" w:sz="0" w:space="0" w:color="auto"/>
        <w:left w:val="none" w:sz="0" w:space="0" w:color="auto"/>
        <w:bottom w:val="none" w:sz="0" w:space="0" w:color="auto"/>
        <w:right w:val="none" w:sz="0" w:space="0" w:color="auto"/>
      </w:divBdr>
      <w:divsChild>
        <w:div w:id="1471896755">
          <w:marLeft w:val="0"/>
          <w:marRight w:val="0"/>
          <w:marTop w:val="0"/>
          <w:marBottom w:val="0"/>
          <w:divBdr>
            <w:top w:val="none" w:sz="0" w:space="0" w:color="auto"/>
            <w:left w:val="none" w:sz="0" w:space="0" w:color="auto"/>
            <w:bottom w:val="none" w:sz="0" w:space="0" w:color="auto"/>
            <w:right w:val="none" w:sz="0" w:space="0" w:color="auto"/>
          </w:divBdr>
          <w:divsChild>
            <w:div w:id="2109888093">
              <w:marLeft w:val="0"/>
              <w:marRight w:val="0"/>
              <w:marTop w:val="0"/>
              <w:marBottom w:val="0"/>
              <w:divBdr>
                <w:top w:val="none" w:sz="0" w:space="0" w:color="auto"/>
                <w:left w:val="none" w:sz="0" w:space="0" w:color="auto"/>
                <w:bottom w:val="none" w:sz="0" w:space="0" w:color="auto"/>
                <w:right w:val="none" w:sz="0" w:space="0" w:color="auto"/>
              </w:divBdr>
              <w:divsChild>
                <w:div w:id="1073357140">
                  <w:marLeft w:val="0"/>
                  <w:marRight w:val="0"/>
                  <w:marTop w:val="0"/>
                  <w:marBottom w:val="0"/>
                  <w:divBdr>
                    <w:top w:val="none" w:sz="0" w:space="0" w:color="auto"/>
                    <w:left w:val="none" w:sz="0" w:space="0" w:color="auto"/>
                    <w:bottom w:val="none" w:sz="0" w:space="0" w:color="auto"/>
                    <w:right w:val="none" w:sz="0" w:space="0" w:color="auto"/>
                  </w:divBdr>
                </w:div>
                <w:div w:id="20047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2372">
      <w:bodyDiv w:val="1"/>
      <w:marLeft w:val="0"/>
      <w:marRight w:val="0"/>
      <w:marTop w:val="0"/>
      <w:marBottom w:val="0"/>
      <w:divBdr>
        <w:top w:val="none" w:sz="0" w:space="0" w:color="auto"/>
        <w:left w:val="none" w:sz="0" w:space="0" w:color="auto"/>
        <w:bottom w:val="none" w:sz="0" w:space="0" w:color="auto"/>
        <w:right w:val="none" w:sz="0" w:space="0" w:color="auto"/>
      </w:divBdr>
      <w:divsChild>
        <w:div w:id="1145467275">
          <w:marLeft w:val="0"/>
          <w:marRight w:val="0"/>
          <w:marTop w:val="0"/>
          <w:marBottom w:val="0"/>
          <w:divBdr>
            <w:top w:val="none" w:sz="0" w:space="0" w:color="auto"/>
            <w:left w:val="none" w:sz="0" w:space="0" w:color="auto"/>
            <w:bottom w:val="none" w:sz="0" w:space="0" w:color="auto"/>
            <w:right w:val="none" w:sz="0" w:space="0" w:color="auto"/>
          </w:divBdr>
          <w:divsChild>
            <w:div w:id="1684821063">
              <w:marLeft w:val="0"/>
              <w:marRight w:val="0"/>
              <w:marTop w:val="0"/>
              <w:marBottom w:val="0"/>
              <w:divBdr>
                <w:top w:val="none" w:sz="0" w:space="0" w:color="auto"/>
                <w:left w:val="none" w:sz="0" w:space="0" w:color="auto"/>
                <w:bottom w:val="none" w:sz="0" w:space="0" w:color="auto"/>
                <w:right w:val="none" w:sz="0" w:space="0" w:color="auto"/>
              </w:divBdr>
              <w:divsChild>
                <w:div w:id="19630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47101">
      <w:bodyDiv w:val="1"/>
      <w:marLeft w:val="0"/>
      <w:marRight w:val="0"/>
      <w:marTop w:val="0"/>
      <w:marBottom w:val="0"/>
      <w:divBdr>
        <w:top w:val="none" w:sz="0" w:space="0" w:color="auto"/>
        <w:left w:val="none" w:sz="0" w:space="0" w:color="auto"/>
        <w:bottom w:val="none" w:sz="0" w:space="0" w:color="auto"/>
        <w:right w:val="none" w:sz="0" w:space="0" w:color="auto"/>
      </w:divBdr>
    </w:div>
    <w:div w:id="2004432516">
      <w:bodyDiv w:val="1"/>
      <w:marLeft w:val="0"/>
      <w:marRight w:val="0"/>
      <w:marTop w:val="0"/>
      <w:marBottom w:val="0"/>
      <w:divBdr>
        <w:top w:val="none" w:sz="0" w:space="0" w:color="auto"/>
        <w:left w:val="none" w:sz="0" w:space="0" w:color="auto"/>
        <w:bottom w:val="none" w:sz="0" w:space="0" w:color="auto"/>
        <w:right w:val="none" w:sz="0" w:space="0" w:color="auto"/>
      </w:divBdr>
      <w:divsChild>
        <w:div w:id="499809769">
          <w:marLeft w:val="0"/>
          <w:marRight w:val="0"/>
          <w:marTop w:val="0"/>
          <w:marBottom w:val="0"/>
          <w:divBdr>
            <w:top w:val="none" w:sz="0" w:space="0" w:color="auto"/>
            <w:left w:val="none" w:sz="0" w:space="0" w:color="auto"/>
            <w:bottom w:val="none" w:sz="0" w:space="0" w:color="auto"/>
            <w:right w:val="none" w:sz="0" w:space="0" w:color="auto"/>
          </w:divBdr>
          <w:divsChild>
            <w:div w:id="329408212">
              <w:marLeft w:val="0"/>
              <w:marRight w:val="0"/>
              <w:marTop w:val="0"/>
              <w:marBottom w:val="0"/>
              <w:divBdr>
                <w:top w:val="none" w:sz="0" w:space="0" w:color="auto"/>
                <w:left w:val="none" w:sz="0" w:space="0" w:color="auto"/>
                <w:bottom w:val="none" w:sz="0" w:space="0" w:color="auto"/>
                <w:right w:val="none" w:sz="0" w:space="0" w:color="auto"/>
              </w:divBdr>
              <w:divsChild>
                <w:div w:id="454296565">
                  <w:marLeft w:val="0"/>
                  <w:marRight w:val="0"/>
                  <w:marTop w:val="0"/>
                  <w:marBottom w:val="0"/>
                  <w:divBdr>
                    <w:top w:val="none" w:sz="0" w:space="0" w:color="auto"/>
                    <w:left w:val="none" w:sz="0" w:space="0" w:color="auto"/>
                    <w:bottom w:val="none" w:sz="0" w:space="0" w:color="auto"/>
                    <w:right w:val="none" w:sz="0" w:space="0" w:color="auto"/>
                  </w:divBdr>
                </w:div>
                <w:div w:id="11590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7050">
          <w:marLeft w:val="0"/>
          <w:marRight w:val="0"/>
          <w:marTop w:val="0"/>
          <w:marBottom w:val="0"/>
          <w:divBdr>
            <w:top w:val="none" w:sz="0" w:space="0" w:color="auto"/>
            <w:left w:val="none" w:sz="0" w:space="0" w:color="auto"/>
            <w:bottom w:val="none" w:sz="0" w:space="0" w:color="auto"/>
            <w:right w:val="none" w:sz="0" w:space="0" w:color="auto"/>
          </w:divBdr>
          <w:divsChild>
            <w:div w:id="267783721">
              <w:marLeft w:val="0"/>
              <w:marRight w:val="0"/>
              <w:marTop w:val="0"/>
              <w:marBottom w:val="0"/>
              <w:divBdr>
                <w:top w:val="none" w:sz="0" w:space="0" w:color="auto"/>
                <w:left w:val="none" w:sz="0" w:space="0" w:color="auto"/>
                <w:bottom w:val="none" w:sz="0" w:space="0" w:color="auto"/>
                <w:right w:val="none" w:sz="0" w:space="0" w:color="auto"/>
              </w:divBdr>
              <w:divsChild>
                <w:div w:id="6561367">
                  <w:marLeft w:val="0"/>
                  <w:marRight w:val="0"/>
                  <w:marTop w:val="0"/>
                  <w:marBottom w:val="0"/>
                  <w:divBdr>
                    <w:top w:val="none" w:sz="0" w:space="0" w:color="auto"/>
                    <w:left w:val="none" w:sz="0" w:space="0" w:color="auto"/>
                    <w:bottom w:val="none" w:sz="0" w:space="0" w:color="auto"/>
                    <w:right w:val="none" w:sz="0" w:space="0" w:color="auto"/>
                  </w:divBdr>
                </w:div>
                <w:div w:id="34277986">
                  <w:marLeft w:val="0"/>
                  <w:marRight w:val="0"/>
                  <w:marTop w:val="0"/>
                  <w:marBottom w:val="0"/>
                  <w:divBdr>
                    <w:top w:val="none" w:sz="0" w:space="0" w:color="auto"/>
                    <w:left w:val="none" w:sz="0" w:space="0" w:color="auto"/>
                    <w:bottom w:val="none" w:sz="0" w:space="0" w:color="auto"/>
                    <w:right w:val="none" w:sz="0" w:space="0" w:color="auto"/>
                  </w:divBdr>
                </w:div>
                <w:div w:id="108474932">
                  <w:marLeft w:val="0"/>
                  <w:marRight w:val="0"/>
                  <w:marTop w:val="0"/>
                  <w:marBottom w:val="0"/>
                  <w:divBdr>
                    <w:top w:val="none" w:sz="0" w:space="0" w:color="auto"/>
                    <w:left w:val="none" w:sz="0" w:space="0" w:color="auto"/>
                    <w:bottom w:val="none" w:sz="0" w:space="0" w:color="auto"/>
                    <w:right w:val="none" w:sz="0" w:space="0" w:color="auto"/>
                  </w:divBdr>
                </w:div>
                <w:div w:id="134953491">
                  <w:marLeft w:val="0"/>
                  <w:marRight w:val="0"/>
                  <w:marTop w:val="0"/>
                  <w:marBottom w:val="0"/>
                  <w:divBdr>
                    <w:top w:val="none" w:sz="0" w:space="0" w:color="auto"/>
                    <w:left w:val="none" w:sz="0" w:space="0" w:color="auto"/>
                    <w:bottom w:val="none" w:sz="0" w:space="0" w:color="auto"/>
                    <w:right w:val="none" w:sz="0" w:space="0" w:color="auto"/>
                  </w:divBdr>
                </w:div>
                <w:div w:id="135538645">
                  <w:marLeft w:val="0"/>
                  <w:marRight w:val="0"/>
                  <w:marTop w:val="0"/>
                  <w:marBottom w:val="0"/>
                  <w:divBdr>
                    <w:top w:val="none" w:sz="0" w:space="0" w:color="auto"/>
                    <w:left w:val="none" w:sz="0" w:space="0" w:color="auto"/>
                    <w:bottom w:val="none" w:sz="0" w:space="0" w:color="auto"/>
                    <w:right w:val="none" w:sz="0" w:space="0" w:color="auto"/>
                  </w:divBdr>
                </w:div>
                <w:div w:id="157161690">
                  <w:marLeft w:val="0"/>
                  <w:marRight w:val="0"/>
                  <w:marTop w:val="0"/>
                  <w:marBottom w:val="0"/>
                  <w:divBdr>
                    <w:top w:val="none" w:sz="0" w:space="0" w:color="auto"/>
                    <w:left w:val="none" w:sz="0" w:space="0" w:color="auto"/>
                    <w:bottom w:val="none" w:sz="0" w:space="0" w:color="auto"/>
                    <w:right w:val="none" w:sz="0" w:space="0" w:color="auto"/>
                  </w:divBdr>
                </w:div>
                <w:div w:id="179202511">
                  <w:marLeft w:val="0"/>
                  <w:marRight w:val="0"/>
                  <w:marTop w:val="0"/>
                  <w:marBottom w:val="0"/>
                  <w:divBdr>
                    <w:top w:val="none" w:sz="0" w:space="0" w:color="auto"/>
                    <w:left w:val="none" w:sz="0" w:space="0" w:color="auto"/>
                    <w:bottom w:val="none" w:sz="0" w:space="0" w:color="auto"/>
                    <w:right w:val="none" w:sz="0" w:space="0" w:color="auto"/>
                  </w:divBdr>
                </w:div>
                <w:div w:id="220556499">
                  <w:marLeft w:val="0"/>
                  <w:marRight w:val="0"/>
                  <w:marTop w:val="0"/>
                  <w:marBottom w:val="0"/>
                  <w:divBdr>
                    <w:top w:val="none" w:sz="0" w:space="0" w:color="auto"/>
                    <w:left w:val="none" w:sz="0" w:space="0" w:color="auto"/>
                    <w:bottom w:val="none" w:sz="0" w:space="0" w:color="auto"/>
                    <w:right w:val="none" w:sz="0" w:space="0" w:color="auto"/>
                  </w:divBdr>
                </w:div>
                <w:div w:id="232467971">
                  <w:marLeft w:val="0"/>
                  <w:marRight w:val="0"/>
                  <w:marTop w:val="0"/>
                  <w:marBottom w:val="0"/>
                  <w:divBdr>
                    <w:top w:val="none" w:sz="0" w:space="0" w:color="auto"/>
                    <w:left w:val="none" w:sz="0" w:space="0" w:color="auto"/>
                    <w:bottom w:val="none" w:sz="0" w:space="0" w:color="auto"/>
                    <w:right w:val="none" w:sz="0" w:space="0" w:color="auto"/>
                  </w:divBdr>
                </w:div>
                <w:div w:id="243421461">
                  <w:marLeft w:val="0"/>
                  <w:marRight w:val="0"/>
                  <w:marTop w:val="0"/>
                  <w:marBottom w:val="0"/>
                  <w:divBdr>
                    <w:top w:val="none" w:sz="0" w:space="0" w:color="auto"/>
                    <w:left w:val="none" w:sz="0" w:space="0" w:color="auto"/>
                    <w:bottom w:val="none" w:sz="0" w:space="0" w:color="auto"/>
                    <w:right w:val="none" w:sz="0" w:space="0" w:color="auto"/>
                  </w:divBdr>
                </w:div>
                <w:div w:id="264505747">
                  <w:marLeft w:val="0"/>
                  <w:marRight w:val="0"/>
                  <w:marTop w:val="0"/>
                  <w:marBottom w:val="0"/>
                  <w:divBdr>
                    <w:top w:val="none" w:sz="0" w:space="0" w:color="auto"/>
                    <w:left w:val="none" w:sz="0" w:space="0" w:color="auto"/>
                    <w:bottom w:val="none" w:sz="0" w:space="0" w:color="auto"/>
                    <w:right w:val="none" w:sz="0" w:space="0" w:color="auto"/>
                  </w:divBdr>
                </w:div>
                <w:div w:id="284698119">
                  <w:marLeft w:val="0"/>
                  <w:marRight w:val="0"/>
                  <w:marTop w:val="0"/>
                  <w:marBottom w:val="0"/>
                  <w:divBdr>
                    <w:top w:val="none" w:sz="0" w:space="0" w:color="auto"/>
                    <w:left w:val="none" w:sz="0" w:space="0" w:color="auto"/>
                    <w:bottom w:val="none" w:sz="0" w:space="0" w:color="auto"/>
                    <w:right w:val="none" w:sz="0" w:space="0" w:color="auto"/>
                  </w:divBdr>
                </w:div>
                <w:div w:id="287592080">
                  <w:marLeft w:val="0"/>
                  <w:marRight w:val="0"/>
                  <w:marTop w:val="0"/>
                  <w:marBottom w:val="0"/>
                  <w:divBdr>
                    <w:top w:val="none" w:sz="0" w:space="0" w:color="auto"/>
                    <w:left w:val="none" w:sz="0" w:space="0" w:color="auto"/>
                    <w:bottom w:val="none" w:sz="0" w:space="0" w:color="auto"/>
                    <w:right w:val="none" w:sz="0" w:space="0" w:color="auto"/>
                  </w:divBdr>
                </w:div>
                <w:div w:id="287863196">
                  <w:marLeft w:val="0"/>
                  <w:marRight w:val="0"/>
                  <w:marTop w:val="0"/>
                  <w:marBottom w:val="0"/>
                  <w:divBdr>
                    <w:top w:val="none" w:sz="0" w:space="0" w:color="auto"/>
                    <w:left w:val="none" w:sz="0" w:space="0" w:color="auto"/>
                    <w:bottom w:val="none" w:sz="0" w:space="0" w:color="auto"/>
                    <w:right w:val="none" w:sz="0" w:space="0" w:color="auto"/>
                  </w:divBdr>
                </w:div>
                <w:div w:id="319846363">
                  <w:marLeft w:val="0"/>
                  <w:marRight w:val="0"/>
                  <w:marTop w:val="0"/>
                  <w:marBottom w:val="0"/>
                  <w:divBdr>
                    <w:top w:val="none" w:sz="0" w:space="0" w:color="auto"/>
                    <w:left w:val="none" w:sz="0" w:space="0" w:color="auto"/>
                    <w:bottom w:val="none" w:sz="0" w:space="0" w:color="auto"/>
                    <w:right w:val="none" w:sz="0" w:space="0" w:color="auto"/>
                  </w:divBdr>
                </w:div>
                <w:div w:id="357975833">
                  <w:marLeft w:val="0"/>
                  <w:marRight w:val="0"/>
                  <w:marTop w:val="0"/>
                  <w:marBottom w:val="0"/>
                  <w:divBdr>
                    <w:top w:val="none" w:sz="0" w:space="0" w:color="auto"/>
                    <w:left w:val="none" w:sz="0" w:space="0" w:color="auto"/>
                    <w:bottom w:val="none" w:sz="0" w:space="0" w:color="auto"/>
                    <w:right w:val="none" w:sz="0" w:space="0" w:color="auto"/>
                  </w:divBdr>
                </w:div>
                <w:div w:id="472983683">
                  <w:marLeft w:val="0"/>
                  <w:marRight w:val="0"/>
                  <w:marTop w:val="0"/>
                  <w:marBottom w:val="0"/>
                  <w:divBdr>
                    <w:top w:val="none" w:sz="0" w:space="0" w:color="auto"/>
                    <w:left w:val="none" w:sz="0" w:space="0" w:color="auto"/>
                    <w:bottom w:val="none" w:sz="0" w:space="0" w:color="auto"/>
                    <w:right w:val="none" w:sz="0" w:space="0" w:color="auto"/>
                  </w:divBdr>
                </w:div>
                <w:div w:id="499662789">
                  <w:marLeft w:val="0"/>
                  <w:marRight w:val="0"/>
                  <w:marTop w:val="0"/>
                  <w:marBottom w:val="0"/>
                  <w:divBdr>
                    <w:top w:val="none" w:sz="0" w:space="0" w:color="auto"/>
                    <w:left w:val="none" w:sz="0" w:space="0" w:color="auto"/>
                    <w:bottom w:val="none" w:sz="0" w:space="0" w:color="auto"/>
                    <w:right w:val="none" w:sz="0" w:space="0" w:color="auto"/>
                  </w:divBdr>
                </w:div>
                <w:div w:id="528103508">
                  <w:marLeft w:val="0"/>
                  <w:marRight w:val="0"/>
                  <w:marTop w:val="0"/>
                  <w:marBottom w:val="0"/>
                  <w:divBdr>
                    <w:top w:val="none" w:sz="0" w:space="0" w:color="auto"/>
                    <w:left w:val="none" w:sz="0" w:space="0" w:color="auto"/>
                    <w:bottom w:val="none" w:sz="0" w:space="0" w:color="auto"/>
                    <w:right w:val="none" w:sz="0" w:space="0" w:color="auto"/>
                  </w:divBdr>
                </w:div>
                <w:div w:id="531310956">
                  <w:marLeft w:val="0"/>
                  <w:marRight w:val="0"/>
                  <w:marTop w:val="0"/>
                  <w:marBottom w:val="0"/>
                  <w:divBdr>
                    <w:top w:val="none" w:sz="0" w:space="0" w:color="auto"/>
                    <w:left w:val="none" w:sz="0" w:space="0" w:color="auto"/>
                    <w:bottom w:val="none" w:sz="0" w:space="0" w:color="auto"/>
                    <w:right w:val="none" w:sz="0" w:space="0" w:color="auto"/>
                  </w:divBdr>
                </w:div>
                <w:div w:id="629433532">
                  <w:marLeft w:val="0"/>
                  <w:marRight w:val="0"/>
                  <w:marTop w:val="0"/>
                  <w:marBottom w:val="0"/>
                  <w:divBdr>
                    <w:top w:val="none" w:sz="0" w:space="0" w:color="auto"/>
                    <w:left w:val="none" w:sz="0" w:space="0" w:color="auto"/>
                    <w:bottom w:val="none" w:sz="0" w:space="0" w:color="auto"/>
                    <w:right w:val="none" w:sz="0" w:space="0" w:color="auto"/>
                  </w:divBdr>
                </w:div>
                <w:div w:id="721102881">
                  <w:marLeft w:val="0"/>
                  <w:marRight w:val="0"/>
                  <w:marTop w:val="0"/>
                  <w:marBottom w:val="0"/>
                  <w:divBdr>
                    <w:top w:val="none" w:sz="0" w:space="0" w:color="auto"/>
                    <w:left w:val="none" w:sz="0" w:space="0" w:color="auto"/>
                    <w:bottom w:val="none" w:sz="0" w:space="0" w:color="auto"/>
                    <w:right w:val="none" w:sz="0" w:space="0" w:color="auto"/>
                  </w:divBdr>
                </w:div>
                <w:div w:id="776028653">
                  <w:marLeft w:val="0"/>
                  <w:marRight w:val="0"/>
                  <w:marTop w:val="0"/>
                  <w:marBottom w:val="0"/>
                  <w:divBdr>
                    <w:top w:val="none" w:sz="0" w:space="0" w:color="auto"/>
                    <w:left w:val="none" w:sz="0" w:space="0" w:color="auto"/>
                    <w:bottom w:val="none" w:sz="0" w:space="0" w:color="auto"/>
                    <w:right w:val="none" w:sz="0" w:space="0" w:color="auto"/>
                  </w:divBdr>
                </w:div>
                <w:div w:id="776096321">
                  <w:marLeft w:val="0"/>
                  <w:marRight w:val="0"/>
                  <w:marTop w:val="0"/>
                  <w:marBottom w:val="0"/>
                  <w:divBdr>
                    <w:top w:val="none" w:sz="0" w:space="0" w:color="auto"/>
                    <w:left w:val="none" w:sz="0" w:space="0" w:color="auto"/>
                    <w:bottom w:val="none" w:sz="0" w:space="0" w:color="auto"/>
                    <w:right w:val="none" w:sz="0" w:space="0" w:color="auto"/>
                  </w:divBdr>
                </w:div>
                <w:div w:id="809442875">
                  <w:marLeft w:val="0"/>
                  <w:marRight w:val="0"/>
                  <w:marTop w:val="0"/>
                  <w:marBottom w:val="0"/>
                  <w:divBdr>
                    <w:top w:val="none" w:sz="0" w:space="0" w:color="auto"/>
                    <w:left w:val="none" w:sz="0" w:space="0" w:color="auto"/>
                    <w:bottom w:val="none" w:sz="0" w:space="0" w:color="auto"/>
                    <w:right w:val="none" w:sz="0" w:space="0" w:color="auto"/>
                  </w:divBdr>
                </w:div>
                <w:div w:id="890844150">
                  <w:marLeft w:val="0"/>
                  <w:marRight w:val="0"/>
                  <w:marTop w:val="0"/>
                  <w:marBottom w:val="0"/>
                  <w:divBdr>
                    <w:top w:val="none" w:sz="0" w:space="0" w:color="auto"/>
                    <w:left w:val="none" w:sz="0" w:space="0" w:color="auto"/>
                    <w:bottom w:val="none" w:sz="0" w:space="0" w:color="auto"/>
                    <w:right w:val="none" w:sz="0" w:space="0" w:color="auto"/>
                  </w:divBdr>
                </w:div>
                <w:div w:id="1002195975">
                  <w:marLeft w:val="0"/>
                  <w:marRight w:val="0"/>
                  <w:marTop w:val="0"/>
                  <w:marBottom w:val="0"/>
                  <w:divBdr>
                    <w:top w:val="none" w:sz="0" w:space="0" w:color="auto"/>
                    <w:left w:val="none" w:sz="0" w:space="0" w:color="auto"/>
                    <w:bottom w:val="none" w:sz="0" w:space="0" w:color="auto"/>
                    <w:right w:val="none" w:sz="0" w:space="0" w:color="auto"/>
                  </w:divBdr>
                </w:div>
                <w:div w:id="1005011180">
                  <w:marLeft w:val="0"/>
                  <w:marRight w:val="0"/>
                  <w:marTop w:val="0"/>
                  <w:marBottom w:val="0"/>
                  <w:divBdr>
                    <w:top w:val="none" w:sz="0" w:space="0" w:color="auto"/>
                    <w:left w:val="none" w:sz="0" w:space="0" w:color="auto"/>
                    <w:bottom w:val="none" w:sz="0" w:space="0" w:color="auto"/>
                    <w:right w:val="none" w:sz="0" w:space="0" w:color="auto"/>
                  </w:divBdr>
                </w:div>
                <w:div w:id="1009597775">
                  <w:marLeft w:val="0"/>
                  <w:marRight w:val="0"/>
                  <w:marTop w:val="0"/>
                  <w:marBottom w:val="0"/>
                  <w:divBdr>
                    <w:top w:val="none" w:sz="0" w:space="0" w:color="auto"/>
                    <w:left w:val="none" w:sz="0" w:space="0" w:color="auto"/>
                    <w:bottom w:val="none" w:sz="0" w:space="0" w:color="auto"/>
                    <w:right w:val="none" w:sz="0" w:space="0" w:color="auto"/>
                  </w:divBdr>
                </w:div>
                <w:div w:id="1024205755">
                  <w:marLeft w:val="0"/>
                  <w:marRight w:val="0"/>
                  <w:marTop w:val="0"/>
                  <w:marBottom w:val="0"/>
                  <w:divBdr>
                    <w:top w:val="none" w:sz="0" w:space="0" w:color="auto"/>
                    <w:left w:val="none" w:sz="0" w:space="0" w:color="auto"/>
                    <w:bottom w:val="none" w:sz="0" w:space="0" w:color="auto"/>
                    <w:right w:val="none" w:sz="0" w:space="0" w:color="auto"/>
                  </w:divBdr>
                </w:div>
                <w:div w:id="1029530120">
                  <w:marLeft w:val="0"/>
                  <w:marRight w:val="0"/>
                  <w:marTop w:val="0"/>
                  <w:marBottom w:val="0"/>
                  <w:divBdr>
                    <w:top w:val="none" w:sz="0" w:space="0" w:color="auto"/>
                    <w:left w:val="none" w:sz="0" w:space="0" w:color="auto"/>
                    <w:bottom w:val="none" w:sz="0" w:space="0" w:color="auto"/>
                    <w:right w:val="none" w:sz="0" w:space="0" w:color="auto"/>
                  </w:divBdr>
                </w:div>
                <w:div w:id="1054934385">
                  <w:marLeft w:val="0"/>
                  <w:marRight w:val="0"/>
                  <w:marTop w:val="0"/>
                  <w:marBottom w:val="0"/>
                  <w:divBdr>
                    <w:top w:val="none" w:sz="0" w:space="0" w:color="auto"/>
                    <w:left w:val="none" w:sz="0" w:space="0" w:color="auto"/>
                    <w:bottom w:val="none" w:sz="0" w:space="0" w:color="auto"/>
                    <w:right w:val="none" w:sz="0" w:space="0" w:color="auto"/>
                  </w:divBdr>
                </w:div>
                <w:div w:id="1089036264">
                  <w:marLeft w:val="0"/>
                  <w:marRight w:val="0"/>
                  <w:marTop w:val="0"/>
                  <w:marBottom w:val="0"/>
                  <w:divBdr>
                    <w:top w:val="none" w:sz="0" w:space="0" w:color="auto"/>
                    <w:left w:val="none" w:sz="0" w:space="0" w:color="auto"/>
                    <w:bottom w:val="none" w:sz="0" w:space="0" w:color="auto"/>
                    <w:right w:val="none" w:sz="0" w:space="0" w:color="auto"/>
                  </w:divBdr>
                </w:div>
                <w:div w:id="1090663857">
                  <w:marLeft w:val="0"/>
                  <w:marRight w:val="0"/>
                  <w:marTop w:val="0"/>
                  <w:marBottom w:val="0"/>
                  <w:divBdr>
                    <w:top w:val="none" w:sz="0" w:space="0" w:color="auto"/>
                    <w:left w:val="none" w:sz="0" w:space="0" w:color="auto"/>
                    <w:bottom w:val="none" w:sz="0" w:space="0" w:color="auto"/>
                    <w:right w:val="none" w:sz="0" w:space="0" w:color="auto"/>
                  </w:divBdr>
                </w:div>
                <w:div w:id="1097094354">
                  <w:marLeft w:val="0"/>
                  <w:marRight w:val="0"/>
                  <w:marTop w:val="0"/>
                  <w:marBottom w:val="0"/>
                  <w:divBdr>
                    <w:top w:val="none" w:sz="0" w:space="0" w:color="auto"/>
                    <w:left w:val="none" w:sz="0" w:space="0" w:color="auto"/>
                    <w:bottom w:val="none" w:sz="0" w:space="0" w:color="auto"/>
                    <w:right w:val="none" w:sz="0" w:space="0" w:color="auto"/>
                  </w:divBdr>
                </w:div>
                <w:div w:id="1107771061">
                  <w:marLeft w:val="0"/>
                  <w:marRight w:val="0"/>
                  <w:marTop w:val="0"/>
                  <w:marBottom w:val="0"/>
                  <w:divBdr>
                    <w:top w:val="none" w:sz="0" w:space="0" w:color="auto"/>
                    <w:left w:val="none" w:sz="0" w:space="0" w:color="auto"/>
                    <w:bottom w:val="none" w:sz="0" w:space="0" w:color="auto"/>
                    <w:right w:val="none" w:sz="0" w:space="0" w:color="auto"/>
                  </w:divBdr>
                </w:div>
                <w:div w:id="1140534785">
                  <w:marLeft w:val="0"/>
                  <w:marRight w:val="0"/>
                  <w:marTop w:val="0"/>
                  <w:marBottom w:val="0"/>
                  <w:divBdr>
                    <w:top w:val="none" w:sz="0" w:space="0" w:color="auto"/>
                    <w:left w:val="none" w:sz="0" w:space="0" w:color="auto"/>
                    <w:bottom w:val="none" w:sz="0" w:space="0" w:color="auto"/>
                    <w:right w:val="none" w:sz="0" w:space="0" w:color="auto"/>
                  </w:divBdr>
                </w:div>
                <w:div w:id="1151406134">
                  <w:marLeft w:val="0"/>
                  <w:marRight w:val="0"/>
                  <w:marTop w:val="0"/>
                  <w:marBottom w:val="0"/>
                  <w:divBdr>
                    <w:top w:val="none" w:sz="0" w:space="0" w:color="auto"/>
                    <w:left w:val="none" w:sz="0" w:space="0" w:color="auto"/>
                    <w:bottom w:val="none" w:sz="0" w:space="0" w:color="auto"/>
                    <w:right w:val="none" w:sz="0" w:space="0" w:color="auto"/>
                  </w:divBdr>
                </w:div>
                <w:div w:id="1218783899">
                  <w:marLeft w:val="0"/>
                  <w:marRight w:val="0"/>
                  <w:marTop w:val="0"/>
                  <w:marBottom w:val="0"/>
                  <w:divBdr>
                    <w:top w:val="none" w:sz="0" w:space="0" w:color="auto"/>
                    <w:left w:val="none" w:sz="0" w:space="0" w:color="auto"/>
                    <w:bottom w:val="none" w:sz="0" w:space="0" w:color="auto"/>
                    <w:right w:val="none" w:sz="0" w:space="0" w:color="auto"/>
                  </w:divBdr>
                </w:div>
                <w:div w:id="1249458908">
                  <w:marLeft w:val="0"/>
                  <w:marRight w:val="0"/>
                  <w:marTop w:val="0"/>
                  <w:marBottom w:val="0"/>
                  <w:divBdr>
                    <w:top w:val="none" w:sz="0" w:space="0" w:color="auto"/>
                    <w:left w:val="none" w:sz="0" w:space="0" w:color="auto"/>
                    <w:bottom w:val="none" w:sz="0" w:space="0" w:color="auto"/>
                    <w:right w:val="none" w:sz="0" w:space="0" w:color="auto"/>
                  </w:divBdr>
                </w:div>
                <w:div w:id="1267498652">
                  <w:marLeft w:val="0"/>
                  <w:marRight w:val="0"/>
                  <w:marTop w:val="0"/>
                  <w:marBottom w:val="0"/>
                  <w:divBdr>
                    <w:top w:val="none" w:sz="0" w:space="0" w:color="auto"/>
                    <w:left w:val="none" w:sz="0" w:space="0" w:color="auto"/>
                    <w:bottom w:val="none" w:sz="0" w:space="0" w:color="auto"/>
                    <w:right w:val="none" w:sz="0" w:space="0" w:color="auto"/>
                  </w:divBdr>
                </w:div>
                <w:div w:id="1268587498">
                  <w:marLeft w:val="0"/>
                  <w:marRight w:val="0"/>
                  <w:marTop w:val="0"/>
                  <w:marBottom w:val="0"/>
                  <w:divBdr>
                    <w:top w:val="none" w:sz="0" w:space="0" w:color="auto"/>
                    <w:left w:val="none" w:sz="0" w:space="0" w:color="auto"/>
                    <w:bottom w:val="none" w:sz="0" w:space="0" w:color="auto"/>
                    <w:right w:val="none" w:sz="0" w:space="0" w:color="auto"/>
                  </w:divBdr>
                </w:div>
                <w:div w:id="1283607119">
                  <w:marLeft w:val="0"/>
                  <w:marRight w:val="0"/>
                  <w:marTop w:val="0"/>
                  <w:marBottom w:val="0"/>
                  <w:divBdr>
                    <w:top w:val="none" w:sz="0" w:space="0" w:color="auto"/>
                    <w:left w:val="none" w:sz="0" w:space="0" w:color="auto"/>
                    <w:bottom w:val="none" w:sz="0" w:space="0" w:color="auto"/>
                    <w:right w:val="none" w:sz="0" w:space="0" w:color="auto"/>
                  </w:divBdr>
                </w:div>
                <w:div w:id="1361400016">
                  <w:marLeft w:val="0"/>
                  <w:marRight w:val="0"/>
                  <w:marTop w:val="0"/>
                  <w:marBottom w:val="0"/>
                  <w:divBdr>
                    <w:top w:val="none" w:sz="0" w:space="0" w:color="auto"/>
                    <w:left w:val="none" w:sz="0" w:space="0" w:color="auto"/>
                    <w:bottom w:val="none" w:sz="0" w:space="0" w:color="auto"/>
                    <w:right w:val="none" w:sz="0" w:space="0" w:color="auto"/>
                  </w:divBdr>
                </w:div>
                <w:div w:id="1419985750">
                  <w:marLeft w:val="0"/>
                  <w:marRight w:val="0"/>
                  <w:marTop w:val="0"/>
                  <w:marBottom w:val="0"/>
                  <w:divBdr>
                    <w:top w:val="none" w:sz="0" w:space="0" w:color="auto"/>
                    <w:left w:val="none" w:sz="0" w:space="0" w:color="auto"/>
                    <w:bottom w:val="none" w:sz="0" w:space="0" w:color="auto"/>
                    <w:right w:val="none" w:sz="0" w:space="0" w:color="auto"/>
                  </w:divBdr>
                </w:div>
                <w:div w:id="1431197990">
                  <w:marLeft w:val="0"/>
                  <w:marRight w:val="0"/>
                  <w:marTop w:val="0"/>
                  <w:marBottom w:val="0"/>
                  <w:divBdr>
                    <w:top w:val="none" w:sz="0" w:space="0" w:color="auto"/>
                    <w:left w:val="none" w:sz="0" w:space="0" w:color="auto"/>
                    <w:bottom w:val="none" w:sz="0" w:space="0" w:color="auto"/>
                    <w:right w:val="none" w:sz="0" w:space="0" w:color="auto"/>
                  </w:divBdr>
                </w:div>
                <w:div w:id="1526022685">
                  <w:marLeft w:val="0"/>
                  <w:marRight w:val="0"/>
                  <w:marTop w:val="0"/>
                  <w:marBottom w:val="0"/>
                  <w:divBdr>
                    <w:top w:val="none" w:sz="0" w:space="0" w:color="auto"/>
                    <w:left w:val="none" w:sz="0" w:space="0" w:color="auto"/>
                    <w:bottom w:val="none" w:sz="0" w:space="0" w:color="auto"/>
                    <w:right w:val="none" w:sz="0" w:space="0" w:color="auto"/>
                  </w:divBdr>
                </w:div>
                <w:div w:id="1557350394">
                  <w:marLeft w:val="0"/>
                  <w:marRight w:val="0"/>
                  <w:marTop w:val="0"/>
                  <w:marBottom w:val="0"/>
                  <w:divBdr>
                    <w:top w:val="none" w:sz="0" w:space="0" w:color="auto"/>
                    <w:left w:val="none" w:sz="0" w:space="0" w:color="auto"/>
                    <w:bottom w:val="none" w:sz="0" w:space="0" w:color="auto"/>
                    <w:right w:val="none" w:sz="0" w:space="0" w:color="auto"/>
                  </w:divBdr>
                </w:div>
                <w:div w:id="1568758654">
                  <w:marLeft w:val="0"/>
                  <w:marRight w:val="0"/>
                  <w:marTop w:val="0"/>
                  <w:marBottom w:val="0"/>
                  <w:divBdr>
                    <w:top w:val="none" w:sz="0" w:space="0" w:color="auto"/>
                    <w:left w:val="none" w:sz="0" w:space="0" w:color="auto"/>
                    <w:bottom w:val="none" w:sz="0" w:space="0" w:color="auto"/>
                    <w:right w:val="none" w:sz="0" w:space="0" w:color="auto"/>
                  </w:divBdr>
                </w:div>
                <w:div w:id="1625842965">
                  <w:marLeft w:val="0"/>
                  <w:marRight w:val="0"/>
                  <w:marTop w:val="0"/>
                  <w:marBottom w:val="0"/>
                  <w:divBdr>
                    <w:top w:val="none" w:sz="0" w:space="0" w:color="auto"/>
                    <w:left w:val="none" w:sz="0" w:space="0" w:color="auto"/>
                    <w:bottom w:val="none" w:sz="0" w:space="0" w:color="auto"/>
                    <w:right w:val="none" w:sz="0" w:space="0" w:color="auto"/>
                  </w:divBdr>
                </w:div>
                <w:div w:id="1639645870">
                  <w:marLeft w:val="0"/>
                  <w:marRight w:val="0"/>
                  <w:marTop w:val="0"/>
                  <w:marBottom w:val="0"/>
                  <w:divBdr>
                    <w:top w:val="none" w:sz="0" w:space="0" w:color="auto"/>
                    <w:left w:val="none" w:sz="0" w:space="0" w:color="auto"/>
                    <w:bottom w:val="none" w:sz="0" w:space="0" w:color="auto"/>
                    <w:right w:val="none" w:sz="0" w:space="0" w:color="auto"/>
                  </w:divBdr>
                </w:div>
                <w:div w:id="1713114531">
                  <w:marLeft w:val="0"/>
                  <w:marRight w:val="0"/>
                  <w:marTop w:val="0"/>
                  <w:marBottom w:val="0"/>
                  <w:divBdr>
                    <w:top w:val="none" w:sz="0" w:space="0" w:color="auto"/>
                    <w:left w:val="none" w:sz="0" w:space="0" w:color="auto"/>
                    <w:bottom w:val="none" w:sz="0" w:space="0" w:color="auto"/>
                    <w:right w:val="none" w:sz="0" w:space="0" w:color="auto"/>
                  </w:divBdr>
                </w:div>
                <w:div w:id="1743597578">
                  <w:marLeft w:val="0"/>
                  <w:marRight w:val="0"/>
                  <w:marTop w:val="0"/>
                  <w:marBottom w:val="0"/>
                  <w:divBdr>
                    <w:top w:val="none" w:sz="0" w:space="0" w:color="auto"/>
                    <w:left w:val="none" w:sz="0" w:space="0" w:color="auto"/>
                    <w:bottom w:val="none" w:sz="0" w:space="0" w:color="auto"/>
                    <w:right w:val="none" w:sz="0" w:space="0" w:color="auto"/>
                  </w:divBdr>
                </w:div>
                <w:div w:id="1840122317">
                  <w:marLeft w:val="0"/>
                  <w:marRight w:val="0"/>
                  <w:marTop w:val="0"/>
                  <w:marBottom w:val="0"/>
                  <w:divBdr>
                    <w:top w:val="none" w:sz="0" w:space="0" w:color="auto"/>
                    <w:left w:val="none" w:sz="0" w:space="0" w:color="auto"/>
                    <w:bottom w:val="none" w:sz="0" w:space="0" w:color="auto"/>
                    <w:right w:val="none" w:sz="0" w:space="0" w:color="auto"/>
                  </w:divBdr>
                </w:div>
                <w:div w:id="1891841833">
                  <w:marLeft w:val="0"/>
                  <w:marRight w:val="0"/>
                  <w:marTop w:val="0"/>
                  <w:marBottom w:val="0"/>
                  <w:divBdr>
                    <w:top w:val="none" w:sz="0" w:space="0" w:color="auto"/>
                    <w:left w:val="none" w:sz="0" w:space="0" w:color="auto"/>
                    <w:bottom w:val="none" w:sz="0" w:space="0" w:color="auto"/>
                    <w:right w:val="none" w:sz="0" w:space="0" w:color="auto"/>
                  </w:divBdr>
                </w:div>
                <w:div w:id="1902783912">
                  <w:marLeft w:val="0"/>
                  <w:marRight w:val="0"/>
                  <w:marTop w:val="0"/>
                  <w:marBottom w:val="0"/>
                  <w:divBdr>
                    <w:top w:val="none" w:sz="0" w:space="0" w:color="auto"/>
                    <w:left w:val="none" w:sz="0" w:space="0" w:color="auto"/>
                    <w:bottom w:val="none" w:sz="0" w:space="0" w:color="auto"/>
                    <w:right w:val="none" w:sz="0" w:space="0" w:color="auto"/>
                  </w:divBdr>
                </w:div>
                <w:div w:id="1963342807">
                  <w:marLeft w:val="0"/>
                  <w:marRight w:val="0"/>
                  <w:marTop w:val="0"/>
                  <w:marBottom w:val="0"/>
                  <w:divBdr>
                    <w:top w:val="none" w:sz="0" w:space="0" w:color="auto"/>
                    <w:left w:val="none" w:sz="0" w:space="0" w:color="auto"/>
                    <w:bottom w:val="none" w:sz="0" w:space="0" w:color="auto"/>
                    <w:right w:val="none" w:sz="0" w:space="0" w:color="auto"/>
                  </w:divBdr>
                </w:div>
                <w:div w:id="2010018902">
                  <w:marLeft w:val="0"/>
                  <w:marRight w:val="0"/>
                  <w:marTop w:val="0"/>
                  <w:marBottom w:val="0"/>
                  <w:divBdr>
                    <w:top w:val="none" w:sz="0" w:space="0" w:color="auto"/>
                    <w:left w:val="none" w:sz="0" w:space="0" w:color="auto"/>
                    <w:bottom w:val="none" w:sz="0" w:space="0" w:color="auto"/>
                    <w:right w:val="none" w:sz="0" w:space="0" w:color="auto"/>
                  </w:divBdr>
                </w:div>
                <w:div w:id="2054697393">
                  <w:marLeft w:val="0"/>
                  <w:marRight w:val="0"/>
                  <w:marTop w:val="0"/>
                  <w:marBottom w:val="0"/>
                  <w:divBdr>
                    <w:top w:val="none" w:sz="0" w:space="0" w:color="auto"/>
                    <w:left w:val="none" w:sz="0" w:space="0" w:color="auto"/>
                    <w:bottom w:val="none" w:sz="0" w:space="0" w:color="auto"/>
                    <w:right w:val="none" w:sz="0" w:space="0" w:color="auto"/>
                  </w:divBdr>
                </w:div>
                <w:div w:id="2078749221">
                  <w:marLeft w:val="0"/>
                  <w:marRight w:val="0"/>
                  <w:marTop w:val="0"/>
                  <w:marBottom w:val="0"/>
                  <w:divBdr>
                    <w:top w:val="none" w:sz="0" w:space="0" w:color="auto"/>
                    <w:left w:val="none" w:sz="0" w:space="0" w:color="auto"/>
                    <w:bottom w:val="none" w:sz="0" w:space="0" w:color="auto"/>
                    <w:right w:val="none" w:sz="0" w:space="0" w:color="auto"/>
                  </w:divBdr>
                </w:div>
                <w:div w:id="2096895080">
                  <w:marLeft w:val="0"/>
                  <w:marRight w:val="0"/>
                  <w:marTop w:val="0"/>
                  <w:marBottom w:val="0"/>
                  <w:divBdr>
                    <w:top w:val="none" w:sz="0" w:space="0" w:color="auto"/>
                    <w:left w:val="none" w:sz="0" w:space="0" w:color="auto"/>
                    <w:bottom w:val="none" w:sz="0" w:space="0" w:color="auto"/>
                    <w:right w:val="none" w:sz="0" w:space="0" w:color="auto"/>
                  </w:divBdr>
                </w:div>
                <w:div w:id="2107187599">
                  <w:marLeft w:val="0"/>
                  <w:marRight w:val="0"/>
                  <w:marTop w:val="0"/>
                  <w:marBottom w:val="0"/>
                  <w:divBdr>
                    <w:top w:val="none" w:sz="0" w:space="0" w:color="auto"/>
                    <w:left w:val="none" w:sz="0" w:space="0" w:color="auto"/>
                    <w:bottom w:val="none" w:sz="0" w:space="0" w:color="auto"/>
                    <w:right w:val="none" w:sz="0" w:space="0" w:color="auto"/>
                  </w:divBdr>
                </w:div>
                <w:div w:id="2147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8453">
          <w:marLeft w:val="0"/>
          <w:marRight w:val="0"/>
          <w:marTop w:val="0"/>
          <w:marBottom w:val="0"/>
          <w:divBdr>
            <w:top w:val="none" w:sz="0" w:space="0" w:color="auto"/>
            <w:left w:val="none" w:sz="0" w:space="0" w:color="auto"/>
            <w:bottom w:val="none" w:sz="0" w:space="0" w:color="auto"/>
            <w:right w:val="none" w:sz="0" w:space="0" w:color="auto"/>
          </w:divBdr>
          <w:divsChild>
            <w:div w:id="281157389">
              <w:marLeft w:val="0"/>
              <w:marRight w:val="0"/>
              <w:marTop w:val="0"/>
              <w:marBottom w:val="0"/>
              <w:divBdr>
                <w:top w:val="none" w:sz="0" w:space="0" w:color="auto"/>
                <w:left w:val="none" w:sz="0" w:space="0" w:color="auto"/>
                <w:bottom w:val="none" w:sz="0" w:space="0" w:color="auto"/>
                <w:right w:val="none" w:sz="0" w:space="0" w:color="auto"/>
              </w:divBdr>
              <w:divsChild>
                <w:div w:id="15698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91633">
      <w:bodyDiv w:val="1"/>
      <w:marLeft w:val="0"/>
      <w:marRight w:val="0"/>
      <w:marTop w:val="0"/>
      <w:marBottom w:val="0"/>
      <w:divBdr>
        <w:top w:val="none" w:sz="0" w:space="0" w:color="auto"/>
        <w:left w:val="none" w:sz="0" w:space="0" w:color="auto"/>
        <w:bottom w:val="none" w:sz="0" w:space="0" w:color="auto"/>
        <w:right w:val="none" w:sz="0" w:space="0" w:color="auto"/>
      </w:divBdr>
      <w:divsChild>
        <w:div w:id="1008483065">
          <w:marLeft w:val="0"/>
          <w:marRight w:val="0"/>
          <w:marTop w:val="0"/>
          <w:marBottom w:val="0"/>
          <w:divBdr>
            <w:top w:val="none" w:sz="0" w:space="0" w:color="auto"/>
            <w:left w:val="none" w:sz="0" w:space="0" w:color="auto"/>
            <w:bottom w:val="none" w:sz="0" w:space="0" w:color="auto"/>
            <w:right w:val="none" w:sz="0" w:space="0" w:color="auto"/>
          </w:divBdr>
          <w:divsChild>
            <w:div w:id="111753558">
              <w:marLeft w:val="0"/>
              <w:marRight w:val="0"/>
              <w:marTop w:val="0"/>
              <w:marBottom w:val="0"/>
              <w:divBdr>
                <w:top w:val="none" w:sz="0" w:space="0" w:color="auto"/>
                <w:left w:val="none" w:sz="0" w:space="0" w:color="auto"/>
                <w:bottom w:val="none" w:sz="0" w:space="0" w:color="auto"/>
                <w:right w:val="none" w:sz="0" w:space="0" w:color="auto"/>
              </w:divBdr>
              <w:divsChild>
                <w:div w:id="60031908">
                  <w:marLeft w:val="0"/>
                  <w:marRight w:val="0"/>
                  <w:marTop w:val="0"/>
                  <w:marBottom w:val="0"/>
                  <w:divBdr>
                    <w:top w:val="none" w:sz="0" w:space="0" w:color="auto"/>
                    <w:left w:val="none" w:sz="0" w:space="0" w:color="auto"/>
                    <w:bottom w:val="none" w:sz="0" w:space="0" w:color="auto"/>
                    <w:right w:val="none" w:sz="0" w:space="0" w:color="auto"/>
                  </w:divBdr>
                </w:div>
                <w:div w:id="1816602889">
                  <w:marLeft w:val="0"/>
                  <w:marRight w:val="0"/>
                  <w:marTop w:val="0"/>
                  <w:marBottom w:val="0"/>
                  <w:divBdr>
                    <w:top w:val="none" w:sz="0" w:space="0" w:color="auto"/>
                    <w:left w:val="none" w:sz="0" w:space="0" w:color="auto"/>
                    <w:bottom w:val="none" w:sz="0" w:space="0" w:color="auto"/>
                    <w:right w:val="none" w:sz="0" w:space="0" w:color="auto"/>
                  </w:divBdr>
                </w:div>
                <w:div w:id="19587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48425">
      <w:bodyDiv w:val="1"/>
      <w:marLeft w:val="0"/>
      <w:marRight w:val="0"/>
      <w:marTop w:val="0"/>
      <w:marBottom w:val="0"/>
      <w:divBdr>
        <w:top w:val="none" w:sz="0" w:space="0" w:color="auto"/>
        <w:left w:val="none" w:sz="0" w:space="0" w:color="auto"/>
        <w:bottom w:val="none" w:sz="0" w:space="0" w:color="auto"/>
        <w:right w:val="none" w:sz="0" w:space="0" w:color="auto"/>
      </w:divBdr>
      <w:divsChild>
        <w:div w:id="522943102">
          <w:marLeft w:val="0"/>
          <w:marRight w:val="0"/>
          <w:marTop w:val="0"/>
          <w:marBottom w:val="0"/>
          <w:divBdr>
            <w:top w:val="none" w:sz="0" w:space="0" w:color="auto"/>
            <w:left w:val="none" w:sz="0" w:space="0" w:color="auto"/>
            <w:bottom w:val="none" w:sz="0" w:space="0" w:color="auto"/>
            <w:right w:val="none" w:sz="0" w:space="0" w:color="auto"/>
          </w:divBdr>
          <w:divsChild>
            <w:div w:id="707805353">
              <w:marLeft w:val="0"/>
              <w:marRight w:val="0"/>
              <w:marTop w:val="0"/>
              <w:marBottom w:val="0"/>
              <w:divBdr>
                <w:top w:val="none" w:sz="0" w:space="0" w:color="auto"/>
                <w:left w:val="none" w:sz="0" w:space="0" w:color="auto"/>
                <w:bottom w:val="none" w:sz="0" w:space="0" w:color="auto"/>
                <w:right w:val="none" w:sz="0" w:space="0" w:color="auto"/>
              </w:divBdr>
              <w:divsChild>
                <w:div w:id="296450653">
                  <w:marLeft w:val="0"/>
                  <w:marRight w:val="0"/>
                  <w:marTop w:val="0"/>
                  <w:marBottom w:val="0"/>
                  <w:divBdr>
                    <w:top w:val="none" w:sz="0" w:space="0" w:color="auto"/>
                    <w:left w:val="none" w:sz="0" w:space="0" w:color="auto"/>
                    <w:bottom w:val="none" w:sz="0" w:space="0" w:color="auto"/>
                    <w:right w:val="none" w:sz="0" w:space="0" w:color="auto"/>
                  </w:divBdr>
                </w:div>
                <w:div w:id="6937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B608DE3801E04A867AF33217F08F91" ma:contentTypeVersion="10" ma:contentTypeDescription="Utwórz nowy dokument." ma:contentTypeScope="" ma:versionID="9b9f353fd04121dc62527fedf20bb9c5">
  <xsd:schema xmlns:xsd="http://www.w3.org/2001/XMLSchema" xmlns:xs="http://www.w3.org/2001/XMLSchema" xmlns:p="http://schemas.microsoft.com/office/2006/metadata/properties" xmlns:ns2="93426813-0233-4231-915c-9cf451de3994" xmlns:ns3="14dbeaa4-26b8-4da0-ae90-1bd370dd5414" targetNamespace="http://schemas.microsoft.com/office/2006/metadata/properties" ma:root="true" ma:fieldsID="b6d8279218a580f92242a2cccb16c5f4" ns2:_="" ns3:_="">
    <xsd:import namespace="93426813-0233-4231-915c-9cf451de3994"/>
    <xsd:import namespace="14dbeaa4-26b8-4da0-ae90-1bd370dd5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26813-0233-4231-915c-9cf451de3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8746b49-d001-4972-b357-55943193df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dbeaa4-26b8-4da0-ae90-1bd370dd54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e8006-d764-4478-ba15-6ba223da212f}" ma:internalName="TaxCatchAll" ma:showField="CatchAllData" ma:web="14dbeaa4-26b8-4da0-ae90-1bd370dd5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426813-0233-4231-915c-9cf451de3994">
      <Terms xmlns="http://schemas.microsoft.com/office/infopath/2007/PartnerControls"/>
    </lcf76f155ced4ddcb4097134ff3c332f>
    <TaxCatchAll xmlns="14dbeaa4-26b8-4da0-ae90-1bd370dd54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275E5-4589-4F31-9716-7C77BA525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26813-0233-4231-915c-9cf451de3994"/>
    <ds:schemaRef ds:uri="14dbeaa4-26b8-4da0-ae90-1bd370dd5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B63B2-E781-4E33-B5F1-835FDB90BC88}">
  <ds:schemaRefs>
    <ds:schemaRef ds:uri="http://schemas.microsoft.com/office/2006/metadata/properties"/>
    <ds:schemaRef ds:uri="http://schemas.microsoft.com/office/infopath/2007/PartnerControls"/>
    <ds:schemaRef ds:uri="93426813-0233-4231-915c-9cf451de3994"/>
    <ds:schemaRef ds:uri="14dbeaa4-26b8-4da0-ae90-1bd370dd5414"/>
  </ds:schemaRefs>
</ds:datastoreItem>
</file>

<file path=customXml/itemProps3.xml><?xml version="1.0" encoding="utf-8"?>
<ds:datastoreItem xmlns:ds="http://schemas.openxmlformats.org/officeDocument/2006/customXml" ds:itemID="{F20B9F22-8311-4C30-BED2-F0FD32106435}">
  <ds:schemaRefs>
    <ds:schemaRef ds:uri="http://schemas.openxmlformats.org/officeDocument/2006/bibliography"/>
  </ds:schemaRefs>
</ds:datastoreItem>
</file>

<file path=customXml/itemProps4.xml><?xml version="1.0" encoding="utf-8"?>
<ds:datastoreItem xmlns:ds="http://schemas.openxmlformats.org/officeDocument/2006/customXml" ds:itemID="{A9926A71-8BA4-4275-83D4-CEE6C9D32868}">
  <ds:schemaRefs>
    <ds:schemaRef ds:uri="http://schemas.microsoft.com/sharepoint/v3/contenttype/forms"/>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9754</Words>
  <Characters>58525</Characters>
  <Application>Microsoft Office Word</Application>
  <DocSecurity>0</DocSecurity>
  <Lines>487</Lines>
  <Paragraphs>136</Paragraphs>
  <ScaleCrop>false</ScaleCrop>
  <Company>COI</Company>
  <LinksUpToDate>false</LinksUpToDate>
  <CharactersWithSpaces>68143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Sztobryn Mateusz</dc:creator>
  <cp:keywords/>
  <dc:description/>
  <cp:lastModifiedBy>Sztobryn Mateusz</cp:lastModifiedBy>
  <cp:revision>2</cp:revision>
  <dcterms:created xsi:type="dcterms:W3CDTF">2026-03-04T07:47:00Z</dcterms:created>
  <dcterms:modified xsi:type="dcterms:W3CDTF">2026-03-04T07:47:00Z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0x010100B2B608DE3801E04A867AF33217F08F91</vt:lpwstr>
  </property>
  <property fmtid="{D5CDD505-2E9C-101B-9397-08002B2CF9AE}" pid="3" name="GrammarlyDocumentId">
    <vt:lpwstr>a563933eec23a0882475ecf29bf650e515193f11ef863173e17932bb10217fae</vt:lpwstr>
  </property>
  <property fmtid="{D5CDD505-2E9C-101B-9397-08002B2CF9AE}" pid="4" name="MediaServiceImageTags">
    <vt:lpwstr/>
  </property>
</Properties>
</file>