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  <w:bookmarkStart w:id="0" w:name="_GoBack"/>
      <w:bookmarkEnd w:id="0"/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7515DA">
        <w:rPr>
          <w:b/>
        </w:rPr>
        <w:t xml:space="preserve">asystent prokuratora w Prokuraturze Rejonowej </w:t>
      </w:r>
      <w:r w:rsidR="005304D1">
        <w:rPr>
          <w:b/>
        </w:rPr>
        <w:t>dla miasta Rzeszów o oznaczeniu 3036-4.1111.1.2023</w:t>
      </w:r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16"/>
    <w:rsid w:val="000839DF"/>
    <w:rsid w:val="0010294B"/>
    <w:rsid w:val="004B200A"/>
    <w:rsid w:val="005304D1"/>
    <w:rsid w:val="006C5216"/>
    <w:rsid w:val="007515DA"/>
    <w:rsid w:val="00903653"/>
    <w:rsid w:val="00F0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46A87-1F10-4D92-8BF9-4CFE43E7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Drabik Joanna (PO Rzeszów)</cp:lastModifiedBy>
  <cp:revision>3</cp:revision>
  <cp:lastPrinted>2021-12-22T11:43:00Z</cp:lastPrinted>
  <dcterms:created xsi:type="dcterms:W3CDTF">2021-12-22T11:43:00Z</dcterms:created>
  <dcterms:modified xsi:type="dcterms:W3CDTF">2023-02-21T10:52:00Z</dcterms:modified>
</cp:coreProperties>
</file>