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C9B2D" w14:textId="000072C1" w:rsidR="0041237C" w:rsidRPr="00546B9F" w:rsidRDefault="00B30C27" w:rsidP="00B30C27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 w:rsidRPr="00B30C27">
        <w:rPr>
          <w:sz w:val="22"/>
          <w:szCs w:val="22"/>
        </w:rPr>
        <w:t>Załącznik</w:t>
      </w:r>
      <w:r w:rsidR="00DC4413">
        <w:rPr>
          <w:sz w:val="22"/>
          <w:szCs w:val="22"/>
        </w:rPr>
        <w:t xml:space="preserve"> </w:t>
      </w:r>
      <w:r w:rsidRPr="00B30C27">
        <w:rPr>
          <w:sz w:val="22"/>
          <w:szCs w:val="22"/>
        </w:rPr>
        <w:t>B.32</w:t>
      </w:r>
      <w:r w:rsidR="00615028">
        <w:rPr>
          <w:sz w:val="22"/>
          <w:szCs w:val="22"/>
        </w:rPr>
        <w:t>.</w:t>
      </w:r>
    </w:p>
    <w:p w14:paraId="2429F5BA" w14:textId="77777777" w:rsidR="00A2374E" w:rsidRPr="000C0385" w:rsidRDefault="00A2374E" w:rsidP="00B30C27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14:paraId="78C49504" w14:textId="05AA12BD" w:rsidR="0041237C" w:rsidRPr="00B30C27" w:rsidRDefault="00222437" w:rsidP="00B30C27">
      <w:pPr>
        <w:autoSpaceDE w:val="0"/>
        <w:autoSpaceDN w:val="0"/>
        <w:adjustRightInd w:val="0"/>
        <w:spacing w:after="240"/>
        <w:rPr>
          <w:b/>
          <w:bCs/>
          <w:color w:val="000000"/>
          <w:sz w:val="28"/>
        </w:rPr>
      </w:pPr>
      <w:r w:rsidRPr="00B30C27">
        <w:rPr>
          <w:b/>
          <w:bCs/>
          <w:color w:val="000000"/>
          <w:sz w:val="28"/>
        </w:rPr>
        <w:t>LECZENIE</w:t>
      </w:r>
      <w:r w:rsidR="00DC4413">
        <w:rPr>
          <w:b/>
          <w:bCs/>
          <w:color w:val="000000"/>
          <w:sz w:val="28"/>
        </w:rPr>
        <w:t xml:space="preserve"> </w:t>
      </w:r>
      <w:r w:rsidR="00CB3930">
        <w:rPr>
          <w:b/>
          <w:bCs/>
          <w:color w:val="000000"/>
          <w:sz w:val="28"/>
        </w:rPr>
        <w:t>PACJENTÓW</w:t>
      </w:r>
      <w:r w:rsidR="00DC4413">
        <w:rPr>
          <w:b/>
          <w:bCs/>
          <w:color w:val="000000"/>
          <w:sz w:val="28"/>
        </w:rPr>
        <w:t xml:space="preserve"> </w:t>
      </w:r>
      <w:r w:rsidR="00A0300D">
        <w:rPr>
          <w:b/>
          <w:bCs/>
          <w:color w:val="000000"/>
          <w:sz w:val="28"/>
        </w:rPr>
        <w:t>Z</w:t>
      </w:r>
      <w:r w:rsidR="00DC4413">
        <w:rPr>
          <w:b/>
          <w:bCs/>
          <w:color w:val="000000"/>
          <w:sz w:val="28"/>
        </w:rPr>
        <w:t xml:space="preserve"> </w:t>
      </w:r>
      <w:r w:rsidRPr="00B30C27">
        <w:rPr>
          <w:b/>
          <w:bCs/>
          <w:color w:val="000000"/>
          <w:sz w:val="28"/>
        </w:rPr>
        <w:t>CHOROB</w:t>
      </w:r>
      <w:r w:rsidR="00A0300D">
        <w:rPr>
          <w:b/>
          <w:bCs/>
          <w:color w:val="000000"/>
          <w:sz w:val="28"/>
        </w:rPr>
        <w:t>Ą</w:t>
      </w:r>
      <w:r w:rsidR="00DC4413">
        <w:rPr>
          <w:b/>
          <w:bCs/>
          <w:color w:val="000000"/>
          <w:sz w:val="28"/>
        </w:rPr>
        <w:t xml:space="preserve"> </w:t>
      </w:r>
      <w:r w:rsidRPr="00B30C27">
        <w:rPr>
          <w:b/>
          <w:bCs/>
          <w:color w:val="000000"/>
          <w:sz w:val="28"/>
        </w:rPr>
        <w:t>LEŚ</w:t>
      </w:r>
      <w:r w:rsidR="0041237C" w:rsidRPr="00B30C27">
        <w:rPr>
          <w:b/>
          <w:bCs/>
          <w:color w:val="000000"/>
          <w:sz w:val="28"/>
        </w:rPr>
        <w:t>NIO</w:t>
      </w:r>
      <w:r w:rsidR="008F3EC7">
        <w:rPr>
          <w:b/>
          <w:bCs/>
          <w:color w:val="000000"/>
          <w:sz w:val="28"/>
        </w:rPr>
        <w:t>WSKIEGO</w:t>
      </w:r>
      <w:r w:rsidR="00DC4413">
        <w:rPr>
          <w:b/>
          <w:bCs/>
          <w:color w:val="000000"/>
          <w:sz w:val="28"/>
        </w:rPr>
        <w:t xml:space="preserve"> – </w:t>
      </w:r>
      <w:r w:rsidR="008F3EC7">
        <w:rPr>
          <w:b/>
          <w:bCs/>
          <w:color w:val="000000"/>
          <w:sz w:val="28"/>
        </w:rPr>
        <w:t>CROHNA</w:t>
      </w:r>
      <w:r w:rsidR="00DC4413">
        <w:rPr>
          <w:b/>
          <w:bCs/>
          <w:color w:val="000000"/>
          <w:sz w:val="28"/>
        </w:rPr>
        <w:t xml:space="preserve"> </w:t>
      </w:r>
      <w:r w:rsidR="008F3EC7">
        <w:rPr>
          <w:b/>
          <w:bCs/>
          <w:color w:val="000000"/>
          <w:sz w:val="28"/>
        </w:rPr>
        <w:t>(ICD-</w:t>
      </w:r>
      <w:r w:rsidR="001D59BF">
        <w:rPr>
          <w:b/>
          <w:bCs/>
          <w:color w:val="000000"/>
          <w:sz w:val="28"/>
        </w:rPr>
        <w:t>10</w:t>
      </w:r>
      <w:r w:rsidR="00DC4413">
        <w:rPr>
          <w:b/>
          <w:bCs/>
          <w:color w:val="000000"/>
          <w:sz w:val="28"/>
        </w:rPr>
        <w:t xml:space="preserve">: </w:t>
      </w:r>
      <w:r w:rsidR="0041237C" w:rsidRPr="00B30C27">
        <w:rPr>
          <w:b/>
          <w:bCs/>
          <w:color w:val="000000"/>
          <w:sz w:val="28"/>
        </w:rPr>
        <w:t>K50)</w:t>
      </w:r>
    </w:p>
    <w:tbl>
      <w:tblPr>
        <w:tblpPr w:leftFromText="181" w:rightFromText="181" w:vertAnchor="text" w:horzAnchor="margin" w:tblpXSpec="center" w:tblpY="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6941"/>
        <w:gridCol w:w="4224"/>
        <w:gridCol w:w="4225"/>
      </w:tblGrid>
      <w:tr w:rsidR="004C23D8" w:rsidRPr="00BD4D0E" w14:paraId="140106F4" w14:textId="77777777" w:rsidTr="00246B8C">
        <w:trPr>
          <w:trHeight w:val="567"/>
          <w:jc w:val="center"/>
        </w:trPr>
        <w:tc>
          <w:tcPr>
            <w:tcW w:w="153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5C05A" w14:textId="48CDB4DD" w:rsidR="004C23D8" w:rsidRPr="00D71B60" w:rsidRDefault="004C23D8" w:rsidP="000C038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71B60">
              <w:rPr>
                <w:b/>
                <w:color w:val="000000"/>
                <w:sz w:val="20"/>
                <w:szCs w:val="20"/>
              </w:rPr>
              <w:t>ZAKRES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D71B60">
              <w:rPr>
                <w:b/>
                <w:color w:val="000000"/>
                <w:sz w:val="20"/>
                <w:szCs w:val="20"/>
              </w:rPr>
              <w:t>ŚWIADCZENIA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D71B60">
              <w:rPr>
                <w:b/>
                <w:color w:val="000000"/>
                <w:sz w:val="20"/>
                <w:szCs w:val="20"/>
              </w:rPr>
              <w:t>GWARANTOWANEGO</w:t>
            </w:r>
          </w:p>
        </w:tc>
      </w:tr>
      <w:tr w:rsidR="004C23D8" w:rsidRPr="0093273B" w14:paraId="7039D6CB" w14:textId="77777777" w:rsidTr="00DC4413">
        <w:trPr>
          <w:trHeight w:val="567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06747258" w14:textId="77777777" w:rsidR="004C23D8" w:rsidRPr="00BD4D0E" w:rsidRDefault="004C23D8" w:rsidP="000C0385">
            <w:pPr>
              <w:jc w:val="center"/>
              <w:rPr>
                <w:b/>
                <w:sz w:val="20"/>
                <w:szCs w:val="20"/>
              </w:rPr>
            </w:pPr>
            <w:r w:rsidRPr="00BD4D0E">
              <w:rPr>
                <w:b/>
                <w:sz w:val="20"/>
                <w:szCs w:val="20"/>
              </w:rPr>
              <w:t>ŚWIADCZENIOBIORCY</w:t>
            </w:r>
          </w:p>
        </w:tc>
        <w:tc>
          <w:tcPr>
            <w:tcW w:w="4224" w:type="dxa"/>
            <w:shd w:val="clear" w:color="auto" w:fill="auto"/>
            <w:vAlign w:val="center"/>
          </w:tcPr>
          <w:p w14:paraId="13F94FBD" w14:textId="12C6B2C6" w:rsidR="00F40C1D" w:rsidRDefault="004C23D8" w:rsidP="000C038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71B60">
              <w:rPr>
                <w:b/>
                <w:color w:val="000000"/>
                <w:sz w:val="20"/>
                <w:szCs w:val="20"/>
              </w:rPr>
              <w:t>SCHEMAT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D71B60">
              <w:rPr>
                <w:b/>
                <w:color w:val="000000"/>
                <w:sz w:val="20"/>
                <w:szCs w:val="20"/>
              </w:rPr>
              <w:t>DAWKOWANIA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D71B60">
              <w:rPr>
                <w:b/>
                <w:color w:val="000000"/>
                <w:sz w:val="20"/>
                <w:szCs w:val="20"/>
              </w:rPr>
              <w:t>LEK</w:t>
            </w:r>
            <w:r w:rsidR="001F2BF2" w:rsidRPr="00D71B60">
              <w:rPr>
                <w:b/>
                <w:color w:val="000000"/>
                <w:sz w:val="20"/>
                <w:szCs w:val="20"/>
              </w:rPr>
              <w:t>ÓW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3C535A2F" w14:textId="02AA5993" w:rsidR="004C23D8" w:rsidRPr="00D71B60" w:rsidRDefault="004C23D8" w:rsidP="000C038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71B60">
              <w:rPr>
                <w:b/>
                <w:color w:val="000000"/>
                <w:sz w:val="20"/>
                <w:szCs w:val="20"/>
              </w:rPr>
              <w:t>W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D71B60">
              <w:rPr>
                <w:b/>
                <w:color w:val="000000"/>
                <w:sz w:val="20"/>
                <w:szCs w:val="20"/>
              </w:rPr>
              <w:t>PROGRAMIE</w:t>
            </w:r>
          </w:p>
        </w:tc>
        <w:tc>
          <w:tcPr>
            <w:tcW w:w="4225" w:type="dxa"/>
            <w:shd w:val="clear" w:color="auto" w:fill="auto"/>
            <w:vAlign w:val="center"/>
          </w:tcPr>
          <w:p w14:paraId="64B78A19" w14:textId="6718A609" w:rsidR="004C23D8" w:rsidRPr="00D71B60" w:rsidRDefault="004C23D8" w:rsidP="000C038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71B60">
              <w:rPr>
                <w:b/>
                <w:color w:val="000000"/>
                <w:sz w:val="20"/>
                <w:szCs w:val="20"/>
              </w:rPr>
              <w:t>BADANIA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D71B60">
              <w:rPr>
                <w:b/>
                <w:color w:val="000000"/>
                <w:sz w:val="20"/>
                <w:szCs w:val="20"/>
              </w:rPr>
              <w:t>DIAGNOSTYCZNE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D71B60">
              <w:rPr>
                <w:b/>
                <w:color w:val="000000"/>
                <w:sz w:val="20"/>
                <w:szCs w:val="20"/>
              </w:rPr>
              <w:t>WYKONYWANE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D71B60">
              <w:rPr>
                <w:b/>
                <w:color w:val="000000"/>
                <w:sz w:val="20"/>
                <w:szCs w:val="20"/>
              </w:rPr>
              <w:t>W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D71B60">
              <w:rPr>
                <w:b/>
                <w:color w:val="000000"/>
                <w:sz w:val="20"/>
                <w:szCs w:val="20"/>
              </w:rPr>
              <w:t>RAMACH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D71B60">
              <w:rPr>
                <w:b/>
                <w:color w:val="000000"/>
                <w:sz w:val="20"/>
                <w:szCs w:val="20"/>
              </w:rPr>
              <w:t>PROGRAMU</w:t>
            </w:r>
          </w:p>
        </w:tc>
      </w:tr>
      <w:tr w:rsidR="004C23D8" w:rsidRPr="0093273B" w14:paraId="0D8FC348" w14:textId="77777777" w:rsidTr="00DC4413">
        <w:trPr>
          <w:jc w:val="center"/>
        </w:trPr>
        <w:tc>
          <w:tcPr>
            <w:tcW w:w="6941" w:type="dxa"/>
            <w:shd w:val="clear" w:color="auto" w:fill="auto"/>
          </w:tcPr>
          <w:p w14:paraId="75F2114B" w14:textId="29B228CD" w:rsidR="00EE42F2" w:rsidRPr="00F23761" w:rsidRDefault="00615028" w:rsidP="00341CA6">
            <w:pPr>
              <w:numPr>
                <w:ilvl w:val="0"/>
                <w:numId w:val="25"/>
              </w:numPr>
              <w:spacing w:before="120" w:after="60" w:line="276" w:lineRule="auto"/>
              <w:jc w:val="both"/>
              <w:rPr>
                <w:sz w:val="20"/>
                <w:szCs w:val="20"/>
              </w:rPr>
            </w:pPr>
            <w:r w:rsidRPr="00F23761">
              <w:rPr>
                <w:b/>
                <w:bCs/>
                <w:iCs/>
                <w:sz w:val="20"/>
                <w:szCs w:val="20"/>
              </w:rPr>
              <w:t>Kr</w:t>
            </w:r>
            <w:r w:rsidR="00912B4F" w:rsidRPr="00F23761">
              <w:rPr>
                <w:b/>
                <w:bCs/>
                <w:iCs/>
                <w:sz w:val="20"/>
                <w:szCs w:val="20"/>
              </w:rPr>
              <w:t>yteria</w:t>
            </w:r>
            <w:r w:rsidR="00DC4413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/>
                <w:bCs/>
                <w:iCs/>
                <w:sz w:val="20"/>
                <w:szCs w:val="20"/>
              </w:rPr>
              <w:t>kwalifikacji</w:t>
            </w:r>
            <w:r w:rsidR="00DC4413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/>
                <w:bCs/>
                <w:iCs/>
                <w:sz w:val="20"/>
                <w:szCs w:val="20"/>
              </w:rPr>
              <w:t>do</w:t>
            </w:r>
            <w:r w:rsidR="00DC4413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/>
                <w:bCs/>
                <w:iCs/>
                <w:sz w:val="20"/>
                <w:szCs w:val="20"/>
              </w:rPr>
              <w:t>leczenia</w:t>
            </w:r>
            <w:r w:rsidR="00DC4413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EE42F2" w:rsidRPr="00F23761">
              <w:rPr>
                <w:b/>
                <w:bCs/>
                <w:iCs/>
                <w:sz w:val="20"/>
                <w:szCs w:val="20"/>
              </w:rPr>
              <w:t>w</w:t>
            </w:r>
            <w:r w:rsidR="00DC4413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EE42F2" w:rsidRPr="00F23761">
              <w:rPr>
                <w:b/>
                <w:bCs/>
                <w:iCs/>
                <w:sz w:val="20"/>
                <w:szCs w:val="20"/>
              </w:rPr>
              <w:t>programie</w:t>
            </w:r>
          </w:p>
          <w:p w14:paraId="628E6BA5" w14:textId="746307D3" w:rsidR="00040781" w:rsidRPr="00341CA6" w:rsidRDefault="004754AC" w:rsidP="00341CA6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341CA6">
              <w:rPr>
                <w:sz w:val="20"/>
                <w:szCs w:val="20"/>
              </w:rPr>
              <w:t>Do</w:t>
            </w:r>
            <w:r w:rsidR="00DC4413">
              <w:rPr>
                <w:sz w:val="20"/>
                <w:szCs w:val="20"/>
              </w:rPr>
              <w:t xml:space="preserve"> </w:t>
            </w:r>
            <w:r w:rsidR="00EE42F2" w:rsidRPr="00341CA6">
              <w:rPr>
                <w:sz w:val="20"/>
                <w:szCs w:val="20"/>
              </w:rPr>
              <w:t>leczenia</w:t>
            </w:r>
            <w:r w:rsidR="00DC4413">
              <w:rPr>
                <w:sz w:val="20"/>
                <w:szCs w:val="20"/>
              </w:rPr>
              <w:t xml:space="preserve"> </w:t>
            </w:r>
            <w:r w:rsidR="00EE42F2" w:rsidRPr="00341CA6">
              <w:rPr>
                <w:bCs/>
                <w:iCs/>
                <w:sz w:val="20"/>
                <w:szCs w:val="20"/>
              </w:rPr>
              <w:t>infliksymabem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EE42F2" w:rsidRPr="00341CA6">
              <w:rPr>
                <w:bCs/>
                <w:iCs/>
                <w:sz w:val="20"/>
                <w:szCs w:val="20"/>
              </w:rPr>
              <w:t>lub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EE42F2" w:rsidRPr="00341CA6">
              <w:rPr>
                <w:bCs/>
                <w:iCs/>
                <w:sz w:val="20"/>
                <w:szCs w:val="20"/>
              </w:rPr>
              <w:t>adalimumabem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2187D" w:rsidRPr="00341CA6">
              <w:rPr>
                <w:sz w:val="20"/>
                <w:szCs w:val="20"/>
              </w:rPr>
              <w:t>kwalifikowani</w:t>
            </w:r>
            <w:r w:rsidR="00DC4413">
              <w:rPr>
                <w:sz w:val="20"/>
                <w:szCs w:val="20"/>
              </w:rPr>
              <w:t xml:space="preserve"> </w:t>
            </w:r>
            <w:r w:rsidR="0012187D" w:rsidRPr="00341CA6">
              <w:rPr>
                <w:sz w:val="20"/>
                <w:szCs w:val="20"/>
              </w:rPr>
              <w:t>są</w:t>
            </w:r>
            <w:r w:rsidR="00DC4413">
              <w:rPr>
                <w:sz w:val="20"/>
                <w:szCs w:val="20"/>
              </w:rPr>
              <w:t xml:space="preserve"> </w:t>
            </w:r>
            <w:r w:rsidR="00EE42F2" w:rsidRPr="00341CA6">
              <w:rPr>
                <w:sz w:val="20"/>
                <w:szCs w:val="20"/>
              </w:rPr>
              <w:t>pacjenci</w:t>
            </w:r>
            <w:r w:rsidR="00DC4413">
              <w:rPr>
                <w:sz w:val="20"/>
                <w:szCs w:val="20"/>
              </w:rPr>
              <w:t xml:space="preserve"> </w:t>
            </w:r>
            <w:r w:rsidR="00EE42F2" w:rsidRPr="00341CA6">
              <w:rPr>
                <w:sz w:val="20"/>
                <w:szCs w:val="20"/>
              </w:rPr>
              <w:t>spełniający</w:t>
            </w:r>
            <w:r w:rsidR="00DC4413">
              <w:rPr>
                <w:sz w:val="20"/>
                <w:szCs w:val="20"/>
              </w:rPr>
              <w:t xml:space="preserve"> </w:t>
            </w:r>
            <w:r w:rsidR="00EE42F2" w:rsidRPr="00341CA6">
              <w:rPr>
                <w:sz w:val="20"/>
                <w:szCs w:val="20"/>
              </w:rPr>
              <w:t>łącznie</w:t>
            </w:r>
            <w:r w:rsidR="00DC4413">
              <w:rPr>
                <w:sz w:val="20"/>
                <w:szCs w:val="20"/>
              </w:rPr>
              <w:t xml:space="preserve"> </w:t>
            </w:r>
            <w:r w:rsidR="00EE42F2" w:rsidRPr="00341CA6">
              <w:rPr>
                <w:sz w:val="20"/>
                <w:szCs w:val="20"/>
              </w:rPr>
              <w:t>kryteria</w:t>
            </w:r>
            <w:r w:rsidR="00DC4413">
              <w:rPr>
                <w:sz w:val="20"/>
                <w:szCs w:val="20"/>
              </w:rPr>
              <w:t xml:space="preserve"> </w:t>
            </w:r>
            <w:r w:rsidR="00637DFE" w:rsidRPr="00341CA6">
              <w:rPr>
                <w:sz w:val="20"/>
                <w:szCs w:val="20"/>
              </w:rPr>
              <w:t>wymienione</w:t>
            </w:r>
            <w:r w:rsidR="00DC4413">
              <w:rPr>
                <w:sz w:val="20"/>
                <w:szCs w:val="20"/>
              </w:rPr>
              <w:t xml:space="preserve"> </w:t>
            </w:r>
            <w:r w:rsidR="00637DFE" w:rsidRPr="00341CA6">
              <w:rPr>
                <w:sz w:val="20"/>
                <w:szCs w:val="20"/>
              </w:rPr>
              <w:t>w</w:t>
            </w:r>
            <w:r w:rsidR="00DC4413">
              <w:rPr>
                <w:sz w:val="20"/>
                <w:szCs w:val="20"/>
              </w:rPr>
              <w:t xml:space="preserve"> </w:t>
            </w:r>
            <w:r w:rsidR="00637DFE" w:rsidRPr="00341CA6">
              <w:rPr>
                <w:sz w:val="20"/>
                <w:szCs w:val="20"/>
              </w:rPr>
              <w:t>punktach:</w:t>
            </w:r>
            <w:r w:rsidR="00DC4413">
              <w:rPr>
                <w:sz w:val="20"/>
                <w:szCs w:val="20"/>
              </w:rPr>
              <w:t xml:space="preserve"> </w:t>
            </w:r>
            <w:r w:rsidR="00637DFE" w:rsidRPr="00341CA6">
              <w:rPr>
                <w:sz w:val="20"/>
                <w:szCs w:val="20"/>
              </w:rPr>
              <w:t>1,2</w:t>
            </w:r>
            <w:r w:rsidR="00DC4413">
              <w:rPr>
                <w:sz w:val="20"/>
                <w:szCs w:val="20"/>
              </w:rPr>
              <w:t xml:space="preserve"> </w:t>
            </w:r>
            <w:r w:rsidR="00637DFE" w:rsidRPr="00341CA6">
              <w:rPr>
                <w:sz w:val="20"/>
                <w:szCs w:val="20"/>
              </w:rPr>
              <w:t>albo</w:t>
            </w:r>
            <w:r w:rsidR="00DC4413">
              <w:rPr>
                <w:sz w:val="20"/>
                <w:szCs w:val="20"/>
              </w:rPr>
              <w:t xml:space="preserve"> </w:t>
            </w:r>
            <w:r w:rsidR="00040781" w:rsidRPr="00341CA6">
              <w:rPr>
                <w:sz w:val="20"/>
                <w:szCs w:val="20"/>
              </w:rPr>
              <w:t>1</w:t>
            </w:r>
            <w:r w:rsidRPr="00341CA6">
              <w:rPr>
                <w:sz w:val="20"/>
                <w:szCs w:val="20"/>
              </w:rPr>
              <w:t>,3.</w:t>
            </w:r>
          </w:p>
          <w:p w14:paraId="0CC48D75" w14:textId="438B5B02" w:rsidR="00FF5C64" w:rsidRPr="00341CA6" w:rsidRDefault="004754AC" w:rsidP="00341CA6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341CA6">
              <w:rPr>
                <w:sz w:val="20"/>
                <w:szCs w:val="20"/>
              </w:rPr>
              <w:t>Do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leczenia</w:t>
            </w:r>
            <w:r w:rsidR="00DC4413">
              <w:rPr>
                <w:sz w:val="20"/>
                <w:szCs w:val="20"/>
              </w:rPr>
              <w:t xml:space="preserve"> </w:t>
            </w:r>
            <w:r w:rsidR="00FF5C64" w:rsidRPr="00341CA6">
              <w:rPr>
                <w:bCs/>
                <w:iCs/>
                <w:sz w:val="20"/>
                <w:szCs w:val="20"/>
              </w:rPr>
              <w:t>wedolizumabem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kwalifikowani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są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pacjenci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spełniający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łącznie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kryteria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wymienione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w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punktach: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1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i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2.</w:t>
            </w:r>
          </w:p>
          <w:p w14:paraId="6B738649" w14:textId="2AEE3C93" w:rsidR="00040781" w:rsidRPr="00341CA6" w:rsidRDefault="004754AC" w:rsidP="00341CA6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341CA6">
              <w:rPr>
                <w:sz w:val="20"/>
                <w:szCs w:val="20"/>
              </w:rPr>
              <w:t>Do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leczenia</w:t>
            </w:r>
            <w:r w:rsidR="00DC4413">
              <w:rPr>
                <w:sz w:val="20"/>
                <w:szCs w:val="20"/>
              </w:rPr>
              <w:t xml:space="preserve"> </w:t>
            </w:r>
            <w:r w:rsidR="00040781" w:rsidRPr="00341CA6">
              <w:rPr>
                <w:bCs/>
                <w:iCs/>
                <w:sz w:val="20"/>
                <w:szCs w:val="20"/>
              </w:rPr>
              <w:t>ustekinumabem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kwalifikowani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są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pacjenci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spełniający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łącznie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kryteria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wymienione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w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punktach: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1,2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i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4.</w:t>
            </w:r>
          </w:p>
          <w:p w14:paraId="49F394FB" w14:textId="4F3F22AD" w:rsidR="00912B4F" w:rsidRPr="00F23761" w:rsidRDefault="00040781" w:rsidP="00341CA6">
            <w:pPr>
              <w:numPr>
                <w:ilvl w:val="3"/>
                <w:numId w:val="25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F23761">
              <w:rPr>
                <w:bCs/>
                <w:iCs/>
                <w:sz w:val="20"/>
                <w:szCs w:val="20"/>
              </w:rPr>
              <w:t>Wiek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od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6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lat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w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przy</w:t>
            </w:r>
            <w:r w:rsidR="0012187D" w:rsidRPr="00F23761">
              <w:rPr>
                <w:bCs/>
                <w:iCs/>
                <w:sz w:val="20"/>
                <w:szCs w:val="20"/>
              </w:rPr>
              <w:t>padku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2187D" w:rsidRPr="00F23761">
              <w:rPr>
                <w:bCs/>
                <w:iCs/>
                <w:sz w:val="20"/>
                <w:szCs w:val="20"/>
              </w:rPr>
              <w:t>terapii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2187D" w:rsidRPr="00F23761">
              <w:rPr>
                <w:bCs/>
                <w:iCs/>
                <w:sz w:val="20"/>
                <w:szCs w:val="20"/>
              </w:rPr>
              <w:t>infliksymabem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2187D" w:rsidRPr="00F23761">
              <w:rPr>
                <w:bCs/>
                <w:iCs/>
                <w:sz w:val="20"/>
                <w:szCs w:val="20"/>
              </w:rPr>
              <w:t>lub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adalimumabem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albo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wiek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od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18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lat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w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przypadku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terapii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B63311" w:rsidRPr="00F23761">
              <w:rPr>
                <w:bCs/>
                <w:iCs/>
                <w:sz w:val="20"/>
                <w:szCs w:val="20"/>
              </w:rPr>
              <w:t>ustekinumabem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B63311" w:rsidRPr="00F23761">
              <w:rPr>
                <w:bCs/>
                <w:iCs/>
                <w:sz w:val="20"/>
                <w:szCs w:val="20"/>
              </w:rPr>
              <w:t>lub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B63311" w:rsidRPr="00F23761">
              <w:rPr>
                <w:bCs/>
                <w:iCs/>
                <w:sz w:val="20"/>
                <w:szCs w:val="20"/>
              </w:rPr>
              <w:t>wedolizumabem;</w:t>
            </w:r>
          </w:p>
          <w:p w14:paraId="20A741C5" w14:textId="72515189" w:rsidR="00EF495A" w:rsidRPr="00F23761" w:rsidRDefault="001F48A9" w:rsidP="00341CA6">
            <w:pPr>
              <w:numPr>
                <w:ilvl w:val="3"/>
                <w:numId w:val="25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F23761">
              <w:rPr>
                <w:bCs/>
                <w:iCs/>
                <w:sz w:val="20"/>
                <w:szCs w:val="20"/>
              </w:rPr>
              <w:t>C</w:t>
            </w:r>
            <w:r w:rsidR="00EF495A" w:rsidRPr="00F23761">
              <w:rPr>
                <w:bCs/>
                <w:iCs/>
                <w:sz w:val="20"/>
                <w:szCs w:val="20"/>
              </w:rPr>
              <w:t>iężka,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EF495A" w:rsidRPr="00F23761">
              <w:rPr>
                <w:bCs/>
                <w:iCs/>
                <w:sz w:val="20"/>
                <w:szCs w:val="20"/>
              </w:rPr>
              <w:t>czyn</w:t>
            </w:r>
            <w:r w:rsidR="00912B4F" w:rsidRPr="00F23761">
              <w:rPr>
                <w:bCs/>
                <w:iCs/>
                <w:sz w:val="20"/>
                <w:szCs w:val="20"/>
              </w:rPr>
              <w:t>na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Cs/>
                <w:iCs/>
                <w:sz w:val="20"/>
                <w:szCs w:val="20"/>
              </w:rPr>
              <w:t>postać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Cs/>
                <w:iCs/>
                <w:sz w:val="20"/>
                <w:szCs w:val="20"/>
              </w:rPr>
              <w:t>choroby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Cs/>
                <w:iCs/>
                <w:sz w:val="20"/>
                <w:szCs w:val="20"/>
              </w:rPr>
              <w:t>Leśniowskiego-Crohna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(</w:t>
            </w:r>
            <w:r w:rsidR="00EF495A" w:rsidRPr="00F23761">
              <w:rPr>
                <w:bCs/>
                <w:iCs/>
                <w:sz w:val="20"/>
                <w:szCs w:val="20"/>
              </w:rPr>
              <w:t>wynik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EF495A" w:rsidRPr="00F23761">
              <w:rPr>
                <w:bCs/>
                <w:iCs/>
                <w:sz w:val="20"/>
                <w:szCs w:val="20"/>
              </w:rPr>
              <w:t>w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EF495A" w:rsidRPr="00F23761">
              <w:rPr>
                <w:bCs/>
                <w:iCs/>
                <w:sz w:val="20"/>
                <w:szCs w:val="20"/>
              </w:rPr>
              <w:t>skali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EF495A" w:rsidRPr="00F23761">
              <w:rPr>
                <w:bCs/>
                <w:iCs/>
                <w:sz w:val="20"/>
                <w:szCs w:val="20"/>
              </w:rPr>
              <w:t>PCDA</w:t>
            </w:r>
            <w:r w:rsidR="00912B4F" w:rsidRPr="00F23761">
              <w:rPr>
                <w:bCs/>
                <w:iCs/>
                <w:sz w:val="20"/>
                <w:szCs w:val="20"/>
              </w:rPr>
              <w:t>I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Cs/>
                <w:iCs/>
                <w:sz w:val="20"/>
                <w:szCs w:val="20"/>
              </w:rPr>
              <w:t>większy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Cs/>
                <w:iCs/>
                <w:sz w:val="20"/>
                <w:szCs w:val="20"/>
              </w:rPr>
              <w:t>lub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Cs/>
                <w:iCs/>
                <w:sz w:val="20"/>
                <w:szCs w:val="20"/>
              </w:rPr>
              <w:t>równy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Cs/>
                <w:iCs/>
                <w:sz w:val="20"/>
                <w:szCs w:val="20"/>
              </w:rPr>
              <w:t>51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Cs/>
                <w:iCs/>
                <w:sz w:val="20"/>
                <w:szCs w:val="20"/>
              </w:rPr>
              <w:t>punktów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Cs/>
                <w:iCs/>
                <w:sz w:val="20"/>
                <w:szCs w:val="20"/>
              </w:rPr>
              <w:t>w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Cs/>
                <w:iCs/>
                <w:sz w:val="20"/>
                <w:szCs w:val="20"/>
              </w:rPr>
              <w:t>przypadku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Cs/>
                <w:iCs/>
                <w:sz w:val="20"/>
                <w:szCs w:val="20"/>
              </w:rPr>
              <w:t>pacjentów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Cs/>
                <w:iCs/>
                <w:sz w:val="20"/>
                <w:szCs w:val="20"/>
              </w:rPr>
              <w:t>od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Cs/>
                <w:iCs/>
                <w:sz w:val="20"/>
                <w:szCs w:val="20"/>
              </w:rPr>
              <w:t>6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Cs/>
                <w:iCs/>
                <w:sz w:val="20"/>
                <w:szCs w:val="20"/>
              </w:rPr>
              <w:t>lat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Cs/>
                <w:iCs/>
                <w:sz w:val="20"/>
                <w:szCs w:val="20"/>
              </w:rPr>
              <w:t>do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Cs/>
                <w:iCs/>
                <w:sz w:val="20"/>
                <w:szCs w:val="20"/>
              </w:rPr>
              <w:t>momentu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Cs/>
                <w:iCs/>
                <w:sz w:val="20"/>
                <w:szCs w:val="20"/>
              </w:rPr>
              <w:t>ukończenia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Cs/>
                <w:iCs/>
                <w:sz w:val="20"/>
                <w:szCs w:val="20"/>
              </w:rPr>
              <w:t>18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Cs/>
                <w:iCs/>
                <w:sz w:val="20"/>
                <w:szCs w:val="20"/>
              </w:rPr>
              <w:t>roku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Cs/>
                <w:iCs/>
                <w:sz w:val="20"/>
                <w:szCs w:val="20"/>
              </w:rPr>
              <w:t>życia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Cs/>
                <w:iCs/>
                <w:sz w:val="20"/>
                <w:szCs w:val="20"/>
              </w:rPr>
              <w:t>albo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sz w:val="20"/>
                <w:szCs w:val="20"/>
                <w:lang w:eastAsia="pl-PL"/>
              </w:rPr>
              <w:t>wynik</w:t>
            </w:r>
            <w:r w:rsidR="00DC4413">
              <w:rPr>
                <w:sz w:val="20"/>
                <w:szCs w:val="20"/>
                <w:lang w:eastAsia="pl-PL"/>
              </w:rPr>
              <w:t xml:space="preserve"> </w:t>
            </w:r>
            <w:r w:rsidR="00912B4F" w:rsidRPr="00F23761">
              <w:rPr>
                <w:sz w:val="20"/>
                <w:szCs w:val="20"/>
                <w:lang w:eastAsia="pl-PL"/>
              </w:rPr>
              <w:t>w</w:t>
            </w:r>
            <w:r w:rsidR="00DC4413">
              <w:rPr>
                <w:sz w:val="20"/>
                <w:szCs w:val="20"/>
                <w:lang w:eastAsia="pl-PL"/>
              </w:rPr>
              <w:t xml:space="preserve"> </w:t>
            </w:r>
            <w:r w:rsidR="00912B4F" w:rsidRPr="00F23761">
              <w:rPr>
                <w:sz w:val="20"/>
                <w:szCs w:val="20"/>
                <w:lang w:eastAsia="pl-PL"/>
              </w:rPr>
              <w:t>skali</w:t>
            </w:r>
            <w:r w:rsidR="00DC4413">
              <w:rPr>
                <w:sz w:val="20"/>
                <w:szCs w:val="20"/>
                <w:lang w:eastAsia="pl-PL"/>
              </w:rPr>
              <w:t xml:space="preserve"> </w:t>
            </w:r>
            <w:r w:rsidR="00912B4F" w:rsidRPr="00F23761">
              <w:rPr>
                <w:sz w:val="20"/>
                <w:szCs w:val="20"/>
                <w:lang w:eastAsia="pl-PL"/>
              </w:rPr>
              <w:t>CDAI</w:t>
            </w:r>
            <w:r w:rsidR="00DC4413">
              <w:rPr>
                <w:sz w:val="20"/>
                <w:szCs w:val="20"/>
                <w:lang w:eastAsia="pl-PL"/>
              </w:rPr>
              <w:t xml:space="preserve"> </w:t>
            </w:r>
            <w:r w:rsidR="00912B4F" w:rsidRPr="00F23761">
              <w:rPr>
                <w:sz w:val="20"/>
                <w:szCs w:val="20"/>
                <w:lang w:eastAsia="pl-PL"/>
              </w:rPr>
              <w:t>powyżej</w:t>
            </w:r>
            <w:r w:rsidR="00DC4413">
              <w:rPr>
                <w:sz w:val="20"/>
                <w:szCs w:val="20"/>
                <w:lang w:eastAsia="pl-PL"/>
              </w:rPr>
              <w:t xml:space="preserve"> </w:t>
            </w:r>
            <w:r w:rsidR="00912B4F" w:rsidRPr="00F23761">
              <w:rPr>
                <w:sz w:val="20"/>
                <w:szCs w:val="20"/>
                <w:lang w:eastAsia="pl-PL"/>
              </w:rPr>
              <w:t>300</w:t>
            </w:r>
            <w:r w:rsidR="00DC4413">
              <w:rPr>
                <w:sz w:val="20"/>
                <w:szCs w:val="20"/>
                <w:lang w:eastAsia="pl-PL"/>
              </w:rPr>
              <w:t xml:space="preserve"> </w:t>
            </w:r>
            <w:r w:rsidR="00912B4F" w:rsidRPr="00F23761">
              <w:rPr>
                <w:sz w:val="20"/>
                <w:szCs w:val="20"/>
                <w:lang w:eastAsia="pl-PL"/>
              </w:rPr>
              <w:t>punktów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Cs/>
                <w:iCs/>
                <w:sz w:val="20"/>
                <w:szCs w:val="20"/>
              </w:rPr>
              <w:t>u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Cs/>
                <w:iCs/>
                <w:sz w:val="20"/>
                <w:szCs w:val="20"/>
              </w:rPr>
              <w:t>dorosłych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Cs/>
                <w:iCs/>
                <w:sz w:val="20"/>
                <w:szCs w:val="20"/>
              </w:rPr>
              <w:t>od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Cs/>
                <w:iCs/>
                <w:sz w:val="20"/>
                <w:szCs w:val="20"/>
              </w:rPr>
              <w:t>momentu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Cs/>
                <w:iCs/>
                <w:sz w:val="20"/>
                <w:szCs w:val="20"/>
              </w:rPr>
              <w:t>ukończenia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Cs/>
                <w:iCs/>
                <w:sz w:val="20"/>
                <w:szCs w:val="20"/>
              </w:rPr>
              <w:t>18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Cs/>
                <w:iCs/>
                <w:sz w:val="20"/>
                <w:szCs w:val="20"/>
              </w:rPr>
              <w:t>roku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Cs/>
                <w:iCs/>
                <w:sz w:val="20"/>
                <w:szCs w:val="20"/>
              </w:rPr>
              <w:t>życia</w:t>
            </w:r>
            <w:r w:rsidR="00194DC3" w:rsidRPr="00F23761">
              <w:rPr>
                <w:bCs/>
                <w:iCs/>
                <w:sz w:val="20"/>
                <w:szCs w:val="20"/>
              </w:rPr>
              <w:t>)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Cs/>
                <w:iCs/>
                <w:sz w:val="20"/>
                <w:szCs w:val="20"/>
              </w:rPr>
              <w:t>p</w:t>
            </w:r>
            <w:r w:rsidR="00EF495A" w:rsidRPr="00F23761">
              <w:rPr>
                <w:bCs/>
                <w:iCs/>
                <w:sz w:val="20"/>
                <w:szCs w:val="20"/>
              </w:rPr>
              <w:t>rzy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EF495A" w:rsidRPr="00F23761">
              <w:rPr>
                <w:bCs/>
                <w:iCs/>
                <w:sz w:val="20"/>
                <w:szCs w:val="20"/>
              </w:rPr>
              <w:t>braku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EF495A" w:rsidRPr="00F23761">
              <w:rPr>
                <w:bCs/>
                <w:iCs/>
                <w:sz w:val="20"/>
                <w:szCs w:val="20"/>
              </w:rPr>
              <w:t>odpowiedzi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EF495A" w:rsidRPr="00F23761">
              <w:rPr>
                <w:bCs/>
                <w:iCs/>
                <w:sz w:val="20"/>
                <w:szCs w:val="20"/>
              </w:rPr>
              <w:t>na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EF495A" w:rsidRPr="00F23761">
              <w:rPr>
                <w:bCs/>
                <w:iCs/>
                <w:sz w:val="20"/>
                <w:szCs w:val="20"/>
              </w:rPr>
              <w:t>leczenie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EF495A" w:rsidRPr="00F23761">
              <w:rPr>
                <w:bCs/>
                <w:iCs/>
                <w:sz w:val="20"/>
                <w:szCs w:val="20"/>
              </w:rPr>
              <w:t>glikokortykosteroidami,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EF495A" w:rsidRPr="00F23761">
              <w:rPr>
                <w:bCs/>
                <w:iCs/>
                <w:sz w:val="20"/>
                <w:szCs w:val="20"/>
              </w:rPr>
              <w:t>lub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EF495A" w:rsidRPr="00F23761">
              <w:rPr>
                <w:bCs/>
                <w:iCs/>
                <w:sz w:val="20"/>
                <w:szCs w:val="20"/>
              </w:rPr>
              <w:t>lekami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EF495A" w:rsidRPr="00F23761">
              <w:rPr>
                <w:bCs/>
                <w:iCs/>
                <w:sz w:val="20"/>
                <w:szCs w:val="20"/>
              </w:rPr>
              <w:t>immunosupresyjnymi,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EF495A" w:rsidRPr="00F23761">
              <w:rPr>
                <w:bCs/>
                <w:iCs/>
                <w:sz w:val="20"/>
                <w:szCs w:val="20"/>
              </w:rPr>
              <w:t>lub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EF495A" w:rsidRPr="00F23761">
              <w:rPr>
                <w:bCs/>
                <w:iCs/>
                <w:sz w:val="20"/>
                <w:szCs w:val="20"/>
              </w:rPr>
              <w:t>innymi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EF495A" w:rsidRPr="00F23761">
              <w:rPr>
                <w:bCs/>
                <w:iCs/>
                <w:sz w:val="20"/>
                <w:szCs w:val="20"/>
              </w:rPr>
              <w:t>inhibitorami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EF495A" w:rsidRPr="00F23761">
              <w:rPr>
                <w:bCs/>
                <w:iCs/>
                <w:sz w:val="20"/>
                <w:szCs w:val="20"/>
              </w:rPr>
              <w:t>TNF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EF495A" w:rsidRPr="00F23761">
              <w:rPr>
                <w:bCs/>
                <w:iCs/>
                <w:sz w:val="20"/>
                <w:szCs w:val="20"/>
              </w:rPr>
              <w:t>alfa,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EF495A" w:rsidRPr="00F23761">
              <w:rPr>
                <w:bCs/>
                <w:iCs/>
                <w:sz w:val="20"/>
                <w:szCs w:val="20"/>
              </w:rPr>
              <w:t>l</w:t>
            </w:r>
            <w:r w:rsidRPr="00F23761">
              <w:rPr>
                <w:bCs/>
                <w:iCs/>
                <w:sz w:val="20"/>
                <w:szCs w:val="20"/>
              </w:rPr>
              <w:t>ub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784445" w:rsidRPr="00F23761">
              <w:rPr>
                <w:bCs/>
                <w:iCs/>
                <w:sz w:val="20"/>
                <w:szCs w:val="20"/>
              </w:rPr>
              <w:t>przy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występowaniu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przeciwwskazań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EF495A" w:rsidRPr="00F23761">
              <w:rPr>
                <w:bCs/>
                <w:iCs/>
                <w:sz w:val="20"/>
                <w:szCs w:val="20"/>
              </w:rPr>
              <w:t>lub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EF495A" w:rsidRPr="00F23761">
              <w:rPr>
                <w:bCs/>
                <w:iCs/>
                <w:sz w:val="20"/>
                <w:szCs w:val="20"/>
              </w:rPr>
              <w:t>objawów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EE42F2" w:rsidRPr="00F23761">
              <w:rPr>
                <w:bCs/>
                <w:iCs/>
                <w:sz w:val="20"/>
                <w:szCs w:val="20"/>
              </w:rPr>
              <w:t>nietolerancji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EE42F2" w:rsidRPr="00F23761">
              <w:rPr>
                <w:bCs/>
                <w:iCs/>
                <w:sz w:val="20"/>
                <w:szCs w:val="20"/>
              </w:rPr>
              <w:t>takiego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EE42F2" w:rsidRPr="00F23761">
              <w:rPr>
                <w:bCs/>
                <w:iCs/>
                <w:sz w:val="20"/>
                <w:szCs w:val="20"/>
              </w:rPr>
              <w:t>leczenia;</w:t>
            </w:r>
          </w:p>
          <w:p w14:paraId="4B92DB36" w14:textId="064CC4E7" w:rsidR="00EF495A" w:rsidRPr="00F23761" w:rsidRDefault="00012086" w:rsidP="00341CA6">
            <w:pPr>
              <w:numPr>
                <w:ilvl w:val="3"/>
                <w:numId w:val="25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F23761">
              <w:rPr>
                <w:bCs/>
                <w:iCs/>
                <w:sz w:val="20"/>
                <w:szCs w:val="20"/>
              </w:rPr>
              <w:t>P</w:t>
            </w:r>
            <w:r w:rsidR="001F48A9" w:rsidRPr="00F23761">
              <w:rPr>
                <w:bCs/>
                <w:iCs/>
                <w:sz w:val="20"/>
                <w:szCs w:val="20"/>
              </w:rPr>
              <w:t>acjenci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F48A9" w:rsidRPr="00F23761">
              <w:rPr>
                <w:bCs/>
                <w:iCs/>
                <w:sz w:val="20"/>
                <w:szCs w:val="20"/>
              </w:rPr>
              <w:t>z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F48A9" w:rsidRPr="00F23761">
              <w:rPr>
                <w:bCs/>
                <w:iCs/>
                <w:sz w:val="20"/>
                <w:szCs w:val="20"/>
              </w:rPr>
              <w:t>c</w:t>
            </w:r>
            <w:r w:rsidR="0094740F" w:rsidRPr="00F23761">
              <w:rPr>
                <w:bCs/>
                <w:iCs/>
                <w:sz w:val="20"/>
                <w:szCs w:val="20"/>
              </w:rPr>
              <w:t>horobą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4740F" w:rsidRPr="00F23761">
              <w:rPr>
                <w:bCs/>
                <w:iCs/>
                <w:sz w:val="20"/>
                <w:szCs w:val="20"/>
              </w:rPr>
              <w:t>Leśniowskiego-</w:t>
            </w:r>
            <w:r w:rsidR="00EF495A" w:rsidRPr="00F23761">
              <w:rPr>
                <w:bCs/>
                <w:iCs/>
                <w:sz w:val="20"/>
                <w:szCs w:val="20"/>
              </w:rPr>
              <w:t>Crohna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EF495A" w:rsidRPr="00F23761">
              <w:rPr>
                <w:bCs/>
                <w:iCs/>
                <w:sz w:val="20"/>
                <w:szCs w:val="20"/>
              </w:rPr>
              <w:t>cechującą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EF495A" w:rsidRPr="00F23761">
              <w:rPr>
                <w:bCs/>
                <w:iCs/>
                <w:sz w:val="20"/>
                <w:szCs w:val="20"/>
              </w:rPr>
              <w:t>się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EF495A" w:rsidRPr="00F23761">
              <w:rPr>
                <w:bCs/>
                <w:iCs/>
                <w:sz w:val="20"/>
                <w:szCs w:val="20"/>
              </w:rPr>
              <w:t>wytworzeniem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EF495A" w:rsidRPr="00F23761">
              <w:rPr>
                <w:bCs/>
                <w:iCs/>
                <w:sz w:val="20"/>
                <w:szCs w:val="20"/>
              </w:rPr>
              <w:t>przetok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EF495A" w:rsidRPr="00F23761">
              <w:rPr>
                <w:bCs/>
                <w:iCs/>
                <w:sz w:val="20"/>
                <w:szCs w:val="20"/>
              </w:rPr>
              <w:t>okołoodbytowych,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EF495A" w:rsidRPr="00F23761">
              <w:rPr>
                <w:bCs/>
                <w:iCs/>
                <w:sz w:val="20"/>
                <w:szCs w:val="20"/>
              </w:rPr>
              <w:t>którzy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EF495A" w:rsidRPr="00F23761">
              <w:rPr>
                <w:bCs/>
                <w:iCs/>
                <w:sz w:val="20"/>
                <w:szCs w:val="20"/>
              </w:rPr>
              <w:t>nie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EF495A" w:rsidRPr="00F23761">
              <w:rPr>
                <w:bCs/>
                <w:iCs/>
                <w:sz w:val="20"/>
                <w:szCs w:val="20"/>
              </w:rPr>
              <w:t>odpowiedzieli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EF495A" w:rsidRPr="00F23761">
              <w:rPr>
                <w:bCs/>
                <w:iCs/>
                <w:sz w:val="20"/>
                <w:szCs w:val="20"/>
              </w:rPr>
              <w:t>na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EF495A" w:rsidRPr="00F23761">
              <w:rPr>
                <w:bCs/>
                <w:iCs/>
                <w:sz w:val="20"/>
                <w:szCs w:val="20"/>
              </w:rPr>
              <w:t>leczenie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EF495A" w:rsidRPr="00F23761">
              <w:rPr>
                <w:bCs/>
                <w:iCs/>
                <w:sz w:val="20"/>
                <w:szCs w:val="20"/>
              </w:rPr>
              <w:t>podstawowe: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EF495A" w:rsidRPr="00F23761">
              <w:rPr>
                <w:bCs/>
                <w:iCs/>
                <w:sz w:val="20"/>
                <w:szCs w:val="20"/>
              </w:rPr>
              <w:t>antybiotyki,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EF495A" w:rsidRPr="00F23761">
              <w:rPr>
                <w:bCs/>
                <w:iCs/>
                <w:sz w:val="20"/>
                <w:szCs w:val="20"/>
              </w:rPr>
              <w:t>leki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EF495A" w:rsidRPr="00F23761">
              <w:rPr>
                <w:bCs/>
                <w:iCs/>
                <w:sz w:val="20"/>
                <w:szCs w:val="20"/>
              </w:rPr>
              <w:t>immunosupresyjne,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EF495A" w:rsidRPr="00F23761">
              <w:rPr>
                <w:bCs/>
                <w:iCs/>
                <w:sz w:val="20"/>
                <w:szCs w:val="20"/>
              </w:rPr>
              <w:t>leczenie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EF495A" w:rsidRPr="00F23761">
              <w:rPr>
                <w:bCs/>
                <w:iCs/>
                <w:sz w:val="20"/>
                <w:szCs w:val="20"/>
              </w:rPr>
              <w:t>chirurgiczne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EF495A" w:rsidRPr="00F23761">
              <w:rPr>
                <w:bCs/>
                <w:iCs/>
                <w:sz w:val="20"/>
                <w:szCs w:val="20"/>
              </w:rPr>
              <w:t>-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EF495A" w:rsidRPr="00F23761">
              <w:rPr>
                <w:bCs/>
                <w:iCs/>
                <w:sz w:val="20"/>
                <w:szCs w:val="20"/>
              </w:rPr>
              <w:t>niezależnie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EF495A" w:rsidRPr="00F23761">
              <w:rPr>
                <w:bCs/>
                <w:iCs/>
                <w:sz w:val="20"/>
                <w:szCs w:val="20"/>
              </w:rPr>
              <w:t>od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nasilenia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choroby;</w:t>
            </w:r>
          </w:p>
          <w:p w14:paraId="5BF08CBE" w14:textId="79E1BD14" w:rsidR="00040781" w:rsidRPr="00F23761" w:rsidRDefault="00040781" w:rsidP="00341CA6">
            <w:pPr>
              <w:numPr>
                <w:ilvl w:val="3"/>
                <w:numId w:val="25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F23761">
              <w:rPr>
                <w:bCs/>
                <w:iCs/>
                <w:sz w:val="20"/>
                <w:szCs w:val="20"/>
              </w:rPr>
              <w:lastRenderedPageBreak/>
              <w:t>Udokumentowany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brak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odpowiedzi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n</w:t>
            </w:r>
            <w:r w:rsidR="00C64AB0" w:rsidRPr="00F23761">
              <w:rPr>
                <w:bCs/>
                <w:iCs/>
                <w:sz w:val="20"/>
                <w:szCs w:val="20"/>
              </w:rPr>
              <w:t>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C64AB0" w:rsidRPr="00F23761">
              <w:rPr>
                <w:bCs/>
                <w:iCs/>
                <w:sz w:val="20"/>
                <w:szCs w:val="20"/>
              </w:rPr>
              <w:t>leczenie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C64AB0" w:rsidRPr="00F23761">
              <w:rPr>
                <w:bCs/>
                <w:iCs/>
                <w:sz w:val="20"/>
                <w:szCs w:val="20"/>
              </w:rPr>
              <w:t>co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C64AB0" w:rsidRPr="00F23761">
              <w:rPr>
                <w:bCs/>
                <w:iCs/>
                <w:sz w:val="20"/>
                <w:szCs w:val="20"/>
              </w:rPr>
              <w:t>najmniej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C64AB0" w:rsidRPr="00F23761">
              <w:rPr>
                <w:bCs/>
                <w:iCs/>
                <w:sz w:val="20"/>
                <w:szCs w:val="20"/>
              </w:rPr>
              <w:t>jednym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inhibitorem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TNF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alfa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5B211A" w:rsidRPr="00F23761">
              <w:rPr>
                <w:bCs/>
                <w:iCs/>
                <w:sz w:val="20"/>
                <w:szCs w:val="20"/>
              </w:rPr>
              <w:t>lub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5B211A" w:rsidRPr="00F23761">
              <w:rPr>
                <w:iCs/>
                <w:sz w:val="20"/>
                <w:szCs w:val="20"/>
              </w:rPr>
              <w:t>występowani</w:t>
            </w:r>
            <w:r w:rsidR="00744896" w:rsidRPr="00F23761">
              <w:rPr>
                <w:iCs/>
                <w:sz w:val="20"/>
                <w:szCs w:val="20"/>
              </w:rPr>
              <w:t>e</w:t>
            </w:r>
            <w:r w:rsidR="00DC4413">
              <w:rPr>
                <w:iCs/>
                <w:sz w:val="20"/>
                <w:szCs w:val="20"/>
              </w:rPr>
              <w:t xml:space="preserve"> </w:t>
            </w:r>
            <w:r w:rsidR="005B211A" w:rsidRPr="00F23761">
              <w:rPr>
                <w:iCs/>
                <w:sz w:val="20"/>
                <w:szCs w:val="20"/>
              </w:rPr>
              <w:t>przeciwwskazań</w:t>
            </w:r>
            <w:r w:rsidR="00DC4413">
              <w:rPr>
                <w:iCs/>
                <w:sz w:val="20"/>
                <w:szCs w:val="20"/>
              </w:rPr>
              <w:t xml:space="preserve"> </w:t>
            </w:r>
            <w:r w:rsidR="005B211A" w:rsidRPr="00F23761">
              <w:rPr>
                <w:iCs/>
                <w:sz w:val="20"/>
                <w:szCs w:val="20"/>
              </w:rPr>
              <w:t>lub</w:t>
            </w:r>
            <w:r w:rsidR="00DC4413">
              <w:rPr>
                <w:iCs/>
                <w:sz w:val="20"/>
                <w:szCs w:val="20"/>
              </w:rPr>
              <w:t xml:space="preserve"> </w:t>
            </w:r>
            <w:r w:rsidR="005B211A" w:rsidRPr="00F23761">
              <w:rPr>
                <w:iCs/>
                <w:sz w:val="20"/>
                <w:szCs w:val="20"/>
              </w:rPr>
              <w:t>objawów</w:t>
            </w:r>
            <w:r w:rsidR="00DC4413">
              <w:rPr>
                <w:iCs/>
                <w:sz w:val="20"/>
                <w:szCs w:val="20"/>
              </w:rPr>
              <w:t xml:space="preserve"> </w:t>
            </w:r>
            <w:r w:rsidR="005B211A" w:rsidRPr="00F23761">
              <w:rPr>
                <w:iCs/>
                <w:sz w:val="20"/>
                <w:szCs w:val="20"/>
              </w:rPr>
              <w:t>nietolerancji</w:t>
            </w:r>
            <w:r w:rsidR="00DC4413">
              <w:rPr>
                <w:iCs/>
                <w:sz w:val="20"/>
                <w:szCs w:val="20"/>
              </w:rPr>
              <w:t xml:space="preserve"> </w:t>
            </w:r>
            <w:r w:rsidR="005B211A" w:rsidRPr="00F23761">
              <w:rPr>
                <w:iCs/>
                <w:sz w:val="20"/>
                <w:szCs w:val="20"/>
              </w:rPr>
              <w:t>takiego</w:t>
            </w:r>
            <w:r w:rsidR="00DC4413">
              <w:rPr>
                <w:iCs/>
                <w:sz w:val="20"/>
                <w:szCs w:val="20"/>
              </w:rPr>
              <w:t xml:space="preserve"> </w:t>
            </w:r>
            <w:r w:rsidR="005B211A" w:rsidRPr="00F23761">
              <w:rPr>
                <w:iCs/>
                <w:sz w:val="20"/>
                <w:szCs w:val="20"/>
              </w:rPr>
              <w:t>leczenia</w:t>
            </w:r>
            <w:r w:rsidRPr="00F23761">
              <w:rPr>
                <w:bCs/>
                <w:iCs/>
                <w:sz w:val="20"/>
                <w:szCs w:val="20"/>
              </w:rPr>
              <w:t>;</w:t>
            </w:r>
          </w:p>
          <w:p w14:paraId="365444F8" w14:textId="200938BC" w:rsidR="000B35DB" w:rsidRPr="00F23761" w:rsidRDefault="000B35DB" w:rsidP="00341CA6">
            <w:pPr>
              <w:numPr>
                <w:ilvl w:val="3"/>
                <w:numId w:val="25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F23761">
              <w:rPr>
                <w:bCs/>
                <w:iCs/>
                <w:sz w:val="20"/>
                <w:szCs w:val="20"/>
              </w:rPr>
              <w:t>Do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programu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kwalifikowani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są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również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pacjenci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wymagający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kontynuacji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leczenia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infliksymabem</w:t>
            </w:r>
            <w:r w:rsidR="003561A2" w:rsidRPr="00F23761">
              <w:rPr>
                <w:bCs/>
                <w:iCs/>
                <w:sz w:val="20"/>
                <w:szCs w:val="20"/>
              </w:rPr>
              <w:t>,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lub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adalimumabem,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lub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wedolizumabem,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lub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ustekinumabem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ich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dotychczasowe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leczenie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infliksymabem</w:t>
            </w:r>
            <w:r w:rsidR="003561A2" w:rsidRPr="00F23761">
              <w:rPr>
                <w:bCs/>
                <w:iCs/>
                <w:sz w:val="20"/>
                <w:szCs w:val="20"/>
              </w:rPr>
              <w:t>,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lub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adalimumabem,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lub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wedolizumabem,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lub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ustekinumabem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było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finansowane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w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ramach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hospitalizacji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według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jednorodnych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grup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pacjentów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(JGP)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lub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dostępu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do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terapii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ratunkowej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pod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warunkiem,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że: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59E69FCE" w14:textId="1831C3C8" w:rsidR="000B35DB" w:rsidRPr="00F23761" w:rsidRDefault="000B35DB" w:rsidP="00341CA6">
            <w:pPr>
              <w:numPr>
                <w:ilvl w:val="5"/>
                <w:numId w:val="25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F23761">
              <w:rPr>
                <w:bCs/>
                <w:iCs/>
                <w:sz w:val="20"/>
                <w:szCs w:val="20"/>
              </w:rPr>
              <w:t>przed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rozpoczęciem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terapii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spełniali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kryteria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włączenia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do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programu,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738639BB" w14:textId="14CB8BEE" w:rsidR="000B35DB" w:rsidRPr="00F23761" w:rsidRDefault="000B35DB" w:rsidP="00341CA6">
            <w:pPr>
              <w:numPr>
                <w:ilvl w:val="5"/>
                <w:numId w:val="25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F23761">
              <w:rPr>
                <w:bCs/>
                <w:iCs/>
                <w:sz w:val="20"/>
                <w:szCs w:val="20"/>
              </w:rPr>
              <w:t>nie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zachodzą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kryteria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stanowiące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przeciwwskazania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do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udziału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w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programie,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7F61AA0C" w14:textId="4BCF69F2" w:rsidR="000B35DB" w:rsidRPr="00F23761" w:rsidRDefault="000B35DB" w:rsidP="00341CA6">
            <w:pPr>
              <w:numPr>
                <w:ilvl w:val="5"/>
                <w:numId w:val="25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F23761">
              <w:rPr>
                <w:bCs/>
                <w:iCs/>
                <w:sz w:val="20"/>
                <w:szCs w:val="20"/>
              </w:rPr>
              <w:t>nie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zachodzą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DC4413" w:rsidRPr="00F23761">
              <w:rPr>
                <w:bCs/>
                <w:iCs/>
                <w:sz w:val="20"/>
                <w:szCs w:val="20"/>
              </w:rPr>
              <w:t>okoliczności,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o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których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mowa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w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punkcie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dotyczącym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zakończenia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leczenia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gdy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kończy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się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udział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pacjenta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w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programie;</w:t>
            </w:r>
          </w:p>
          <w:p w14:paraId="60C59CF2" w14:textId="035BBAB8" w:rsidR="00040781" w:rsidRPr="00F23761" w:rsidRDefault="00AD3624" w:rsidP="00341CA6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Kobiety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wieku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rozrodczym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muszą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wyrazić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zgodę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na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świadomą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kontrolę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urodzeń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040781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040781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trakcie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040781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leczenia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040781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oraz</w:t>
            </w:r>
          </w:p>
          <w:p w14:paraId="322AE21C" w14:textId="7D7F8BBC" w:rsidR="00341CA6" w:rsidRDefault="00AD3624" w:rsidP="00341CA6">
            <w:pPr>
              <w:pStyle w:val="Default"/>
              <w:numPr>
                <w:ilvl w:val="5"/>
                <w:numId w:val="25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okresie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do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6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miesięcy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po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zastosowan</w:t>
            </w:r>
            <w:r w:rsidR="001F48A9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iu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1F48A9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ostatniej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1F48A9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dawki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1F48A9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infliksymabu</w:t>
            </w:r>
            <w:r w:rsidR="00040781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,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14:paraId="1822E33B" w14:textId="7E5D13DD" w:rsidR="00040781" w:rsidRPr="00F23761" w:rsidRDefault="00EF495A" w:rsidP="00341CA6">
            <w:pPr>
              <w:pStyle w:val="Default"/>
              <w:spacing w:after="60" w:line="276" w:lineRule="auto"/>
              <w:ind w:left="68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lub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14:paraId="1E9E0007" w14:textId="7A8D4E14" w:rsidR="00341CA6" w:rsidRDefault="00040781" w:rsidP="00341CA6">
            <w:pPr>
              <w:pStyle w:val="Default"/>
              <w:numPr>
                <w:ilvl w:val="5"/>
                <w:numId w:val="25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okresie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EF495A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do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EF495A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5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EF495A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miesięcy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EF495A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po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EF495A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zastosowa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niu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ostatniej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dawki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adalimumabu,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14:paraId="0D7416D1" w14:textId="32310BCA" w:rsidR="00040781" w:rsidRPr="00F23761" w:rsidRDefault="00040781" w:rsidP="00341CA6">
            <w:pPr>
              <w:pStyle w:val="Default"/>
              <w:spacing w:after="60" w:line="276" w:lineRule="auto"/>
              <w:ind w:left="68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lub</w:t>
            </w:r>
          </w:p>
          <w:p w14:paraId="2CF8AAB1" w14:textId="36A7ADC8" w:rsidR="00341CA6" w:rsidRDefault="00040781" w:rsidP="00341CA6">
            <w:pPr>
              <w:pStyle w:val="Default"/>
              <w:numPr>
                <w:ilvl w:val="5"/>
                <w:numId w:val="25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okresie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do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minimum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15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tygodni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po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zastosowan</w:t>
            </w:r>
            <w:r w:rsidR="00BC0AC8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iu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BC0AC8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ostatniej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BC0AC8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dawki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BC0AC8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ustekinumabu,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14:paraId="399C153C" w14:textId="2E73D680" w:rsidR="00040781" w:rsidRPr="00F23761" w:rsidRDefault="00BC0AC8" w:rsidP="00341CA6">
            <w:pPr>
              <w:pStyle w:val="Default"/>
              <w:spacing w:after="60" w:line="276" w:lineRule="auto"/>
              <w:ind w:left="68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lub</w:t>
            </w:r>
          </w:p>
          <w:p w14:paraId="33E77950" w14:textId="2582E100" w:rsidR="00BC0AC8" w:rsidRPr="00F23761" w:rsidRDefault="00BC0AC8" w:rsidP="00341CA6">
            <w:pPr>
              <w:pStyle w:val="Default"/>
              <w:numPr>
                <w:ilvl w:val="5"/>
                <w:numId w:val="25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okresie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przez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co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najmniej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18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tygodni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po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zastosowaniu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ostatniej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dawki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wedolizumabu.</w:t>
            </w:r>
          </w:p>
          <w:p w14:paraId="5225B5B9" w14:textId="66B3D818" w:rsidR="001B2292" w:rsidRPr="00F23761" w:rsidRDefault="000A1DC7" w:rsidP="00341CA6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trakcie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kwalifikacji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do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programu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wszyscy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chorzy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A141B0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pediatryczni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A141B0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(</w:t>
            </w:r>
            <w:r w:rsidR="00A141B0" w:rsidRPr="00F23761">
              <w:rPr>
                <w:rFonts w:ascii="Times New Roman" w:hAnsi="Times New Roman" w:cs="Times New Roman"/>
                <w:sz w:val="20"/>
                <w:szCs w:val="20"/>
              </w:rPr>
              <w:t>dzieci</w:t>
            </w:r>
            <w:r w:rsidR="00DC44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B0" w:rsidRPr="00F2376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C44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B0" w:rsidRPr="00F23761">
              <w:rPr>
                <w:rFonts w:ascii="Times New Roman" w:hAnsi="Times New Roman" w:cs="Times New Roman"/>
                <w:sz w:val="20"/>
                <w:szCs w:val="20"/>
              </w:rPr>
              <w:t>wieku</w:t>
            </w:r>
            <w:r w:rsidR="00DC44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B0" w:rsidRPr="00F2376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DC44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B0" w:rsidRPr="00F237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C44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B0" w:rsidRPr="00F23761">
              <w:rPr>
                <w:rFonts w:ascii="Times New Roman" w:hAnsi="Times New Roman" w:cs="Times New Roman"/>
                <w:sz w:val="20"/>
                <w:szCs w:val="20"/>
              </w:rPr>
              <w:t>lat</w:t>
            </w:r>
            <w:r w:rsidR="00DC44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B0" w:rsidRPr="00F2376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C44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B0" w:rsidRPr="00F23761">
              <w:rPr>
                <w:rFonts w:ascii="Times New Roman" w:hAnsi="Times New Roman" w:cs="Times New Roman"/>
                <w:sz w:val="20"/>
                <w:szCs w:val="20"/>
              </w:rPr>
              <w:t>momentu</w:t>
            </w:r>
            <w:r w:rsidR="00DC44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B0" w:rsidRPr="00F23761">
              <w:rPr>
                <w:rFonts w:ascii="Times New Roman" w:hAnsi="Times New Roman" w:cs="Times New Roman"/>
                <w:sz w:val="20"/>
                <w:szCs w:val="20"/>
              </w:rPr>
              <w:t>ukończenia</w:t>
            </w:r>
            <w:r w:rsidR="00DC44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B0" w:rsidRPr="00F2376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C44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B0" w:rsidRPr="00F23761">
              <w:rPr>
                <w:rFonts w:ascii="Times New Roman" w:hAnsi="Times New Roman" w:cs="Times New Roman"/>
                <w:sz w:val="20"/>
                <w:szCs w:val="20"/>
              </w:rPr>
              <w:t>roku</w:t>
            </w:r>
            <w:r w:rsidR="00DC44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B0" w:rsidRPr="00F23761">
              <w:rPr>
                <w:rFonts w:ascii="Times New Roman" w:hAnsi="Times New Roman" w:cs="Times New Roman"/>
                <w:sz w:val="20"/>
                <w:szCs w:val="20"/>
              </w:rPr>
              <w:t>życia)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otrzymują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F55387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Kartę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F55387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Ostrzeżeń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F55387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dla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F55387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pacjenta.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F55387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Pot</w:t>
            </w:r>
            <w:r w:rsidR="00A121D5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wierdzenie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A121D5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faktu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A121D5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otrzymania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F55387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Karty</w:t>
            </w:r>
            <w:r w:rsidR="00DC44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5387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Ostrzeżeń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F55387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dla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F55387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pacjenta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F55387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przechowywane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F55387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jest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F55387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F55387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dokumentacji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F55387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medycznej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F55387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pacjenta.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14:paraId="4ECD1351" w14:textId="77777777" w:rsidR="000C0385" w:rsidRPr="00F23761" w:rsidRDefault="000C0385" w:rsidP="00F23761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  <w:p w14:paraId="0BB954E0" w14:textId="764C183C" w:rsidR="0005465A" w:rsidRPr="00F23761" w:rsidRDefault="001F48A9" w:rsidP="00F23761">
            <w:pPr>
              <w:pStyle w:val="Default"/>
              <w:numPr>
                <w:ilvl w:val="0"/>
                <w:numId w:val="25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  <w:r w:rsidRPr="00F2376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Leczenie</w:t>
            </w:r>
            <w:r w:rsidR="00DC4413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  <w:t>podtrzymujące</w:t>
            </w:r>
          </w:p>
          <w:p w14:paraId="5FF9C09B" w14:textId="2D90A0CA" w:rsidR="006503A0" w:rsidRPr="00F23761" w:rsidRDefault="00BC3405" w:rsidP="00341CA6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Po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podaniu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05465A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ostatniej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05465A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dawki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05465A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05465A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terapii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05465A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indukcyjnej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6503A0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należy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1F48A9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dokonać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1F48A9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oceny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1F48A9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odpowiedzi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1F48A9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na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1F48A9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le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czenie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przy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użyciu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skali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PCDAI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albo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CDAI.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1F48A9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Świadczeniobiorcy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1F48A9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z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1F48A9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odpowiedzią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1F48A9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kliniczną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1F48A9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przecho</w:t>
            </w:r>
            <w:r w:rsidR="006503A0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dzą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6503A0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do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6503A0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leczenia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6503A0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podtrzymującego.</w:t>
            </w:r>
          </w:p>
          <w:p w14:paraId="0B5EF319" w14:textId="59BF1A0B" w:rsidR="00460048" w:rsidRPr="00F23761" w:rsidRDefault="001F48A9" w:rsidP="00341CA6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Odpowiedź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1E1F49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kliniczna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1E1F49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definiowana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1E1F49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jest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1E1F49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jako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460048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zmniejszenie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460048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wskaźnika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460048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CDAI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460048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o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460048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co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460048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najmniej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460048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70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460048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punktów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460048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oraz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460048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o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460048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co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460048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najmniej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460048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25%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460048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względem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460048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wartości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460048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początkowej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460048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albo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460048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zmniejszenie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460048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wskaźnika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460048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PCDAI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460048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o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460048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co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460048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najmniej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460048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  <w:r w:rsidR="007D10C0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2,</w:t>
            </w:r>
            <w:r w:rsidR="00460048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5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460048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punktów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460048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względem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460048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wartości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460048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początkowej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460048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oraz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460048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PCDAI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460048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≤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460048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30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="00460048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punktów.</w:t>
            </w:r>
          </w:p>
          <w:p w14:paraId="2F87606F" w14:textId="77777777" w:rsidR="000C0385" w:rsidRPr="00F23761" w:rsidRDefault="000C0385" w:rsidP="00F23761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  <w:p w14:paraId="54A0B210" w14:textId="5606EB80" w:rsidR="00C83B0D" w:rsidRPr="00F23761" w:rsidRDefault="00C83B0D" w:rsidP="00F23761">
            <w:pPr>
              <w:numPr>
                <w:ilvl w:val="0"/>
                <w:numId w:val="25"/>
              </w:numPr>
              <w:spacing w:after="60" w:line="276" w:lineRule="auto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23761">
              <w:rPr>
                <w:b/>
                <w:bCs/>
                <w:iCs/>
                <w:sz w:val="20"/>
                <w:szCs w:val="20"/>
              </w:rPr>
              <w:t>Określenie</w:t>
            </w:r>
            <w:r w:rsidR="00DC4413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/>
                <w:bCs/>
                <w:iCs/>
                <w:sz w:val="20"/>
                <w:szCs w:val="20"/>
              </w:rPr>
              <w:t>czasu</w:t>
            </w:r>
            <w:r w:rsidR="00DC4413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/>
                <w:bCs/>
                <w:iCs/>
                <w:sz w:val="20"/>
                <w:szCs w:val="20"/>
              </w:rPr>
              <w:t>leczenia</w:t>
            </w:r>
            <w:r w:rsidR="00DC4413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/>
                <w:bCs/>
                <w:iCs/>
                <w:sz w:val="20"/>
                <w:szCs w:val="20"/>
              </w:rPr>
              <w:t>w</w:t>
            </w:r>
            <w:r w:rsidR="00DC4413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/>
                <w:bCs/>
                <w:iCs/>
                <w:sz w:val="20"/>
                <w:szCs w:val="20"/>
              </w:rPr>
              <w:t>programie</w:t>
            </w:r>
          </w:p>
          <w:p w14:paraId="33DC018E" w14:textId="269605CF" w:rsidR="00744896" w:rsidRPr="00341CA6" w:rsidRDefault="004A1FDE" w:rsidP="00341CA6">
            <w:pPr>
              <w:spacing w:after="60" w:line="276" w:lineRule="auto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341CA6">
              <w:rPr>
                <w:sz w:val="20"/>
                <w:szCs w:val="20"/>
              </w:rPr>
              <w:t>W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momencie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oceny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skuteczności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terapii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indukcyjnej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(punkty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1a,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2a,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3a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i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4a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poniżej)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należy</w:t>
            </w:r>
            <w:r w:rsidR="00DC4413">
              <w:rPr>
                <w:sz w:val="20"/>
                <w:szCs w:val="20"/>
              </w:rPr>
              <w:t xml:space="preserve"> </w:t>
            </w:r>
            <w:r w:rsidR="00744896" w:rsidRPr="00341CA6">
              <w:rPr>
                <w:sz w:val="20"/>
                <w:szCs w:val="20"/>
              </w:rPr>
              <w:t>zdecydować,</w:t>
            </w:r>
            <w:r w:rsidR="00DC4413">
              <w:rPr>
                <w:sz w:val="20"/>
                <w:szCs w:val="20"/>
              </w:rPr>
              <w:t xml:space="preserve"> </w:t>
            </w:r>
            <w:r w:rsidR="00744896" w:rsidRPr="00341CA6">
              <w:rPr>
                <w:sz w:val="20"/>
                <w:szCs w:val="20"/>
              </w:rPr>
              <w:t>czy</w:t>
            </w:r>
            <w:r w:rsidR="00DC4413">
              <w:rPr>
                <w:sz w:val="20"/>
                <w:szCs w:val="20"/>
              </w:rPr>
              <w:t xml:space="preserve"> </w:t>
            </w:r>
            <w:r w:rsidR="00744896" w:rsidRPr="00341CA6">
              <w:rPr>
                <w:sz w:val="20"/>
                <w:szCs w:val="20"/>
              </w:rPr>
              <w:t>jest</w:t>
            </w:r>
            <w:r w:rsidR="00DC4413">
              <w:rPr>
                <w:sz w:val="20"/>
                <w:szCs w:val="20"/>
              </w:rPr>
              <w:t xml:space="preserve"> </w:t>
            </w:r>
            <w:r w:rsidR="00744896" w:rsidRPr="00341CA6">
              <w:rPr>
                <w:sz w:val="20"/>
                <w:szCs w:val="20"/>
              </w:rPr>
              <w:t>wskazan</w:t>
            </w:r>
            <w:r w:rsidRPr="00341CA6">
              <w:rPr>
                <w:sz w:val="20"/>
                <w:szCs w:val="20"/>
              </w:rPr>
              <w:t>e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leczenie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podtrzymujące</w:t>
            </w:r>
            <w:r w:rsidR="00DC4413">
              <w:rPr>
                <w:sz w:val="20"/>
                <w:szCs w:val="20"/>
              </w:rPr>
              <w:t xml:space="preserve"> </w:t>
            </w:r>
            <w:r w:rsidR="0056639E" w:rsidRPr="00341CA6">
              <w:rPr>
                <w:sz w:val="20"/>
                <w:szCs w:val="20"/>
              </w:rPr>
              <w:t>i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ewentualnie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w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tym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momencie</w:t>
            </w:r>
            <w:r w:rsidR="00DC4413">
              <w:rPr>
                <w:sz w:val="20"/>
                <w:szCs w:val="20"/>
              </w:rPr>
              <w:t xml:space="preserve"> </w:t>
            </w:r>
            <w:r w:rsidR="0056639E" w:rsidRPr="00341CA6">
              <w:rPr>
                <w:sz w:val="20"/>
                <w:szCs w:val="20"/>
              </w:rPr>
              <w:t>czasowym</w:t>
            </w:r>
            <w:r w:rsidR="00DC4413">
              <w:rPr>
                <w:sz w:val="20"/>
                <w:szCs w:val="20"/>
              </w:rPr>
              <w:t xml:space="preserve"> </w:t>
            </w:r>
            <w:r w:rsidR="0056639E" w:rsidRPr="00341CA6">
              <w:rPr>
                <w:sz w:val="20"/>
                <w:szCs w:val="20"/>
              </w:rPr>
              <w:t>je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rozpocząć</w:t>
            </w:r>
            <w:r w:rsidR="00744896" w:rsidRPr="00341CA6">
              <w:rPr>
                <w:sz w:val="20"/>
                <w:szCs w:val="20"/>
              </w:rPr>
              <w:t>.</w:t>
            </w:r>
            <w:r w:rsidR="00DC4413">
              <w:rPr>
                <w:sz w:val="20"/>
                <w:szCs w:val="20"/>
              </w:rPr>
              <w:t xml:space="preserve"> </w:t>
            </w:r>
            <w:r w:rsidR="00744896" w:rsidRPr="00341CA6">
              <w:rPr>
                <w:sz w:val="20"/>
                <w:szCs w:val="20"/>
              </w:rPr>
              <w:t>W</w:t>
            </w:r>
            <w:r w:rsidR="00DC4413">
              <w:rPr>
                <w:sz w:val="20"/>
                <w:szCs w:val="20"/>
              </w:rPr>
              <w:t xml:space="preserve"> </w:t>
            </w:r>
            <w:r w:rsidR="00744896" w:rsidRPr="00341CA6">
              <w:rPr>
                <w:sz w:val="20"/>
                <w:szCs w:val="20"/>
              </w:rPr>
              <w:t>przypadku</w:t>
            </w:r>
            <w:r w:rsidR="00DC4413">
              <w:rPr>
                <w:sz w:val="20"/>
                <w:szCs w:val="20"/>
              </w:rPr>
              <w:t xml:space="preserve"> </w:t>
            </w:r>
            <w:r w:rsidR="00744896" w:rsidRPr="00341CA6">
              <w:rPr>
                <w:sz w:val="20"/>
                <w:szCs w:val="20"/>
              </w:rPr>
              <w:t>wedolizumabu</w:t>
            </w:r>
            <w:r w:rsidR="00DC4413">
              <w:rPr>
                <w:sz w:val="20"/>
                <w:szCs w:val="20"/>
              </w:rPr>
              <w:t xml:space="preserve"> </w:t>
            </w:r>
            <w:r w:rsidR="00744896" w:rsidRPr="00341CA6">
              <w:rPr>
                <w:sz w:val="20"/>
                <w:szCs w:val="20"/>
              </w:rPr>
              <w:t>leczenie</w:t>
            </w:r>
            <w:r w:rsidR="00DC4413">
              <w:rPr>
                <w:sz w:val="20"/>
                <w:szCs w:val="20"/>
              </w:rPr>
              <w:t xml:space="preserve"> </w:t>
            </w:r>
            <w:r w:rsidR="00744896" w:rsidRPr="00341CA6">
              <w:rPr>
                <w:sz w:val="20"/>
                <w:szCs w:val="20"/>
              </w:rPr>
              <w:t>indukcyjne</w:t>
            </w:r>
            <w:r w:rsidR="00DC4413">
              <w:rPr>
                <w:sz w:val="20"/>
                <w:szCs w:val="20"/>
              </w:rPr>
              <w:t xml:space="preserve"> </w:t>
            </w:r>
            <w:r w:rsidR="00744896" w:rsidRPr="00341CA6">
              <w:rPr>
                <w:sz w:val="20"/>
                <w:szCs w:val="20"/>
              </w:rPr>
              <w:t>obejmuje</w:t>
            </w:r>
            <w:r w:rsidR="00DC4413">
              <w:rPr>
                <w:sz w:val="20"/>
                <w:szCs w:val="20"/>
              </w:rPr>
              <w:t xml:space="preserve"> </w:t>
            </w:r>
            <w:r w:rsidR="00744896" w:rsidRPr="00341CA6">
              <w:rPr>
                <w:sz w:val="20"/>
                <w:szCs w:val="20"/>
              </w:rPr>
              <w:t>podanie</w:t>
            </w:r>
            <w:r w:rsidR="00DC4413">
              <w:rPr>
                <w:sz w:val="20"/>
                <w:szCs w:val="20"/>
              </w:rPr>
              <w:t xml:space="preserve"> </w:t>
            </w:r>
            <w:r w:rsidR="00744896" w:rsidRPr="00341CA6">
              <w:rPr>
                <w:sz w:val="20"/>
                <w:szCs w:val="20"/>
              </w:rPr>
              <w:t>trzech,</w:t>
            </w:r>
            <w:r w:rsidR="00DC4413">
              <w:rPr>
                <w:sz w:val="20"/>
                <w:szCs w:val="20"/>
              </w:rPr>
              <w:t xml:space="preserve"> </w:t>
            </w:r>
            <w:r w:rsidR="00744896" w:rsidRPr="00341CA6">
              <w:rPr>
                <w:sz w:val="20"/>
                <w:szCs w:val="20"/>
              </w:rPr>
              <w:t>a</w:t>
            </w:r>
            <w:r w:rsidR="00DC4413">
              <w:rPr>
                <w:sz w:val="20"/>
                <w:szCs w:val="20"/>
              </w:rPr>
              <w:t xml:space="preserve"> </w:t>
            </w:r>
            <w:r w:rsidR="00744896" w:rsidRPr="00341CA6">
              <w:rPr>
                <w:sz w:val="20"/>
                <w:szCs w:val="20"/>
              </w:rPr>
              <w:t>przy</w:t>
            </w:r>
            <w:r w:rsidR="00DC4413">
              <w:rPr>
                <w:sz w:val="20"/>
                <w:szCs w:val="20"/>
              </w:rPr>
              <w:t xml:space="preserve"> </w:t>
            </w:r>
            <w:r w:rsidR="00744896" w:rsidRPr="00341CA6">
              <w:rPr>
                <w:sz w:val="20"/>
                <w:szCs w:val="20"/>
              </w:rPr>
              <w:t>braku</w:t>
            </w:r>
            <w:r w:rsidR="00DC4413">
              <w:rPr>
                <w:sz w:val="20"/>
                <w:szCs w:val="20"/>
              </w:rPr>
              <w:t xml:space="preserve"> </w:t>
            </w:r>
            <w:r w:rsidR="00744896" w:rsidRPr="00341CA6">
              <w:rPr>
                <w:sz w:val="20"/>
                <w:szCs w:val="20"/>
              </w:rPr>
              <w:t>odpowiedzi</w:t>
            </w:r>
            <w:r w:rsidR="00DC4413">
              <w:rPr>
                <w:sz w:val="20"/>
                <w:szCs w:val="20"/>
              </w:rPr>
              <w:t xml:space="preserve"> </w:t>
            </w:r>
            <w:r w:rsidR="00744896" w:rsidRPr="00341CA6">
              <w:rPr>
                <w:sz w:val="20"/>
                <w:szCs w:val="20"/>
              </w:rPr>
              <w:t>czterech</w:t>
            </w:r>
            <w:r w:rsidR="00DC4413">
              <w:rPr>
                <w:sz w:val="20"/>
                <w:szCs w:val="20"/>
              </w:rPr>
              <w:t xml:space="preserve"> </w:t>
            </w:r>
            <w:r w:rsidR="00744896" w:rsidRPr="00341CA6">
              <w:rPr>
                <w:sz w:val="20"/>
                <w:szCs w:val="20"/>
              </w:rPr>
              <w:t>dawek</w:t>
            </w:r>
            <w:r w:rsidR="00DC4413">
              <w:rPr>
                <w:sz w:val="20"/>
                <w:szCs w:val="20"/>
              </w:rPr>
              <w:t xml:space="preserve"> </w:t>
            </w:r>
            <w:r w:rsidR="00744896" w:rsidRPr="00341CA6">
              <w:rPr>
                <w:sz w:val="20"/>
                <w:szCs w:val="20"/>
              </w:rPr>
              <w:t>leku</w:t>
            </w:r>
            <w:r w:rsidR="00DC4413">
              <w:rPr>
                <w:sz w:val="20"/>
                <w:szCs w:val="20"/>
              </w:rPr>
              <w:t xml:space="preserve"> </w:t>
            </w:r>
            <w:r w:rsidR="00744896" w:rsidRPr="00341CA6">
              <w:rPr>
                <w:sz w:val="20"/>
                <w:szCs w:val="20"/>
              </w:rPr>
              <w:t>(0,2,6</w:t>
            </w:r>
            <w:r w:rsidR="00DC4413">
              <w:rPr>
                <w:sz w:val="20"/>
                <w:szCs w:val="20"/>
              </w:rPr>
              <w:t xml:space="preserve"> </w:t>
            </w:r>
            <w:r w:rsidR="00744896" w:rsidRPr="00341CA6">
              <w:rPr>
                <w:sz w:val="20"/>
                <w:szCs w:val="20"/>
              </w:rPr>
              <w:t>ew.</w:t>
            </w:r>
            <w:r w:rsidR="00DC4413">
              <w:rPr>
                <w:sz w:val="20"/>
                <w:szCs w:val="20"/>
              </w:rPr>
              <w:t xml:space="preserve"> </w:t>
            </w:r>
            <w:r w:rsidR="00744896" w:rsidRPr="00341CA6">
              <w:rPr>
                <w:sz w:val="20"/>
                <w:szCs w:val="20"/>
              </w:rPr>
              <w:t>10</w:t>
            </w:r>
            <w:r w:rsidR="00DC4413">
              <w:rPr>
                <w:sz w:val="20"/>
                <w:szCs w:val="20"/>
              </w:rPr>
              <w:t xml:space="preserve"> </w:t>
            </w:r>
            <w:r w:rsidR="00744896" w:rsidRPr="00341CA6">
              <w:rPr>
                <w:sz w:val="20"/>
                <w:szCs w:val="20"/>
              </w:rPr>
              <w:t>tygodni).</w:t>
            </w:r>
            <w:r w:rsidR="00DC4413">
              <w:rPr>
                <w:sz w:val="20"/>
                <w:szCs w:val="20"/>
              </w:rPr>
              <w:t xml:space="preserve"> </w:t>
            </w:r>
            <w:r w:rsidR="00E94FE4" w:rsidRPr="00341CA6">
              <w:rPr>
                <w:sz w:val="20"/>
                <w:szCs w:val="20"/>
              </w:rPr>
              <w:t>O</w:t>
            </w:r>
            <w:r w:rsidR="00DC4413">
              <w:rPr>
                <w:sz w:val="20"/>
                <w:szCs w:val="20"/>
              </w:rPr>
              <w:t xml:space="preserve"> </w:t>
            </w:r>
            <w:r w:rsidR="00E94FE4" w:rsidRPr="00341CA6">
              <w:rPr>
                <w:sz w:val="20"/>
                <w:szCs w:val="20"/>
              </w:rPr>
              <w:t>potrzebie</w:t>
            </w:r>
            <w:r w:rsidR="00DC4413">
              <w:rPr>
                <w:sz w:val="20"/>
                <w:szCs w:val="20"/>
              </w:rPr>
              <w:t xml:space="preserve"> </w:t>
            </w:r>
            <w:r w:rsidR="00E94FE4" w:rsidRPr="00341CA6">
              <w:rPr>
                <w:sz w:val="20"/>
                <w:szCs w:val="20"/>
              </w:rPr>
              <w:t>wizyty</w:t>
            </w:r>
            <w:r w:rsidR="00DC4413">
              <w:rPr>
                <w:sz w:val="20"/>
                <w:szCs w:val="20"/>
              </w:rPr>
              <w:t xml:space="preserve"> </w:t>
            </w:r>
            <w:r w:rsidR="00E94FE4" w:rsidRPr="00341CA6">
              <w:rPr>
                <w:sz w:val="20"/>
                <w:szCs w:val="20"/>
              </w:rPr>
              <w:t>w</w:t>
            </w:r>
            <w:r w:rsidR="00DC4413">
              <w:rPr>
                <w:sz w:val="20"/>
                <w:szCs w:val="20"/>
              </w:rPr>
              <w:t xml:space="preserve"> </w:t>
            </w:r>
            <w:r w:rsidR="00E94FE4" w:rsidRPr="00341CA6">
              <w:rPr>
                <w:sz w:val="20"/>
                <w:szCs w:val="20"/>
              </w:rPr>
              <w:t>10</w:t>
            </w:r>
            <w:r w:rsidR="00DC4413">
              <w:rPr>
                <w:sz w:val="20"/>
                <w:szCs w:val="20"/>
              </w:rPr>
              <w:t xml:space="preserve"> </w:t>
            </w:r>
            <w:r w:rsidR="00E94FE4" w:rsidRPr="00341CA6">
              <w:rPr>
                <w:sz w:val="20"/>
                <w:szCs w:val="20"/>
              </w:rPr>
              <w:t>tygodniu</w:t>
            </w:r>
            <w:r w:rsidR="00DC4413">
              <w:rPr>
                <w:sz w:val="20"/>
                <w:szCs w:val="20"/>
              </w:rPr>
              <w:t xml:space="preserve"> </w:t>
            </w:r>
            <w:r w:rsidR="0056639E" w:rsidRPr="00341CA6">
              <w:rPr>
                <w:sz w:val="20"/>
                <w:szCs w:val="20"/>
              </w:rPr>
              <w:t>w</w:t>
            </w:r>
            <w:r w:rsidR="00DC4413">
              <w:rPr>
                <w:sz w:val="20"/>
                <w:szCs w:val="20"/>
              </w:rPr>
              <w:t xml:space="preserve"> </w:t>
            </w:r>
            <w:r w:rsidR="0056639E" w:rsidRPr="00341CA6">
              <w:rPr>
                <w:sz w:val="20"/>
                <w:szCs w:val="20"/>
              </w:rPr>
              <w:t>przypadku</w:t>
            </w:r>
            <w:r w:rsidR="00DC4413">
              <w:rPr>
                <w:sz w:val="20"/>
                <w:szCs w:val="20"/>
              </w:rPr>
              <w:t xml:space="preserve"> </w:t>
            </w:r>
            <w:r w:rsidR="0056639E" w:rsidRPr="00341CA6">
              <w:rPr>
                <w:sz w:val="20"/>
                <w:szCs w:val="20"/>
              </w:rPr>
              <w:t>wedolizumabu</w:t>
            </w:r>
            <w:r w:rsidR="00DC4413">
              <w:rPr>
                <w:sz w:val="20"/>
                <w:szCs w:val="20"/>
              </w:rPr>
              <w:t xml:space="preserve"> </w:t>
            </w:r>
            <w:r w:rsidR="00E94FE4" w:rsidRPr="00341CA6">
              <w:rPr>
                <w:sz w:val="20"/>
                <w:szCs w:val="20"/>
              </w:rPr>
              <w:t>decyduje</w:t>
            </w:r>
            <w:r w:rsidR="00DC4413">
              <w:rPr>
                <w:sz w:val="20"/>
                <w:szCs w:val="20"/>
              </w:rPr>
              <w:t xml:space="preserve"> </w:t>
            </w:r>
            <w:r w:rsidR="00E94FE4" w:rsidRPr="00341CA6">
              <w:rPr>
                <w:sz w:val="20"/>
                <w:szCs w:val="20"/>
              </w:rPr>
              <w:t>sytuacja</w:t>
            </w:r>
            <w:r w:rsidR="00DC4413">
              <w:rPr>
                <w:sz w:val="20"/>
                <w:szCs w:val="20"/>
              </w:rPr>
              <w:t xml:space="preserve"> </w:t>
            </w:r>
            <w:r w:rsidR="00E94FE4" w:rsidRPr="00341CA6">
              <w:rPr>
                <w:sz w:val="20"/>
                <w:szCs w:val="20"/>
              </w:rPr>
              <w:t>kliniczna</w:t>
            </w:r>
            <w:r w:rsidR="00DC4413">
              <w:rPr>
                <w:sz w:val="20"/>
                <w:szCs w:val="20"/>
              </w:rPr>
              <w:t xml:space="preserve"> </w:t>
            </w:r>
            <w:r w:rsidR="00E94FE4" w:rsidRPr="00341CA6">
              <w:rPr>
                <w:sz w:val="20"/>
                <w:szCs w:val="20"/>
              </w:rPr>
              <w:t>pacjenta</w:t>
            </w:r>
            <w:r w:rsidR="0056639E" w:rsidRPr="00341CA6">
              <w:rPr>
                <w:sz w:val="20"/>
                <w:szCs w:val="20"/>
              </w:rPr>
              <w:t>.</w:t>
            </w:r>
            <w:r w:rsidR="00DC4413">
              <w:rPr>
                <w:sz w:val="20"/>
                <w:szCs w:val="20"/>
              </w:rPr>
              <w:t xml:space="preserve"> </w:t>
            </w:r>
          </w:p>
          <w:p w14:paraId="1A347416" w14:textId="77777777" w:rsidR="00912B4F" w:rsidRPr="00F23761" w:rsidRDefault="00912B4F" w:rsidP="00341CA6">
            <w:pPr>
              <w:numPr>
                <w:ilvl w:val="3"/>
                <w:numId w:val="25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F23761">
              <w:rPr>
                <w:bCs/>
                <w:iCs/>
                <w:sz w:val="20"/>
                <w:szCs w:val="20"/>
              </w:rPr>
              <w:t>Infliksymab</w:t>
            </w:r>
          </w:p>
          <w:p w14:paraId="69563F1D" w14:textId="29C3B824" w:rsidR="00912B4F" w:rsidRPr="00F23761" w:rsidRDefault="000C0385" w:rsidP="00341CA6">
            <w:pPr>
              <w:numPr>
                <w:ilvl w:val="4"/>
                <w:numId w:val="25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F23761">
              <w:rPr>
                <w:bCs/>
                <w:iCs/>
                <w:sz w:val="20"/>
                <w:szCs w:val="20"/>
              </w:rPr>
              <w:t>t</w:t>
            </w:r>
            <w:r w:rsidR="00912B4F" w:rsidRPr="00F23761">
              <w:rPr>
                <w:bCs/>
                <w:iCs/>
                <w:sz w:val="20"/>
                <w:szCs w:val="20"/>
              </w:rPr>
              <w:t>erapia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Cs/>
                <w:iCs/>
                <w:sz w:val="20"/>
                <w:szCs w:val="20"/>
              </w:rPr>
              <w:t>indukcyjna: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Cs/>
                <w:iCs/>
                <w:sz w:val="20"/>
                <w:szCs w:val="20"/>
              </w:rPr>
              <w:t>6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Cs/>
                <w:iCs/>
                <w:sz w:val="20"/>
                <w:szCs w:val="20"/>
              </w:rPr>
              <w:t>tygodni;</w:t>
            </w:r>
          </w:p>
          <w:p w14:paraId="2CC0348C" w14:textId="45CCD78A" w:rsidR="00912B4F" w:rsidRPr="00F23761" w:rsidRDefault="000C0385" w:rsidP="00341CA6">
            <w:pPr>
              <w:numPr>
                <w:ilvl w:val="4"/>
                <w:numId w:val="25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F23761">
              <w:rPr>
                <w:bCs/>
                <w:iCs/>
                <w:sz w:val="20"/>
                <w:szCs w:val="20"/>
              </w:rPr>
              <w:t>l</w:t>
            </w:r>
            <w:r w:rsidR="00912B4F" w:rsidRPr="00F23761">
              <w:rPr>
                <w:bCs/>
                <w:iCs/>
                <w:sz w:val="20"/>
                <w:szCs w:val="20"/>
              </w:rPr>
              <w:t>eczenie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Cs/>
                <w:iCs/>
                <w:sz w:val="20"/>
                <w:szCs w:val="20"/>
              </w:rPr>
              <w:t>podtrzymujące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Cs/>
                <w:iCs/>
                <w:sz w:val="20"/>
                <w:szCs w:val="20"/>
              </w:rPr>
              <w:t>infliksymabem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Cs/>
                <w:iCs/>
                <w:sz w:val="20"/>
                <w:szCs w:val="20"/>
              </w:rPr>
              <w:t>powinno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Cs/>
                <w:iCs/>
                <w:sz w:val="20"/>
                <w:szCs w:val="20"/>
              </w:rPr>
              <w:t>trwać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Cs/>
                <w:iCs/>
                <w:sz w:val="20"/>
                <w:szCs w:val="20"/>
              </w:rPr>
              <w:t>aż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Cs/>
                <w:iCs/>
                <w:sz w:val="20"/>
                <w:szCs w:val="20"/>
              </w:rPr>
              <w:t>do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Cs/>
                <w:iCs/>
                <w:sz w:val="20"/>
                <w:szCs w:val="20"/>
              </w:rPr>
              <w:t>momentu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Cs/>
                <w:iCs/>
                <w:sz w:val="20"/>
                <w:szCs w:val="20"/>
              </w:rPr>
              <w:t>stwierdzenia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Cs/>
                <w:iCs/>
                <w:sz w:val="20"/>
                <w:szCs w:val="20"/>
              </w:rPr>
              <w:t>braku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Cs/>
                <w:iCs/>
                <w:sz w:val="20"/>
                <w:szCs w:val="20"/>
              </w:rPr>
              <w:t>odpowiedzi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Cs/>
                <w:iCs/>
                <w:sz w:val="20"/>
                <w:szCs w:val="20"/>
              </w:rPr>
              <w:t>na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12B4F" w:rsidRPr="00F23761">
              <w:rPr>
                <w:bCs/>
                <w:iCs/>
                <w:sz w:val="20"/>
                <w:szCs w:val="20"/>
              </w:rPr>
              <w:t>leczenie</w:t>
            </w:r>
            <w:r w:rsidR="005A7107" w:rsidRPr="00F23761">
              <w:rPr>
                <w:bCs/>
                <w:iCs/>
                <w:sz w:val="20"/>
                <w:szCs w:val="20"/>
              </w:rPr>
              <w:t>.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5A7107" w:rsidRPr="00F23761">
              <w:rPr>
                <w:bCs/>
                <w:sz w:val="20"/>
                <w:szCs w:val="20"/>
              </w:rPr>
              <w:t>Ocena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5A7107" w:rsidRPr="00F23761">
              <w:rPr>
                <w:bCs/>
                <w:sz w:val="20"/>
                <w:szCs w:val="20"/>
              </w:rPr>
              <w:t>zasadności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5A7107" w:rsidRPr="00F23761">
              <w:rPr>
                <w:bCs/>
                <w:sz w:val="20"/>
                <w:szCs w:val="20"/>
              </w:rPr>
              <w:t>kontynuacji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5A7107" w:rsidRPr="00F23761">
              <w:rPr>
                <w:bCs/>
                <w:sz w:val="20"/>
                <w:szCs w:val="20"/>
              </w:rPr>
              <w:t>leczenia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5A7107" w:rsidRPr="00F23761">
              <w:rPr>
                <w:bCs/>
                <w:sz w:val="20"/>
                <w:szCs w:val="20"/>
              </w:rPr>
              <w:t>powinna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5A7107" w:rsidRPr="00F23761">
              <w:rPr>
                <w:bCs/>
                <w:sz w:val="20"/>
                <w:szCs w:val="20"/>
              </w:rPr>
              <w:t>być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5A7107" w:rsidRPr="00F23761">
              <w:rPr>
                <w:bCs/>
                <w:sz w:val="20"/>
                <w:szCs w:val="20"/>
              </w:rPr>
              <w:t>przeprowadzona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5A7107" w:rsidRPr="00F23761">
              <w:rPr>
                <w:bCs/>
                <w:sz w:val="20"/>
                <w:szCs w:val="20"/>
              </w:rPr>
              <w:t>co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5A7107" w:rsidRPr="00F23761">
              <w:rPr>
                <w:bCs/>
                <w:sz w:val="20"/>
                <w:szCs w:val="20"/>
              </w:rPr>
              <w:t>najmniej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5A7107" w:rsidRPr="00F23761">
              <w:rPr>
                <w:bCs/>
                <w:sz w:val="20"/>
                <w:szCs w:val="20"/>
              </w:rPr>
              <w:t>raz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5A7107" w:rsidRPr="00F23761">
              <w:rPr>
                <w:bCs/>
                <w:sz w:val="20"/>
                <w:szCs w:val="20"/>
              </w:rPr>
              <w:t>na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5A7107" w:rsidRPr="00F23761">
              <w:rPr>
                <w:bCs/>
                <w:sz w:val="20"/>
                <w:szCs w:val="20"/>
              </w:rPr>
              <w:t>12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5A7107" w:rsidRPr="00F23761">
              <w:rPr>
                <w:bCs/>
                <w:sz w:val="20"/>
                <w:szCs w:val="20"/>
              </w:rPr>
              <w:t>miesięcy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5A7107" w:rsidRPr="00F23761">
              <w:rPr>
                <w:bCs/>
                <w:sz w:val="20"/>
                <w:szCs w:val="20"/>
              </w:rPr>
              <w:t>w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5A7107" w:rsidRPr="00F23761">
              <w:rPr>
                <w:bCs/>
                <w:sz w:val="20"/>
                <w:szCs w:val="20"/>
              </w:rPr>
              <w:t>oparciu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5A7107" w:rsidRPr="00F23761">
              <w:rPr>
                <w:bCs/>
                <w:sz w:val="20"/>
                <w:szCs w:val="20"/>
              </w:rPr>
              <w:t>o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5A7107" w:rsidRPr="00F23761">
              <w:rPr>
                <w:bCs/>
                <w:sz w:val="20"/>
                <w:szCs w:val="20"/>
              </w:rPr>
              <w:t>wskaźnik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5A7107" w:rsidRPr="00F23761">
              <w:rPr>
                <w:bCs/>
                <w:sz w:val="20"/>
                <w:szCs w:val="20"/>
              </w:rPr>
              <w:t>CDAI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173851" w:rsidRPr="00F23761">
              <w:rPr>
                <w:bCs/>
                <w:sz w:val="20"/>
                <w:szCs w:val="20"/>
              </w:rPr>
              <w:t>lub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173851" w:rsidRPr="00F23761">
              <w:rPr>
                <w:bCs/>
                <w:sz w:val="20"/>
                <w:szCs w:val="20"/>
              </w:rPr>
              <w:t>PCDAI</w:t>
            </w:r>
            <w:r w:rsidR="00040781" w:rsidRPr="00F23761">
              <w:rPr>
                <w:bCs/>
                <w:iCs/>
                <w:sz w:val="20"/>
                <w:szCs w:val="20"/>
              </w:rPr>
              <w:t>;</w:t>
            </w:r>
          </w:p>
          <w:p w14:paraId="64AC9FBF" w14:textId="77777777" w:rsidR="00912B4F" w:rsidRPr="00F23761" w:rsidRDefault="00912B4F" w:rsidP="00341CA6">
            <w:pPr>
              <w:numPr>
                <w:ilvl w:val="3"/>
                <w:numId w:val="25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F23761">
              <w:rPr>
                <w:bCs/>
                <w:iCs/>
                <w:sz w:val="20"/>
                <w:szCs w:val="20"/>
              </w:rPr>
              <w:t>Adalimumab</w:t>
            </w:r>
          </w:p>
          <w:p w14:paraId="4D7947C4" w14:textId="7E0DD0FB" w:rsidR="00912B4F" w:rsidRPr="00F23761" w:rsidRDefault="000C0385" w:rsidP="00341CA6">
            <w:pPr>
              <w:numPr>
                <w:ilvl w:val="4"/>
                <w:numId w:val="25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F23761">
              <w:rPr>
                <w:color w:val="000000"/>
                <w:sz w:val="20"/>
                <w:szCs w:val="20"/>
              </w:rPr>
              <w:t>t</w:t>
            </w:r>
            <w:r w:rsidR="00912B4F" w:rsidRPr="00F23761">
              <w:rPr>
                <w:color w:val="000000"/>
                <w:sz w:val="20"/>
                <w:szCs w:val="20"/>
              </w:rPr>
              <w:t>erapia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912B4F" w:rsidRPr="00F23761">
              <w:rPr>
                <w:color w:val="000000"/>
                <w:sz w:val="20"/>
                <w:szCs w:val="20"/>
              </w:rPr>
              <w:t>indukcyjna: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C83B0D" w:rsidRPr="00F23761">
              <w:rPr>
                <w:color w:val="000000"/>
                <w:sz w:val="20"/>
                <w:szCs w:val="20"/>
              </w:rPr>
              <w:t>12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C83B0D" w:rsidRPr="00F23761">
              <w:rPr>
                <w:color w:val="000000"/>
                <w:sz w:val="20"/>
                <w:szCs w:val="20"/>
              </w:rPr>
              <w:t>tygodni;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</w:p>
          <w:p w14:paraId="40C2FAD4" w14:textId="2275962D" w:rsidR="00C83B0D" w:rsidRPr="00F23761" w:rsidRDefault="000C0385" w:rsidP="00341CA6">
            <w:pPr>
              <w:numPr>
                <w:ilvl w:val="4"/>
                <w:numId w:val="25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F23761">
              <w:rPr>
                <w:color w:val="000000"/>
                <w:sz w:val="20"/>
                <w:szCs w:val="20"/>
              </w:rPr>
              <w:t>l</w:t>
            </w:r>
            <w:r w:rsidR="00C83B0D" w:rsidRPr="00F23761">
              <w:rPr>
                <w:color w:val="000000"/>
                <w:sz w:val="20"/>
                <w:szCs w:val="20"/>
              </w:rPr>
              <w:t>eczenie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C83B0D" w:rsidRPr="00F23761">
              <w:rPr>
                <w:color w:val="000000"/>
                <w:sz w:val="20"/>
                <w:szCs w:val="20"/>
              </w:rPr>
              <w:t>podtrzymujące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912B4F" w:rsidRPr="00F23761">
              <w:rPr>
                <w:color w:val="000000"/>
                <w:sz w:val="20"/>
                <w:szCs w:val="20"/>
              </w:rPr>
              <w:t>adalimumabem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C83B0D" w:rsidRPr="00F23761">
              <w:rPr>
                <w:color w:val="000000"/>
                <w:sz w:val="20"/>
                <w:szCs w:val="20"/>
              </w:rPr>
              <w:t>powinno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C83B0D" w:rsidRPr="00F23761">
              <w:rPr>
                <w:color w:val="000000"/>
                <w:sz w:val="20"/>
                <w:szCs w:val="20"/>
              </w:rPr>
              <w:t>trwać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C83B0D" w:rsidRPr="00F23761">
              <w:rPr>
                <w:color w:val="000000"/>
                <w:sz w:val="20"/>
                <w:szCs w:val="20"/>
              </w:rPr>
              <w:t>aż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C83B0D" w:rsidRPr="00F23761">
              <w:rPr>
                <w:color w:val="000000"/>
                <w:sz w:val="20"/>
                <w:szCs w:val="20"/>
              </w:rPr>
              <w:t>do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C83B0D" w:rsidRPr="00F23761">
              <w:rPr>
                <w:color w:val="000000"/>
                <w:sz w:val="20"/>
                <w:szCs w:val="20"/>
              </w:rPr>
              <w:t>momentu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C83B0D" w:rsidRPr="00F23761">
              <w:rPr>
                <w:color w:val="000000"/>
                <w:sz w:val="20"/>
                <w:szCs w:val="20"/>
              </w:rPr>
              <w:t>stwierdzenia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C83B0D" w:rsidRPr="00F23761">
              <w:rPr>
                <w:color w:val="000000"/>
                <w:sz w:val="20"/>
                <w:szCs w:val="20"/>
              </w:rPr>
              <w:t>braku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C83B0D" w:rsidRPr="00F23761">
              <w:rPr>
                <w:color w:val="000000"/>
                <w:sz w:val="20"/>
                <w:szCs w:val="20"/>
              </w:rPr>
              <w:t>odpowiedzi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C83B0D" w:rsidRPr="00F23761">
              <w:rPr>
                <w:color w:val="000000"/>
                <w:sz w:val="20"/>
                <w:szCs w:val="20"/>
              </w:rPr>
              <w:t>na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C83B0D" w:rsidRPr="00F23761">
              <w:rPr>
                <w:color w:val="000000"/>
                <w:sz w:val="20"/>
                <w:szCs w:val="20"/>
              </w:rPr>
              <w:t>leczenie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C83B0D" w:rsidRPr="00F23761">
              <w:rPr>
                <w:color w:val="000000"/>
                <w:sz w:val="20"/>
                <w:szCs w:val="20"/>
              </w:rPr>
              <w:t>(w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C83B0D" w:rsidRPr="00F23761">
              <w:rPr>
                <w:color w:val="000000"/>
                <w:sz w:val="20"/>
                <w:szCs w:val="20"/>
              </w:rPr>
              <w:t>tym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C83B0D" w:rsidRPr="00F23761">
              <w:rPr>
                <w:color w:val="000000"/>
                <w:sz w:val="20"/>
                <w:szCs w:val="20"/>
              </w:rPr>
              <w:t>również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C83B0D" w:rsidRPr="00F23761">
              <w:rPr>
                <w:color w:val="000000"/>
                <w:sz w:val="20"/>
                <w:szCs w:val="20"/>
              </w:rPr>
              <w:t>stwierdzenie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C83B0D" w:rsidRPr="00F23761">
              <w:rPr>
                <w:color w:val="000000"/>
                <w:sz w:val="20"/>
                <w:szCs w:val="20"/>
              </w:rPr>
              <w:t>konieczności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C83B0D" w:rsidRPr="00F23761">
              <w:rPr>
                <w:color w:val="000000"/>
                <w:sz w:val="20"/>
                <w:szCs w:val="20"/>
              </w:rPr>
              <w:t>wykonania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C83B0D" w:rsidRPr="00F23761">
              <w:rPr>
                <w:color w:val="000000"/>
                <w:sz w:val="20"/>
                <w:szCs w:val="20"/>
              </w:rPr>
              <w:t>zabiegu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C83B0D" w:rsidRPr="00F23761">
              <w:rPr>
                <w:color w:val="000000"/>
                <w:sz w:val="20"/>
                <w:szCs w:val="20"/>
              </w:rPr>
              <w:t>chirur</w:t>
            </w:r>
            <w:r w:rsidR="00832571" w:rsidRPr="00F23761">
              <w:rPr>
                <w:color w:val="000000"/>
                <w:sz w:val="20"/>
                <w:szCs w:val="20"/>
              </w:rPr>
              <w:t>gicznego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832571" w:rsidRPr="00F23761">
              <w:rPr>
                <w:color w:val="000000"/>
                <w:sz w:val="20"/>
                <w:szCs w:val="20"/>
              </w:rPr>
              <w:t>związanego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832571" w:rsidRPr="00F23761">
              <w:rPr>
                <w:color w:val="000000"/>
                <w:sz w:val="20"/>
                <w:szCs w:val="20"/>
              </w:rPr>
              <w:t>z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832571" w:rsidRPr="00F23761">
              <w:rPr>
                <w:color w:val="000000"/>
                <w:sz w:val="20"/>
                <w:szCs w:val="20"/>
              </w:rPr>
              <w:t>chorobą)</w:t>
            </w:r>
            <w:r w:rsidR="009755A5" w:rsidRPr="00F23761">
              <w:rPr>
                <w:color w:val="000000"/>
                <w:sz w:val="20"/>
                <w:szCs w:val="20"/>
              </w:rPr>
              <w:t>.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9755A5" w:rsidRPr="00F23761">
              <w:rPr>
                <w:bCs/>
                <w:sz w:val="20"/>
                <w:szCs w:val="20"/>
              </w:rPr>
              <w:t>Ocena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9755A5" w:rsidRPr="00F23761">
              <w:rPr>
                <w:bCs/>
                <w:sz w:val="20"/>
                <w:szCs w:val="20"/>
              </w:rPr>
              <w:t>zasadności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9755A5" w:rsidRPr="00F23761">
              <w:rPr>
                <w:bCs/>
                <w:sz w:val="20"/>
                <w:szCs w:val="20"/>
              </w:rPr>
              <w:t>kontynuacji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9755A5" w:rsidRPr="00F23761">
              <w:rPr>
                <w:bCs/>
                <w:sz w:val="20"/>
                <w:szCs w:val="20"/>
              </w:rPr>
              <w:t>leczenia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9755A5" w:rsidRPr="00F23761">
              <w:rPr>
                <w:bCs/>
                <w:sz w:val="20"/>
                <w:szCs w:val="20"/>
              </w:rPr>
              <w:t>powinna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9755A5" w:rsidRPr="00F23761">
              <w:rPr>
                <w:bCs/>
                <w:sz w:val="20"/>
                <w:szCs w:val="20"/>
              </w:rPr>
              <w:t>być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9755A5" w:rsidRPr="00F23761">
              <w:rPr>
                <w:bCs/>
                <w:sz w:val="20"/>
                <w:szCs w:val="20"/>
              </w:rPr>
              <w:t>przeprowadzona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9755A5" w:rsidRPr="00F23761">
              <w:rPr>
                <w:bCs/>
                <w:sz w:val="20"/>
                <w:szCs w:val="20"/>
              </w:rPr>
              <w:t>co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9755A5" w:rsidRPr="00F23761">
              <w:rPr>
                <w:bCs/>
                <w:sz w:val="20"/>
                <w:szCs w:val="20"/>
              </w:rPr>
              <w:t>najmniej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9755A5" w:rsidRPr="00F23761">
              <w:rPr>
                <w:bCs/>
                <w:sz w:val="20"/>
                <w:szCs w:val="20"/>
              </w:rPr>
              <w:t>raz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9755A5" w:rsidRPr="00F23761">
              <w:rPr>
                <w:bCs/>
                <w:sz w:val="20"/>
                <w:szCs w:val="20"/>
              </w:rPr>
              <w:t>na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9755A5" w:rsidRPr="00F23761">
              <w:rPr>
                <w:bCs/>
                <w:sz w:val="20"/>
                <w:szCs w:val="20"/>
              </w:rPr>
              <w:t>12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9755A5" w:rsidRPr="00F23761">
              <w:rPr>
                <w:bCs/>
                <w:sz w:val="20"/>
                <w:szCs w:val="20"/>
              </w:rPr>
              <w:t>miesięcy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9755A5" w:rsidRPr="00F23761">
              <w:rPr>
                <w:bCs/>
                <w:sz w:val="20"/>
                <w:szCs w:val="20"/>
              </w:rPr>
              <w:t>w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9755A5" w:rsidRPr="00F23761">
              <w:rPr>
                <w:bCs/>
                <w:sz w:val="20"/>
                <w:szCs w:val="20"/>
              </w:rPr>
              <w:t>oparciu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9755A5" w:rsidRPr="00F23761">
              <w:rPr>
                <w:bCs/>
                <w:sz w:val="20"/>
                <w:szCs w:val="20"/>
              </w:rPr>
              <w:t>o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9755A5" w:rsidRPr="00F23761">
              <w:rPr>
                <w:bCs/>
                <w:sz w:val="20"/>
                <w:szCs w:val="20"/>
              </w:rPr>
              <w:t>wskaźnik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9755A5" w:rsidRPr="00F23761">
              <w:rPr>
                <w:bCs/>
                <w:sz w:val="20"/>
                <w:szCs w:val="20"/>
              </w:rPr>
              <w:t>CDAI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9755A5" w:rsidRPr="00F23761">
              <w:rPr>
                <w:bCs/>
                <w:sz w:val="20"/>
                <w:szCs w:val="20"/>
              </w:rPr>
              <w:t>lub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9755A5" w:rsidRPr="00F23761">
              <w:rPr>
                <w:bCs/>
                <w:sz w:val="20"/>
                <w:szCs w:val="20"/>
              </w:rPr>
              <w:t>PCDAI</w:t>
            </w:r>
            <w:r w:rsidR="00040781" w:rsidRPr="00F23761">
              <w:rPr>
                <w:color w:val="000000"/>
                <w:sz w:val="20"/>
                <w:szCs w:val="20"/>
              </w:rPr>
              <w:t>;</w:t>
            </w:r>
          </w:p>
          <w:p w14:paraId="131D5B94" w14:textId="77777777" w:rsidR="00040781" w:rsidRPr="00F23761" w:rsidRDefault="00040781" w:rsidP="00341CA6">
            <w:pPr>
              <w:numPr>
                <w:ilvl w:val="3"/>
                <w:numId w:val="25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F23761">
              <w:rPr>
                <w:bCs/>
                <w:iCs/>
                <w:sz w:val="20"/>
                <w:szCs w:val="20"/>
              </w:rPr>
              <w:lastRenderedPageBreak/>
              <w:t>Ustekinumab</w:t>
            </w:r>
          </w:p>
          <w:p w14:paraId="684EF7F5" w14:textId="3D6D8EB8" w:rsidR="00040781" w:rsidRPr="00F23761" w:rsidRDefault="000C0385" w:rsidP="00341CA6">
            <w:pPr>
              <w:numPr>
                <w:ilvl w:val="4"/>
                <w:numId w:val="25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F23761">
              <w:rPr>
                <w:color w:val="000000"/>
                <w:sz w:val="20"/>
                <w:szCs w:val="20"/>
              </w:rPr>
              <w:t>t</w:t>
            </w:r>
            <w:r w:rsidR="00040781" w:rsidRPr="00F23761">
              <w:rPr>
                <w:color w:val="000000"/>
                <w:sz w:val="20"/>
                <w:szCs w:val="20"/>
              </w:rPr>
              <w:t>erapia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040781" w:rsidRPr="00F23761">
              <w:rPr>
                <w:color w:val="000000"/>
                <w:sz w:val="20"/>
                <w:szCs w:val="20"/>
              </w:rPr>
              <w:t>indukcyjna: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040781" w:rsidRPr="00F23761">
              <w:rPr>
                <w:color w:val="000000"/>
                <w:sz w:val="20"/>
                <w:szCs w:val="20"/>
              </w:rPr>
              <w:t>8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040781" w:rsidRPr="00F23761">
              <w:rPr>
                <w:color w:val="000000"/>
                <w:sz w:val="20"/>
                <w:szCs w:val="20"/>
              </w:rPr>
              <w:t>tygodni;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</w:p>
          <w:p w14:paraId="388B5EE0" w14:textId="1813D6E6" w:rsidR="00040781" w:rsidRPr="00F23761" w:rsidRDefault="000C0385" w:rsidP="00341CA6">
            <w:pPr>
              <w:numPr>
                <w:ilvl w:val="4"/>
                <w:numId w:val="25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F23761">
              <w:rPr>
                <w:bCs/>
                <w:iCs/>
                <w:sz w:val="20"/>
                <w:szCs w:val="20"/>
              </w:rPr>
              <w:t>l</w:t>
            </w:r>
            <w:r w:rsidR="00040781" w:rsidRPr="00F23761">
              <w:rPr>
                <w:bCs/>
                <w:iCs/>
                <w:sz w:val="20"/>
                <w:szCs w:val="20"/>
              </w:rPr>
              <w:t>eczenie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040781" w:rsidRPr="00F23761">
              <w:rPr>
                <w:bCs/>
                <w:iCs/>
                <w:sz w:val="20"/>
                <w:szCs w:val="20"/>
              </w:rPr>
              <w:t>podtrzymujące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040781" w:rsidRPr="00F23761">
              <w:rPr>
                <w:bCs/>
                <w:iCs/>
                <w:sz w:val="20"/>
                <w:szCs w:val="20"/>
              </w:rPr>
              <w:t>ustekinumabem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040781" w:rsidRPr="00F23761">
              <w:rPr>
                <w:bCs/>
                <w:iCs/>
                <w:sz w:val="20"/>
                <w:szCs w:val="20"/>
              </w:rPr>
              <w:t>powinno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040781" w:rsidRPr="00F23761">
              <w:rPr>
                <w:bCs/>
                <w:iCs/>
                <w:sz w:val="20"/>
                <w:szCs w:val="20"/>
              </w:rPr>
              <w:t>trwać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040781" w:rsidRPr="00F23761">
              <w:rPr>
                <w:bCs/>
                <w:iCs/>
                <w:sz w:val="20"/>
                <w:szCs w:val="20"/>
              </w:rPr>
              <w:t>aż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040781" w:rsidRPr="00F23761">
              <w:rPr>
                <w:bCs/>
                <w:iCs/>
                <w:sz w:val="20"/>
                <w:szCs w:val="20"/>
              </w:rPr>
              <w:t>do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040781" w:rsidRPr="00F23761">
              <w:rPr>
                <w:bCs/>
                <w:iCs/>
                <w:sz w:val="20"/>
                <w:szCs w:val="20"/>
              </w:rPr>
              <w:t>momentu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040781" w:rsidRPr="00F23761">
              <w:rPr>
                <w:bCs/>
                <w:iCs/>
                <w:sz w:val="20"/>
                <w:szCs w:val="20"/>
              </w:rPr>
              <w:t>stwierdzenia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040781" w:rsidRPr="00F23761">
              <w:rPr>
                <w:bCs/>
                <w:iCs/>
                <w:sz w:val="20"/>
                <w:szCs w:val="20"/>
              </w:rPr>
              <w:t>braku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040781" w:rsidRPr="00F23761">
              <w:rPr>
                <w:bCs/>
                <w:iCs/>
                <w:sz w:val="20"/>
                <w:szCs w:val="20"/>
              </w:rPr>
              <w:t>odpowiedzi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040781" w:rsidRPr="00F23761">
              <w:rPr>
                <w:bCs/>
                <w:iCs/>
                <w:sz w:val="20"/>
                <w:szCs w:val="20"/>
              </w:rPr>
              <w:t>na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AB1BE8" w:rsidRPr="00F23761">
              <w:rPr>
                <w:bCs/>
                <w:iCs/>
                <w:sz w:val="20"/>
                <w:szCs w:val="20"/>
              </w:rPr>
              <w:t>leczenie</w:t>
            </w:r>
            <w:r w:rsidR="009755A5" w:rsidRPr="00F23761">
              <w:rPr>
                <w:bCs/>
                <w:iCs/>
                <w:sz w:val="20"/>
                <w:szCs w:val="20"/>
              </w:rPr>
              <w:t>.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755A5" w:rsidRPr="00F23761">
              <w:rPr>
                <w:bCs/>
                <w:sz w:val="20"/>
                <w:szCs w:val="20"/>
              </w:rPr>
              <w:t>Ocena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9755A5" w:rsidRPr="00F23761">
              <w:rPr>
                <w:bCs/>
                <w:sz w:val="20"/>
                <w:szCs w:val="20"/>
              </w:rPr>
              <w:t>zasadności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9755A5" w:rsidRPr="00F23761">
              <w:rPr>
                <w:bCs/>
                <w:sz w:val="20"/>
                <w:szCs w:val="20"/>
              </w:rPr>
              <w:t>kontynuacji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9755A5" w:rsidRPr="00F23761">
              <w:rPr>
                <w:bCs/>
                <w:sz w:val="20"/>
                <w:szCs w:val="20"/>
              </w:rPr>
              <w:t>leczenia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9755A5" w:rsidRPr="00F23761">
              <w:rPr>
                <w:bCs/>
                <w:sz w:val="20"/>
                <w:szCs w:val="20"/>
              </w:rPr>
              <w:t>powinna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9755A5" w:rsidRPr="00F23761">
              <w:rPr>
                <w:bCs/>
                <w:sz w:val="20"/>
                <w:szCs w:val="20"/>
              </w:rPr>
              <w:t>być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9755A5" w:rsidRPr="00F23761">
              <w:rPr>
                <w:bCs/>
                <w:sz w:val="20"/>
                <w:szCs w:val="20"/>
              </w:rPr>
              <w:t>przeprowadzona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9755A5" w:rsidRPr="00F23761">
              <w:rPr>
                <w:bCs/>
                <w:sz w:val="20"/>
                <w:szCs w:val="20"/>
              </w:rPr>
              <w:t>co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9755A5" w:rsidRPr="00F23761">
              <w:rPr>
                <w:bCs/>
                <w:sz w:val="20"/>
                <w:szCs w:val="20"/>
              </w:rPr>
              <w:t>najmniej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9755A5" w:rsidRPr="00F23761">
              <w:rPr>
                <w:bCs/>
                <w:sz w:val="20"/>
                <w:szCs w:val="20"/>
              </w:rPr>
              <w:t>raz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9755A5" w:rsidRPr="00F23761">
              <w:rPr>
                <w:bCs/>
                <w:sz w:val="20"/>
                <w:szCs w:val="20"/>
              </w:rPr>
              <w:t>na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9755A5" w:rsidRPr="00F23761">
              <w:rPr>
                <w:bCs/>
                <w:sz w:val="20"/>
                <w:szCs w:val="20"/>
              </w:rPr>
              <w:t>12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9755A5" w:rsidRPr="00F23761">
              <w:rPr>
                <w:bCs/>
                <w:sz w:val="20"/>
                <w:szCs w:val="20"/>
              </w:rPr>
              <w:t>miesięcy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9755A5" w:rsidRPr="00F23761">
              <w:rPr>
                <w:bCs/>
                <w:sz w:val="20"/>
                <w:szCs w:val="20"/>
              </w:rPr>
              <w:t>w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9755A5" w:rsidRPr="00F23761">
              <w:rPr>
                <w:bCs/>
                <w:sz w:val="20"/>
                <w:szCs w:val="20"/>
              </w:rPr>
              <w:t>oparciu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9755A5" w:rsidRPr="00F23761">
              <w:rPr>
                <w:bCs/>
                <w:sz w:val="20"/>
                <w:szCs w:val="20"/>
              </w:rPr>
              <w:t>o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9755A5" w:rsidRPr="00F23761">
              <w:rPr>
                <w:bCs/>
                <w:sz w:val="20"/>
                <w:szCs w:val="20"/>
              </w:rPr>
              <w:t>wskaźnik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9755A5" w:rsidRPr="00F23761">
              <w:rPr>
                <w:bCs/>
                <w:sz w:val="20"/>
                <w:szCs w:val="20"/>
              </w:rPr>
              <w:t>CDAI</w:t>
            </w:r>
            <w:r w:rsidR="00040781" w:rsidRPr="00F23761">
              <w:rPr>
                <w:bCs/>
                <w:iCs/>
                <w:sz w:val="20"/>
                <w:szCs w:val="20"/>
              </w:rPr>
              <w:t>;</w:t>
            </w:r>
          </w:p>
          <w:p w14:paraId="55C38E4A" w14:textId="77777777" w:rsidR="00065350" w:rsidRPr="00F23761" w:rsidRDefault="00065350" w:rsidP="00341CA6">
            <w:pPr>
              <w:numPr>
                <w:ilvl w:val="3"/>
                <w:numId w:val="25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F23761">
              <w:rPr>
                <w:bCs/>
                <w:iCs/>
                <w:sz w:val="20"/>
                <w:szCs w:val="20"/>
              </w:rPr>
              <w:t>Wedolizumab</w:t>
            </w:r>
          </w:p>
          <w:p w14:paraId="4A36A1B2" w14:textId="0DD693AE" w:rsidR="00065350" w:rsidRPr="00F23761" w:rsidRDefault="000C0385" w:rsidP="00341CA6">
            <w:pPr>
              <w:numPr>
                <w:ilvl w:val="4"/>
                <w:numId w:val="25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F23761">
              <w:rPr>
                <w:color w:val="000000"/>
                <w:sz w:val="20"/>
                <w:szCs w:val="20"/>
              </w:rPr>
              <w:t>t</w:t>
            </w:r>
            <w:r w:rsidR="00065350" w:rsidRPr="00F23761">
              <w:rPr>
                <w:color w:val="000000"/>
                <w:sz w:val="20"/>
                <w:szCs w:val="20"/>
              </w:rPr>
              <w:t>erapia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065350" w:rsidRPr="00F23761">
              <w:rPr>
                <w:color w:val="000000"/>
                <w:sz w:val="20"/>
                <w:szCs w:val="20"/>
              </w:rPr>
              <w:t>indukcyjna: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CC2951" w:rsidRPr="00F23761">
              <w:rPr>
                <w:color w:val="000000"/>
                <w:sz w:val="20"/>
                <w:szCs w:val="20"/>
              </w:rPr>
              <w:t>10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065350" w:rsidRPr="00F23761">
              <w:rPr>
                <w:color w:val="000000"/>
                <w:sz w:val="20"/>
                <w:szCs w:val="20"/>
              </w:rPr>
              <w:t>tygodni;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</w:p>
          <w:p w14:paraId="16276409" w14:textId="75D31182" w:rsidR="000C0385" w:rsidRDefault="000C0385" w:rsidP="00341CA6">
            <w:pPr>
              <w:numPr>
                <w:ilvl w:val="4"/>
                <w:numId w:val="25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F23761">
              <w:rPr>
                <w:bCs/>
                <w:iCs/>
                <w:sz w:val="20"/>
                <w:szCs w:val="20"/>
              </w:rPr>
              <w:t>l</w:t>
            </w:r>
            <w:r w:rsidR="00065350" w:rsidRPr="00F23761">
              <w:rPr>
                <w:bCs/>
                <w:iCs/>
                <w:sz w:val="20"/>
                <w:szCs w:val="20"/>
              </w:rPr>
              <w:t>eczenie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065350" w:rsidRPr="00F23761">
              <w:rPr>
                <w:bCs/>
                <w:iCs/>
                <w:sz w:val="20"/>
                <w:szCs w:val="20"/>
              </w:rPr>
              <w:t>podtrzymujące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065350" w:rsidRPr="00F23761">
              <w:rPr>
                <w:bCs/>
                <w:iCs/>
                <w:sz w:val="20"/>
                <w:szCs w:val="20"/>
              </w:rPr>
              <w:t>wedolizumabem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065350" w:rsidRPr="00F23761">
              <w:rPr>
                <w:bCs/>
                <w:iCs/>
                <w:sz w:val="20"/>
                <w:szCs w:val="20"/>
              </w:rPr>
              <w:t>powinno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065350" w:rsidRPr="00F23761">
              <w:rPr>
                <w:bCs/>
                <w:iCs/>
                <w:sz w:val="20"/>
                <w:szCs w:val="20"/>
              </w:rPr>
              <w:t>trwać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065350" w:rsidRPr="00F23761">
              <w:rPr>
                <w:bCs/>
                <w:iCs/>
                <w:sz w:val="20"/>
                <w:szCs w:val="20"/>
              </w:rPr>
              <w:t>aż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065350" w:rsidRPr="00F23761">
              <w:rPr>
                <w:bCs/>
                <w:iCs/>
                <w:sz w:val="20"/>
                <w:szCs w:val="20"/>
              </w:rPr>
              <w:t>do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065350" w:rsidRPr="00F23761">
              <w:rPr>
                <w:bCs/>
                <w:iCs/>
                <w:sz w:val="20"/>
                <w:szCs w:val="20"/>
              </w:rPr>
              <w:t>momentu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065350" w:rsidRPr="00F23761">
              <w:rPr>
                <w:bCs/>
                <w:iCs/>
                <w:sz w:val="20"/>
                <w:szCs w:val="20"/>
              </w:rPr>
              <w:t>stwierdzenia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065350" w:rsidRPr="00F23761">
              <w:rPr>
                <w:bCs/>
                <w:iCs/>
                <w:sz w:val="20"/>
                <w:szCs w:val="20"/>
              </w:rPr>
              <w:t>braku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065350" w:rsidRPr="00F23761">
              <w:rPr>
                <w:bCs/>
                <w:iCs/>
                <w:sz w:val="20"/>
                <w:szCs w:val="20"/>
              </w:rPr>
              <w:t>odpowiedzi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065350" w:rsidRPr="00F23761">
              <w:rPr>
                <w:bCs/>
                <w:iCs/>
                <w:sz w:val="20"/>
                <w:szCs w:val="20"/>
              </w:rPr>
              <w:t>na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065350" w:rsidRPr="00F23761">
              <w:rPr>
                <w:bCs/>
                <w:iCs/>
                <w:sz w:val="20"/>
                <w:szCs w:val="20"/>
              </w:rPr>
              <w:t>leczenie</w:t>
            </w:r>
            <w:r w:rsidR="008315C1" w:rsidRPr="00F23761">
              <w:rPr>
                <w:bCs/>
                <w:iCs/>
                <w:sz w:val="20"/>
                <w:szCs w:val="20"/>
              </w:rPr>
              <w:t>.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8315C1" w:rsidRPr="00F23761">
              <w:rPr>
                <w:bCs/>
                <w:sz w:val="20"/>
                <w:szCs w:val="20"/>
              </w:rPr>
              <w:t>Ocena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8315C1" w:rsidRPr="00F23761">
              <w:rPr>
                <w:bCs/>
                <w:sz w:val="20"/>
                <w:szCs w:val="20"/>
              </w:rPr>
              <w:t>zasadności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8315C1" w:rsidRPr="00F23761">
              <w:rPr>
                <w:bCs/>
                <w:sz w:val="20"/>
                <w:szCs w:val="20"/>
              </w:rPr>
              <w:t>kontynuacji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8315C1" w:rsidRPr="00F23761">
              <w:rPr>
                <w:bCs/>
                <w:sz w:val="20"/>
                <w:szCs w:val="20"/>
              </w:rPr>
              <w:t>leczenia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8315C1" w:rsidRPr="00F23761">
              <w:rPr>
                <w:bCs/>
                <w:sz w:val="20"/>
                <w:szCs w:val="20"/>
              </w:rPr>
              <w:t>powinna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8315C1" w:rsidRPr="00F23761">
              <w:rPr>
                <w:bCs/>
                <w:sz w:val="20"/>
                <w:szCs w:val="20"/>
              </w:rPr>
              <w:t>być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8315C1" w:rsidRPr="00F23761">
              <w:rPr>
                <w:bCs/>
                <w:sz w:val="20"/>
                <w:szCs w:val="20"/>
              </w:rPr>
              <w:t>przeprowadzona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8315C1" w:rsidRPr="00F23761">
              <w:rPr>
                <w:bCs/>
                <w:sz w:val="20"/>
                <w:szCs w:val="20"/>
              </w:rPr>
              <w:t>co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8315C1" w:rsidRPr="00F23761">
              <w:rPr>
                <w:bCs/>
                <w:sz w:val="20"/>
                <w:szCs w:val="20"/>
              </w:rPr>
              <w:t>najmniej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8315C1" w:rsidRPr="00F23761">
              <w:rPr>
                <w:bCs/>
                <w:sz w:val="20"/>
                <w:szCs w:val="20"/>
              </w:rPr>
              <w:t>raz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8315C1" w:rsidRPr="00F23761">
              <w:rPr>
                <w:bCs/>
                <w:sz w:val="20"/>
                <w:szCs w:val="20"/>
              </w:rPr>
              <w:t>na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8315C1" w:rsidRPr="00F23761">
              <w:rPr>
                <w:bCs/>
                <w:sz w:val="20"/>
                <w:szCs w:val="20"/>
              </w:rPr>
              <w:t>12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8315C1" w:rsidRPr="00F23761">
              <w:rPr>
                <w:bCs/>
                <w:sz w:val="20"/>
                <w:szCs w:val="20"/>
              </w:rPr>
              <w:t>miesięcy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8315C1" w:rsidRPr="00F23761">
              <w:rPr>
                <w:bCs/>
                <w:sz w:val="20"/>
                <w:szCs w:val="20"/>
              </w:rPr>
              <w:t>w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8315C1" w:rsidRPr="00F23761">
              <w:rPr>
                <w:bCs/>
                <w:sz w:val="20"/>
                <w:szCs w:val="20"/>
              </w:rPr>
              <w:t>oparciu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8315C1" w:rsidRPr="00F23761">
              <w:rPr>
                <w:bCs/>
                <w:sz w:val="20"/>
                <w:szCs w:val="20"/>
              </w:rPr>
              <w:t>o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8315C1" w:rsidRPr="00F23761">
              <w:rPr>
                <w:bCs/>
                <w:sz w:val="20"/>
                <w:szCs w:val="20"/>
              </w:rPr>
              <w:t>wskaźnik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8315C1" w:rsidRPr="00F23761">
              <w:rPr>
                <w:bCs/>
                <w:sz w:val="20"/>
                <w:szCs w:val="20"/>
              </w:rPr>
              <w:t>CDAI</w:t>
            </w:r>
            <w:r w:rsidR="008315C1" w:rsidRPr="00F23761">
              <w:rPr>
                <w:bCs/>
                <w:iCs/>
                <w:sz w:val="20"/>
                <w:szCs w:val="20"/>
              </w:rPr>
              <w:t>.</w:t>
            </w:r>
          </w:p>
          <w:p w14:paraId="6697E7FB" w14:textId="77777777" w:rsidR="00341CA6" w:rsidRPr="00F23761" w:rsidRDefault="00341CA6" w:rsidP="00341CA6">
            <w:pPr>
              <w:spacing w:after="60" w:line="276" w:lineRule="auto"/>
              <w:ind w:left="680"/>
              <w:jc w:val="both"/>
              <w:rPr>
                <w:bCs/>
                <w:iCs/>
                <w:sz w:val="20"/>
                <w:szCs w:val="20"/>
              </w:rPr>
            </w:pPr>
          </w:p>
          <w:p w14:paraId="1026D1C5" w14:textId="54831994" w:rsidR="00EE42F2" w:rsidRPr="00F23761" w:rsidRDefault="00AD3624" w:rsidP="00F23761">
            <w:pPr>
              <w:numPr>
                <w:ilvl w:val="0"/>
                <w:numId w:val="25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F23761">
              <w:rPr>
                <w:b/>
                <w:color w:val="000000"/>
                <w:sz w:val="20"/>
                <w:szCs w:val="20"/>
              </w:rPr>
              <w:t>Kryteria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b/>
                <w:color w:val="000000"/>
                <w:sz w:val="20"/>
                <w:szCs w:val="20"/>
              </w:rPr>
              <w:t>wyłączenia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b/>
                <w:color w:val="000000"/>
                <w:sz w:val="20"/>
                <w:szCs w:val="20"/>
              </w:rPr>
              <w:t>z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b/>
                <w:color w:val="000000"/>
                <w:sz w:val="20"/>
                <w:szCs w:val="20"/>
              </w:rPr>
              <w:t>programu</w:t>
            </w:r>
          </w:p>
          <w:p w14:paraId="3C4A2E36" w14:textId="74C16A00" w:rsidR="00194DC3" w:rsidRPr="00341CA6" w:rsidRDefault="00194DC3" w:rsidP="00341CA6">
            <w:pPr>
              <w:spacing w:after="6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341CA6">
              <w:rPr>
                <w:color w:val="000000"/>
                <w:sz w:val="20"/>
                <w:szCs w:val="20"/>
              </w:rPr>
              <w:t>W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przypadku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wystąpienia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pr</w:t>
            </w:r>
            <w:r w:rsidR="00EE42F2" w:rsidRPr="00341CA6">
              <w:rPr>
                <w:color w:val="000000"/>
                <w:sz w:val="20"/>
                <w:szCs w:val="20"/>
              </w:rPr>
              <w:t>zynajmniej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EE42F2" w:rsidRPr="00341CA6">
              <w:rPr>
                <w:color w:val="000000"/>
                <w:sz w:val="20"/>
                <w:szCs w:val="20"/>
              </w:rPr>
              <w:t>jednego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EE42F2" w:rsidRPr="00341CA6">
              <w:rPr>
                <w:color w:val="000000"/>
                <w:sz w:val="20"/>
                <w:szCs w:val="20"/>
              </w:rPr>
              <w:t>z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EE42F2" w:rsidRPr="00341CA6">
              <w:rPr>
                <w:color w:val="000000"/>
                <w:sz w:val="20"/>
                <w:szCs w:val="20"/>
              </w:rPr>
              <w:t>poniższych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kryteriów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pacjent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zostaje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wyłączony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z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programu</w:t>
            </w:r>
            <w:r w:rsidR="00270E9E" w:rsidRPr="00341CA6">
              <w:rPr>
                <w:color w:val="000000"/>
                <w:sz w:val="20"/>
                <w:szCs w:val="20"/>
              </w:rPr>
              <w:t>.</w:t>
            </w:r>
          </w:p>
          <w:p w14:paraId="04DB9793" w14:textId="2E0CA44D" w:rsidR="00194DC3" w:rsidRPr="00F23761" w:rsidRDefault="00270E9E" w:rsidP="00341CA6">
            <w:pPr>
              <w:numPr>
                <w:ilvl w:val="3"/>
                <w:numId w:val="25"/>
              </w:numPr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23761">
              <w:rPr>
                <w:bCs/>
                <w:iCs/>
                <w:sz w:val="20"/>
                <w:szCs w:val="20"/>
              </w:rPr>
              <w:t>N</w:t>
            </w:r>
            <w:r w:rsidR="00194DC3" w:rsidRPr="00F23761">
              <w:rPr>
                <w:bCs/>
                <w:iCs/>
                <w:sz w:val="20"/>
                <w:szCs w:val="20"/>
              </w:rPr>
              <w:t>adwrażliwość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na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leki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stosowane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w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programie;</w:t>
            </w:r>
          </w:p>
          <w:p w14:paraId="7752A097" w14:textId="2B304726" w:rsidR="00194DC3" w:rsidRPr="00F23761" w:rsidRDefault="00270E9E" w:rsidP="00341CA6">
            <w:pPr>
              <w:numPr>
                <w:ilvl w:val="3"/>
                <w:numId w:val="25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F23761">
              <w:rPr>
                <w:bCs/>
                <w:iCs/>
                <w:sz w:val="20"/>
                <w:szCs w:val="20"/>
              </w:rPr>
              <w:t>C</w:t>
            </w:r>
            <w:r w:rsidR="00194DC3" w:rsidRPr="00F23761">
              <w:rPr>
                <w:bCs/>
                <w:iCs/>
                <w:sz w:val="20"/>
                <w:szCs w:val="20"/>
              </w:rPr>
              <w:t>iężkie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zakażenia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wirusowe,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grzybicze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lub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bakteryjne;</w:t>
            </w:r>
          </w:p>
          <w:p w14:paraId="37E7B7EB" w14:textId="43726D7E" w:rsidR="00194DC3" w:rsidRPr="00F23761" w:rsidRDefault="00270E9E" w:rsidP="00341CA6">
            <w:pPr>
              <w:numPr>
                <w:ilvl w:val="3"/>
                <w:numId w:val="25"/>
              </w:numPr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23761">
              <w:rPr>
                <w:bCs/>
                <w:iCs/>
                <w:sz w:val="20"/>
                <w:szCs w:val="20"/>
              </w:rPr>
              <w:t>U</w:t>
            </w:r>
            <w:r w:rsidR="00194DC3" w:rsidRPr="00F23761">
              <w:rPr>
                <w:bCs/>
                <w:iCs/>
                <w:sz w:val="20"/>
                <w:szCs w:val="20"/>
              </w:rPr>
              <w:t>miarkowana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lub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ciężka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niewydolność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mięśnia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sercowego;</w:t>
            </w:r>
          </w:p>
          <w:p w14:paraId="4F877DF9" w14:textId="6CD12312" w:rsidR="00194DC3" w:rsidRPr="00F23761" w:rsidRDefault="00270E9E" w:rsidP="00341CA6">
            <w:pPr>
              <w:numPr>
                <w:ilvl w:val="3"/>
                <w:numId w:val="25"/>
              </w:numPr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23761">
              <w:rPr>
                <w:bCs/>
                <w:iCs/>
                <w:sz w:val="20"/>
                <w:szCs w:val="20"/>
              </w:rPr>
              <w:t>N</w:t>
            </w:r>
            <w:r w:rsidR="00194DC3" w:rsidRPr="00F23761">
              <w:rPr>
                <w:bCs/>
                <w:iCs/>
                <w:sz w:val="20"/>
                <w:szCs w:val="20"/>
              </w:rPr>
              <w:t>iestabilna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choroba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wieńcowa;</w:t>
            </w:r>
          </w:p>
          <w:p w14:paraId="1BF89DDD" w14:textId="63D8776D" w:rsidR="00194DC3" w:rsidRPr="00F23761" w:rsidRDefault="00270E9E" w:rsidP="00341CA6">
            <w:pPr>
              <w:numPr>
                <w:ilvl w:val="3"/>
                <w:numId w:val="25"/>
              </w:numPr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23761">
              <w:rPr>
                <w:bCs/>
                <w:iCs/>
                <w:sz w:val="20"/>
                <w:szCs w:val="20"/>
              </w:rPr>
              <w:t>P</w:t>
            </w:r>
            <w:r w:rsidR="00194DC3" w:rsidRPr="00F23761">
              <w:rPr>
                <w:bCs/>
                <w:iCs/>
                <w:sz w:val="20"/>
                <w:szCs w:val="20"/>
              </w:rPr>
              <w:t>rzewlekła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niewydolność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oddechowa;</w:t>
            </w:r>
          </w:p>
          <w:p w14:paraId="2BCCEA0C" w14:textId="00957DEB" w:rsidR="00194DC3" w:rsidRPr="00F23761" w:rsidRDefault="00CC2951" w:rsidP="00341CA6">
            <w:pPr>
              <w:numPr>
                <w:ilvl w:val="3"/>
                <w:numId w:val="25"/>
              </w:numPr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23761">
              <w:rPr>
                <w:bCs/>
                <w:iCs/>
                <w:sz w:val="20"/>
                <w:szCs w:val="20"/>
              </w:rPr>
              <w:t>Ciężka,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p</w:t>
            </w:r>
            <w:r w:rsidR="00194DC3" w:rsidRPr="00F23761">
              <w:rPr>
                <w:bCs/>
                <w:iCs/>
                <w:sz w:val="20"/>
                <w:szCs w:val="20"/>
              </w:rPr>
              <w:t>rzewlekła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niewydolność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nerek;</w:t>
            </w:r>
          </w:p>
          <w:p w14:paraId="6F3BA220" w14:textId="40282F60" w:rsidR="00194DC3" w:rsidRPr="00F23761" w:rsidRDefault="00CC2951" w:rsidP="00341CA6">
            <w:pPr>
              <w:numPr>
                <w:ilvl w:val="3"/>
                <w:numId w:val="25"/>
              </w:numPr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23761">
              <w:rPr>
                <w:bCs/>
                <w:iCs/>
                <w:sz w:val="20"/>
                <w:szCs w:val="20"/>
              </w:rPr>
              <w:t>Ciężka,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p</w:t>
            </w:r>
            <w:r w:rsidR="00BC4913" w:rsidRPr="00F23761">
              <w:rPr>
                <w:bCs/>
                <w:iCs/>
                <w:sz w:val="20"/>
                <w:szCs w:val="20"/>
              </w:rPr>
              <w:t>rzewlekła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niewydolność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wątroby;</w:t>
            </w:r>
          </w:p>
          <w:p w14:paraId="5DC7A8AC" w14:textId="4F83429E" w:rsidR="00194DC3" w:rsidRPr="00F23761" w:rsidRDefault="00270E9E" w:rsidP="00341CA6">
            <w:pPr>
              <w:numPr>
                <w:ilvl w:val="3"/>
                <w:numId w:val="25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F23761">
              <w:rPr>
                <w:bCs/>
                <w:iCs/>
                <w:sz w:val="20"/>
                <w:szCs w:val="20"/>
              </w:rPr>
              <w:t>Z</w:t>
            </w:r>
            <w:r w:rsidR="00194DC3" w:rsidRPr="00F23761">
              <w:rPr>
                <w:bCs/>
                <w:iCs/>
                <w:sz w:val="20"/>
                <w:szCs w:val="20"/>
              </w:rPr>
              <w:t>espół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demielinizacyjny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lub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objawy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przypominające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ten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zespół;</w:t>
            </w:r>
          </w:p>
          <w:p w14:paraId="4F9EC2D9" w14:textId="4A2A7D0E" w:rsidR="00194DC3" w:rsidRPr="00F23761" w:rsidRDefault="00270E9E" w:rsidP="00341CA6">
            <w:pPr>
              <w:numPr>
                <w:ilvl w:val="3"/>
                <w:numId w:val="25"/>
              </w:numPr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23761">
              <w:rPr>
                <w:bCs/>
                <w:iCs/>
                <w:sz w:val="20"/>
                <w:szCs w:val="20"/>
              </w:rPr>
              <w:t>C</w:t>
            </w:r>
            <w:r w:rsidR="00194DC3" w:rsidRPr="00F23761">
              <w:rPr>
                <w:bCs/>
                <w:iCs/>
                <w:sz w:val="20"/>
                <w:szCs w:val="20"/>
              </w:rPr>
              <w:t>horoba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alkoholowa,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poalkoholowe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uszkodzenie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wątroby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lub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każdą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czynną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postępującą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chorobę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wątroby;</w:t>
            </w:r>
          </w:p>
          <w:p w14:paraId="18A5DC0C" w14:textId="5C6B433F" w:rsidR="00194DC3" w:rsidRPr="00F23761" w:rsidRDefault="00270E9E" w:rsidP="00341CA6">
            <w:pPr>
              <w:numPr>
                <w:ilvl w:val="3"/>
                <w:numId w:val="25"/>
              </w:numPr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23761">
              <w:rPr>
                <w:bCs/>
                <w:iCs/>
                <w:sz w:val="20"/>
                <w:szCs w:val="20"/>
              </w:rPr>
              <w:t>C</w:t>
            </w:r>
            <w:r w:rsidR="00194DC3" w:rsidRPr="00F23761">
              <w:rPr>
                <w:bCs/>
                <w:iCs/>
                <w:sz w:val="20"/>
                <w:szCs w:val="20"/>
              </w:rPr>
              <w:t>iąża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lub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karmienie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piersią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CC2951" w:rsidRPr="00F23761">
              <w:rPr>
                <w:bCs/>
                <w:iCs/>
                <w:sz w:val="20"/>
                <w:szCs w:val="20"/>
              </w:rPr>
              <w:t>-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CC2951" w:rsidRPr="00F23761">
              <w:rPr>
                <w:bCs/>
                <w:iCs/>
                <w:sz w:val="20"/>
                <w:szCs w:val="20"/>
              </w:rPr>
              <w:t>możliwość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CC2951" w:rsidRPr="00F23761">
              <w:rPr>
                <w:bCs/>
                <w:iCs/>
                <w:sz w:val="20"/>
                <w:szCs w:val="20"/>
              </w:rPr>
              <w:t>leczenia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CC2951" w:rsidRPr="00F23761">
              <w:rPr>
                <w:bCs/>
                <w:iCs/>
                <w:sz w:val="20"/>
                <w:szCs w:val="20"/>
              </w:rPr>
              <w:t>w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CC2951" w:rsidRPr="00F23761">
              <w:rPr>
                <w:bCs/>
                <w:iCs/>
                <w:sz w:val="20"/>
                <w:szCs w:val="20"/>
              </w:rPr>
              <w:t>przypadkach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CC2951" w:rsidRPr="00F23761">
              <w:rPr>
                <w:bCs/>
                <w:iCs/>
                <w:sz w:val="20"/>
                <w:szCs w:val="20"/>
              </w:rPr>
              <w:t>uzasadnionych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CC2951" w:rsidRPr="00F23761">
              <w:rPr>
                <w:bCs/>
                <w:iCs/>
                <w:sz w:val="20"/>
                <w:szCs w:val="20"/>
              </w:rPr>
              <w:t>aktualną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CC2951" w:rsidRPr="00F23761">
              <w:rPr>
                <w:bCs/>
                <w:iCs/>
                <w:sz w:val="20"/>
                <w:szCs w:val="20"/>
              </w:rPr>
              <w:t>wiedzą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CC2951" w:rsidRPr="00F23761">
              <w:rPr>
                <w:bCs/>
                <w:iCs/>
                <w:sz w:val="20"/>
                <w:szCs w:val="20"/>
              </w:rPr>
              <w:t>medyczną,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CC2951" w:rsidRPr="00F23761">
              <w:rPr>
                <w:bCs/>
                <w:iCs/>
                <w:sz w:val="20"/>
                <w:szCs w:val="20"/>
              </w:rPr>
              <w:t>zgodnie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CC2951" w:rsidRPr="00F23761">
              <w:rPr>
                <w:bCs/>
                <w:iCs/>
                <w:sz w:val="20"/>
                <w:szCs w:val="20"/>
              </w:rPr>
              <w:t>z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CC2951" w:rsidRPr="00F23761">
              <w:rPr>
                <w:bCs/>
                <w:iCs/>
                <w:sz w:val="20"/>
                <w:szCs w:val="20"/>
              </w:rPr>
              <w:t>rekomendacjami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CC2951" w:rsidRPr="00F23761">
              <w:rPr>
                <w:bCs/>
                <w:iCs/>
                <w:sz w:val="20"/>
                <w:szCs w:val="20"/>
              </w:rPr>
              <w:t>ECCO/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CC2951" w:rsidRPr="00F23761">
              <w:rPr>
                <w:bCs/>
                <w:iCs/>
                <w:sz w:val="20"/>
                <w:szCs w:val="20"/>
              </w:rPr>
              <w:t>PTG-E</w:t>
            </w:r>
          </w:p>
          <w:p w14:paraId="39CB4225" w14:textId="1074C699" w:rsidR="00CC2951" w:rsidRPr="00F23761" w:rsidRDefault="00CC2951" w:rsidP="00341CA6">
            <w:pPr>
              <w:numPr>
                <w:ilvl w:val="3"/>
                <w:numId w:val="25"/>
              </w:numPr>
              <w:suppressAutoHyphens/>
              <w:spacing w:after="6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F23761">
              <w:rPr>
                <w:bCs/>
                <w:iCs/>
                <w:sz w:val="20"/>
                <w:szCs w:val="20"/>
              </w:rPr>
              <w:lastRenderedPageBreak/>
              <w:t>Rozpoznanie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nowotworów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złośliwych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w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okresie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5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lat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poprzedzających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moment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kwalifikowania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do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programu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(z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wyjątkiem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raka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in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situ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szyjki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macicy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i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nieczerniakowych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nowotworów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skóry);</w:t>
            </w:r>
          </w:p>
          <w:p w14:paraId="07B74501" w14:textId="7A879A05" w:rsidR="006503A0" w:rsidRPr="00F23761" w:rsidRDefault="00270E9E" w:rsidP="00341CA6">
            <w:pPr>
              <w:numPr>
                <w:ilvl w:val="3"/>
                <w:numId w:val="25"/>
              </w:numPr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23761">
              <w:rPr>
                <w:bCs/>
                <w:iCs/>
                <w:sz w:val="20"/>
                <w:szCs w:val="20"/>
              </w:rPr>
              <w:t>P</w:t>
            </w:r>
            <w:r w:rsidR="00194DC3" w:rsidRPr="00F23761">
              <w:rPr>
                <w:bCs/>
                <w:iCs/>
                <w:sz w:val="20"/>
                <w:szCs w:val="20"/>
              </w:rPr>
              <w:t>owikłania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wymagające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zmiany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postępowania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(np.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radykalnego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leczenia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operacyjnego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954A45" w:rsidRPr="00F23761">
              <w:rPr>
                <w:bCs/>
                <w:iCs/>
                <w:sz w:val="20"/>
                <w:szCs w:val="20"/>
              </w:rPr>
              <w:t>-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chirurgiczne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zaopatrzenie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przetok,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może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i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powinno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się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odbywać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w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miarę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wskazań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klinicznych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w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trakcie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leczenia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94DC3" w:rsidRPr="00F23761">
              <w:rPr>
                <w:bCs/>
                <w:iCs/>
                <w:sz w:val="20"/>
                <w:szCs w:val="20"/>
              </w:rPr>
              <w:t>biologicznego)</w:t>
            </w:r>
            <w:r w:rsidR="000C0385" w:rsidRPr="00F23761">
              <w:rPr>
                <w:bCs/>
                <w:iCs/>
                <w:sz w:val="20"/>
                <w:szCs w:val="20"/>
              </w:rPr>
              <w:t>.</w:t>
            </w:r>
          </w:p>
          <w:p w14:paraId="23179527" w14:textId="77777777" w:rsidR="000C0385" w:rsidRPr="00F23761" w:rsidRDefault="000C0385" w:rsidP="00F23761">
            <w:pPr>
              <w:spacing w:after="60" w:line="276" w:lineRule="auto"/>
              <w:ind w:left="397"/>
              <w:jc w:val="both"/>
              <w:rPr>
                <w:color w:val="000000"/>
                <w:sz w:val="20"/>
                <w:szCs w:val="20"/>
              </w:rPr>
            </w:pPr>
          </w:p>
          <w:p w14:paraId="1CDEF016" w14:textId="66DF1F20" w:rsidR="006503A0" w:rsidRPr="00F23761" w:rsidRDefault="006503A0" w:rsidP="00F23761">
            <w:pPr>
              <w:numPr>
                <w:ilvl w:val="0"/>
                <w:numId w:val="25"/>
              </w:numPr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23761">
              <w:rPr>
                <w:b/>
                <w:color w:val="000000"/>
                <w:sz w:val="20"/>
                <w:szCs w:val="20"/>
              </w:rPr>
              <w:t>Zakończenie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b/>
                <w:color w:val="000000"/>
                <w:sz w:val="20"/>
                <w:szCs w:val="20"/>
              </w:rPr>
              <w:t>leczenia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b/>
                <w:color w:val="000000"/>
                <w:sz w:val="20"/>
                <w:szCs w:val="20"/>
              </w:rPr>
              <w:t>w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b/>
                <w:color w:val="000000"/>
                <w:sz w:val="20"/>
                <w:szCs w:val="20"/>
              </w:rPr>
              <w:t>programie</w:t>
            </w:r>
          </w:p>
          <w:p w14:paraId="2FAD42BA" w14:textId="723AAD1B" w:rsidR="00EE42F2" w:rsidRPr="00341CA6" w:rsidRDefault="00EE42F2" w:rsidP="00341CA6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41CA6">
              <w:rPr>
                <w:color w:val="000000"/>
                <w:sz w:val="20"/>
                <w:szCs w:val="20"/>
              </w:rPr>
              <w:t>Zakończenie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leczenia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powinno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nastąpić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w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przypadku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spełnienia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przynajmniej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jednego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z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kryteriów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określonych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w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pkt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1-3.</w:t>
            </w:r>
          </w:p>
          <w:p w14:paraId="24E59F08" w14:textId="5CC73578" w:rsidR="006503A0" w:rsidRPr="00F23761" w:rsidRDefault="00EE42F2" w:rsidP="00341CA6">
            <w:pPr>
              <w:numPr>
                <w:ilvl w:val="3"/>
                <w:numId w:val="25"/>
              </w:numPr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23761">
              <w:rPr>
                <w:color w:val="000000"/>
                <w:sz w:val="20"/>
                <w:szCs w:val="20"/>
              </w:rPr>
              <w:t>B</w:t>
            </w:r>
            <w:r w:rsidR="006503A0" w:rsidRPr="00F23761">
              <w:rPr>
                <w:color w:val="000000"/>
                <w:sz w:val="20"/>
                <w:szCs w:val="20"/>
              </w:rPr>
              <w:t>rak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6503A0" w:rsidRPr="00F23761">
              <w:rPr>
                <w:color w:val="000000"/>
                <w:sz w:val="20"/>
                <w:szCs w:val="20"/>
              </w:rPr>
              <w:t>efektów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6503A0" w:rsidRPr="00F23761">
              <w:rPr>
                <w:color w:val="000000"/>
                <w:sz w:val="20"/>
                <w:szCs w:val="20"/>
              </w:rPr>
              <w:t>leczenia;</w:t>
            </w:r>
          </w:p>
          <w:p w14:paraId="1812B7FF" w14:textId="3ED6289A" w:rsidR="006503A0" w:rsidRPr="00F23761" w:rsidRDefault="00EE42F2" w:rsidP="00341CA6">
            <w:pPr>
              <w:numPr>
                <w:ilvl w:val="3"/>
                <w:numId w:val="25"/>
              </w:numPr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23761">
              <w:rPr>
                <w:color w:val="000000"/>
                <w:sz w:val="20"/>
                <w:szCs w:val="20"/>
              </w:rPr>
              <w:t>W</w:t>
            </w:r>
            <w:r w:rsidR="006503A0" w:rsidRPr="00F23761">
              <w:rPr>
                <w:color w:val="000000"/>
                <w:sz w:val="20"/>
                <w:szCs w:val="20"/>
              </w:rPr>
              <w:t>ystąpienie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6503A0" w:rsidRPr="00F23761">
              <w:rPr>
                <w:color w:val="000000"/>
                <w:sz w:val="20"/>
                <w:szCs w:val="20"/>
              </w:rPr>
              <w:t>działań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6503A0" w:rsidRPr="00F23761">
              <w:rPr>
                <w:color w:val="000000"/>
                <w:sz w:val="20"/>
                <w:szCs w:val="20"/>
              </w:rPr>
              <w:t>niepożądanych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6503A0" w:rsidRPr="00F23761">
              <w:rPr>
                <w:color w:val="000000"/>
                <w:sz w:val="20"/>
                <w:szCs w:val="20"/>
              </w:rPr>
              <w:t>leczenia;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</w:p>
          <w:p w14:paraId="21296D0F" w14:textId="739A2C3A" w:rsidR="006503A0" w:rsidRPr="00F23761" w:rsidRDefault="00EE42F2" w:rsidP="00341CA6">
            <w:pPr>
              <w:numPr>
                <w:ilvl w:val="3"/>
                <w:numId w:val="25"/>
              </w:numPr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23761">
              <w:rPr>
                <w:color w:val="000000"/>
                <w:sz w:val="20"/>
                <w:szCs w:val="20"/>
              </w:rPr>
              <w:t>W</w:t>
            </w:r>
            <w:r w:rsidR="008F4FDD" w:rsidRPr="00F23761">
              <w:rPr>
                <w:color w:val="000000"/>
                <w:sz w:val="20"/>
                <w:szCs w:val="20"/>
              </w:rPr>
              <w:t>ystąpienie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6503A0" w:rsidRPr="00F23761">
              <w:rPr>
                <w:color w:val="000000"/>
                <w:sz w:val="20"/>
                <w:szCs w:val="20"/>
              </w:rPr>
              <w:t>powikłań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6503A0" w:rsidRPr="00F23761">
              <w:rPr>
                <w:color w:val="000000"/>
                <w:sz w:val="20"/>
                <w:szCs w:val="20"/>
              </w:rPr>
              <w:t>wymagającyc</w:t>
            </w:r>
            <w:r w:rsidR="008F4FDD" w:rsidRPr="00F23761">
              <w:rPr>
                <w:color w:val="000000"/>
                <w:sz w:val="20"/>
                <w:szCs w:val="20"/>
              </w:rPr>
              <w:t>h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8F4FDD" w:rsidRPr="00F23761">
              <w:rPr>
                <w:color w:val="000000"/>
                <w:sz w:val="20"/>
                <w:szCs w:val="20"/>
              </w:rPr>
              <w:t>innego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8F4FDD" w:rsidRPr="00F23761">
              <w:rPr>
                <w:color w:val="000000"/>
                <w:sz w:val="20"/>
                <w:szCs w:val="20"/>
              </w:rPr>
              <w:t>specyficznego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8F4FDD" w:rsidRPr="00F23761">
              <w:rPr>
                <w:color w:val="000000"/>
                <w:sz w:val="20"/>
                <w:szCs w:val="20"/>
              </w:rPr>
              <w:t>leczenia;</w:t>
            </w:r>
          </w:p>
          <w:p w14:paraId="4D498D7F" w14:textId="508D33D2" w:rsidR="001E1F49" w:rsidRPr="00F23761" w:rsidRDefault="001E1F49" w:rsidP="00341CA6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Odpowiedź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kliniczna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definiowana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jest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jako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zmniejszenie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wskaźnika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CDAI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o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co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najmniej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70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punktów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oraz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o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co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najmniej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25%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względem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wartości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początkowej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albo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zmniejszenie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wskaźnika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PCDAI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o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co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najmniej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1</w:t>
            </w:r>
            <w:r w:rsidR="007D10C0"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2,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5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punktów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względem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wartości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początkowej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oraz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PCDAI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≤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30</w:t>
            </w:r>
            <w:r w:rsidR="00DC4413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punktów.</w:t>
            </w:r>
          </w:p>
          <w:p w14:paraId="19C6320E" w14:textId="57FAA8C1" w:rsidR="005C0214" w:rsidRPr="00341CA6" w:rsidRDefault="006503A0" w:rsidP="00341CA6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41CA6">
              <w:rPr>
                <w:color w:val="000000"/>
                <w:sz w:val="20"/>
                <w:szCs w:val="20"/>
              </w:rPr>
              <w:t>Dostępne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dane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nie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uzasadniają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dalszego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leczenia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infliksymabem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u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dzieci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i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młodzieży,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które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nie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zareagowały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w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ciągu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F72254" w:rsidRPr="00341CA6">
              <w:rPr>
                <w:color w:val="000000"/>
                <w:sz w:val="20"/>
                <w:szCs w:val="20"/>
              </w:rPr>
              <w:t>pierwszych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F72254" w:rsidRPr="00341CA6">
              <w:rPr>
                <w:color w:val="000000"/>
                <w:sz w:val="20"/>
                <w:szCs w:val="20"/>
              </w:rPr>
              <w:t>10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F72254" w:rsidRPr="00341CA6">
              <w:rPr>
                <w:color w:val="000000"/>
                <w:sz w:val="20"/>
                <w:szCs w:val="20"/>
              </w:rPr>
              <w:t>tygodni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F72254" w:rsidRPr="00341CA6">
              <w:rPr>
                <w:color w:val="000000"/>
                <w:sz w:val="20"/>
                <w:szCs w:val="20"/>
              </w:rPr>
              <w:t>leczenia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F72254" w:rsidRPr="00341CA6">
              <w:rPr>
                <w:color w:val="000000"/>
                <w:sz w:val="20"/>
                <w:szCs w:val="20"/>
              </w:rPr>
              <w:t>oraz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5C0214" w:rsidRPr="00341CA6">
              <w:rPr>
                <w:color w:val="000000"/>
                <w:sz w:val="20"/>
                <w:szCs w:val="20"/>
              </w:rPr>
              <w:t>dalszego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5C0214" w:rsidRPr="00341CA6">
              <w:rPr>
                <w:color w:val="000000"/>
                <w:sz w:val="20"/>
                <w:szCs w:val="20"/>
              </w:rPr>
              <w:t>leczenia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5C0214" w:rsidRPr="00341CA6">
              <w:rPr>
                <w:color w:val="000000"/>
                <w:sz w:val="20"/>
                <w:szCs w:val="20"/>
              </w:rPr>
              <w:t>wedolizumabem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5C0214" w:rsidRPr="00341CA6">
              <w:rPr>
                <w:color w:val="000000"/>
                <w:sz w:val="20"/>
                <w:szCs w:val="20"/>
              </w:rPr>
              <w:t>u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5C0214" w:rsidRPr="00341CA6">
              <w:rPr>
                <w:color w:val="000000"/>
                <w:sz w:val="20"/>
                <w:szCs w:val="20"/>
              </w:rPr>
              <w:t>osób,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5C0214" w:rsidRPr="00341CA6">
              <w:rPr>
                <w:color w:val="000000"/>
                <w:sz w:val="20"/>
                <w:szCs w:val="20"/>
              </w:rPr>
              <w:t>które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5C0214" w:rsidRPr="00341CA6">
              <w:rPr>
                <w:color w:val="000000"/>
                <w:sz w:val="20"/>
                <w:szCs w:val="20"/>
              </w:rPr>
              <w:t>nie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5C0214" w:rsidRPr="00341CA6">
              <w:rPr>
                <w:color w:val="000000"/>
                <w:sz w:val="20"/>
                <w:szCs w:val="20"/>
              </w:rPr>
              <w:t>zareagowały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5C0214" w:rsidRPr="00341CA6">
              <w:rPr>
                <w:color w:val="000000"/>
                <w:sz w:val="20"/>
                <w:szCs w:val="20"/>
              </w:rPr>
              <w:t>w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5C0214" w:rsidRPr="00341CA6">
              <w:rPr>
                <w:color w:val="000000"/>
                <w:sz w:val="20"/>
                <w:szCs w:val="20"/>
              </w:rPr>
              <w:t>ciągu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5C0214" w:rsidRPr="00341CA6">
              <w:rPr>
                <w:color w:val="000000"/>
                <w:sz w:val="20"/>
                <w:szCs w:val="20"/>
              </w:rPr>
              <w:t>pierwszych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5C0214" w:rsidRPr="00341CA6">
              <w:rPr>
                <w:color w:val="000000"/>
                <w:sz w:val="20"/>
                <w:szCs w:val="20"/>
              </w:rPr>
              <w:t>14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5C0214" w:rsidRPr="00341CA6">
              <w:rPr>
                <w:color w:val="000000"/>
                <w:sz w:val="20"/>
                <w:szCs w:val="20"/>
              </w:rPr>
              <w:t>tygodni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5C0214" w:rsidRPr="00341CA6">
              <w:rPr>
                <w:color w:val="000000"/>
                <w:sz w:val="20"/>
                <w:szCs w:val="20"/>
              </w:rPr>
              <w:t>leczenia.</w:t>
            </w:r>
          </w:p>
          <w:p w14:paraId="721F8803" w14:textId="454025AE" w:rsidR="00195F6C" w:rsidRPr="00341CA6" w:rsidRDefault="00F72254" w:rsidP="00341CA6">
            <w:pPr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41CA6">
              <w:rPr>
                <w:color w:val="000000"/>
                <w:sz w:val="20"/>
                <w:szCs w:val="20"/>
              </w:rPr>
              <w:t>W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przypadku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F72733" w:rsidRPr="00341CA6">
              <w:rPr>
                <w:color w:val="000000"/>
                <w:sz w:val="20"/>
                <w:szCs w:val="20"/>
              </w:rPr>
              <w:t>braku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F72733" w:rsidRPr="00341CA6">
              <w:rPr>
                <w:color w:val="000000"/>
                <w:sz w:val="20"/>
                <w:szCs w:val="20"/>
              </w:rPr>
              <w:t>odpowiedzi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F72733" w:rsidRPr="00341CA6">
              <w:rPr>
                <w:color w:val="000000"/>
                <w:sz w:val="20"/>
                <w:szCs w:val="20"/>
              </w:rPr>
              <w:t>lub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nietolerancji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rozp</w:t>
            </w:r>
            <w:r w:rsidR="000B35DB" w:rsidRPr="00341CA6">
              <w:rPr>
                <w:color w:val="000000"/>
                <w:sz w:val="20"/>
                <w:szCs w:val="20"/>
              </w:rPr>
              <w:t>oczętego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0B35DB" w:rsidRPr="00341CA6">
              <w:rPr>
                <w:color w:val="000000"/>
                <w:sz w:val="20"/>
                <w:szCs w:val="20"/>
              </w:rPr>
              <w:t>leczenia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0B35DB" w:rsidRPr="00341CA6">
              <w:rPr>
                <w:color w:val="000000"/>
                <w:sz w:val="20"/>
                <w:szCs w:val="20"/>
              </w:rPr>
              <w:t>infliksymabem</w:t>
            </w:r>
            <w:r w:rsidR="003561A2" w:rsidRPr="00341CA6">
              <w:rPr>
                <w:color w:val="000000"/>
                <w:sz w:val="20"/>
                <w:szCs w:val="20"/>
              </w:rPr>
              <w:t>,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0B35DB" w:rsidRPr="00341CA6">
              <w:rPr>
                <w:color w:val="000000"/>
                <w:sz w:val="20"/>
                <w:szCs w:val="20"/>
              </w:rPr>
              <w:t>lub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0B35DB" w:rsidRPr="00341CA6">
              <w:rPr>
                <w:color w:val="000000"/>
                <w:sz w:val="20"/>
                <w:szCs w:val="20"/>
              </w:rPr>
              <w:t>adalimumabem,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0B35DB" w:rsidRPr="00341CA6">
              <w:rPr>
                <w:color w:val="000000"/>
                <w:sz w:val="20"/>
                <w:szCs w:val="20"/>
              </w:rPr>
              <w:t>lub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0B35DB" w:rsidRPr="00341CA6">
              <w:rPr>
                <w:color w:val="000000"/>
                <w:sz w:val="20"/>
                <w:szCs w:val="20"/>
              </w:rPr>
              <w:t>ustekinumabem,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0B35DB" w:rsidRPr="00341CA6">
              <w:rPr>
                <w:color w:val="000000"/>
                <w:sz w:val="20"/>
                <w:szCs w:val="20"/>
              </w:rPr>
              <w:t>lub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wedolizumabem</w:t>
            </w:r>
            <w:r w:rsidR="000B35DB" w:rsidRPr="00341CA6">
              <w:rPr>
                <w:color w:val="000000"/>
                <w:sz w:val="20"/>
                <w:szCs w:val="20"/>
              </w:rPr>
              <w:t>,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lub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wystąpieniu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działań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niepożądanych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uniemożliwiających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jego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kontynuację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możliwe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jest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zastosowanie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innego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leku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dopuszczonego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w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programie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lekowym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dedykowanym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leczeniu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choroby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Leśniowskiego</w:t>
            </w:r>
            <w:r w:rsidR="00954A45" w:rsidRPr="00341CA6">
              <w:rPr>
                <w:color w:val="000000"/>
                <w:sz w:val="20"/>
                <w:szCs w:val="20"/>
              </w:rPr>
              <w:t>-</w:t>
            </w:r>
            <w:r w:rsidRPr="00341CA6">
              <w:rPr>
                <w:color w:val="000000"/>
                <w:sz w:val="20"/>
                <w:szCs w:val="20"/>
              </w:rPr>
              <w:t>Crohna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po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spełnieniu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kryteriów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tego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programu,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ile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nie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270E9E" w:rsidRPr="00341CA6">
              <w:rPr>
                <w:color w:val="000000"/>
                <w:sz w:val="20"/>
                <w:szCs w:val="20"/>
              </w:rPr>
              <w:t>został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270E9E" w:rsidRPr="00341CA6">
              <w:rPr>
                <w:color w:val="000000"/>
                <w:sz w:val="20"/>
                <w:szCs w:val="20"/>
              </w:rPr>
              <w:t>on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270E9E" w:rsidRPr="00341CA6">
              <w:rPr>
                <w:color w:val="000000"/>
                <w:sz w:val="20"/>
                <w:szCs w:val="20"/>
              </w:rPr>
              <w:t>zastosowany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270E9E" w:rsidRPr="00341CA6">
              <w:rPr>
                <w:color w:val="000000"/>
                <w:sz w:val="20"/>
                <w:szCs w:val="20"/>
              </w:rPr>
              <w:t>wcześnie</w:t>
            </w:r>
            <w:r w:rsidR="00074134" w:rsidRPr="00341CA6">
              <w:rPr>
                <w:color w:val="000000"/>
                <w:sz w:val="20"/>
                <w:szCs w:val="20"/>
              </w:rPr>
              <w:t>j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074134" w:rsidRPr="00341CA6">
              <w:rPr>
                <w:color w:val="000000"/>
                <w:sz w:val="20"/>
                <w:szCs w:val="20"/>
              </w:rPr>
              <w:t>-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145695" w:rsidRPr="00341CA6">
              <w:rPr>
                <w:color w:val="000000"/>
                <w:sz w:val="20"/>
                <w:szCs w:val="20"/>
              </w:rPr>
              <w:t>nie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145695" w:rsidRPr="00341CA6">
              <w:rPr>
                <w:color w:val="000000"/>
                <w:sz w:val="20"/>
                <w:szCs w:val="20"/>
              </w:rPr>
              <w:t>ma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145695" w:rsidRPr="00341CA6">
              <w:rPr>
                <w:color w:val="000000"/>
                <w:sz w:val="20"/>
                <w:szCs w:val="20"/>
              </w:rPr>
              <w:t>koniecz</w:t>
            </w:r>
            <w:r w:rsidR="00E94FE4" w:rsidRPr="00341CA6">
              <w:rPr>
                <w:color w:val="000000"/>
                <w:sz w:val="20"/>
                <w:szCs w:val="20"/>
              </w:rPr>
              <w:t>n</w:t>
            </w:r>
            <w:r w:rsidR="00145695" w:rsidRPr="00341CA6">
              <w:rPr>
                <w:color w:val="000000"/>
                <w:sz w:val="20"/>
                <w:szCs w:val="20"/>
              </w:rPr>
              <w:t>ości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145695" w:rsidRPr="00341CA6">
              <w:rPr>
                <w:color w:val="000000"/>
                <w:sz w:val="20"/>
                <w:szCs w:val="20"/>
              </w:rPr>
              <w:t>powtarzania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145695" w:rsidRPr="00341CA6">
              <w:rPr>
                <w:color w:val="000000"/>
                <w:sz w:val="20"/>
                <w:szCs w:val="20"/>
              </w:rPr>
              <w:t>wszystkich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145695" w:rsidRPr="00341CA6">
              <w:rPr>
                <w:color w:val="000000"/>
                <w:sz w:val="20"/>
                <w:szCs w:val="20"/>
              </w:rPr>
              <w:t>badań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145695" w:rsidRPr="00341CA6">
              <w:rPr>
                <w:color w:val="000000"/>
                <w:sz w:val="20"/>
                <w:szCs w:val="20"/>
              </w:rPr>
              <w:t>kwalifikacyjnych</w:t>
            </w:r>
            <w:r w:rsidR="00074134" w:rsidRPr="00341CA6">
              <w:rPr>
                <w:color w:val="000000"/>
                <w:sz w:val="20"/>
                <w:szCs w:val="20"/>
              </w:rPr>
              <w:t>,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E94FE4" w:rsidRPr="00341CA6">
              <w:rPr>
                <w:color w:val="000000"/>
                <w:sz w:val="20"/>
                <w:szCs w:val="20"/>
              </w:rPr>
              <w:t>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E94FE4" w:rsidRPr="00341CA6">
              <w:rPr>
                <w:color w:val="000000"/>
                <w:sz w:val="20"/>
                <w:szCs w:val="20"/>
              </w:rPr>
              <w:t>zakresie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E94FE4" w:rsidRPr="00341CA6">
              <w:rPr>
                <w:color w:val="000000"/>
                <w:sz w:val="20"/>
                <w:szCs w:val="20"/>
              </w:rPr>
              <w:t>tych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E94FE4" w:rsidRPr="00341CA6">
              <w:rPr>
                <w:color w:val="000000"/>
                <w:sz w:val="20"/>
                <w:szCs w:val="20"/>
              </w:rPr>
              <w:t>badań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E94FE4" w:rsidRPr="00341CA6">
              <w:rPr>
                <w:color w:val="000000"/>
                <w:sz w:val="20"/>
                <w:szCs w:val="20"/>
              </w:rPr>
              <w:t>decyduje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E94FE4" w:rsidRPr="00341CA6">
              <w:rPr>
                <w:color w:val="000000"/>
                <w:sz w:val="20"/>
                <w:szCs w:val="20"/>
              </w:rPr>
              <w:t>sytuacja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E94FE4" w:rsidRPr="00341CA6">
              <w:rPr>
                <w:color w:val="000000"/>
                <w:sz w:val="20"/>
                <w:szCs w:val="20"/>
              </w:rPr>
              <w:t>kliniczna</w:t>
            </w:r>
            <w:r w:rsidR="00145695" w:rsidRPr="00341CA6">
              <w:rPr>
                <w:color w:val="000000"/>
                <w:sz w:val="20"/>
                <w:szCs w:val="20"/>
              </w:rPr>
              <w:t>.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</w:p>
          <w:p w14:paraId="3EB1CC02" w14:textId="0AEE339D" w:rsidR="00195F6C" w:rsidRPr="00341CA6" w:rsidRDefault="00195F6C" w:rsidP="00341CA6">
            <w:pPr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41CA6">
              <w:rPr>
                <w:color w:val="000000"/>
                <w:sz w:val="20"/>
                <w:szCs w:val="20"/>
              </w:rPr>
              <w:t>W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przypadku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wystąpienia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u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pacjenta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dorosłego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(powyżej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18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roku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życia)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kolejnego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zaostrzenia,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po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zakończeniu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leczenia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adalimumabem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w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ramach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programu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lekowego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lastRenderedPageBreak/>
              <w:t>możliwa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jest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uzasadniona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względami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medycznymi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ponowna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kwalifikacja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do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programu,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jednak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nie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wcześniej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niż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w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okresie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8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tygodni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od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zakończenia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poprzedniej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terapii.</w:t>
            </w:r>
          </w:p>
          <w:p w14:paraId="45EC3860" w14:textId="45F227FD" w:rsidR="00195F6C" w:rsidRPr="00341CA6" w:rsidRDefault="00195F6C" w:rsidP="00341CA6">
            <w:pPr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41CA6">
              <w:rPr>
                <w:color w:val="000000"/>
                <w:sz w:val="20"/>
                <w:szCs w:val="20"/>
              </w:rPr>
              <w:t>W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przypadku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wystąpienia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u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pacjenta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dorosłego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(powyżej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18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roku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życia)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kolejnego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zaostrzenia,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po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zakończeniu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leczenia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infliksymabem,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lub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ustekinumabem,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lub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wedolizumabem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w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ramach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programu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lekowego,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możliwa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jest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uzasadniona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względami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medycznymi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ponowna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kwalifikacja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do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programu,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jednak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nie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wcześniej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niż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w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okresie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16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tygodni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od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zakończenia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poprzedniej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terapii.</w:t>
            </w:r>
          </w:p>
          <w:p w14:paraId="123B97F0" w14:textId="77777777" w:rsidR="00195F6C" w:rsidRPr="00F23761" w:rsidRDefault="00195F6C" w:rsidP="00F23761">
            <w:pPr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</w:p>
          <w:p w14:paraId="13409C98" w14:textId="5F6CF59B" w:rsidR="00195F6C" w:rsidRPr="00F23761" w:rsidRDefault="00195F6C" w:rsidP="00F23761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F23761">
              <w:rPr>
                <w:b/>
                <w:color w:val="000000"/>
                <w:sz w:val="20"/>
                <w:szCs w:val="20"/>
              </w:rPr>
              <w:t>Kryteria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b/>
                <w:color w:val="000000"/>
                <w:sz w:val="20"/>
                <w:szCs w:val="20"/>
              </w:rPr>
              <w:t>ponownego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b/>
                <w:color w:val="000000"/>
                <w:sz w:val="20"/>
                <w:szCs w:val="20"/>
              </w:rPr>
              <w:t>włączenia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b/>
                <w:color w:val="000000"/>
                <w:sz w:val="20"/>
                <w:szCs w:val="20"/>
              </w:rPr>
              <w:t>do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b/>
                <w:color w:val="000000"/>
                <w:sz w:val="20"/>
                <w:szCs w:val="20"/>
              </w:rPr>
              <w:t>programu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b/>
                <w:color w:val="000000"/>
                <w:sz w:val="20"/>
                <w:szCs w:val="20"/>
              </w:rPr>
              <w:t>dla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b/>
                <w:color w:val="000000"/>
                <w:sz w:val="20"/>
                <w:szCs w:val="20"/>
              </w:rPr>
              <w:t>populacji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b/>
                <w:color w:val="000000"/>
                <w:sz w:val="20"/>
                <w:szCs w:val="20"/>
              </w:rPr>
              <w:t>pediatrycznej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b/>
                <w:color w:val="000000"/>
                <w:sz w:val="20"/>
                <w:szCs w:val="20"/>
              </w:rPr>
              <w:t>(dzieci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b/>
                <w:color w:val="000000"/>
                <w:sz w:val="20"/>
                <w:szCs w:val="20"/>
              </w:rPr>
              <w:t>w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b/>
                <w:color w:val="000000"/>
                <w:sz w:val="20"/>
                <w:szCs w:val="20"/>
              </w:rPr>
              <w:t>wieku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b/>
                <w:color w:val="000000"/>
                <w:sz w:val="20"/>
                <w:szCs w:val="20"/>
              </w:rPr>
              <w:t>od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b/>
                <w:color w:val="000000"/>
                <w:sz w:val="20"/>
                <w:szCs w:val="20"/>
              </w:rPr>
              <w:t>6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b/>
                <w:color w:val="000000"/>
                <w:sz w:val="20"/>
                <w:szCs w:val="20"/>
              </w:rPr>
              <w:t>lat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b/>
                <w:color w:val="000000"/>
                <w:sz w:val="20"/>
                <w:szCs w:val="20"/>
              </w:rPr>
              <w:t>do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b/>
                <w:color w:val="000000"/>
                <w:sz w:val="20"/>
                <w:szCs w:val="20"/>
              </w:rPr>
              <w:t>momentu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b/>
                <w:color w:val="000000"/>
                <w:sz w:val="20"/>
                <w:szCs w:val="20"/>
              </w:rPr>
              <w:t>ukończenia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b/>
                <w:color w:val="000000"/>
                <w:sz w:val="20"/>
                <w:szCs w:val="20"/>
              </w:rPr>
              <w:t>18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b/>
                <w:color w:val="000000"/>
                <w:sz w:val="20"/>
                <w:szCs w:val="20"/>
              </w:rPr>
              <w:t>roku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b/>
                <w:color w:val="000000"/>
                <w:sz w:val="20"/>
                <w:szCs w:val="20"/>
              </w:rPr>
              <w:t>życia)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b/>
                <w:sz w:val="20"/>
                <w:szCs w:val="20"/>
                <w:lang w:eastAsia="ar-SA"/>
              </w:rPr>
              <w:t>w</w:t>
            </w:r>
            <w:r w:rsidR="00DC4413">
              <w:rPr>
                <w:b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b/>
                <w:sz w:val="20"/>
                <w:szCs w:val="20"/>
                <w:lang w:eastAsia="ar-SA"/>
              </w:rPr>
              <w:t>terapii</w:t>
            </w:r>
            <w:r w:rsidR="00DC4413">
              <w:rPr>
                <w:b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b/>
                <w:sz w:val="20"/>
                <w:szCs w:val="20"/>
                <w:lang w:eastAsia="ar-SA"/>
              </w:rPr>
              <w:t>infliksymabem</w:t>
            </w:r>
            <w:r w:rsidR="00DC4413">
              <w:rPr>
                <w:b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b/>
                <w:sz w:val="20"/>
                <w:szCs w:val="20"/>
                <w:lang w:eastAsia="ar-SA"/>
              </w:rPr>
              <w:t>lub</w:t>
            </w:r>
            <w:r w:rsidR="00DC4413">
              <w:rPr>
                <w:b/>
                <w:sz w:val="20"/>
                <w:szCs w:val="20"/>
                <w:lang w:eastAsia="ar-SA"/>
              </w:rPr>
              <w:t xml:space="preserve"> </w:t>
            </w:r>
            <w:r w:rsidRPr="00F23761">
              <w:rPr>
                <w:b/>
                <w:sz w:val="20"/>
                <w:szCs w:val="20"/>
                <w:lang w:eastAsia="ar-SA"/>
              </w:rPr>
              <w:t>adalimumabem.</w:t>
            </w:r>
          </w:p>
          <w:p w14:paraId="30C434DB" w14:textId="4D23F57C" w:rsidR="00195F6C" w:rsidRPr="00F23761" w:rsidRDefault="00195F6C" w:rsidP="00341CA6">
            <w:pPr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23761">
              <w:rPr>
                <w:color w:val="000000"/>
                <w:sz w:val="20"/>
                <w:szCs w:val="20"/>
              </w:rPr>
              <w:t>Pacjent,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u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którego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zaprzestano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podawania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infliksymabu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lub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adalimumabu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zastosowanego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zgodnie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z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zapisami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programu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z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powodu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uzyskania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remisji,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u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którego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wystąpiło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zaostrzenie,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jest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włączany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do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leczenia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w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ramach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programu.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Nawrót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aktywnej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choroby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stwierdza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się,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gdy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wskaźnik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aktywności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PCDAI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&gt;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10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punktów;</w:t>
            </w:r>
          </w:p>
          <w:p w14:paraId="722C93E4" w14:textId="40CC7D32" w:rsidR="00195F6C" w:rsidRPr="00F23761" w:rsidRDefault="00195F6C" w:rsidP="00341CA6">
            <w:pPr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23761">
              <w:rPr>
                <w:color w:val="000000"/>
                <w:sz w:val="20"/>
                <w:szCs w:val="20"/>
              </w:rPr>
              <w:t>W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ramach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programu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nie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dopuszcza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się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możliwości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ponownej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kwalifikacji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do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terapii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infliksymabem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lub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adalimumabem,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jeśli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pacjent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był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w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przeszłości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leczony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nieskutecznie;</w:t>
            </w:r>
          </w:p>
          <w:p w14:paraId="7284B8E7" w14:textId="6B1748F0" w:rsidR="000C0385" w:rsidRDefault="00195F6C" w:rsidP="00341CA6">
            <w:pPr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41CA6">
              <w:rPr>
                <w:color w:val="000000"/>
                <w:sz w:val="20"/>
                <w:szCs w:val="20"/>
              </w:rPr>
              <w:t>Do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programu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może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być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ponownie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włączony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pacjent,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u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którego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zaprzestano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podawania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substancji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czynnej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wymienionej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w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programie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i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zastosowanej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zgodnie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z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jego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treścią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z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powodu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wystąpienia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działań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niepożądanych,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które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ustąpiły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po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odstawieniu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leku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bądź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zastosowanym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leczeniu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i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w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opinii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lekarza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prowadzącego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powrót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do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terapii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tą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samą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substancją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czynną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nie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stanowi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ryzyka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dla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color w:val="000000"/>
                <w:sz w:val="20"/>
                <w:szCs w:val="20"/>
              </w:rPr>
              <w:t>pacjenta.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</w:p>
          <w:p w14:paraId="168DF340" w14:textId="464C2719" w:rsidR="00341CA6" w:rsidRPr="00341CA6" w:rsidRDefault="00341CA6" w:rsidP="00341CA6">
            <w:pPr>
              <w:spacing w:after="60"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24" w:type="dxa"/>
            <w:shd w:val="clear" w:color="auto" w:fill="auto"/>
          </w:tcPr>
          <w:p w14:paraId="5EB99F23" w14:textId="3E668C6B" w:rsidR="002510F2" w:rsidRPr="00F23761" w:rsidRDefault="002510F2" w:rsidP="00341CA6">
            <w:pPr>
              <w:numPr>
                <w:ilvl w:val="0"/>
                <w:numId w:val="26"/>
              </w:numPr>
              <w:spacing w:before="120" w:after="60" w:line="276" w:lineRule="auto"/>
              <w:jc w:val="both"/>
              <w:rPr>
                <w:sz w:val="20"/>
                <w:szCs w:val="20"/>
              </w:rPr>
            </w:pPr>
            <w:r w:rsidRPr="00F23761">
              <w:rPr>
                <w:b/>
                <w:bCs/>
                <w:iCs/>
                <w:sz w:val="20"/>
                <w:szCs w:val="20"/>
              </w:rPr>
              <w:lastRenderedPageBreak/>
              <w:t>Dawkowanie</w:t>
            </w:r>
            <w:r w:rsidR="00DC4413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7C4590" w:rsidRPr="00F23761">
              <w:rPr>
                <w:b/>
                <w:bCs/>
                <w:iCs/>
                <w:sz w:val="20"/>
                <w:szCs w:val="20"/>
              </w:rPr>
              <w:t>infliksymabu</w:t>
            </w:r>
          </w:p>
          <w:p w14:paraId="121AE719" w14:textId="24138C76" w:rsidR="004C23D8" w:rsidRPr="00341CA6" w:rsidRDefault="002510F2" w:rsidP="00341CA6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341CA6">
              <w:rPr>
                <w:bCs/>
                <w:color w:val="000000"/>
                <w:sz w:val="20"/>
                <w:szCs w:val="20"/>
              </w:rPr>
              <w:t>Dawkowanie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bCs/>
                <w:color w:val="000000"/>
                <w:sz w:val="20"/>
                <w:szCs w:val="20"/>
              </w:rPr>
              <w:t>infliksymabu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bCs/>
                <w:color w:val="000000"/>
                <w:sz w:val="20"/>
                <w:szCs w:val="20"/>
              </w:rPr>
              <w:t>zgodnie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bCs/>
                <w:color w:val="000000"/>
                <w:sz w:val="20"/>
                <w:szCs w:val="20"/>
              </w:rPr>
              <w:t>z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bCs/>
                <w:color w:val="000000"/>
                <w:sz w:val="20"/>
                <w:szCs w:val="20"/>
              </w:rPr>
              <w:t>dawkowaniem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bCs/>
                <w:color w:val="000000"/>
                <w:sz w:val="20"/>
                <w:szCs w:val="20"/>
              </w:rPr>
              <w:t>określonym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bCs/>
                <w:color w:val="000000"/>
                <w:sz w:val="20"/>
                <w:szCs w:val="20"/>
              </w:rPr>
              <w:t>w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bCs/>
                <w:color w:val="000000"/>
                <w:sz w:val="20"/>
                <w:szCs w:val="20"/>
              </w:rPr>
              <w:t>Chara</w:t>
            </w:r>
            <w:r w:rsidR="00832571" w:rsidRPr="00341CA6">
              <w:rPr>
                <w:bCs/>
                <w:color w:val="000000"/>
                <w:sz w:val="20"/>
                <w:szCs w:val="20"/>
              </w:rPr>
              <w:t>kterystyce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32571" w:rsidRPr="00341CA6">
              <w:rPr>
                <w:bCs/>
                <w:color w:val="000000"/>
                <w:sz w:val="20"/>
                <w:szCs w:val="20"/>
              </w:rPr>
              <w:t>Produktu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32571" w:rsidRPr="00341CA6">
              <w:rPr>
                <w:bCs/>
                <w:color w:val="000000"/>
                <w:sz w:val="20"/>
                <w:szCs w:val="20"/>
              </w:rPr>
              <w:t>Leczniczego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940091" w:rsidRPr="00341CA6">
              <w:rPr>
                <w:bCs/>
                <w:color w:val="000000"/>
                <w:sz w:val="20"/>
                <w:szCs w:val="20"/>
              </w:rPr>
              <w:t>aktualną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940091" w:rsidRPr="00341CA6">
              <w:rPr>
                <w:bCs/>
                <w:color w:val="000000"/>
                <w:sz w:val="20"/>
                <w:szCs w:val="20"/>
              </w:rPr>
              <w:t>na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940091" w:rsidRPr="00341CA6">
              <w:rPr>
                <w:bCs/>
                <w:color w:val="000000"/>
                <w:sz w:val="20"/>
                <w:szCs w:val="20"/>
              </w:rPr>
              <w:t>dzień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B637F6" w:rsidRPr="00341CA6">
              <w:rPr>
                <w:bCs/>
                <w:color w:val="000000"/>
                <w:sz w:val="20"/>
                <w:szCs w:val="20"/>
              </w:rPr>
              <w:t>wydania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B637F6" w:rsidRPr="00341CA6">
              <w:rPr>
                <w:bCs/>
                <w:color w:val="000000"/>
                <w:sz w:val="20"/>
                <w:szCs w:val="20"/>
              </w:rPr>
              <w:t>decyzji.</w:t>
            </w:r>
          </w:p>
          <w:p w14:paraId="762D7571" w14:textId="77777777" w:rsidR="000C0385" w:rsidRPr="00F23761" w:rsidRDefault="000C0385" w:rsidP="00F23761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D205458" w14:textId="2E0E2003" w:rsidR="002510F2" w:rsidRPr="00F23761" w:rsidRDefault="002510F2" w:rsidP="00341CA6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23761">
              <w:rPr>
                <w:b/>
                <w:bCs/>
                <w:color w:val="000000"/>
                <w:sz w:val="20"/>
                <w:szCs w:val="20"/>
              </w:rPr>
              <w:t>Dawkowanie</w:t>
            </w:r>
            <w:r w:rsidR="00DC441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b/>
                <w:bCs/>
                <w:color w:val="000000"/>
                <w:sz w:val="20"/>
                <w:szCs w:val="20"/>
              </w:rPr>
              <w:t>adalimumabu</w:t>
            </w:r>
          </w:p>
          <w:p w14:paraId="69E1211B" w14:textId="2E549850" w:rsidR="00845D8A" w:rsidRPr="00341CA6" w:rsidRDefault="002510F2" w:rsidP="00341CA6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341CA6">
              <w:rPr>
                <w:bCs/>
                <w:color w:val="000000"/>
                <w:sz w:val="20"/>
                <w:szCs w:val="20"/>
              </w:rPr>
              <w:t>Dawkowanie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bCs/>
                <w:color w:val="000000"/>
                <w:sz w:val="20"/>
                <w:szCs w:val="20"/>
              </w:rPr>
              <w:t>adalimumabu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bCs/>
                <w:color w:val="000000"/>
                <w:sz w:val="20"/>
                <w:szCs w:val="20"/>
              </w:rPr>
              <w:t>zgodnie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bCs/>
                <w:color w:val="000000"/>
                <w:sz w:val="20"/>
                <w:szCs w:val="20"/>
              </w:rPr>
              <w:t>z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bCs/>
                <w:color w:val="000000"/>
                <w:sz w:val="20"/>
                <w:szCs w:val="20"/>
              </w:rPr>
              <w:t>dawkowaniem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bCs/>
                <w:color w:val="000000"/>
                <w:sz w:val="20"/>
                <w:szCs w:val="20"/>
              </w:rPr>
              <w:t>określonym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bCs/>
                <w:color w:val="000000"/>
                <w:sz w:val="20"/>
                <w:szCs w:val="20"/>
              </w:rPr>
              <w:t>w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bCs/>
                <w:color w:val="000000"/>
                <w:sz w:val="20"/>
                <w:szCs w:val="20"/>
              </w:rPr>
              <w:t>Charak</w:t>
            </w:r>
            <w:r w:rsidR="00832571" w:rsidRPr="00341CA6">
              <w:rPr>
                <w:bCs/>
                <w:color w:val="000000"/>
                <w:sz w:val="20"/>
                <w:szCs w:val="20"/>
              </w:rPr>
              <w:t>terystyce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32571" w:rsidRPr="00341CA6">
              <w:rPr>
                <w:bCs/>
                <w:color w:val="000000"/>
                <w:sz w:val="20"/>
                <w:szCs w:val="20"/>
              </w:rPr>
              <w:t>Produktu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32571" w:rsidRPr="00341CA6">
              <w:rPr>
                <w:bCs/>
                <w:color w:val="000000"/>
                <w:sz w:val="20"/>
                <w:szCs w:val="20"/>
              </w:rPr>
              <w:t>Leczniczego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45D8A" w:rsidRPr="00341CA6">
              <w:rPr>
                <w:bCs/>
                <w:color w:val="000000"/>
                <w:sz w:val="20"/>
                <w:szCs w:val="20"/>
              </w:rPr>
              <w:t>aktualną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45D8A" w:rsidRPr="00341CA6">
              <w:rPr>
                <w:bCs/>
                <w:color w:val="000000"/>
                <w:sz w:val="20"/>
                <w:szCs w:val="20"/>
              </w:rPr>
              <w:t>na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45D8A" w:rsidRPr="00341CA6">
              <w:rPr>
                <w:bCs/>
                <w:color w:val="000000"/>
                <w:sz w:val="20"/>
                <w:szCs w:val="20"/>
              </w:rPr>
              <w:t>dzień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45D8A" w:rsidRPr="00341CA6">
              <w:rPr>
                <w:bCs/>
                <w:color w:val="000000"/>
                <w:sz w:val="20"/>
                <w:szCs w:val="20"/>
              </w:rPr>
              <w:t>wydania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45D8A" w:rsidRPr="00341CA6">
              <w:rPr>
                <w:bCs/>
                <w:color w:val="000000"/>
                <w:sz w:val="20"/>
                <w:szCs w:val="20"/>
              </w:rPr>
              <w:t>decyzji.</w:t>
            </w:r>
          </w:p>
          <w:p w14:paraId="3BF72666" w14:textId="77777777" w:rsidR="000C0385" w:rsidRPr="00F23761" w:rsidRDefault="000C0385" w:rsidP="00F23761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462CB499" w14:textId="5ED34EA4" w:rsidR="00E92822" w:rsidRPr="00F23761" w:rsidRDefault="00E92822" w:rsidP="00341CA6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23761">
              <w:rPr>
                <w:b/>
                <w:bCs/>
                <w:color w:val="000000"/>
                <w:sz w:val="20"/>
                <w:szCs w:val="20"/>
              </w:rPr>
              <w:t>Dawkowanie</w:t>
            </w:r>
            <w:r w:rsidR="00DC441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b/>
                <w:bCs/>
                <w:color w:val="000000"/>
                <w:sz w:val="20"/>
                <w:szCs w:val="20"/>
              </w:rPr>
              <w:t>ustekinumabu</w:t>
            </w:r>
          </w:p>
          <w:p w14:paraId="3C193E74" w14:textId="64A856F4" w:rsidR="00E92822" w:rsidRPr="00341CA6" w:rsidRDefault="00E92822" w:rsidP="00341CA6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341CA6">
              <w:rPr>
                <w:bCs/>
                <w:color w:val="000000"/>
                <w:sz w:val="20"/>
                <w:szCs w:val="20"/>
              </w:rPr>
              <w:t>Dawkowanie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bCs/>
                <w:color w:val="000000"/>
                <w:sz w:val="20"/>
                <w:szCs w:val="20"/>
              </w:rPr>
              <w:t>ustekinumabu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bCs/>
                <w:color w:val="000000"/>
                <w:sz w:val="20"/>
                <w:szCs w:val="20"/>
              </w:rPr>
              <w:t>zgodnie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bCs/>
                <w:color w:val="000000"/>
                <w:sz w:val="20"/>
                <w:szCs w:val="20"/>
              </w:rPr>
              <w:t>z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bCs/>
                <w:color w:val="000000"/>
                <w:sz w:val="20"/>
                <w:szCs w:val="20"/>
              </w:rPr>
              <w:t>dawkowaniem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bCs/>
                <w:color w:val="000000"/>
                <w:sz w:val="20"/>
                <w:szCs w:val="20"/>
              </w:rPr>
              <w:t>określonym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bCs/>
                <w:color w:val="000000"/>
                <w:sz w:val="20"/>
                <w:szCs w:val="20"/>
              </w:rPr>
              <w:t>w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bCs/>
                <w:color w:val="000000"/>
                <w:sz w:val="20"/>
                <w:szCs w:val="20"/>
              </w:rPr>
              <w:t>Charakterystyce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bCs/>
                <w:color w:val="000000"/>
                <w:sz w:val="20"/>
                <w:szCs w:val="20"/>
              </w:rPr>
              <w:t>Produktu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bCs/>
                <w:color w:val="000000"/>
                <w:sz w:val="20"/>
                <w:szCs w:val="20"/>
              </w:rPr>
              <w:t>Leczniczego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45D8A" w:rsidRPr="00341CA6">
              <w:rPr>
                <w:bCs/>
                <w:color w:val="000000"/>
                <w:sz w:val="20"/>
                <w:szCs w:val="20"/>
              </w:rPr>
              <w:t>aktualną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45D8A" w:rsidRPr="00341CA6">
              <w:rPr>
                <w:bCs/>
                <w:color w:val="000000"/>
                <w:sz w:val="20"/>
                <w:szCs w:val="20"/>
              </w:rPr>
              <w:t>na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45D8A" w:rsidRPr="00341CA6">
              <w:rPr>
                <w:bCs/>
                <w:color w:val="000000"/>
                <w:sz w:val="20"/>
                <w:szCs w:val="20"/>
              </w:rPr>
              <w:t>dzień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45D8A" w:rsidRPr="00341CA6">
              <w:rPr>
                <w:bCs/>
                <w:color w:val="000000"/>
                <w:sz w:val="20"/>
                <w:szCs w:val="20"/>
              </w:rPr>
              <w:t>wydania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45D8A" w:rsidRPr="00341CA6">
              <w:rPr>
                <w:bCs/>
                <w:color w:val="000000"/>
                <w:sz w:val="20"/>
                <w:szCs w:val="20"/>
              </w:rPr>
              <w:t>decyzji.</w:t>
            </w:r>
          </w:p>
          <w:p w14:paraId="5C705F69" w14:textId="77777777" w:rsidR="000C0385" w:rsidRPr="00F23761" w:rsidRDefault="000C0385" w:rsidP="00F23761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F7DBF0F" w14:textId="5121072D" w:rsidR="005C0214" w:rsidRPr="00F23761" w:rsidRDefault="005C0214" w:rsidP="00341CA6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23761">
              <w:rPr>
                <w:b/>
                <w:bCs/>
                <w:color w:val="000000"/>
                <w:sz w:val="20"/>
                <w:szCs w:val="20"/>
              </w:rPr>
              <w:t>Dawkowanie</w:t>
            </w:r>
            <w:r w:rsidR="00DC441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b/>
                <w:bCs/>
                <w:color w:val="000000"/>
                <w:sz w:val="20"/>
                <w:szCs w:val="20"/>
              </w:rPr>
              <w:t>wedolizumabu</w:t>
            </w:r>
          </w:p>
          <w:p w14:paraId="061770E7" w14:textId="2931550E" w:rsidR="005C0214" w:rsidRPr="00341CA6" w:rsidRDefault="005C0214" w:rsidP="00341CA6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341CA6">
              <w:rPr>
                <w:bCs/>
                <w:color w:val="000000"/>
                <w:sz w:val="20"/>
                <w:szCs w:val="20"/>
              </w:rPr>
              <w:t>Dawkowanie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bCs/>
                <w:color w:val="000000"/>
                <w:sz w:val="20"/>
                <w:szCs w:val="20"/>
              </w:rPr>
              <w:t>wedolizumabu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bCs/>
                <w:color w:val="000000"/>
                <w:sz w:val="20"/>
                <w:szCs w:val="20"/>
              </w:rPr>
              <w:t>zgodnie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bCs/>
                <w:color w:val="000000"/>
                <w:sz w:val="20"/>
                <w:szCs w:val="20"/>
              </w:rPr>
              <w:t>z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bCs/>
                <w:color w:val="000000"/>
                <w:sz w:val="20"/>
                <w:szCs w:val="20"/>
              </w:rPr>
              <w:t>dawkowaniem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bCs/>
                <w:color w:val="000000"/>
                <w:sz w:val="20"/>
                <w:szCs w:val="20"/>
              </w:rPr>
              <w:t>określonym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bCs/>
                <w:color w:val="000000"/>
                <w:sz w:val="20"/>
                <w:szCs w:val="20"/>
              </w:rPr>
              <w:t>w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bCs/>
                <w:color w:val="000000"/>
                <w:sz w:val="20"/>
                <w:szCs w:val="20"/>
              </w:rPr>
              <w:t>Charakterystyce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bCs/>
                <w:color w:val="000000"/>
                <w:sz w:val="20"/>
                <w:szCs w:val="20"/>
              </w:rPr>
              <w:lastRenderedPageBreak/>
              <w:t>Produktu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41CA6">
              <w:rPr>
                <w:bCs/>
                <w:color w:val="000000"/>
                <w:sz w:val="20"/>
                <w:szCs w:val="20"/>
              </w:rPr>
              <w:t>Leczniczego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45D8A" w:rsidRPr="00341CA6">
              <w:rPr>
                <w:bCs/>
                <w:color w:val="000000"/>
                <w:sz w:val="20"/>
                <w:szCs w:val="20"/>
              </w:rPr>
              <w:t>aktualną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45D8A" w:rsidRPr="00341CA6">
              <w:rPr>
                <w:bCs/>
                <w:color w:val="000000"/>
                <w:sz w:val="20"/>
                <w:szCs w:val="20"/>
              </w:rPr>
              <w:t>na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45D8A" w:rsidRPr="00341CA6">
              <w:rPr>
                <w:bCs/>
                <w:color w:val="000000"/>
                <w:sz w:val="20"/>
                <w:szCs w:val="20"/>
              </w:rPr>
              <w:t>dzień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45D8A" w:rsidRPr="00341CA6">
              <w:rPr>
                <w:bCs/>
                <w:color w:val="000000"/>
                <w:sz w:val="20"/>
                <w:szCs w:val="20"/>
              </w:rPr>
              <w:t>wydania</w:t>
            </w:r>
            <w:r w:rsidR="00DC44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45D8A" w:rsidRPr="00341CA6">
              <w:rPr>
                <w:bCs/>
                <w:color w:val="000000"/>
                <w:sz w:val="20"/>
                <w:szCs w:val="20"/>
              </w:rPr>
              <w:t>decyzji.</w:t>
            </w:r>
          </w:p>
        </w:tc>
        <w:tc>
          <w:tcPr>
            <w:tcW w:w="4225" w:type="dxa"/>
            <w:shd w:val="clear" w:color="auto" w:fill="auto"/>
          </w:tcPr>
          <w:p w14:paraId="4C530836" w14:textId="3A8E3B76" w:rsidR="00C91316" w:rsidRPr="00F23761" w:rsidRDefault="00C91316" w:rsidP="00341CA6">
            <w:pPr>
              <w:numPr>
                <w:ilvl w:val="0"/>
                <w:numId w:val="27"/>
              </w:numPr>
              <w:spacing w:before="120" w:after="60" w:line="276" w:lineRule="auto"/>
              <w:jc w:val="both"/>
              <w:rPr>
                <w:sz w:val="20"/>
                <w:szCs w:val="20"/>
              </w:rPr>
            </w:pPr>
            <w:r w:rsidRPr="00F23761">
              <w:rPr>
                <w:b/>
                <w:bCs/>
                <w:iCs/>
                <w:sz w:val="20"/>
                <w:szCs w:val="20"/>
              </w:rPr>
              <w:lastRenderedPageBreak/>
              <w:t>Badania</w:t>
            </w:r>
            <w:r w:rsidR="00DC4413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/>
                <w:bCs/>
                <w:iCs/>
                <w:sz w:val="20"/>
                <w:szCs w:val="20"/>
              </w:rPr>
              <w:t>przy</w:t>
            </w:r>
            <w:r w:rsidR="00DC4413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/>
                <w:bCs/>
                <w:iCs/>
                <w:sz w:val="20"/>
                <w:szCs w:val="20"/>
              </w:rPr>
              <w:t>kwalifikacji</w:t>
            </w:r>
            <w:r w:rsidR="00DC4413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/>
                <w:bCs/>
                <w:iCs/>
                <w:sz w:val="20"/>
                <w:szCs w:val="20"/>
              </w:rPr>
              <w:t>do</w:t>
            </w:r>
            <w:r w:rsidR="00DC4413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/>
                <w:bCs/>
                <w:iCs/>
                <w:sz w:val="20"/>
                <w:szCs w:val="20"/>
              </w:rPr>
              <w:t>leczenia</w:t>
            </w:r>
          </w:p>
          <w:p w14:paraId="286EE599" w14:textId="47EAEB05" w:rsidR="00C91316" w:rsidRPr="00F23761" w:rsidRDefault="00270E9E" w:rsidP="00341CA6">
            <w:pPr>
              <w:numPr>
                <w:ilvl w:val="3"/>
                <w:numId w:val="2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23761">
              <w:rPr>
                <w:color w:val="000000"/>
                <w:sz w:val="20"/>
                <w:szCs w:val="20"/>
              </w:rPr>
              <w:t>M</w:t>
            </w:r>
            <w:r w:rsidR="00C91316" w:rsidRPr="00F23761">
              <w:rPr>
                <w:color w:val="000000"/>
                <w:sz w:val="20"/>
                <w:szCs w:val="20"/>
              </w:rPr>
              <w:t>orfologia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C91316" w:rsidRPr="00F23761">
              <w:rPr>
                <w:color w:val="000000"/>
                <w:sz w:val="20"/>
                <w:szCs w:val="20"/>
              </w:rPr>
              <w:t>krwi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C91316" w:rsidRPr="00F23761">
              <w:rPr>
                <w:color w:val="000000"/>
                <w:sz w:val="20"/>
                <w:szCs w:val="20"/>
              </w:rPr>
              <w:t>obwodowej;</w:t>
            </w:r>
          </w:p>
          <w:p w14:paraId="416ADA3A" w14:textId="4E586171" w:rsidR="00C91316" w:rsidRPr="00F23761" w:rsidRDefault="00270E9E" w:rsidP="00341CA6">
            <w:pPr>
              <w:numPr>
                <w:ilvl w:val="3"/>
                <w:numId w:val="2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23761">
              <w:rPr>
                <w:color w:val="000000"/>
                <w:sz w:val="20"/>
                <w:szCs w:val="20"/>
              </w:rPr>
              <w:t>A</w:t>
            </w:r>
            <w:r w:rsidR="00C91316" w:rsidRPr="00F23761">
              <w:rPr>
                <w:color w:val="000000"/>
                <w:sz w:val="20"/>
                <w:szCs w:val="20"/>
              </w:rPr>
              <w:t>minotransferaza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C91316" w:rsidRPr="00F23761">
              <w:rPr>
                <w:color w:val="000000"/>
                <w:sz w:val="20"/>
                <w:szCs w:val="20"/>
              </w:rPr>
              <w:t>alaninowa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C91316" w:rsidRPr="00F23761">
              <w:rPr>
                <w:color w:val="000000"/>
                <w:sz w:val="20"/>
                <w:szCs w:val="20"/>
              </w:rPr>
              <w:t>(AlAT);</w:t>
            </w:r>
          </w:p>
          <w:p w14:paraId="3B42AD06" w14:textId="0D83E81E" w:rsidR="00C91316" w:rsidRPr="00F23761" w:rsidRDefault="00270E9E" w:rsidP="00341CA6">
            <w:pPr>
              <w:numPr>
                <w:ilvl w:val="3"/>
                <w:numId w:val="2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23761">
              <w:rPr>
                <w:color w:val="000000"/>
                <w:sz w:val="20"/>
                <w:szCs w:val="20"/>
              </w:rPr>
              <w:t>A</w:t>
            </w:r>
            <w:r w:rsidR="00C91316" w:rsidRPr="00F23761">
              <w:rPr>
                <w:color w:val="000000"/>
                <w:sz w:val="20"/>
                <w:szCs w:val="20"/>
              </w:rPr>
              <w:t>minotrans</w:t>
            </w:r>
            <w:r w:rsidR="00832571" w:rsidRPr="00F23761">
              <w:rPr>
                <w:color w:val="000000"/>
                <w:sz w:val="20"/>
                <w:szCs w:val="20"/>
              </w:rPr>
              <w:t>feraza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832571" w:rsidRPr="00F23761">
              <w:rPr>
                <w:color w:val="000000"/>
                <w:sz w:val="20"/>
                <w:szCs w:val="20"/>
              </w:rPr>
              <w:t>asparaginianowa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832571" w:rsidRPr="00F23761">
              <w:rPr>
                <w:color w:val="000000"/>
                <w:sz w:val="20"/>
                <w:szCs w:val="20"/>
              </w:rPr>
              <w:t>(AspAT);</w:t>
            </w:r>
          </w:p>
          <w:p w14:paraId="07F4A3BD" w14:textId="1F4695F6" w:rsidR="00C91316" w:rsidRPr="00F23761" w:rsidRDefault="007024D8" w:rsidP="00341CA6">
            <w:pPr>
              <w:numPr>
                <w:ilvl w:val="3"/>
                <w:numId w:val="2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23761">
              <w:rPr>
                <w:color w:val="000000"/>
                <w:sz w:val="20"/>
                <w:szCs w:val="20"/>
              </w:rPr>
              <w:t>Kreatynina</w:t>
            </w:r>
            <w:r w:rsidR="00C91316" w:rsidRPr="00F23761">
              <w:rPr>
                <w:color w:val="000000"/>
                <w:sz w:val="20"/>
                <w:szCs w:val="20"/>
              </w:rPr>
              <w:t>;</w:t>
            </w:r>
          </w:p>
          <w:p w14:paraId="4F3A33FE" w14:textId="151E00DC" w:rsidR="00C91316" w:rsidRPr="00F23761" w:rsidRDefault="00270E9E" w:rsidP="00341CA6">
            <w:pPr>
              <w:numPr>
                <w:ilvl w:val="3"/>
                <w:numId w:val="2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23761">
              <w:rPr>
                <w:color w:val="000000"/>
                <w:sz w:val="20"/>
                <w:szCs w:val="20"/>
              </w:rPr>
              <w:t>B</w:t>
            </w:r>
            <w:r w:rsidR="00C91316" w:rsidRPr="00F23761">
              <w:rPr>
                <w:color w:val="000000"/>
                <w:sz w:val="20"/>
                <w:szCs w:val="20"/>
              </w:rPr>
              <w:t>ia</w:t>
            </w:r>
            <w:r w:rsidR="00832571" w:rsidRPr="00F23761">
              <w:rPr>
                <w:color w:val="000000"/>
                <w:sz w:val="20"/>
                <w:szCs w:val="20"/>
              </w:rPr>
              <w:t>łko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832571" w:rsidRPr="00F23761">
              <w:rPr>
                <w:color w:val="000000"/>
                <w:sz w:val="20"/>
                <w:szCs w:val="20"/>
              </w:rPr>
              <w:t>C-reaktywne;</w:t>
            </w:r>
          </w:p>
          <w:p w14:paraId="06E9892B" w14:textId="227B3FD7" w:rsidR="00C91316" w:rsidRPr="00F23761" w:rsidRDefault="00270E9E" w:rsidP="00341CA6">
            <w:pPr>
              <w:numPr>
                <w:ilvl w:val="3"/>
                <w:numId w:val="2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23761">
              <w:rPr>
                <w:color w:val="000000"/>
                <w:sz w:val="20"/>
                <w:szCs w:val="20"/>
              </w:rPr>
              <w:t>B</w:t>
            </w:r>
            <w:r w:rsidR="00832571" w:rsidRPr="00F23761">
              <w:rPr>
                <w:color w:val="000000"/>
                <w:sz w:val="20"/>
                <w:szCs w:val="20"/>
              </w:rPr>
              <w:t>adanie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832571" w:rsidRPr="00F23761">
              <w:rPr>
                <w:color w:val="000000"/>
                <w:sz w:val="20"/>
                <w:szCs w:val="20"/>
              </w:rPr>
              <w:t>ogólne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832571" w:rsidRPr="00F23761">
              <w:rPr>
                <w:color w:val="000000"/>
                <w:sz w:val="20"/>
                <w:szCs w:val="20"/>
              </w:rPr>
              <w:t>moczu;</w:t>
            </w:r>
          </w:p>
          <w:p w14:paraId="483FEDB1" w14:textId="3991F9CA" w:rsidR="00C91316" w:rsidRPr="00F23761" w:rsidRDefault="007024D8" w:rsidP="00341CA6">
            <w:pPr>
              <w:numPr>
                <w:ilvl w:val="3"/>
                <w:numId w:val="2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23761">
              <w:rPr>
                <w:color w:val="000000"/>
                <w:sz w:val="20"/>
                <w:szCs w:val="20"/>
              </w:rPr>
              <w:t>T</w:t>
            </w:r>
            <w:r w:rsidR="00832571" w:rsidRPr="00F23761">
              <w:rPr>
                <w:color w:val="000000"/>
                <w:sz w:val="20"/>
                <w:szCs w:val="20"/>
              </w:rPr>
              <w:t>est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832571" w:rsidRPr="00F23761">
              <w:rPr>
                <w:color w:val="000000"/>
                <w:sz w:val="20"/>
                <w:szCs w:val="20"/>
              </w:rPr>
              <w:t>Quantiferon;</w:t>
            </w:r>
          </w:p>
          <w:p w14:paraId="578E8C8C" w14:textId="1E49F1B6" w:rsidR="00C91316" w:rsidRPr="00F23761" w:rsidRDefault="00270E9E" w:rsidP="00341CA6">
            <w:pPr>
              <w:numPr>
                <w:ilvl w:val="3"/>
                <w:numId w:val="2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23761">
              <w:rPr>
                <w:color w:val="000000"/>
                <w:sz w:val="20"/>
                <w:szCs w:val="20"/>
              </w:rPr>
              <w:t>A</w:t>
            </w:r>
            <w:r w:rsidR="00C91316" w:rsidRPr="00F23761">
              <w:rPr>
                <w:color w:val="000000"/>
                <w:sz w:val="20"/>
                <w:szCs w:val="20"/>
              </w:rPr>
              <w:t>ntygen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C91316" w:rsidRPr="00F23761">
              <w:rPr>
                <w:color w:val="000000"/>
                <w:sz w:val="20"/>
                <w:szCs w:val="20"/>
              </w:rPr>
              <w:t>HBs;</w:t>
            </w:r>
          </w:p>
          <w:p w14:paraId="12B2AA42" w14:textId="11FE0450" w:rsidR="00C91316" w:rsidRPr="00F23761" w:rsidRDefault="00270E9E" w:rsidP="00341CA6">
            <w:pPr>
              <w:numPr>
                <w:ilvl w:val="3"/>
                <w:numId w:val="2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23761">
              <w:rPr>
                <w:color w:val="000000"/>
                <w:sz w:val="20"/>
                <w:szCs w:val="20"/>
              </w:rPr>
              <w:t>Pr</w:t>
            </w:r>
            <w:r w:rsidR="00832571" w:rsidRPr="00F23761">
              <w:rPr>
                <w:color w:val="000000"/>
                <w:sz w:val="20"/>
                <w:szCs w:val="20"/>
              </w:rPr>
              <w:t>zeciwciała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832571" w:rsidRPr="00F23761">
              <w:rPr>
                <w:color w:val="000000"/>
                <w:sz w:val="20"/>
                <w:szCs w:val="20"/>
              </w:rPr>
              <w:t>anty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832571" w:rsidRPr="00F23761">
              <w:rPr>
                <w:color w:val="000000"/>
                <w:sz w:val="20"/>
                <w:szCs w:val="20"/>
              </w:rPr>
              <w:t>HCV;</w:t>
            </w:r>
          </w:p>
          <w:p w14:paraId="6B3A5FD2" w14:textId="44A75181" w:rsidR="00C91316" w:rsidRPr="00F23761" w:rsidRDefault="004754AC" w:rsidP="00341CA6">
            <w:pPr>
              <w:numPr>
                <w:ilvl w:val="3"/>
                <w:numId w:val="27"/>
              </w:numPr>
              <w:spacing w:after="60" w:line="276" w:lineRule="auto"/>
              <w:jc w:val="both"/>
              <w:rPr>
                <w:sz w:val="20"/>
                <w:szCs w:val="20"/>
                <w:lang w:val="en-GB"/>
              </w:rPr>
            </w:pPr>
            <w:r w:rsidRPr="00F23761">
              <w:rPr>
                <w:color w:val="000000"/>
                <w:sz w:val="20"/>
                <w:szCs w:val="20"/>
                <w:lang w:val="en-GB"/>
              </w:rPr>
              <w:t>Antygen</w:t>
            </w:r>
            <w:r w:rsidR="00DC4413"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  <w:lang w:val="en-GB"/>
              </w:rPr>
              <w:t>wirusa</w:t>
            </w:r>
            <w:r w:rsidR="00DC4413"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  <w:lang w:val="en-GB"/>
              </w:rPr>
              <w:t>HIV(HIV</w:t>
            </w:r>
            <w:r w:rsidR="00DC4413"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  <w:lang w:val="en-GB"/>
              </w:rPr>
              <w:t>Ag/Ab</w:t>
            </w:r>
            <w:r w:rsidR="00DC4413"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  <w:lang w:val="en-GB"/>
              </w:rPr>
              <w:t>Combo);</w:t>
            </w:r>
          </w:p>
          <w:p w14:paraId="397ADDD2" w14:textId="50567926" w:rsidR="00C91316" w:rsidRPr="00F23761" w:rsidRDefault="00270E9E" w:rsidP="00341CA6">
            <w:pPr>
              <w:numPr>
                <w:ilvl w:val="3"/>
                <w:numId w:val="2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23761">
              <w:rPr>
                <w:color w:val="000000"/>
                <w:sz w:val="20"/>
                <w:szCs w:val="20"/>
              </w:rPr>
              <w:t>S</w:t>
            </w:r>
            <w:r w:rsidR="00C91316" w:rsidRPr="00F23761">
              <w:rPr>
                <w:color w:val="000000"/>
                <w:sz w:val="20"/>
                <w:szCs w:val="20"/>
              </w:rPr>
              <w:t>tężenie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C91316" w:rsidRPr="00F23761">
              <w:rPr>
                <w:color w:val="000000"/>
                <w:sz w:val="20"/>
                <w:szCs w:val="20"/>
              </w:rPr>
              <w:t>elektrolitów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C91316" w:rsidRPr="00F23761">
              <w:rPr>
                <w:color w:val="000000"/>
                <w:sz w:val="20"/>
                <w:szCs w:val="20"/>
              </w:rPr>
              <w:t>w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C91316" w:rsidRPr="00F23761">
              <w:rPr>
                <w:color w:val="000000"/>
                <w:sz w:val="20"/>
                <w:szCs w:val="20"/>
              </w:rPr>
              <w:t>surowicy;</w:t>
            </w:r>
          </w:p>
          <w:p w14:paraId="399C95BC" w14:textId="22FFA616" w:rsidR="00C91316" w:rsidRPr="00F23761" w:rsidRDefault="00C91316" w:rsidP="00341CA6">
            <w:pPr>
              <w:numPr>
                <w:ilvl w:val="3"/>
                <w:numId w:val="2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23761">
              <w:rPr>
                <w:color w:val="000000"/>
                <w:sz w:val="20"/>
                <w:szCs w:val="20"/>
              </w:rPr>
              <w:t>RTG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klatki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piersiowej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9436C7" w:rsidRPr="00F23761">
              <w:rPr>
                <w:bCs/>
                <w:color w:val="000000"/>
                <w:sz w:val="20"/>
                <w:szCs w:val="20"/>
              </w:rPr>
              <w:t>(</w:t>
            </w:r>
            <w:r w:rsidR="009436C7" w:rsidRPr="00F23761">
              <w:rPr>
                <w:bCs/>
                <w:sz w:val="20"/>
                <w:szCs w:val="20"/>
              </w:rPr>
              <w:t>maksymalnie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9436C7" w:rsidRPr="00F23761">
              <w:rPr>
                <w:bCs/>
                <w:sz w:val="20"/>
                <w:szCs w:val="20"/>
              </w:rPr>
              <w:t>do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9436C7" w:rsidRPr="00F23761">
              <w:rPr>
                <w:bCs/>
                <w:sz w:val="20"/>
                <w:szCs w:val="20"/>
              </w:rPr>
              <w:t>3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9436C7" w:rsidRPr="00F23761">
              <w:rPr>
                <w:bCs/>
                <w:sz w:val="20"/>
                <w:szCs w:val="20"/>
              </w:rPr>
              <w:t>miesięcy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9436C7" w:rsidRPr="00F23761">
              <w:rPr>
                <w:bCs/>
                <w:sz w:val="20"/>
                <w:szCs w:val="20"/>
              </w:rPr>
              <w:t>przed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9436C7" w:rsidRPr="00F23761">
              <w:rPr>
                <w:bCs/>
                <w:sz w:val="20"/>
                <w:szCs w:val="20"/>
              </w:rPr>
              <w:t>kwalifikacją)</w:t>
            </w:r>
            <w:r w:rsidRPr="00F23761">
              <w:rPr>
                <w:color w:val="000000"/>
                <w:sz w:val="20"/>
                <w:szCs w:val="20"/>
              </w:rPr>
              <w:t>;</w:t>
            </w:r>
          </w:p>
          <w:p w14:paraId="47291BF9" w14:textId="3F4D3A41" w:rsidR="00C91316" w:rsidRPr="00F23761" w:rsidRDefault="00C91316" w:rsidP="00341CA6">
            <w:pPr>
              <w:numPr>
                <w:ilvl w:val="3"/>
                <w:numId w:val="2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23761">
              <w:rPr>
                <w:color w:val="000000"/>
                <w:sz w:val="20"/>
                <w:szCs w:val="20"/>
              </w:rPr>
              <w:t>EKG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z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opisem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(wymagane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wyłącznie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u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dorosłych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pacjentów);</w:t>
            </w:r>
          </w:p>
          <w:p w14:paraId="0F22EEA9" w14:textId="23553DEC" w:rsidR="00B76514" w:rsidRPr="00F23761" w:rsidRDefault="00270E9E" w:rsidP="00341CA6">
            <w:pPr>
              <w:numPr>
                <w:ilvl w:val="3"/>
                <w:numId w:val="27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F23761">
              <w:rPr>
                <w:color w:val="000000"/>
                <w:sz w:val="20"/>
                <w:szCs w:val="20"/>
              </w:rPr>
              <w:t>O</w:t>
            </w:r>
            <w:r w:rsidR="00C91316" w:rsidRPr="00F23761">
              <w:rPr>
                <w:color w:val="000000"/>
                <w:sz w:val="20"/>
                <w:szCs w:val="20"/>
              </w:rPr>
              <w:t>bliczenie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C91316" w:rsidRPr="00F23761">
              <w:rPr>
                <w:color w:val="000000"/>
                <w:sz w:val="20"/>
                <w:szCs w:val="20"/>
              </w:rPr>
              <w:t>wartości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C91316" w:rsidRPr="00F23761">
              <w:rPr>
                <w:color w:val="000000"/>
                <w:sz w:val="20"/>
                <w:szCs w:val="20"/>
              </w:rPr>
              <w:t>wskaźnika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C91316" w:rsidRPr="00F23761">
              <w:rPr>
                <w:color w:val="000000"/>
                <w:sz w:val="20"/>
                <w:szCs w:val="20"/>
              </w:rPr>
              <w:t>CDAI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C91316" w:rsidRPr="00F23761">
              <w:rPr>
                <w:color w:val="000000"/>
                <w:sz w:val="20"/>
                <w:szCs w:val="20"/>
              </w:rPr>
              <w:t>u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C91316" w:rsidRPr="00F23761">
              <w:rPr>
                <w:color w:val="000000"/>
                <w:sz w:val="20"/>
                <w:szCs w:val="20"/>
              </w:rPr>
              <w:t>pacjentów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C91316" w:rsidRPr="00F23761">
              <w:rPr>
                <w:color w:val="000000"/>
                <w:sz w:val="20"/>
                <w:szCs w:val="20"/>
              </w:rPr>
              <w:t>powyżej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BC3405" w:rsidRPr="00F23761">
              <w:rPr>
                <w:color w:val="000000"/>
                <w:sz w:val="20"/>
                <w:szCs w:val="20"/>
              </w:rPr>
              <w:t>18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BC3405" w:rsidRPr="00F23761">
              <w:rPr>
                <w:color w:val="000000"/>
                <w:sz w:val="20"/>
                <w:szCs w:val="20"/>
              </w:rPr>
              <w:t>roku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BC3405" w:rsidRPr="00F23761">
              <w:rPr>
                <w:color w:val="000000"/>
                <w:sz w:val="20"/>
                <w:szCs w:val="20"/>
              </w:rPr>
              <w:t>życia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BC3405" w:rsidRPr="00F23761">
              <w:rPr>
                <w:color w:val="000000"/>
                <w:sz w:val="20"/>
                <w:szCs w:val="20"/>
              </w:rPr>
              <w:t>albo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D71FFA" w:rsidRPr="00F23761">
              <w:rPr>
                <w:color w:val="000000"/>
                <w:sz w:val="20"/>
                <w:szCs w:val="20"/>
              </w:rPr>
              <w:t>PCDAI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D71FFA" w:rsidRPr="00F23761">
              <w:rPr>
                <w:color w:val="000000"/>
                <w:sz w:val="20"/>
                <w:szCs w:val="20"/>
              </w:rPr>
              <w:t>u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="00D71FFA" w:rsidRPr="00F23761">
              <w:rPr>
                <w:color w:val="000000"/>
                <w:sz w:val="20"/>
                <w:szCs w:val="20"/>
              </w:rPr>
              <w:t>dzieci</w:t>
            </w:r>
            <w:r w:rsidR="004617B8" w:rsidRPr="00F23761">
              <w:rPr>
                <w:color w:val="000000"/>
                <w:sz w:val="20"/>
                <w:szCs w:val="20"/>
              </w:rPr>
              <w:t>;</w:t>
            </w:r>
          </w:p>
          <w:p w14:paraId="4C8A2FDA" w14:textId="79668EBA" w:rsidR="00CC2951" w:rsidRPr="00F23761" w:rsidRDefault="00074134" w:rsidP="00341CA6">
            <w:pPr>
              <w:numPr>
                <w:ilvl w:val="3"/>
                <w:numId w:val="27"/>
              </w:numPr>
              <w:spacing w:after="60" w:line="276" w:lineRule="auto"/>
              <w:rPr>
                <w:bCs/>
                <w:sz w:val="20"/>
                <w:szCs w:val="20"/>
              </w:rPr>
            </w:pPr>
            <w:r w:rsidRPr="00F23761">
              <w:rPr>
                <w:bCs/>
                <w:sz w:val="20"/>
                <w:szCs w:val="20"/>
              </w:rPr>
              <w:t>A</w:t>
            </w:r>
            <w:r w:rsidR="00CC2951" w:rsidRPr="00F23761">
              <w:rPr>
                <w:bCs/>
                <w:sz w:val="20"/>
                <w:szCs w:val="20"/>
              </w:rPr>
              <w:t>nty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CC2951" w:rsidRPr="00F23761">
              <w:rPr>
                <w:bCs/>
                <w:sz w:val="20"/>
                <w:szCs w:val="20"/>
              </w:rPr>
              <w:t>HBc</w:t>
            </w:r>
            <w:r w:rsidR="00DC4413">
              <w:rPr>
                <w:bCs/>
                <w:sz w:val="20"/>
                <w:szCs w:val="20"/>
              </w:rPr>
              <w:t xml:space="preserve"> </w:t>
            </w:r>
            <w:r w:rsidR="00CC2951" w:rsidRPr="00F23761">
              <w:rPr>
                <w:bCs/>
                <w:sz w:val="20"/>
                <w:szCs w:val="20"/>
              </w:rPr>
              <w:t>total</w:t>
            </w:r>
            <w:r w:rsidR="004617B8" w:rsidRPr="00F23761">
              <w:rPr>
                <w:bCs/>
                <w:sz w:val="20"/>
                <w:szCs w:val="20"/>
              </w:rPr>
              <w:t>.</w:t>
            </w:r>
          </w:p>
          <w:p w14:paraId="1B2015D5" w14:textId="77777777" w:rsidR="000C0385" w:rsidRPr="00F23761" w:rsidRDefault="000C0385" w:rsidP="00F23761">
            <w:pPr>
              <w:spacing w:after="60" w:line="276" w:lineRule="auto"/>
              <w:ind w:left="397"/>
              <w:jc w:val="both"/>
              <w:rPr>
                <w:sz w:val="20"/>
                <w:szCs w:val="20"/>
              </w:rPr>
            </w:pPr>
          </w:p>
          <w:p w14:paraId="4A2A7CA5" w14:textId="1FFF5ADD" w:rsidR="00C91316" w:rsidRPr="00F23761" w:rsidRDefault="00A141B0" w:rsidP="00341CA6">
            <w:pPr>
              <w:numPr>
                <w:ilvl w:val="0"/>
                <w:numId w:val="27"/>
              </w:numPr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 w:rsidRPr="00F23761">
              <w:rPr>
                <w:b/>
                <w:color w:val="000000"/>
                <w:sz w:val="20"/>
                <w:szCs w:val="20"/>
              </w:rPr>
              <w:t>Monitorowanie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b/>
                <w:color w:val="000000"/>
                <w:sz w:val="20"/>
                <w:szCs w:val="20"/>
              </w:rPr>
              <w:t>terapii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64252E" w:rsidRPr="00F23761">
              <w:rPr>
                <w:b/>
                <w:color w:val="000000"/>
                <w:sz w:val="20"/>
                <w:szCs w:val="20"/>
              </w:rPr>
              <w:t>infliksymabem,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64252E" w:rsidRPr="00F23761">
              <w:rPr>
                <w:b/>
                <w:color w:val="000000"/>
                <w:sz w:val="20"/>
                <w:szCs w:val="20"/>
              </w:rPr>
              <w:t>lub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561A2" w:rsidRPr="00F23761">
              <w:rPr>
                <w:b/>
                <w:color w:val="000000"/>
                <w:sz w:val="20"/>
                <w:szCs w:val="20"/>
              </w:rPr>
              <w:t>adalimumabem,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561A2" w:rsidRPr="00F23761">
              <w:rPr>
                <w:b/>
                <w:color w:val="000000"/>
                <w:sz w:val="20"/>
                <w:szCs w:val="20"/>
              </w:rPr>
              <w:t>lub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561A2" w:rsidRPr="00F23761">
              <w:rPr>
                <w:b/>
                <w:color w:val="000000"/>
                <w:sz w:val="20"/>
                <w:szCs w:val="20"/>
              </w:rPr>
              <w:t>ustekinumabem,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561A2" w:rsidRPr="00F23761">
              <w:rPr>
                <w:b/>
                <w:color w:val="000000"/>
                <w:sz w:val="20"/>
                <w:szCs w:val="20"/>
              </w:rPr>
              <w:t>lub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561A2" w:rsidRPr="00F23761">
              <w:rPr>
                <w:b/>
                <w:color w:val="000000"/>
                <w:sz w:val="20"/>
                <w:szCs w:val="20"/>
              </w:rPr>
              <w:t>wedolizumabem</w:t>
            </w:r>
          </w:p>
          <w:p w14:paraId="5AFCA912" w14:textId="4F5A235A" w:rsidR="0028720C" w:rsidRPr="00F23761" w:rsidRDefault="0028720C" w:rsidP="00341CA6">
            <w:pPr>
              <w:numPr>
                <w:ilvl w:val="3"/>
                <w:numId w:val="27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F23761">
              <w:rPr>
                <w:bCs/>
                <w:iCs/>
                <w:sz w:val="20"/>
                <w:szCs w:val="20"/>
              </w:rPr>
              <w:t>Po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zakończeniu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leczenia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indukcyjnego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świadczeniodawca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wykonuje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u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pacjenta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następujące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badania: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morfologia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krw</w:t>
            </w:r>
            <w:r w:rsidR="00242E40" w:rsidRPr="00F23761">
              <w:rPr>
                <w:bCs/>
                <w:iCs/>
                <w:sz w:val="20"/>
                <w:szCs w:val="20"/>
              </w:rPr>
              <w:t>i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242E40" w:rsidRPr="00F23761">
              <w:rPr>
                <w:bCs/>
                <w:iCs/>
                <w:sz w:val="20"/>
                <w:szCs w:val="20"/>
              </w:rPr>
              <w:t>obwodowej,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242E40" w:rsidRPr="00F23761">
              <w:rPr>
                <w:bCs/>
                <w:iCs/>
                <w:sz w:val="20"/>
                <w:szCs w:val="20"/>
              </w:rPr>
              <w:t>CRP,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242E40" w:rsidRPr="00F23761">
              <w:rPr>
                <w:bCs/>
                <w:iCs/>
                <w:sz w:val="20"/>
                <w:szCs w:val="20"/>
              </w:rPr>
              <w:t>AlAT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242E40" w:rsidRPr="00F23761">
              <w:rPr>
                <w:bCs/>
                <w:iCs/>
                <w:sz w:val="20"/>
                <w:szCs w:val="20"/>
              </w:rPr>
              <w:t>i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242E40" w:rsidRPr="00F23761">
              <w:rPr>
                <w:bCs/>
                <w:iCs/>
                <w:sz w:val="20"/>
                <w:szCs w:val="20"/>
              </w:rPr>
              <w:t>AspAT.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Wtedy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też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należy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przeprowadzić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ocenę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wskaźnika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CDAI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albo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PCDAI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(jeśli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dotyczy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dzieci);</w:t>
            </w:r>
          </w:p>
          <w:p w14:paraId="29EEFD4B" w14:textId="1F0C5D54" w:rsidR="0028720C" w:rsidRPr="00F23761" w:rsidRDefault="0028720C" w:rsidP="00341CA6">
            <w:pPr>
              <w:numPr>
                <w:ilvl w:val="3"/>
                <w:numId w:val="27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F23761">
              <w:rPr>
                <w:bCs/>
                <w:iCs/>
                <w:sz w:val="20"/>
                <w:szCs w:val="20"/>
              </w:rPr>
              <w:t>W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leczeniu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podtrzymującym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świadczeniodawca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jest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zobowiązany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wykonywać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morfologię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krwi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obwodowej,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CRP,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AlA</w:t>
            </w:r>
            <w:r w:rsidR="00242E40" w:rsidRPr="00F23761">
              <w:rPr>
                <w:bCs/>
                <w:iCs/>
                <w:sz w:val="20"/>
                <w:szCs w:val="20"/>
              </w:rPr>
              <w:t>T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242E40" w:rsidRPr="00F23761">
              <w:rPr>
                <w:bCs/>
                <w:iCs/>
                <w:sz w:val="20"/>
                <w:szCs w:val="20"/>
              </w:rPr>
              <w:t>i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242E40" w:rsidRPr="00F23761">
              <w:rPr>
                <w:bCs/>
                <w:iCs/>
                <w:sz w:val="20"/>
                <w:szCs w:val="20"/>
              </w:rPr>
              <w:t>AspAT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242E40" w:rsidRPr="00F23761">
              <w:rPr>
                <w:bCs/>
                <w:iCs/>
                <w:sz w:val="20"/>
                <w:szCs w:val="20"/>
              </w:rPr>
              <w:t>oraz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242E40" w:rsidRPr="00F23761">
              <w:rPr>
                <w:bCs/>
                <w:iCs/>
                <w:sz w:val="20"/>
                <w:szCs w:val="20"/>
              </w:rPr>
              <w:t>ocenę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242E40" w:rsidRPr="00F23761">
              <w:rPr>
                <w:bCs/>
                <w:iCs/>
                <w:sz w:val="20"/>
                <w:szCs w:val="20"/>
              </w:rPr>
              <w:t>CDAI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242E40" w:rsidRPr="00F23761">
              <w:rPr>
                <w:bCs/>
                <w:iCs/>
                <w:sz w:val="20"/>
                <w:szCs w:val="20"/>
              </w:rPr>
              <w:t>albo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PCDAI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242E40" w:rsidRPr="00F23761">
              <w:rPr>
                <w:bCs/>
                <w:iCs/>
                <w:sz w:val="20"/>
                <w:szCs w:val="20"/>
              </w:rPr>
              <w:t>(jeśli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242E40" w:rsidRPr="00F23761">
              <w:rPr>
                <w:bCs/>
                <w:iCs/>
                <w:sz w:val="20"/>
                <w:szCs w:val="20"/>
              </w:rPr>
              <w:t>dotyczy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242E40" w:rsidRPr="00F23761">
              <w:rPr>
                <w:bCs/>
                <w:iCs/>
                <w:sz w:val="20"/>
                <w:szCs w:val="20"/>
              </w:rPr>
              <w:t>dzieci)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przy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każdej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wizycie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pacjenta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zwią</w:t>
            </w:r>
            <w:r w:rsidR="00242E40" w:rsidRPr="00F23761">
              <w:rPr>
                <w:bCs/>
                <w:iCs/>
                <w:sz w:val="20"/>
                <w:szCs w:val="20"/>
              </w:rPr>
              <w:t>zanej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242E40" w:rsidRPr="00F23761">
              <w:rPr>
                <w:bCs/>
                <w:iCs/>
                <w:sz w:val="20"/>
                <w:szCs w:val="20"/>
              </w:rPr>
              <w:t>z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242E40" w:rsidRPr="00F23761">
              <w:rPr>
                <w:bCs/>
                <w:iCs/>
                <w:sz w:val="20"/>
                <w:szCs w:val="20"/>
              </w:rPr>
              <w:t>podaniem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242E40" w:rsidRPr="00F23761">
              <w:rPr>
                <w:bCs/>
                <w:iCs/>
                <w:sz w:val="20"/>
                <w:szCs w:val="20"/>
              </w:rPr>
              <w:t>kolejnej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242E40" w:rsidRPr="00F23761">
              <w:rPr>
                <w:bCs/>
                <w:iCs/>
                <w:sz w:val="20"/>
                <w:szCs w:val="20"/>
              </w:rPr>
              <w:t>dawki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242E40" w:rsidRPr="00F23761">
              <w:rPr>
                <w:bCs/>
                <w:iCs/>
                <w:sz w:val="20"/>
                <w:szCs w:val="20"/>
              </w:rPr>
              <w:t>leku</w:t>
            </w:r>
            <w:r w:rsidR="00490580" w:rsidRPr="00F23761">
              <w:rPr>
                <w:bCs/>
                <w:iCs/>
                <w:sz w:val="20"/>
                <w:szCs w:val="20"/>
              </w:rPr>
              <w:t>.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490580" w:rsidRPr="00F23761">
              <w:rPr>
                <w:bCs/>
                <w:iCs/>
                <w:sz w:val="20"/>
                <w:szCs w:val="20"/>
              </w:rPr>
              <w:t>(W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45695" w:rsidRPr="00F23761">
              <w:rPr>
                <w:bCs/>
                <w:iCs/>
                <w:sz w:val="20"/>
                <w:szCs w:val="20"/>
              </w:rPr>
              <w:t>przypadku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45695" w:rsidRPr="00F23761">
              <w:rPr>
                <w:bCs/>
                <w:iCs/>
                <w:sz w:val="20"/>
                <w:szCs w:val="20"/>
              </w:rPr>
              <w:t>podania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45695" w:rsidRPr="00F23761">
              <w:rPr>
                <w:bCs/>
                <w:iCs/>
                <w:sz w:val="20"/>
                <w:szCs w:val="20"/>
              </w:rPr>
              <w:t>kolejnej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45695" w:rsidRPr="00F23761">
              <w:rPr>
                <w:bCs/>
                <w:iCs/>
                <w:sz w:val="20"/>
                <w:szCs w:val="20"/>
              </w:rPr>
              <w:t>dawki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45695" w:rsidRPr="00F23761">
              <w:rPr>
                <w:bCs/>
                <w:iCs/>
                <w:sz w:val="20"/>
                <w:szCs w:val="20"/>
              </w:rPr>
              <w:t>leku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45695" w:rsidRPr="00F23761">
              <w:rPr>
                <w:bCs/>
                <w:iCs/>
                <w:sz w:val="20"/>
                <w:szCs w:val="20"/>
              </w:rPr>
              <w:t>w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45695" w:rsidRPr="00F23761">
              <w:rPr>
                <w:bCs/>
                <w:iCs/>
                <w:sz w:val="20"/>
                <w:szCs w:val="20"/>
              </w:rPr>
              <w:t>domu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45695" w:rsidRPr="00F23761">
              <w:rPr>
                <w:bCs/>
                <w:iCs/>
                <w:sz w:val="20"/>
                <w:szCs w:val="20"/>
              </w:rPr>
              <w:t>powyższe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45695" w:rsidRPr="00F23761">
              <w:rPr>
                <w:bCs/>
                <w:iCs/>
                <w:sz w:val="20"/>
                <w:szCs w:val="20"/>
              </w:rPr>
              <w:t>badania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45695" w:rsidRPr="00F23761">
              <w:rPr>
                <w:bCs/>
                <w:iCs/>
                <w:sz w:val="20"/>
                <w:szCs w:val="20"/>
              </w:rPr>
              <w:t>nie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45695" w:rsidRPr="00F23761">
              <w:rPr>
                <w:bCs/>
                <w:iCs/>
                <w:sz w:val="20"/>
                <w:szCs w:val="20"/>
              </w:rPr>
              <w:t>są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45695" w:rsidRPr="00F23761">
              <w:rPr>
                <w:bCs/>
                <w:iCs/>
                <w:sz w:val="20"/>
                <w:szCs w:val="20"/>
              </w:rPr>
              <w:t>konieczne</w:t>
            </w:r>
            <w:r w:rsidR="00490580" w:rsidRPr="00F23761">
              <w:rPr>
                <w:bCs/>
                <w:iCs/>
                <w:sz w:val="20"/>
                <w:szCs w:val="20"/>
              </w:rPr>
              <w:t>)</w:t>
            </w:r>
            <w:r w:rsidR="000C0385" w:rsidRPr="00F23761">
              <w:rPr>
                <w:bCs/>
                <w:iCs/>
                <w:sz w:val="20"/>
                <w:szCs w:val="20"/>
              </w:rPr>
              <w:t>.</w:t>
            </w:r>
          </w:p>
          <w:p w14:paraId="5E7101AF" w14:textId="57A2A4FB" w:rsidR="00195F6C" w:rsidRPr="00341CA6" w:rsidRDefault="00195F6C" w:rsidP="00341CA6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341CA6">
              <w:rPr>
                <w:sz w:val="20"/>
                <w:szCs w:val="20"/>
              </w:rPr>
              <w:t>W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celu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optymalizacji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leczenia</w:t>
            </w:r>
            <w:r w:rsidR="00DC4413">
              <w:rPr>
                <w:sz w:val="20"/>
                <w:szCs w:val="20"/>
              </w:rPr>
              <w:t xml:space="preserve"> </w:t>
            </w:r>
            <w:r w:rsidR="00B92125" w:rsidRPr="00341CA6">
              <w:rPr>
                <w:sz w:val="20"/>
                <w:szCs w:val="20"/>
              </w:rPr>
              <w:t>biologicznego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oraz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oceny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ryzyka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wtórnej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utraty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skuteczności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leczenia,</w:t>
            </w:r>
            <w:r w:rsidR="00DC4413">
              <w:rPr>
                <w:sz w:val="20"/>
                <w:szCs w:val="20"/>
              </w:rPr>
              <w:t xml:space="preserve"> </w:t>
            </w:r>
            <w:r w:rsidR="000D6F6B" w:rsidRPr="00341CA6">
              <w:rPr>
                <w:sz w:val="20"/>
                <w:szCs w:val="20"/>
              </w:rPr>
              <w:t>można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wykonać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oznaczenie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poziomu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leku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biologicznego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przed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kolejną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dawką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oraz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stężenia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przeciwciał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przeciwko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lekowi,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jednak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nie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częściej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niż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dwa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razy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w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roku.</w:t>
            </w:r>
          </w:p>
          <w:p w14:paraId="305A7330" w14:textId="30CACC7B" w:rsidR="00195F6C" w:rsidRPr="00341CA6" w:rsidRDefault="00195F6C" w:rsidP="00341CA6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341CA6">
              <w:rPr>
                <w:sz w:val="20"/>
                <w:szCs w:val="20"/>
              </w:rPr>
              <w:t>Dodatkowo</w:t>
            </w:r>
            <w:r w:rsidR="00DC4413">
              <w:rPr>
                <w:sz w:val="20"/>
                <w:szCs w:val="20"/>
              </w:rPr>
              <w:t xml:space="preserve"> </w:t>
            </w:r>
            <w:r w:rsidR="001C6BBF" w:rsidRPr="00341CA6">
              <w:rPr>
                <w:sz w:val="20"/>
                <w:szCs w:val="20"/>
              </w:rPr>
              <w:t>można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wykonać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oznaczanie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kalprotektyny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w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kale,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jednak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nie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częściej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niż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dwa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razy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do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roku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w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trakcie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trwania</w:t>
            </w:r>
            <w:r w:rsidR="00DC4413">
              <w:rPr>
                <w:sz w:val="20"/>
                <w:szCs w:val="20"/>
              </w:rPr>
              <w:t xml:space="preserve"> </w:t>
            </w:r>
            <w:r w:rsidRPr="00341CA6">
              <w:rPr>
                <w:sz w:val="20"/>
                <w:szCs w:val="20"/>
              </w:rPr>
              <w:t>leczenia.</w:t>
            </w:r>
            <w:r w:rsidR="00DC4413">
              <w:rPr>
                <w:sz w:val="20"/>
                <w:szCs w:val="20"/>
              </w:rPr>
              <w:t xml:space="preserve"> </w:t>
            </w:r>
          </w:p>
          <w:p w14:paraId="1901BF66" w14:textId="281EDAF4" w:rsidR="00195F6C" w:rsidRPr="00341CA6" w:rsidRDefault="00195F6C" w:rsidP="00341CA6">
            <w:pPr>
              <w:spacing w:after="6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341CA6">
              <w:rPr>
                <w:bCs/>
                <w:iCs/>
                <w:sz w:val="20"/>
                <w:szCs w:val="20"/>
              </w:rPr>
              <w:t>Ponadto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="001C6BBF" w:rsidRPr="00341CA6">
              <w:rPr>
                <w:bCs/>
                <w:iCs/>
                <w:sz w:val="20"/>
                <w:szCs w:val="20"/>
              </w:rPr>
              <w:t>można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341CA6">
              <w:rPr>
                <w:bCs/>
                <w:iCs/>
                <w:sz w:val="20"/>
                <w:szCs w:val="20"/>
              </w:rPr>
              <w:t>wykonać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341CA6">
              <w:rPr>
                <w:bCs/>
                <w:iCs/>
                <w:sz w:val="20"/>
                <w:szCs w:val="20"/>
              </w:rPr>
              <w:t>ileokolonoskopię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341CA6">
              <w:rPr>
                <w:bCs/>
                <w:iCs/>
                <w:sz w:val="20"/>
                <w:szCs w:val="20"/>
              </w:rPr>
              <w:t>i/lub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341CA6">
              <w:rPr>
                <w:bCs/>
                <w:iCs/>
                <w:sz w:val="20"/>
                <w:szCs w:val="20"/>
              </w:rPr>
              <w:t>badanie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341CA6">
              <w:rPr>
                <w:bCs/>
                <w:iCs/>
                <w:sz w:val="20"/>
                <w:szCs w:val="20"/>
              </w:rPr>
              <w:t>techniką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341CA6">
              <w:rPr>
                <w:bCs/>
                <w:iCs/>
                <w:sz w:val="20"/>
                <w:szCs w:val="20"/>
              </w:rPr>
              <w:t>rezonansu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341CA6">
              <w:rPr>
                <w:bCs/>
                <w:iCs/>
                <w:sz w:val="20"/>
                <w:szCs w:val="20"/>
              </w:rPr>
              <w:t>magnetycznego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341CA6">
              <w:rPr>
                <w:bCs/>
                <w:iCs/>
                <w:sz w:val="20"/>
                <w:szCs w:val="20"/>
              </w:rPr>
              <w:t>ramach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341CA6">
              <w:rPr>
                <w:bCs/>
                <w:iCs/>
                <w:sz w:val="20"/>
                <w:szCs w:val="20"/>
              </w:rPr>
              <w:t>monitorowania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341CA6">
              <w:rPr>
                <w:bCs/>
                <w:iCs/>
                <w:sz w:val="20"/>
                <w:szCs w:val="20"/>
              </w:rPr>
              <w:t>skuteczności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341CA6">
              <w:rPr>
                <w:bCs/>
                <w:iCs/>
                <w:sz w:val="20"/>
                <w:szCs w:val="20"/>
              </w:rPr>
              <w:t>leczenia.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341CA6">
              <w:rPr>
                <w:bCs/>
                <w:iCs/>
                <w:sz w:val="20"/>
                <w:szCs w:val="20"/>
              </w:rPr>
              <w:lastRenderedPageBreak/>
              <w:t>Badanie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341CA6">
              <w:rPr>
                <w:bCs/>
                <w:iCs/>
                <w:sz w:val="20"/>
                <w:szCs w:val="20"/>
              </w:rPr>
              <w:t>wykonywane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341CA6">
              <w:rPr>
                <w:bCs/>
                <w:iCs/>
                <w:sz w:val="20"/>
                <w:szCs w:val="20"/>
              </w:rPr>
              <w:t>nie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341CA6">
              <w:rPr>
                <w:bCs/>
                <w:iCs/>
                <w:sz w:val="20"/>
                <w:szCs w:val="20"/>
              </w:rPr>
              <w:t>częściej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341CA6">
              <w:rPr>
                <w:bCs/>
                <w:iCs/>
                <w:sz w:val="20"/>
                <w:szCs w:val="20"/>
              </w:rPr>
              <w:t>niż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341CA6">
              <w:rPr>
                <w:bCs/>
                <w:iCs/>
                <w:sz w:val="20"/>
                <w:szCs w:val="20"/>
              </w:rPr>
              <w:t>raz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341CA6">
              <w:rPr>
                <w:bCs/>
                <w:iCs/>
                <w:sz w:val="20"/>
                <w:szCs w:val="20"/>
              </w:rPr>
              <w:t>do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341CA6">
              <w:rPr>
                <w:bCs/>
                <w:iCs/>
                <w:sz w:val="20"/>
                <w:szCs w:val="20"/>
              </w:rPr>
              <w:t>roku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341CA6">
              <w:rPr>
                <w:bCs/>
                <w:iCs/>
                <w:sz w:val="20"/>
                <w:szCs w:val="20"/>
              </w:rPr>
              <w:t>w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341CA6">
              <w:rPr>
                <w:bCs/>
                <w:iCs/>
                <w:sz w:val="20"/>
                <w:szCs w:val="20"/>
              </w:rPr>
              <w:t>trakcie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341CA6">
              <w:rPr>
                <w:bCs/>
                <w:iCs/>
                <w:sz w:val="20"/>
                <w:szCs w:val="20"/>
              </w:rPr>
              <w:t>wszystkich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341CA6">
              <w:rPr>
                <w:bCs/>
                <w:iCs/>
                <w:sz w:val="20"/>
                <w:szCs w:val="20"/>
              </w:rPr>
              <w:t>lat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341CA6">
              <w:rPr>
                <w:bCs/>
                <w:iCs/>
                <w:sz w:val="20"/>
                <w:szCs w:val="20"/>
              </w:rPr>
              <w:t>leczenia.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7318600D" w14:textId="678A4E51" w:rsidR="00195F6C" w:rsidRPr="00341CA6" w:rsidRDefault="00195F6C" w:rsidP="00341CA6">
            <w:pPr>
              <w:spacing w:after="6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341CA6">
              <w:rPr>
                <w:bCs/>
                <w:iCs/>
                <w:sz w:val="20"/>
                <w:szCs w:val="20"/>
              </w:rPr>
              <w:t>Decyzję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341CA6">
              <w:rPr>
                <w:bCs/>
                <w:iCs/>
                <w:sz w:val="20"/>
                <w:szCs w:val="20"/>
              </w:rPr>
              <w:t>dotyczącą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341CA6">
              <w:rPr>
                <w:bCs/>
                <w:iCs/>
                <w:sz w:val="20"/>
                <w:szCs w:val="20"/>
              </w:rPr>
              <w:t>wykonania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341CA6">
              <w:rPr>
                <w:bCs/>
                <w:iCs/>
                <w:sz w:val="20"/>
                <w:szCs w:val="20"/>
              </w:rPr>
              <w:t>powyższych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341CA6">
              <w:rPr>
                <w:bCs/>
                <w:iCs/>
                <w:sz w:val="20"/>
                <w:szCs w:val="20"/>
              </w:rPr>
              <w:t>badań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341CA6">
              <w:rPr>
                <w:bCs/>
                <w:iCs/>
                <w:sz w:val="20"/>
                <w:szCs w:val="20"/>
              </w:rPr>
              <w:t>diagnostycznych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341CA6">
              <w:rPr>
                <w:bCs/>
                <w:iCs/>
                <w:sz w:val="20"/>
                <w:szCs w:val="20"/>
              </w:rPr>
              <w:t>i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341CA6">
              <w:rPr>
                <w:bCs/>
                <w:iCs/>
                <w:sz w:val="20"/>
                <w:szCs w:val="20"/>
              </w:rPr>
              <w:t>oznaczeń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341CA6">
              <w:rPr>
                <w:bCs/>
                <w:iCs/>
                <w:sz w:val="20"/>
                <w:szCs w:val="20"/>
              </w:rPr>
              <w:t>mających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341CA6">
              <w:rPr>
                <w:bCs/>
                <w:iCs/>
                <w:sz w:val="20"/>
                <w:szCs w:val="20"/>
              </w:rPr>
              <w:t>na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341CA6">
              <w:rPr>
                <w:bCs/>
                <w:iCs/>
                <w:sz w:val="20"/>
                <w:szCs w:val="20"/>
              </w:rPr>
              <w:t>celu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341CA6">
              <w:rPr>
                <w:bCs/>
                <w:iCs/>
                <w:sz w:val="20"/>
                <w:szCs w:val="20"/>
              </w:rPr>
              <w:t>optymalizację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341CA6">
              <w:rPr>
                <w:bCs/>
                <w:iCs/>
                <w:sz w:val="20"/>
                <w:szCs w:val="20"/>
              </w:rPr>
              <w:t>leczenia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341CA6">
              <w:rPr>
                <w:bCs/>
                <w:iCs/>
                <w:sz w:val="20"/>
                <w:szCs w:val="20"/>
              </w:rPr>
              <w:t>podejmuje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341CA6">
              <w:rPr>
                <w:bCs/>
                <w:iCs/>
                <w:sz w:val="20"/>
                <w:szCs w:val="20"/>
              </w:rPr>
              <w:t>świadczeniodawca.</w:t>
            </w:r>
          </w:p>
          <w:p w14:paraId="4E8372C6" w14:textId="77777777" w:rsidR="000C0385" w:rsidRPr="00F23761" w:rsidRDefault="000C0385" w:rsidP="00F23761">
            <w:pPr>
              <w:spacing w:after="60" w:line="276" w:lineRule="auto"/>
              <w:ind w:left="397"/>
              <w:jc w:val="both"/>
              <w:rPr>
                <w:bCs/>
                <w:iCs/>
                <w:sz w:val="20"/>
                <w:szCs w:val="20"/>
              </w:rPr>
            </w:pPr>
          </w:p>
          <w:p w14:paraId="5077F359" w14:textId="4219E70C" w:rsidR="005729A1" w:rsidRPr="00F23761" w:rsidRDefault="005729A1" w:rsidP="00341CA6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F23761">
              <w:rPr>
                <w:b/>
                <w:color w:val="000000"/>
                <w:sz w:val="20"/>
                <w:szCs w:val="20"/>
              </w:rPr>
              <w:t>Monitorowanie</w:t>
            </w:r>
            <w:r w:rsidR="00DC441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b/>
                <w:color w:val="000000"/>
                <w:sz w:val="20"/>
                <w:szCs w:val="20"/>
              </w:rPr>
              <w:t>programu</w:t>
            </w:r>
          </w:p>
          <w:p w14:paraId="24BF73A7" w14:textId="1FE2923E" w:rsidR="005729A1" w:rsidRPr="00F23761" w:rsidRDefault="005729A1" w:rsidP="00341CA6">
            <w:pPr>
              <w:numPr>
                <w:ilvl w:val="3"/>
                <w:numId w:val="27"/>
              </w:numPr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23761">
              <w:rPr>
                <w:bCs/>
                <w:iCs/>
                <w:sz w:val="20"/>
                <w:szCs w:val="20"/>
              </w:rPr>
              <w:t>Gromadzenie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w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dokumentacji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medycznej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pacjenta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danych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dotyczących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monitorowania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leczenia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i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każdorazowe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ich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przedstawianie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na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żądanie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kontrolerów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Narodowego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Funduszu</w:t>
            </w:r>
            <w:r w:rsidR="00DC4413">
              <w:rPr>
                <w:bCs/>
                <w:iCs/>
                <w:sz w:val="20"/>
                <w:szCs w:val="20"/>
              </w:rPr>
              <w:t xml:space="preserve"> </w:t>
            </w:r>
            <w:r w:rsidRPr="00F23761">
              <w:rPr>
                <w:bCs/>
                <w:iCs/>
                <w:sz w:val="20"/>
                <w:szCs w:val="20"/>
              </w:rPr>
              <w:t>Zdrowia</w:t>
            </w:r>
            <w:r w:rsidR="00341CA6">
              <w:rPr>
                <w:bCs/>
                <w:iCs/>
                <w:sz w:val="20"/>
                <w:szCs w:val="20"/>
              </w:rPr>
              <w:t>.</w:t>
            </w:r>
          </w:p>
          <w:p w14:paraId="5FC48ABC" w14:textId="38AEBF24" w:rsidR="005729A1" w:rsidRPr="00F23761" w:rsidRDefault="005729A1" w:rsidP="00341CA6">
            <w:pPr>
              <w:numPr>
                <w:ilvl w:val="3"/>
                <w:numId w:val="27"/>
              </w:numPr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23761">
              <w:rPr>
                <w:color w:val="000000"/>
                <w:sz w:val="20"/>
                <w:szCs w:val="20"/>
              </w:rPr>
              <w:t>Uzupełnienie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danych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zawartych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w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rejestrze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(SMPT)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dostępnym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za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pomocą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aplikacji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internetowej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udostępnionej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przez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OW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NFZ,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z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częstotliwością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zgodną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z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opisem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programu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oraz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na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zakończenie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leczenia</w:t>
            </w:r>
            <w:r w:rsidR="00341CA6">
              <w:rPr>
                <w:color w:val="000000"/>
                <w:sz w:val="20"/>
                <w:szCs w:val="20"/>
              </w:rPr>
              <w:t>.</w:t>
            </w:r>
          </w:p>
          <w:p w14:paraId="120B2990" w14:textId="02158808" w:rsidR="005729A1" w:rsidRPr="00F23761" w:rsidRDefault="005729A1" w:rsidP="00341CA6">
            <w:pPr>
              <w:numPr>
                <w:ilvl w:val="3"/>
                <w:numId w:val="27"/>
              </w:numPr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F23761">
              <w:rPr>
                <w:color w:val="000000"/>
                <w:sz w:val="20"/>
                <w:szCs w:val="20"/>
              </w:rPr>
              <w:t>Przekazywanie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informacji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spraw</w:t>
            </w:r>
            <w:r w:rsidR="00341CA6">
              <w:rPr>
                <w:color w:val="000000"/>
                <w:sz w:val="20"/>
                <w:szCs w:val="20"/>
              </w:rPr>
              <w:t>o</w:t>
            </w:r>
            <w:r w:rsidRPr="00F23761">
              <w:rPr>
                <w:color w:val="000000"/>
                <w:sz w:val="20"/>
                <w:szCs w:val="20"/>
              </w:rPr>
              <w:t>zdawczo-rozliczeniowych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do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NFZ: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informacje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przekazuje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się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do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NFZ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w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formie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papierowej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lub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w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formie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elektronicznej,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zgodnie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z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wymaganiami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opublikowanymi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przez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Narodowy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Fundusz</w:t>
            </w:r>
            <w:r w:rsidR="00DC4413">
              <w:rPr>
                <w:color w:val="000000"/>
                <w:sz w:val="20"/>
                <w:szCs w:val="20"/>
              </w:rPr>
              <w:t xml:space="preserve"> </w:t>
            </w:r>
            <w:r w:rsidRPr="00F23761">
              <w:rPr>
                <w:color w:val="000000"/>
                <w:sz w:val="20"/>
                <w:szCs w:val="20"/>
              </w:rPr>
              <w:t>Zdrowia</w:t>
            </w:r>
            <w:r w:rsidR="000C0385" w:rsidRPr="00F23761">
              <w:rPr>
                <w:color w:val="000000"/>
                <w:sz w:val="20"/>
                <w:szCs w:val="20"/>
              </w:rPr>
              <w:t>.</w:t>
            </w:r>
          </w:p>
          <w:p w14:paraId="514635EE" w14:textId="77777777" w:rsidR="00C91316" w:rsidRPr="00F23761" w:rsidRDefault="00C91316" w:rsidP="00F23761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5F435022" w14:textId="77777777" w:rsidR="00E1363E" w:rsidRPr="000C0385" w:rsidRDefault="00E1363E" w:rsidP="000C0385">
      <w:pPr>
        <w:autoSpaceDE w:val="0"/>
        <w:autoSpaceDN w:val="0"/>
        <w:adjustRightInd w:val="0"/>
        <w:spacing w:after="60" w:line="360" w:lineRule="auto"/>
        <w:jc w:val="both"/>
        <w:rPr>
          <w:b/>
          <w:bCs/>
          <w:color w:val="000000"/>
          <w:sz w:val="20"/>
          <w:szCs w:val="20"/>
        </w:rPr>
      </w:pPr>
    </w:p>
    <w:sectPr w:rsidR="00E1363E" w:rsidRPr="000C0385" w:rsidSect="00420460">
      <w:pgSz w:w="16840" w:h="11907" w:orient="landscape" w:code="1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BKDC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1A24275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7" w:hanging="227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97" w:hanging="227"/>
      </w:pPr>
      <w:rPr>
        <w:b w:val="0"/>
        <w:bCs/>
      </w:r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567" w:hanging="227"/>
      </w:pPr>
    </w:lvl>
    <w:lvl w:ilvl="4">
      <w:start w:val="1"/>
      <w:numFmt w:val="bullet"/>
      <w:lvlText w:val=""/>
      <w:lvlJc w:val="left"/>
      <w:pPr>
        <w:tabs>
          <w:tab w:val="num" w:pos="0"/>
        </w:tabs>
        <w:ind w:left="680" w:hanging="17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942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4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5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526" w:hanging="1440"/>
      </w:pPr>
    </w:lvl>
  </w:abstractNum>
  <w:abstractNum w:abstractNumId="1" w15:restartNumberingAfterBreak="0">
    <w:nsid w:val="06372AC0"/>
    <w:multiLevelType w:val="hybridMultilevel"/>
    <w:tmpl w:val="983CD59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9C5D4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292707"/>
    <w:multiLevelType w:val="hybridMultilevel"/>
    <w:tmpl w:val="79622438"/>
    <w:lvl w:ilvl="0" w:tplc="A16076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CC4ACEAA">
      <w:start w:val="1"/>
      <w:numFmt w:val="decimal"/>
      <w:lvlText w:val="%2)"/>
      <w:lvlJc w:val="left"/>
      <w:pPr>
        <w:ind w:left="502" w:hanging="360"/>
      </w:pPr>
      <w:rPr>
        <w:rFonts w:hint="default"/>
        <w:b w:val="0"/>
      </w:rPr>
    </w:lvl>
    <w:lvl w:ilvl="2" w:tplc="4C8E7C26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B412DB"/>
    <w:multiLevelType w:val="hybridMultilevel"/>
    <w:tmpl w:val="0C6A81A8"/>
    <w:lvl w:ilvl="0" w:tplc="A16076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502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4C58FD"/>
    <w:multiLevelType w:val="multilevel"/>
    <w:tmpl w:val="6D6ADB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19AA54E8"/>
    <w:multiLevelType w:val="multilevel"/>
    <w:tmpl w:val="6D6ADB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24C265A7"/>
    <w:multiLevelType w:val="hybridMultilevel"/>
    <w:tmpl w:val="1A3A6AE2"/>
    <w:lvl w:ilvl="0" w:tplc="4C8E7C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00269C"/>
    <w:multiLevelType w:val="hybridMultilevel"/>
    <w:tmpl w:val="38BCD2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02CF5"/>
    <w:multiLevelType w:val="hybridMultilevel"/>
    <w:tmpl w:val="C1F43ADC"/>
    <w:lvl w:ilvl="0" w:tplc="8EEC6A3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734A1"/>
    <w:multiLevelType w:val="hybridMultilevel"/>
    <w:tmpl w:val="38BCD2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6267B"/>
    <w:multiLevelType w:val="hybridMultilevel"/>
    <w:tmpl w:val="708404FC"/>
    <w:lvl w:ilvl="0" w:tplc="A16076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A552EA86">
      <w:start w:val="1"/>
      <w:numFmt w:val="decimal"/>
      <w:lvlText w:val="%2)"/>
      <w:lvlJc w:val="left"/>
      <w:pPr>
        <w:ind w:left="502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8C717E"/>
    <w:multiLevelType w:val="multilevel"/>
    <w:tmpl w:val="DD9E7A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3" w15:restartNumberingAfterBreak="0">
    <w:nsid w:val="4DBF6362"/>
    <w:multiLevelType w:val="multilevel"/>
    <w:tmpl w:val="DD9E7A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4" w15:restartNumberingAfterBreak="0">
    <w:nsid w:val="4FB35023"/>
    <w:multiLevelType w:val="hybridMultilevel"/>
    <w:tmpl w:val="903A6560"/>
    <w:lvl w:ilvl="0" w:tplc="A16076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502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C73892"/>
    <w:multiLevelType w:val="hybridMultilevel"/>
    <w:tmpl w:val="14FC6DAE"/>
    <w:lvl w:ilvl="0" w:tplc="CC4ACEA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3D403B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D29B3"/>
    <w:multiLevelType w:val="hybridMultilevel"/>
    <w:tmpl w:val="85E89436"/>
    <w:lvl w:ilvl="0" w:tplc="A16076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F44E7E4">
      <w:start w:val="1"/>
      <w:numFmt w:val="decimal"/>
      <w:lvlText w:val="1.%2"/>
      <w:lvlJc w:val="left"/>
      <w:pPr>
        <w:ind w:left="502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CF4938"/>
    <w:multiLevelType w:val="hybridMultilevel"/>
    <w:tmpl w:val="79F8ABDC"/>
    <w:lvl w:ilvl="0" w:tplc="4C8E7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834CB"/>
    <w:multiLevelType w:val="hybridMultilevel"/>
    <w:tmpl w:val="2DF0B7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53B5C"/>
    <w:multiLevelType w:val="multilevel"/>
    <w:tmpl w:val="DD9E7A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0" w15:restartNumberingAfterBreak="0">
    <w:nsid w:val="6F531DAC"/>
    <w:multiLevelType w:val="hybridMultilevel"/>
    <w:tmpl w:val="85E89436"/>
    <w:lvl w:ilvl="0" w:tplc="A16076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F44E7E4">
      <w:start w:val="1"/>
      <w:numFmt w:val="decimal"/>
      <w:lvlText w:val="1.%2"/>
      <w:lvlJc w:val="left"/>
      <w:pPr>
        <w:ind w:left="502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4B452B"/>
    <w:multiLevelType w:val="hybridMultilevel"/>
    <w:tmpl w:val="38BCD2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B0087"/>
    <w:multiLevelType w:val="multilevel"/>
    <w:tmpl w:val="DF8C8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56" w:hanging="1440"/>
      </w:pPr>
      <w:rPr>
        <w:rFonts w:hint="default"/>
      </w:rPr>
    </w:lvl>
  </w:abstractNum>
  <w:abstractNum w:abstractNumId="23" w15:restartNumberingAfterBreak="0">
    <w:nsid w:val="75645859"/>
    <w:multiLevelType w:val="multilevel"/>
    <w:tmpl w:val="6D6ADB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4" w15:restartNumberingAfterBreak="0">
    <w:nsid w:val="78E9660C"/>
    <w:multiLevelType w:val="multilevel"/>
    <w:tmpl w:val="46B61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376C69"/>
    <w:multiLevelType w:val="hybridMultilevel"/>
    <w:tmpl w:val="E91A1434"/>
    <w:lvl w:ilvl="0" w:tplc="A16076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5D8E9B48">
      <w:start w:val="1"/>
      <w:numFmt w:val="decimal"/>
      <w:lvlText w:val="%2)"/>
      <w:lvlJc w:val="left"/>
      <w:pPr>
        <w:ind w:left="502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EC4544"/>
    <w:multiLevelType w:val="hybridMultilevel"/>
    <w:tmpl w:val="0F92AF9C"/>
    <w:lvl w:ilvl="0" w:tplc="A16076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8EEC6A30">
      <w:start w:val="1"/>
      <w:numFmt w:val="decimal"/>
      <w:lvlText w:val="%2)"/>
      <w:lvlJc w:val="left"/>
      <w:pPr>
        <w:ind w:left="502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26"/>
  </w:num>
  <w:num w:numId="5">
    <w:abstractNumId w:val="14"/>
  </w:num>
  <w:num w:numId="6">
    <w:abstractNumId w:val="7"/>
  </w:num>
  <w:num w:numId="7">
    <w:abstractNumId w:val="25"/>
  </w:num>
  <w:num w:numId="8">
    <w:abstractNumId w:val="16"/>
  </w:num>
  <w:num w:numId="9">
    <w:abstractNumId w:val="11"/>
  </w:num>
  <w:num w:numId="10">
    <w:abstractNumId w:val="18"/>
  </w:num>
  <w:num w:numId="11">
    <w:abstractNumId w:val="8"/>
  </w:num>
  <w:num w:numId="12">
    <w:abstractNumId w:val="9"/>
  </w:num>
  <w:num w:numId="13">
    <w:abstractNumId w:val="17"/>
  </w:num>
  <w:num w:numId="14">
    <w:abstractNumId w:val="4"/>
  </w:num>
  <w:num w:numId="15">
    <w:abstractNumId w:val="21"/>
  </w:num>
  <w:num w:numId="16">
    <w:abstractNumId w:val="10"/>
  </w:num>
  <w:num w:numId="17">
    <w:abstractNumId w:val="1"/>
  </w:num>
  <w:num w:numId="18">
    <w:abstractNumId w:val="2"/>
  </w:num>
  <w:num w:numId="19">
    <w:abstractNumId w:val="24"/>
  </w:num>
  <w:num w:numId="20">
    <w:abstractNumId w:val="5"/>
  </w:num>
  <w:num w:numId="21">
    <w:abstractNumId w:val="6"/>
  </w:num>
  <w:num w:numId="22">
    <w:abstractNumId w:val="23"/>
  </w:num>
  <w:num w:numId="23">
    <w:abstractNumId w:val="0"/>
  </w:num>
  <w:num w:numId="24">
    <w:abstractNumId w:val="22"/>
  </w:num>
  <w:num w:numId="25">
    <w:abstractNumId w:val="13"/>
  </w:num>
  <w:num w:numId="26">
    <w:abstractNumId w:val="19"/>
  </w:num>
  <w:num w:numId="27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0BF"/>
    <w:rsid w:val="000070BF"/>
    <w:rsid w:val="00007B5F"/>
    <w:rsid w:val="0001029A"/>
    <w:rsid w:val="00012086"/>
    <w:rsid w:val="00021BC3"/>
    <w:rsid w:val="00030E13"/>
    <w:rsid w:val="00034858"/>
    <w:rsid w:val="00035AB9"/>
    <w:rsid w:val="000369BA"/>
    <w:rsid w:val="00040781"/>
    <w:rsid w:val="00040DB4"/>
    <w:rsid w:val="0005465A"/>
    <w:rsid w:val="00057C6C"/>
    <w:rsid w:val="00065350"/>
    <w:rsid w:val="00070A88"/>
    <w:rsid w:val="00074134"/>
    <w:rsid w:val="000848E5"/>
    <w:rsid w:val="000855D6"/>
    <w:rsid w:val="000A1DC7"/>
    <w:rsid w:val="000A569B"/>
    <w:rsid w:val="000B0F4F"/>
    <w:rsid w:val="000B35DB"/>
    <w:rsid w:val="000C0385"/>
    <w:rsid w:val="000C1401"/>
    <w:rsid w:val="000C4E0E"/>
    <w:rsid w:val="000D6F6B"/>
    <w:rsid w:val="000E3082"/>
    <w:rsid w:val="000F55F3"/>
    <w:rsid w:val="0010608A"/>
    <w:rsid w:val="0012187D"/>
    <w:rsid w:val="00137708"/>
    <w:rsid w:val="00143A87"/>
    <w:rsid w:val="00143AE8"/>
    <w:rsid w:val="00145695"/>
    <w:rsid w:val="00147214"/>
    <w:rsid w:val="0015142E"/>
    <w:rsid w:val="00151FDE"/>
    <w:rsid w:val="0015209C"/>
    <w:rsid w:val="00173851"/>
    <w:rsid w:val="00180059"/>
    <w:rsid w:val="0018288D"/>
    <w:rsid w:val="00190466"/>
    <w:rsid w:val="00194DC3"/>
    <w:rsid w:val="00195F6C"/>
    <w:rsid w:val="001972AE"/>
    <w:rsid w:val="001A0C4A"/>
    <w:rsid w:val="001A29F4"/>
    <w:rsid w:val="001A4D17"/>
    <w:rsid w:val="001B2292"/>
    <w:rsid w:val="001C0E15"/>
    <w:rsid w:val="001C192D"/>
    <w:rsid w:val="001C4A5C"/>
    <w:rsid w:val="001C6BBF"/>
    <w:rsid w:val="001C7290"/>
    <w:rsid w:val="001D59BF"/>
    <w:rsid w:val="001D5AE9"/>
    <w:rsid w:val="001E1F49"/>
    <w:rsid w:val="001F093D"/>
    <w:rsid w:val="001F2BF2"/>
    <w:rsid w:val="001F48A9"/>
    <w:rsid w:val="001F4ECA"/>
    <w:rsid w:val="001F6E53"/>
    <w:rsid w:val="00200EEC"/>
    <w:rsid w:val="002016C4"/>
    <w:rsid w:val="002124F3"/>
    <w:rsid w:val="00213A6E"/>
    <w:rsid w:val="00215C0C"/>
    <w:rsid w:val="00222437"/>
    <w:rsid w:val="002242BC"/>
    <w:rsid w:val="002279C8"/>
    <w:rsid w:val="002332A5"/>
    <w:rsid w:val="00242E40"/>
    <w:rsid w:val="00246B8C"/>
    <w:rsid w:val="002510F2"/>
    <w:rsid w:val="00263145"/>
    <w:rsid w:val="00270E9E"/>
    <w:rsid w:val="0028720C"/>
    <w:rsid w:val="00291037"/>
    <w:rsid w:val="002A750A"/>
    <w:rsid w:val="002C0386"/>
    <w:rsid w:val="002C08DD"/>
    <w:rsid w:val="002C366A"/>
    <w:rsid w:val="00301930"/>
    <w:rsid w:val="00304AE0"/>
    <w:rsid w:val="00312D95"/>
    <w:rsid w:val="0031636E"/>
    <w:rsid w:val="00317FFE"/>
    <w:rsid w:val="003267C8"/>
    <w:rsid w:val="00341CA6"/>
    <w:rsid w:val="00342105"/>
    <w:rsid w:val="00344C2B"/>
    <w:rsid w:val="0034771F"/>
    <w:rsid w:val="00352B22"/>
    <w:rsid w:val="003561A2"/>
    <w:rsid w:val="003769B4"/>
    <w:rsid w:val="003800AB"/>
    <w:rsid w:val="00380B03"/>
    <w:rsid w:val="00386E4C"/>
    <w:rsid w:val="00387ECB"/>
    <w:rsid w:val="003906BF"/>
    <w:rsid w:val="00396456"/>
    <w:rsid w:val="003B5105"/>
    <w:rsid w:val="003E5699"/>
    <w:rsid w:val="003E78DD"/>
    <w:rsid w:val="003F782D"/>
    <w:rsid w:val="00404A6A"/>
    <w:rsid w:val="0041237C"/>
    <w:rsid w:val="00412E6A"/>
    <w:rsid w:val="00420460"/>
    <w:rsid w:val="00434C71"/>
    <w:rsid w:val="0044364F"/>
    <w:rsid w:val="0044622B"/>
    <w:rsid w:val="004509D5"/>
    <w:rsid w:val="00455C0D"/>
    <w:rsid w:val="00460048"/>
    <w:rsid w:val="004617B8"/>
    <w:rsid w:val="00464478"/>
    <w:rsid w:val="00473C75"/>
    <w:rsid w:val="004754AC"/>
    <w:rsid w:val="00475575"/>
    <w:rsid w:val="0047582C"/>
    <w:rsid w:val="00482E42"/>
    <w:rsid w:val="00483D5A"/>
    <w:rsid w:val="00490580"/>
    <w:rsid w:val="00491B34"/>
    <w:rsid w:val="004A06B4"/>
    <w:rsid w:val="004A0E54"/>
    <w:rsid w:val="004A1FDE"/>
    <w:rsid w:val="004B6D78"/>
    <w:rsid w:val="004C23D8"/>
    <w:rsid w:val="004C3EFD"/>
    <w:rsid w:val="004C447E"/>
    <w:rsid w:val="004E2DDD"/>
    <w:rsid w:val="004F66D0"/>
    <w:rsid w:val="004F6F80"/>
    <w:rsid w:val="005041D9"/>
    <w:rsid w:val="0050548B"/>
    <w:rsid w:val="00513A64"/>
    <w:rsid w:val="00520C21"/>
    <w:rsid w:val="00525893"/>
    <w:rsid w:val="00527BB1"/>
    <w:rsid w:val="00532431"/>
    <w:rsid w:val="00536F1A"/>
    <w:rsid w:val="00546B9F"/>
    <w:rsid w:val="0054754B"/>
    <w:rsid w:val="00556D5C"/>
    <w:rsid w:val="00557A9C"/>
    <w:rsid w:val="0056639E"/>
    <w:rsid w:val="00570C8B"/>
    <w:rsid w:val="005729A1"/>
    <w:rsid w:val="005744C7"/>
    <w:rsid w:val="005A7107"/>
    <w:rsid w:val="005A714A"/>
    <w:rsid w:val="005A7CC8"/>
    <w:rsid w:val="005B211A"/>
    <w:rsid w:val="005B7D4E"/>
    <w:rsid w:val="005C0214"/>
    <w:rsid w:val="005C5ECB"/>
    <w:rsid w:val="005D20B6"/>
    <w:rsid w:val="005D363E"/>
    <w:rsid w:val="00600832"/>
    <w:rsid w:val="00615028"/>
    <w:rsid w:val="00636691"/>
    <w:rsid w:val="00637DFE"/>
    <w:rsid w:val="0064252E"/>
    <w:rsid w:val="006444A1"/>
    <w:rsid w:val="00645157"/>
    <w:rsid w:val="00645247"/>
    <w:rsid w:val="006503A0"/>
    <w:rsid w:val="006527D3"/>
    <w:rsid w:val="0066770F"/>
    <w:rsid w:val="006718CB"/>
    <w:rsid w:val="00694348"/>
    <w:rsid w:val="006C1E1E"/>
    <w:rsid w:val="006C3273"/>
    <w:rsid w:val="006C6506"/>
    <w:rsid w:val="006D0A9D"/>
    <w:rsid w:val="006D1B27"/>
    <w:rsid w:val="006D2DAC"/>
    <w:rsid w:val="006D4F8B"/>
    <w:rsid w:val="006F17B0"/>
    <w:rsid w:val="007024D8"/>
    <w:rsid w:val="00707114"/>
    <w:rsid w:val="007077AB"/>
    <w:rsid w:val="00717135"/>
    <w:rsid w:val="00721438"/>
    <w:rsid w:val="00732028"/>
    <w:rsid w:val="00736E67"/>
    <w:rsid w:val="00744896"/>
    <w:rsid w:val="00746C87"/>
    <w:rsid w:val="00760FD5"/>
    <w:rsid w:val="00765FBE"/>
    <w:rsid w:val="00771578"/>
    <w:rsid w:val="0077374D"/>
    <w:rsid w:val="00773DF5"/>
    <w:rsid w:val="007752C9"/>
    <w:rsid w:val="00777496"/>
    <w:rsid w:val="00781B21"/>
    <w:rsid w:val="0078248A"/>
    <w:rsid w:val="00784445"/>
    <w:rsid w:val="00786EE6"/>
    <w:rsid w:val="00797462"/>
    <w:rsid w:val="007C4590"/>
    <w:rsid w:val="007D10C0"/>
    <w:rsid w:val="007D1A07"/>
    <w:rsid w:val="007E162F"/>
    <w:rsid w:val="007F0ACF"/>
    <w:rsid w:val="007F6334"/>
    <w:rsid w:val="007F7015"/>
    <w:rsid w:val="00803A33"/>
    <w:rsid w:val="008144A2"/>
    <w:rsid w:val="00823A18"/>
    <w:rsid w:val="00827839"/>
    <w:rsid w:val="00831454"/>
    <w:rsid w:val="008315C1"/>
    <w:rsid w:val="00832571"/>
    <w:rsid w:val="0083336E"/>
    <w:rsid w:val="0083733E"/>
    <w:rsid w:val="00845D8A"/>
    <w:rsid w:val="00851B41"/>
    <w:rsid w:val="00857375"/>
    <w:rsid w:val="00872756"/>
    <w:rsid w:val="00874F73"/>
    <w:rsid w:val="008B18AF"/>
    <w:rsid w:val="008B4135"/>
    <w:rsid w:val="008B5B81"/>
    <w:rsid w:val="008C1893"/>
    <w:rsid w:val="008C3F71"/>
    <w:rsid w:val="008C7E8B"/>
    <w:rsid w:val="008D5D3E"/>
    <w:rsid w:val="008D79B6"/>
    <w:rsid w:val="008E0459"/>
    <w:rsid w:val="008F388F"/>
    <w:rsid w:val="008F3EC7"/>
    <w:rsid w:val="008F4F9D"/>
    <w:rsid w:val="008F4FDD"/>
    <w:rsid w:val="008F5DD9"/>
    <w:rsid w:val="00912ADC"/>
    <w:rsid w:val="00912B4F"/>
    <w:rsid w:val="009161D2"/>
    <w:rsid w:val="009164EA"/>
    <w:rsid w:val="00922925"/>
    <w:rsid w:val="00930A05"/>
    <w:rsid w:val="0093273B"/>
    <w:rsid w:val="00933DAA"/>
    <w:rsid w:val="00940091"/>
    <w:rsid w:val="00940875"/>
    <w:rsid w:val="009436C7"/>
    <w:rsid w:val="0094740F"/>
    <w:rsid w:val="009506F1"/>
    <w:rsid w:val="00954A45"/>
    <w:rsid w:val="0097196B"/>
    <w:rsid w:val="009722D0"/>
    <w:rsid w:val="009755A5"/>
    <w:rsid w:val="009772C6"/>
    <w:rsid w:val="009969E3"/>
    <w:rsid w:val="009A2F0B"/>
    <w:rsid w:val="009A3B54"/>
    <w:rsid w:val="009A6FB1"/>
    <w:rsid w:val="009B011E"/>
    <w:rsid w:val="009B2FF0"/>
    <w:rsid w:val="009C693A"/>
    <w:rsid w:val="009D65CC"/>
    <w:rsid w:val="009F230D"/>
    <w:rsid w:val="00A02F84"/>
    <w:rsid w:val="00A0300D"/>
    <w:rsid w:val="00A0364E"/>
    <w:rsid w:val="00A05A26"/>
    <w:rsid w:val="00A121D5"/>
    <w:rsid w:val="00A12D8A"/>
    <w:rsid w:val="00A141B0"/>
    <w:rsid w:val="00A2374E"/>
    <w:rsid w:val="00A64903"/>
    <w:rsid w:val="00A80775"/>
    <w:rsid w:val="00A86959"/>
    <w:rsid w:val="00AA0859"/>
    <w:rsid w:val="00AB1BE8"/>
    <w:rsid w:val="00AB655C"/>
    <w:rsid w:val="00AC289E"/>
    <w:rsid w:val="00AD03A9"/>
    <w:rsid w:val="00AD3624"/>
    <w:rsid w:val="00B05B04"/>
    <w:rsid w:val="00B11EF2"/>
    <w:rsid w:val="00B30C13"/>
    <w:rsid w:val="00B30C27"/>
    <w:rsid w:val="00B34690"/>
    <w:rsid w:val="00B475FE"/>
    <w:rsid w:val="00B5458F"/>
    <w:rsid w:val="00B63311"/>
    <w:rsid w:val="00B637F6"/>
    <w:rsid w:val="00B70659"/>
    <w:rsid w:val="00B71965"/>
    <w:rsid w:val="00B76514"/>
    <w:rsid w:val="00B92125"/>
    <w:rsid w:val="00B927A8"/>
    <w:rsid w:val="00B96845"/>
    <w:rsid w:val="00BA4A54"/>
    <w:rsid w:val="00BB2D80"/>
    <w:rsid w:val="00BB4ED4"/>
    <w:rsid w:val="00BB4F87"/>
    <w:rsid w:val="00BB6CFE"/>
    <w:rsid w:val="00BC0AC8"/>
    <w:rsid w:val="00BC3405"/>
    <w:rsid w:val="00BC350B"/>
    <w:rsid w:val="00BC4913"/>
    <w:rsid w:val="00BD2AFF"/>
    <w:rsid w:val="00BD4D0E"/>
    <w:rsid w:val="00BE19C7"/>
    <w:rsid w:val="00BE43A2"/>
    <w:rsid w:val="00BF2C51"/>
    <w:rsid w:val="00C132EE"/>
    <w:rsid w:val="00C33221"/>
    <w:rsid w:val="00C352F9"/>
    <w:rsid w:val="00C55792"/>
    <w:rsid w:val="00C577E0"/>
    <w:rsid w:val="00C64AB0"/>
    <w:rsid w:val="00C82045"/>
    <w:rsid w:val="00C83B0D"/>
    <w:rsid w:val="00C8472F"/>
    <w:rsid w:val="00C91316"/>
    <w:rsid w:val="00C9736F"/>
    <w:rsid w:val="00CA3CBB"/>
    <w:rsid w:val="00CA5947"/>
    <w:rsid w:val="00CB3930"/>
    <w:rsid w:val="00CB7C71"/>
    <w:rsid w:val="00CC2951"/>
    <w:rsid w:val="00CD02AC"/>
    <w:rsid w:val="00CE7C91"/>
    <w:rsid w:val="00CF2F93"/>
    <w:rsid w:val="00CF6A32"/>
    <w:rsid w:val="00D22864"/>
    <w:rsid w:val="00D331A9"/>
    <w:rsid w:val="00D37957"/>
    <w:rsid w:val="00D37B13"/>
    <w:rsid w:val="00D44DE2"/>
    <w:rsid w:val="00D47079"/>
    <w:rsid w:val="00D52EE2"/>
    <w:rsid w:val="00D53AA6"/>
    <w:rsid w:val="00D610C2"/>
    <w:rsid w:val="00D611A7"/>
    <w:rsid w:val="00D71B60"/>
    <w:rsid w:val="00D71FFA"/>
    <w:rsid w:val="00D741B6"/>
    <w:rsid w:val="00D75116"/>
    <w:rsid w:val="00D85934"/>
    <w:rsid w:val="00D92B09"/>
    <w:rsid w:val="00D941E6"/>
    <w:rsid w:val="00DB4DC1"/>
    <w:rsid w:val="00DC2A56"/>
    <w:rsid w:val="00DC4413"/>
    <w:rsid w:val="00DD3BEA"/>
    <w:rsid w:val="00DD3FB3"/>
    <w:rsid w:val="00DF72F0"/>
    <w:rsid w:val="00E0541A"/>
    <w:rsid w:val="00E1363E"/>
    <w:rsid w:val="00E222D6"/>
    <w:rsid w:val="00E2295E"/>
    <w:rsid w:val="00E302BB"/>
    <w:rsid w:val="00E35341"/>
    <w:rsid w:val="00E60E43"/>
    <w:rsid w:val="00E67F06"/>
    <w:rsid w:val="00E752F7"/>
    <w:rsid w:val="00E75834"/>
    <w:rsid w:val="00E8436B"/>
    <w:rsid w:val="00E92822"/>
    <w:rsid w:val="00E94FE4"/>
    <w:rsid w:val="00EA6196"/>
    <w:rsid w:val="00EB699A"/>
    <w:rsid w:val="00EC1A36"/>
    <w:rsid w:val="00EC6B57"/>
    <w:rsid w:val="00ED4E57"/>
    <w:rsid w:val="00EE4287"/>
    <w:rsid w:val="00EE42F2"/>
    <w:rsid w:val="00EE64BF"/>
    <w:rsid w:val="00EF1451"/>
    <w:rsid w:val="00EF495A"/>
    <w:rsid w:val="00F0012A"/>
    <w:rsid w:val="00F12338"/>
    <w:rsid w:val="00F23761"/>
    <w:rsid w:val="00F40914"/>
    <w:rsid w:val="00F40C1D"/>
    <w:rsid w:val="00F47E5D"/>
    <w:rsid w:val="00F52A63"/>
    <w:rsid w:val="00F55387"/>
    <w:rsid w:val="00F604AF"/>
    <w:rsid w:val="00F72254"/>
    <w:rsid w:val="00F72733"/>
    <w:rsid w:val="00F8130E"/>
    <w:rsid w:val="00F9509B"/>
    <w:rsid w:val="00FA3F6C"/>
    <w:rsid w:val="00FC1CB2"/>
    <w:rsid w:val="00FC3671"/>
    <w:rsid w:val="00FE64CA"/>
    <w:rsid w:val="00FF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EB271"/>
  <w15:docId w15:val="{29192123-C141-4B5B-902B-8F83A0F0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C289E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07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D52EE2"/>
    <w:rPr>
      <w:sz w:val="16"/>
      <w:szCs w:val="16"/>
    </w:rPr>
  </w:style>
  <w:style w:type="paragraph" w:styleId="Tekstkomentarza">
    <w:name w:val="annotation text"/>
    <w:basedOn w:val="Normalny"/>
    <w:semiHidden/>
    <w:rsid w:val="00D52E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52EE2"/>
    <w:rPr>
      <w:b/>
      <w:bCs/>
    </w:rPr>
  </w:style>
  <w:style w:type="paragraph" w:styleId="Tekstdymka">
    <w:name w:val="Balloon Text"/>
    <w:basedOn w:val="Normalny"/>
    <w:semiHidden/>
    <w:rsid w:val="00D52EE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3624"/>
    <w:pPr>
      <w:widowControl w:val="0"/>
      <w:autoSpaceDE w:val="0"/>
      <w:autoSpaceDN w:val="0"/>
      <w:adjustRightInd w:val="0"/>
    </w:pPr>
    <w:rPr>
      <w:rFonts w:ascii="CKBKDC+Arial" w:hAnsi="CKBKDC+Arial" w:cs="CKBKDC+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25893"/>
    <w:pPr>
      <w:ind w:left="720"/>
      <w:contextualSpacing/>
    </w:pPr>
    <w:rPr>
      <w:rFonts w:eastAsia="Calibri"/>
    </w:rPr>
  </w:style>
  <w:style w:type="paragraph" w:customStyle="1" w:styleId="gwp4e981905default">
    <w:name w:val="gwp4e981905_default"/>
    <w:basedOn w:val="Normalny"/>
    <w:rsid w:val="00AD03A9"/>
    <w:pPr>
      <w:spacing w:before="100" w:beforeAutospacing="1" w:after="100" w:afterAutospacing="1"/>
    </w:pPr>
    <w:rPr>
      <w:lang w:eastAsia="pl-PL"/>
    </w:rPr>
  </w:style>
  <w:style w:type="paragraph" w:styleId="Poprawka">
    <w:name w:val="Revision"/>
    <w:hidden/>
    <w:uiPriority w:val="99"/>
    <w:semiHidden/>
    <w:rsid w:val="00A0300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71FA8-BD71-4DC4-8942-688900F63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1662</Words>
  <Characters>10820</Characters>
  <Application>Microsoft Office Word</Application>
  <DocSecurity>0</DocSecurity>
  <Lines>90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Program Colitis_Tabela</vt:lpstr>
    </vt:vector>
  </TitlesOfParts>
  <Company/>
  <LinksUpToDate>false</LinksUpToDate>
  <CharactersWithSpaces>12458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Bonek Przemysław</dc:creator>
  <cp:lastModifiedBy>Królak-Buzakowska Joanna</cp:lastModifiedBy>
  <cp:revision>4</cp:revision>
  <cp:lastPrinted>2015-09-16T08:43:00Z</cp:lastPrinted>
  <dcterms:created xsi:type="dcterms:W3CDTF">2021-12-02T14:47:00Z</dcterms:created>
  <dcterms:modified xsi:type="dcterms:W3CDTF">2021-12-02T15:21:00Z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