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91DF0" w14:textId="44A9E8DC" w:rsidR="00E96AE0" w:rsidRPr="00B75E69" w:rsidRDefault="00E96AE0" w:rsidP="00E96AE0">
      <w:pPr>
        <w:pStyle w:val="Tytu"/>
        <w:spacing w:after="120"/>
        <w:ind w:right="-426"/>
        <w:rPr>
          <w:rFonts w:ascii="Cambria" w:hAnsi="Cambria"/>
          <w:lang w:val="pl-PL"/>
        </w:rPr>
      </w:pPr>
      <w:bookmarkStart w:id="0" w:name="_Toc415257909"/>
      <w:r w:rsidRPr="00B75E69">
        <w:rPr>
          <w:rFonts w:ascii="Cambria" w:hAnsi="Cambria"/>
          <w:lang w:val="pl-PL"/>
        </w:rPr>
        <w:t>Przegląd orzeczeń</w:t>
      </w:r>
      <w:r w:rsidRPr="00B75E69">
        <w:rPr>
          <w:rFonts w:ascii="Cambria" w:hAnsi="Cambria"/>
          <w:lang w:val="pl-PL"/>
        </w:rPr>
        <w:br/>
        <w:t>Europejskiego Trybunału Praw Człowieka</w:t>
      </w:r>
      <w:r w:rsidRPr="00B75E69">
        <w:rPr>
          <w:rFonts w:ascii="Cambria" w:hAnsi="Cambria"/>
          <w:lang w:val="pl-PL"/>
        </w:rPr>
        <w:br/>
        <w:t>wydanych w 20</w:t>
      </w:r>
      <w:r>
        <w:rPr>
          <w:rFonts w:ascii="Cambria" w:hAnsi="Cambria"/>
          <w:lang w:val="pl-PL"/>
        </w:rPr>
        <w:t>14</w:t>
      </w:r>
      <w:r w:rsidRPr="00B75E69">
        <w:rPr>
          <w:rFonts w:ascii="Cambria" w:hAnsi="Cambria"/>
          <w:lang w:val="pl-PL"/>
        </w:rPr>
        <w:t xml:space="preserve"> r.   </w:t>
      </w:r>
    </w:p>
    <w:p w14:paraId="018E4726" w14:textId="77777777" w:rsidR="00E96AE0" w:rsidRDefault="00E96AE0" w:rsidP="00E96AE0">
      <w:pPr>
        <w:spacing w:after="120"/>
        <w:rPr>
          <w:lang w:val="pl-PL"/>
        </w:rPr>
      </w:pPr>
      <w:r>
        <w:rPr>
          <w:lang w:val="pl-PL"/>
        </w:rPr>
        <w:t xml:space="preserve"> </w:t>
      </w:r>
      <w:r>
        <w:rPr>
          <w:noProof/>
          <w:lang w:val="pl-PL" w:eastAsia="pl-PL"/>
        </w:rPr>
        <w:drawing>
          <wp:inline distT="0" distB="0" distL="0" distR="0" wp14:anchorId="5CF08E1A" wp14:editId="13886AA4">
            <wp:extent cx="5760720" cy="3840480"/>
            <wp:effectExtent l="0" t="0" r="0" b="7620"/>
            <wp:docPr id="1" name="Obraz 1" descr="Obraz zawierający na wolnym powietrzu, niebo, drzewo, roślin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na wolnym powietrzu, niebo, drzewo, roślina&#10;&#10;Zawartość wygenerowana przez AI może być niepoprawn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4A4C30CE" w14:textId="77777777" w:rsidR="00E96AE0" w:rsidRPr="00E45FD7" w:rsidRDefault="00E96AE0" w:rsidP="00E96AE0">
      <w:pPr>
        <w:pStyle w:val="Tytu"/>
        <w:spacing w:after="120"/>
        <w:ind w:right="-426"/>
        <w:rPr>
          <w:rFonts w:ascii="Cambria" w:hAnsi="Cambria"/>
          <w:sz w:val="46"/>
          <w:lang w:val="pl-PL"/>
        </w:rPr>
      </w:pPr>
      <w:r w:rsidRPr="00E45FD7">
        <w:rPr>
          <w:rFonts w:ascii="Cambria" w:hAnsi="Cambria"/>
          <w:sz w:val="46"/>
          <w:lang w:val="pl-PL"/>
        </w:rPr>
        <w:t>- wybrane sprawy z listy wiodących orzeczeń wskazanych przez Trybunał</w:t>
      </w:r>
    </w:p>
    <w:p w14:paraId="67F92AEC" w14:textId="4BD47CCB" w:rsidR="00E96AE0" w:rsidRPr="00E45FD7" w:rsidRDefault="00E96AE0" w:rsidP="00E96AE0">
      <w:pPr>
        <w:spacing w:after="120"/>
        <w:jc w:val="center"/>
        <w:rPr>
          <w:rFonts w:cstheme="minorHAnsi"/>
          <w:lang w:val="pl-PL"/>
        </w:rPr>
      </w:pPr>
      <w:r w:rsidRPr="00E45FD7">
        <w:rPr>
          <w:rFonts w:cstheme="minorHAnsi"/>
          <w:lang w:val="pl-PL"/>
        </w:rPr>
        <w:t>Warszawa, sierpień 20</w:t>
      </w:r>
      <w:r>
        <w:rPr>
          <w:rFonts w:cstheme="minorHAnsi"/>
          <w:lang w:val="pl-PL"/>
        </w:rPr>
        <w:t>15</w:t>
      </w:r>
      <w:r w:rsidRPr="00E45FD7">
        <w:rPr>
          <w:rFonts w:cstheme="minorHAnsi"/>
          <w:lang w:val="pl-PL"/>
        </w:rPr>
        <w:t xml:space="preserve"> r.</w:t>
      </w:r>
    </w:p>
    <w:p w14:paraId="114DE772" w14:textId="77777777" w:rsidR="00852C87" w:rsidRDefault="00852C87" w:rsidP="005F7FDE">
      <w:pPr>
        <w:autoSpaceDE w:val="0"/>
        <w:autoSpaceDN w:val="0"/>
        <w:adjustRightInd w:val="0"/>
        <w:spacing w:after="0" w:line="240" w:lineRule="auto"/>
        <w:jc w:val="center"/>
        <w:rPr>
          <w:rFonts w:cs="Verdana"/>
          <w:b/>
          <w:bCs/>
          <w:sz w:val="48"/>
          <w:szCs w:val="48"/>
          <w:lang w:val="pl-PL"/>
        </w:rPr>
      </w:pPr>
    </w:p>
    <w:p w14:paraId="790FD502" w14:textId="1C3E2210" w:rsidR="00852C87" w:rsidRDefault="00852C87" w:rsidP="005F7FDE">
      <w:pPr>
        <w:autoSpaceDE w:val="0"/>
        <w:autoSpaceDN w:val="0"/>
        <w:adjustRightInd w:val="0"/>
        <w:spacing w:after="0" w:line="240" w:lineRule="auto"/>
        <w:jc w:val="center"/>
        <w:rPr>
          <w:rFonts w:cs="Verdana"/>
          <w:b/>
          <w:bCs/>
          <w:sz w:val="24"/>
          <w:szCs w:val="24"/>
          <w:lang w:val="pl-PL"/>
        </w:rPr>
      </w:pPr>
    </w:p>
    <w:p w14:paraId="15F69F44" w14:textId="77777777" w:rsidR="00852C87" w:rsidRPr="000C3591" w:rsidRDefault="00852C87" w:rsidP="00852C87">
      <w:pPr>
        <w:autoSpaceDE w:val="0"/>
        <w:autoSpaceDN w:val="0"/>
        <w:adjustRightInd w:val="0"/>
        <w:spacing w:after="0" w:line="240" w:lineRule="auto"/>
        <w:jc w:val="both"/>
        <w:rPr>
          <w:rFonts w:cs="Verdana"/>
          <w:b/>
          <w:bCs/>
          <w:sz w:val="24"/>
          <w:szCs w:val="24"/>
          <w:lang w:val="pl-PL"/>
        </w:rPr>
      </w:pPr>
      <w:r>
        <w:rPr>
          <w:rFonts w:cs="Verdana"/>
          <w:b/>
          <w:bCs/>
          <w:sz w:val="24"/>
          <w:szCs w:val="24"/>
          <w:lang w:val="pl-PL"/>
        </w:rPr>
        <w:lastRenderedPageBreak/>
        <w:t>Spis treś</w:t>
      </w:r>
      <w:r w:rsidRPr="000C3591">
        <w:rPr>
          <w:rFonts w:cs="Verdana"/>
          <w:b/>
          <w:bCs/>
          <w:sz w:val="24"/>
          <w:szCs w:val="24"/>
          <w:lang w:val="pl-PL"/>
        </w:rPr>
        <w:t>ci</w:t>
      </w:r>
    </w:p>
    <w:p w14:paraId="3148AD79" w14:textId="77777777" w:rsidR="00852C87" w:rsidRPr="000C3591" w:rsidRDefault="00852C87" w:rsidP="00852C87">
      <w:pPr>
        <w:autoSpaceDE w:val="0"/>
        <w:autoSpaceDN w:val="0"/>
        <w:adjustRightInd w:val="0"/>
        <w:spacing w:after="0" w:line="240" w:lineRule="auto"/>
        <w:jc w:val="both"/>
        <w:rPr>
          <w:rFonts w:cs="Verdana"/>
          <w:b/>
          <w:bCs/>
          <w:sz w:val="24"/>
          <w:szCs w:val="24"/>
          <w:lang w:val="pl-PL"/>
        </w:rPr>
      </w:pPr>
    </w:p>
    <w:p w14:paraId="4C33D685" w14:textId="50DE376F" w:rsidR="000C3591" w:rsidRPr="00AF51AB" w:rsidRDefault="00C8103F">
      <w:pPr>
        <w:pStyle w:val="Spistreci1"/>
        <w:tabs>
          <w:tab w:val="left" w:pos="440"/>
          <w:tab w:val="right" w:leader="dot" w:pos="9062"/>
        </w:tabs>
        <w:rPr>
          <w:rFonts w:eastAsiaTheme="minorEastAsia"/>
          <w:noProof/>
          <w:lang w:val="pl-PL" w:eastAsia="pl-PL"/>
        </w:rPr>
      </w:pPr>
      <w:r w:rsidRPr="00AF51AB">
        <w:rPr>
          <w:rFonts w:cs="Verdana"/>
          <w:sz w:val="24"/>
          <w:szCs w:val="24"/>
          <w:lang w:val="pl-PL"/>
        </w:rPr>
        <w:fldChar w:fldCharType="begin"/>
      </w:r>
      <w:r w:rsidR="00852C87" w:rsidRPr="00AF51AB">
        <w:rPr>
          <w:rFonts w:cs="Verdana"/>
          <w:sz w:val="24"/>
          <w:szCs w:val="24"/>
          <w:lang w:val="pl-PL"/>
        </w:rPr>
        <w:instrText xml:space="preserve"> TOC \o "1-1" \h \z \u </w:instrText>
      </w:r>
      <w:r w:rsidRPr="00AF51AB">
        <w:rPr>
          <w:rFonts w:cs="Verdana"/>
          <w:sz w:val="24"/>
          <w:szCs w:val="24"/>
          <w:lang w:val="pl-PL"/>
        </w:rPr>
        <w:fldChar w:fldCharType="separate"/>
      </w:r>
      <w:hyperlink w:anchor="_Toc415646181" w:history="1">
        <w:r w:rsidR="000C3591" w:rsidRPr="00AF51AB">
          <w:rPr>
            <w:rStyle w:val="Hipercze"/>
            <w:noProof/>
            <w:lang w:val="pl-PL"/>
          </w:rPr>
          <w:t>1.</w:t>
        </w:r>
        <w:r w:rsidR="000C3591" w:rsidRPr="00AF51AB">
          <w:rPr>
            <w:rFonts w:eastAsiaTheme="minorEastAsia"/>
            <w:noProof/>
            <w:lang w:val="pl-PL" w:eastAsia="pl-PL"/>
          </w:rPr>
          <w:tab/>
        </w:r>
        <w:r w:rsidR="000C3591" w:rsidRPr="00AF51AB">
          <w:rPr>
            <w:rStyle w:val="Hipercze"/>
            <w:noProof/>
            <w:lang w:val="pl-PL"/>
          </w:rPr>
          <w:t xml:space="preserve">Ališić i Inni przeciwko Bośni i Hercegowinie, Chorwacji, Serbii, Słowenii oraz byłej Jugosłowiańskiej Republice Macedonii </w:t>
        </w:r>
        <w:r w:rsidR="000C3591" w:rsidRPr="00AF51AB">
          <w:rPr>
            <w:noProof/>
            <w:webHidden/>
          </w:rPr>
          <w:tab/>
        </w:r>
        <w:r w:rsidR="000C3591" w:rsidRPr="00AF51AB">
          <w:rPr>
            <w:noProof/>
            <w:webHidden/>
          </w:rPr>
          <w:fldChar w:fldCharType="begin"/>
        </w:r>
        <w:r w:rsidR="000C3591" w:rsidRPr="00AF51AB">
          <w:rPr>
            <w:noProof/>
            <w:webHidden/>
          </w:rPr>
          <w:instrText xml:space="preserve"> PAGEREF _Toc415646181 \h </w:instrText>
        </w:r>
        <w:r w:rsidR="000C3591" w:rsidRPr="00AF51AB">
          <w:rPr>
            <w:noProof/>
            <w:webHidden/>
          </w:rPr>
        </w:r>
        <w:r w:rsidR="000C3591" w:rsidRPr="00AF51AB">
          <w:rPr>
            <w:noProof/>
            <w:webHidden/>
          </w:rPr>
          <w:fldChar w:fldCharType="separate"/>
        </w:r>
        <w:r w:rsidR="007845A3">
          <w:rPr>
            <w:noProof/>
            <w:webHidden/>
          </w:rPr>
          <w:t>3</w:t>
        </w:r>
        <w:r w:rsidR="000C3591" w:rsidRPr="00AF51AB">
          <w:rPr>
            <w:noProof/>
            <w:webHidden/>
          </w:rPr>
          <w:fldChar w:fldCharType="end"/>
        </w:r>
      </w:hyperlink>
    </w:p>
    <w:p w14:paraId="7BB984CE" w14:textId="6E2256F3" w:rsidR="000C3591" w:rsidRPr="00AF51AB" w:rsidRDefault="000C3591">
      <w:pPr>
        <w:pStyle w:val="Spistreci1"/>
        <w:tabs>
          <w:tab w:val="left" w:pos="440"/>
          <w:tab w:val="right" w:leader="dot" w:pos="9062"/>
        </w:tabs>
        <w:rPr>
          <w:rFonts w:eastAsiaTheme="minorEastAsia"/>
          <w:noProof/>
          <w:lang w:val="pl-PL" w:eastAsia="pl-PL"/>
        </w:rPr>
      </w:pPr>
      <w:hyperlink w:anchor="_Toc415646182" w:history="1">
        <w:r w:rsidRPr="00AF51AB">
          <w:rPr>
            <w:rStyle w:val="Hipercze"/>
            <w:noProof/>
            <w:lang w:val="pl-PL"/>
          </w:rPr>
          <w:t>2.</w:t>
        </w:r>
        <w:r w:rsidRPr="00AF51AB">
          <w:rPr>
            <w:rFonts w:eastAsiaTheme="minorEastAsia"/>
            <w:noProof/>
            <w:lang w:val="pl-PL" w:eastAsia="pl-PL"/>
          </w:rPr>
          <w:tab/>
        </w:r>
        <w:r w:rsidRPr="00AF51AB">
          <w:rPr>
            <w:rStyle w:val="Hipercze"/>
            <w:noProof/>
            <w:lang w:val="pl-PL"/>
          </w:rPr>
          <w:t xml:space="preserve">Battista przeciwko Włochom </w:t>
        </w:r>
        <w:r w:rsidRPr="00AF51AB">
          <w:rPr>
            <w:noProof/>
            <w:webHidden/>
          </w:rPr>
          <w:tab/>
        </w:r>
        <w:r w:rsidRPr="00AF51AB">
          <w:rPr>
            <w:noProof/>
            <w:webHidden/>
          </w:rPr>
          <w:fldChar w:fldCharType="begin"/>
        </w:r>
        <w:r w:rsidRPr="00AF51AB">
          <w:rPr>
            <w:noProof/>
            <w:webHidden/>
          </w:rPr>
          <w:instrText xml:space="preserve"> PAGEREF _Toc415646182 \h </w:instrText>
        </w:r>
        <w:r w:rsidRPr="00AF51AB">
          <w:rPr>
            <w:noProof/>
            <w:webHidden/>
          </w:rPr>
        </w:r>
        <w:r w:rsidRPr="00AF51AB">
          <w:rPr>
            <w:noProof/>
            <w:webHidden/>
          </w:rPr>
          <w:fldChar w:fldCharType="separate"/>
        </w:r>
        <w:r w:rsidR="007845A3">
          <w:rPr>
            <w:noProof/>
            <w:webHidden/>
          </w:rPr>
          <w:t>4</w:t>
        </w:r>
        <w:r w:rsidRPr="00AF51AB">
          <w:rPr>
            <w:noProof/>
            <w:webHidden/>
          </w:rPr>
          <w:fldChar w:fldCharType="end"/>
        </w:r>
      </w:hyperlink>
    </w:p>
    <w:p w14:paraId="1728C089" w14:textId="4BF22312" w:rsidR="000C3591" w:rsidRPr="00AF51AB" w:rsidRDefault="000C3591">
      <w:pPr>
        <w:pStyle w:val="Spistreci1"/>
        <w:tabs>
          <w:tab w:val="left" w:pos="440"/>
          <w:tab w:val="right" w:leader="dot" w:pos="9062"/>
        </w:tabs>
        <w:rPr>
          <w:rFonts w:eastAsiaTheme="minorEastAsia"/>
          <w:noProof/>
          <w:lang w:val="pl-PL" w:eastAsia="pl-PL"/>
        </w:rPr>
      </w:pPr>
      <w:hyperlink w:anchor="_Toc415646183" w:history="1">
        <w:r w:rsidRPr="00AF51AB">
          <w:rPr>
            <w:rStyle w:val="Hipercze"/>
            <w:noProof/>
          </w:rPr>
          <w:t>3.</w:t>
        </w:r>
        <w:r w:rsidRPr="00AF51AB">
          <w:rPr>
            <w:rFonts w:eastAsiaTheme="minorEastAsia"/>
            <w:noProof/>
            <w:lang w:val="pl-PL" w:eastAsia="pl-PL"/>
          </w:rPr>
          <w:tab/>
        </w:r>
        <w:r w:rsidRPr="00AF51AB">
          <w:rPr>
            <w:rStyle w:val="Hipercze"/>
            <w:noProof/>
          </w:rPr>
          <w:t xml:space="preserve">Centre for Legal Resources on behalf of Valentin Câmpeanu przeciwko Rumunii </w:t>
        </w:r>
        <w:r w:rsidRPr="00AF51AB">
          <w:rPr>
            <w:noProof/>
            <w:webHidden/>
          </w:rPr>
          <w:tab/>
        </w:r>
        <w:r w:rsidRPr="00AF51AB">
          <w:rPr>
            <w:noProof/>
            <w:webHidden/>
          </w:rPr>
          <w:fldChar w:fldCharType="begin"/>
        </w:r>
        <w:r w:rsidRPr="00AF51AB">
          <w:rPr>
            <w:noProof/>
            <w:webHidden/>
          </w:rPr>
          <w:instrText xml:space="preserve"> PAGEREF _Toc415646183 \h </w:instrText>
        </w:r>
        <w:r w:rsidRPr="00AF51AB">
          <w:rPr>
            <w:noProof/>
            <w:webHidden/>
          </w:rPr>
        </w:r>
        <w:r w:rsidRPr="00AF51AB">
          <w:rPr>
            <w:noProof/>
            <w:webHidden/>
          </w:rPr>
          <w:fldChar w:fldCharType="separate"/>
        </w:r>
        <w:r w:rsidR="007845A3">
          <w:rPr>
            <w:noProof/>
            <w:webHidden/>
          </w:rPr>
          <w:t>4</w:t>
        </w:r>
        <w:r w:rsidRPr="00AF51AB">
          <w:rPr>
            <w:noProof/>
            <w:webHidden/>
          </w:rPr>
          <w:fldChar w:fldCharType="end"/>
        </w:r>
      </w:hyperlink>
    </w:p>
    <w:p w14:paraId="116EF840" w14:textId="42357E20" w:rsidR="000C3591" w:rsidRPr="00AF51AB" w:rsidRDefault="000C3591">
      <w:pPr>
        <w:pStyle w:val="Spistreci1"/>
        <w:tabs>
          <w:tab w:val="left" w:pos="440"/>
          <w:tab w:val="right" w:leader="dot" w:pos="9062"/>
        </w:tabs>
        <w:rPr>
          <w:rFonts w:eastAsiaTheme="minorEastAsia"/>
          <w:noProof/>
          <w:lang w:val="pl-PL" w:eastAsia="pl-PL"/>
        </w:rPr>
      </w:pPr>
      <w:hyperlink w:anchor="_Toc415646184" w:history="1">
        <w:r w:rsidRPr="00AF51AB">
          <w:rPr>
            <w:rStyle w:val="Hipercze"/>
            <w:noProof/>
            <w:lang w:val="pl-PL"/>
          </w:rPr>
          <w:t>4.</w:t>
        </w:r>
        <w:r w:rsidRPr="00AF51AB">
          <w:rPr>
            <w:rFonts w:eastAsiaTheme="minorEastAsia"/>
            <w:noProof/>
            <w:lang w:val="pl-PL" w:eastAsia="pl-PL"/>
          </w:rPr>
          <w:tab/>
        </w:r>
        <w:r w:rsidRPr="00AF51AB">
          <w:rPr>
            <w:rStyle w:val="Hipercze"/>
            <w:noProof/>
            <w:lang w:val="pl-PL"/>
          </w:rPr>
          <w:t>Cypr przeciwko Turcji (słuszne zadośćuczynienie), wyrok Wielkiej Izby z 12.05.2014</w:t>
        </w:r>
        <w:r w:rsidRPr="00AF51AB">
          <w:rPr>
            <w:noProof/>
            <w:webHidden/>
          </w:rPr>
          <w:tab/>
        </w:r>
        <w:r w:rsidRPr="00AF51AB">
          <w:rPr>
            <w:noProof/>
            <w:webHidden/>
          </w:rPr>
          <w:fldChar w:fldCharType="begin"/>
        </w:r>
        <w:r w:rsidRPr="00AF51AB">
          <w:rPr>
            <w:noProof/>
            <w:webHidden/>
          </w:rPr>
          <w:instrText xml:space="preserve"> PAGEREF _Toc415646184 \h </w:instrText>
        </w:r>
        <w:r w:rsidRPr="00AF51AB">
          <w:rPr>
            <w:noProof/>
            <w:webHidden/>
          </w:rPr>
        </w:r>
        <w:r w:rsidRPr="00AF51AB">
          <w:rPr>
            <w:noProof/>
            <w:webHidden/>
          </w:rPr>
          <w:fldChar w:fldCharType="separate"/>
        </w:r>
        <w:r w:rsidR="007845A3">
          <w:rPr>
            <w:noProof/>
            <w:webHidden/>
          </w:rPr>
          <w:t>5</w:t>
        </w:r>
        <w:r w:rsidRPr="00AF51AB">
          <w:rPr>
            <w:noProof/>
            <w:webHidden/>
          </w:rPr>
          <w:fldChar w:fldCharType="end"/>
        </w:r>
      </w:hyperlink>
    </w:p>
    <w:p w14:paraId="693676BB" w14:textId="08794386" w:rsidR="000C3591" w:rsidRPr="00AF51AB" w:rsidRDefault="000C3591">
      <w:pPr>
        <w:pStyle w:val="Spistreci1"/>
        <w:tabs>
          <w:tab w:val="left" w:pos="440"/>
          <w:tab w:val="right" w:leader="dot" w:pos="9062"/>
        </w:tabs>
        <w:rPr>
          <w:rFonts w:eastAsiaTheme="minorEastAsia"/>
          <w:noProof/>
          <w:lang w:val="pl-PL" w:eastAsia="pl-PL"/>
        </w:rPr>
      </w:pPr>
      <w:hyperlink w:anchor="_Toc415646185" w:history="1">
        <w:r w:rsidRPr="00AF51AB">
          <w:rPr>
            <w:rStyle w:val="Hipercze"/>
            <w:noProof/>
            <w:lang w:val="pl-PL"/>
          </w:rPr>
          <w:t>5.</w:t>
        </w:r>
        <w:r w:rsidRPr="00AF51AB">
          <w:rPr>
            <w:rFonts w:eastAsiaTheme="minorEastAsia"/>
            <w:noProof/>
            <w:lang w:val="pl-PL" w:eastAsia="pl-PL"/>
          </w:rPr>
          <w:tab/>
        </w:r>
        <w:r w:rsidRPr="00AF51AB">
          <w:rPr>
            <w:rStyle w:val="Hipercze"/>
            <w:noProof/>
            <w:lang w:val="pl-PL"/>
          </w:rPr>
          <w:t>Fernández Martínez przeciwko Hiszpanii, wyrok Wielkiej Izby z 12.06.2014</w:t>
        </w:r>
        <w:r w:rsidRPr="00AF51AB">
          <w:rPr>
            <w:noProof/>
            <w:webHidden/>
          </w:rPr>
          <w:tab/>
        </w:r>
        <w:r w:rsidRPr="00AF51AB">
          <w:rPr>
            <w:noProof/>
            <w:webHidden/>
          </w:rPr>
          <w:fldChar w:fldCharType="begin"/>
        </w:r>
        <w:r w:rsidRPr="00AF51AB">
          <w:rPr>
            <w:noProof/>
            <w:webHidden/>
          </w:rPr>
          <w:instrText xml:space="preserve"> PAGEREF _Toc415646185 \h </w:instrText>
        </w:r>
        <w:r w:rsidRPr="00AF51AB">
          <w:rPr>
            <w:noProof/>
            <w:webHidden/>
          </w:rPr>
        </w:r>
        <w:r w:rsidRPr="00AF51AB">
          <w:rPr>
            <w:noProof/>
            <w:webHidden/>
          </w:rPr>
          <w:fldChar w:fldCharType="separate"/>
        </w:r>
        <w:r w:rsidR="007845A3">
          <w:rPr>
            <w:noProof/>
            <w:webHidden/>
          </w:rPr>
          <w:t>6</w:t>
        </w:r>
        <w:r w:rsidRPr="00AF51AB">
          <w:rPr>
            <w:noProof/>
            <w:webHidden/>
          </w:rPr>
          <w:fldChar w:fldCharType="end"/>
        </w:r>
      </w:hyperlink>
    </w:p>
    <w:p w14:paraId="6975C8B6" w14:textId="7BF98E7D" w:rsidR="000C3591" w:rsidRPr="00AF51AB" w:rsidRDefault="000C3591">
      <w:pPr>
        <w:pStyle w:val="Spistreci1"/>
        <w:tabs>
          <w:tab w:val="left" w:pos="440"/>
          <w:tab w:val="right" w:leader="dot" w:pos="9062"/>
        </w:tabs>
        <w:rPr>
          <w:rFonts w:eastAsiaTheme="minorEastAsia"/>
          <w:noProof/>
          <w:lang w:val="pl-PL" w:eastAsia="pl-PL"/>
        </w:rPr>
      </w:pPr>
      <w:hyperlink w:anchor="_Toc415646186" w:history="1">
        <w:r w:rsidRPr="00AF51AB">
          <w:rPr>
            <w:rStyle w:val="Hipercze"/>
            <w:noProof/>
            <w:lang w:val="pl-PL"/>
          </w:rPr>
          <w:t>6.</w:t>
        </w:r>
        <w:r w:rsidRPr="00AF51AB">
          <w:rPr>
            <w:rFonts w:eastAsiaTheme="minorEastAsia"/>
            <w:noProof/>
            <w:lang w:val="pl-PL" w:eastAsia="pl-PL"/>
          </w:rPr>
          <w:tab/>
        </w:r>
        <w:r w:rsidRPr="00AF51AB">
          <w:rPr>
            <w:rStyle w:val="Hipercze"/>
            <w:noProof/>
            <w:lang w:val="pl-PL"/>
          </w:rPr>
          <w:t>Gross przeciwko Szwajcarii, wyrok Wielkiej Izby z 30.09.2014</w:t>
        </w:r>
        <w:r w:rsidRPr="00AF51AB">
          <w:rPr>
            <w:noProof/>
            <w:webHidden/>
          </w:rPr>
          <w:tab/>
        </w:r>
        <w:r w:rsidRPr="00AF51AB">
          <w:rPr>
            <w:noProof/>
            <w:webHidden/>
          </w:rPr>
          <w:fldChar w:fldCharType="begin"/>
        </w:r>
        <w:r w:rsidRPr="00AF51AB">
          <w:rPr>
            <w:noProof/>
            <w:webHidden/>
          </w:rPr>
          <w:instrText xml:space="preserve"> PAGEREF _Toc415646186 \h </w:instrText>
        </w:r>
        <w:r w:rsidRPr="00AF51AB">
          <w:rPr>
            <w:noProof/>
            <w:webHidden/>
          </w:rPr>
        </w:r>
        <w:r w:rsidRPr="00AF51AB">
          <w:rPr>
            <w:noProof/>
            <w:webHidden/>
          </w:rPr>
          <w:fldChar w:fldCharType="separate"/>
        </w:r>
        <w:r w:rsidR="007845A3">
          <w:rPr>
            <w:noProof/>
            <w:webHidden/>
          </w:rPr>
          <w:t>7</w:t>
        </w:r>
        <w:r w:rsidRPr="00AF51AB">
          <w:rPr>
            <w:noProof/>
            <w:webHidden/>
          </w:rPr>
          <w:fldChar w:fldCharType="end"/>
        </w:r>
      </w:hyperlink>
    </w:p>
    <w:p w14:paraId="66A1D3B8" w14:textId="3036FCC0" w:rsidR="000C3591" w:rsidRPr="00AF51AB" w:rsidRDefault="000C3591">
      <w:pPr>
        <w:pStyle w:val="Spistreci1"/>
        <w:tabs>
          <w:tab w:val="left" w:pos="440"/>
          <w:tab w:val="right" w:leader="dot" w:pos="9062"/>
        </w:tabs>
        <w:rPr>
          <w:rFonts w:eastAsiaTheme="minorEastAsia"/>
          <w:noProof/>
          <w:lang w:val="pl-PL" w:eastAsia="pl-PL"/>
        </w:rPr>
      </w:pPr>
      <w:hyperlink w:anchor="_Toc415646187" w:history="1">
        <w:r w:rsidRPr="00AF51AB">
          <w:rPr>
            <w:rStyle w:val="Hipercze"/>
            <w:noProof/>
            <w:lang w:val="pl-PL"/>
          </w:rPr>
          <w:t>7.</w:t>
        </w:r>
        <w:r w:rsidRPr="00AF51AB">
          <w:rPr>
            <w:rFonts w:eastAsiaTheme="minorEastAsia"/>
            <w:noProof/>
            <w:lang w:val="pl-PL" w:eastAsia="pl-PL"/>
          </w:rPr>
          <w:tab/>
        </w:r>
        <w:r w:rsidRPr="00AF51AB">
          <w:rPr>
            <w:rStyle w:val="Hipercze"/>
            <w:noProof/>
            <w:lang w:val="pl-PL"/>
          </w:rPr>
          <w:t>Gruzja przeciwko Rosji (nr 1), wyrok Wielkiej Izby z 03.07.2014</w:t>
        </w:r>
        <w:r w:rsidRPr="00AF51AB">
          <w:rPr>
            <w:noProof/>
            <w:webHidden/>
          </w:rPr>
          <w:tab/>
        </w:r>
        <w:r w:rsidRPr="00AF51AB">
          <w:rPr>
            <w:noProof/>
            <w:webHidden/>
          </w:rPr>
          <w:fldChar w:fldCharType="begin"/>
        </w:r>
        <w:r w:rsidRPr="00AF51AB">
          <w:rPr>
            <w:noProof/>
            <w:webHidden/>
          </w:rPr>
          <w:instrText xml:space="preserve"> PAGEREF _Toc415646187 \h </w:instrText>
        </w:r>
        <w:r w:rsidRPr="00AF51AB">
          <w:rPr>
            <w:noProof/>
            <w:webHidden/>
          </w:rPr>
        </w:r>
        <w:r w:rsidRPr="00AF51AB">
          <w:rPr>
            <w:noProof/>
            <w:webHidden/>
          </w:rPr>
          <w:fldChar w:fldCharType="separate"/>
        </w:r>
        <w:r w:rsidR="007845A3">
          <w:rPr>
            <w:noProof/>
            <w:webHidden/>
          </w:rPr>
          <w:t>8</w:t>
        </w:r>
        <w:r w:rsidRPr="00AF51AB">
          <w:rPr>
            <w:noProof/>
            <w:webHidden/>
          </w:rPr>
          <w:fldChar w:fldCharType="end"/>
        </w:r>
      </w:hyperlink>
    </w:p>
    <w:p w14:paraId="69441F5F" w14:textId="1A6DDB90" w:rsidR="000C3591" w:rsidRPr="00AF51AB" w:rsidRDefault="000C3591">
      <w:pPr>
        <w:pStyle w:val="Spistreci1"/>
        <w:tabs>
          <w:tab w:val="left" w:pos="440"/>
          <w:tab w:val="right" w:leader="dot" w:pos="9062"/>
        </w:tabs>
        <w:rPr>
          <w:rFonts w:eastAsiaTheme="minorEastAsia"/>
          <w:noProof/>
          <w:lang w:val="pl-PL" w:eastAsia="pl-PL"/>
        </w:rPr>
      </w:pPr>
      <w:hyperlink w:anchor="_Toc415646188" w:history="1">
        <w:r w:rsidRPr="00AF51AB">
          <w:rPr>
            <w:rStyle w:val="Hipercze"/>
            <w:noProof/>
            <w:lang w:val="pl-PL"/>
          </w:rPr>
          <w:t>8.</w:t>
        </w:r>
        <w:r w:rsidRPr="00AF51AB">
          <w:rPr>
            <w:rFonts w:eastAsiaTheme="minorEastAsia"/>
            <w:noProof/>
            <w:lang w:val="pl-PL" w:eastAsia="pl-PL"/>
          </w:rPr>
          <w:tab/>
        </w:r>
        <w:r w:rsidRPr="00AF51AB">
          <w:rPr>
            <w:rStyle w:val="Hipercze"/>
            <w:noProof/>
            <w:lang w:val="pl-PL"/>
          </w:rPr>
          <w:t xml:space="preserve">H. and J. przeciwko Holandii </w:t>
        </w:r>
        <w:r w:rsidRPr="00AF51AB">
          <w:rPr>
            <w:noProof/>
            <w:webHidden/>
          </w:rPr>
          <w:tab/>
        </w:r>
        <w:r w:rsidRPr="00AF51AB">
          <w:rPr>
            <w:noProof/>
            <w:webHidden/>
          </w:rPr>
          <w:fldChar w:fldCharType="begin"/>
        </w:r>
        <w:r w:rsidRPr="00AF51AB">
          <w:rPr>
            <w:noProof/>
            <w:webHidden/>
          </w:rPr>
          <w:instrText xml:space="preserve"> PAGEREF _Toc415646188 \h </w:instrText>
        </w:r>
        <w:r w:rsidRPr="00AF51AB">
          <w:rPr>
            <w:noProof/>
            <w:webHidden/>
          </w:rPr>
        </w:r>
        <w:r w:rsidRPr="00AF51AB">
          <w:rPr>
            <w:noProof/>
            <w:webHidden/>
          </w:rPr>
          <w:fldChar w:fldCharType="separate"/>
        </w:r>
        <w:r w:rsidR="007845A3">
          <w:rPr>
            <w:noProof/>
            <w:webHidden/>
          </w:rPr>
          <w:t>10</w:t>
        </w:r>
        <w:r w:rsidRPr="00AF51AB">
          <w:rPr>
            <w:noProof/>
            <w:webHidden/>
          </w:rPr>
          <w:fldChar w:fldCharType="end"/>
        </w:r>
      </w:hyperlink>
    </w:p>
    <w:p w14:paraId="75745E11" w14:textId="4C863BA6" w:rsidR="000C3591" w:rsidRPr="00AF51AB" w:rsidRDefault="000C3591">
      <w:pPr>
        <w:pStyle w:val="Spistreci1"/>
        <w:tabs>
          <w:tab w:val="left" w:pos="440"/>
          <w:tab w:val="right" w:leader="dot" w:pos="9062"/>
        </w:tabs>
        <w:rPr>
          <w:rFonts w:eastAsiaTheme="minorEastAsia"/>
          <w:noProof/>
          <w:lang w:val="pl-PL" w:eastAsia="pl-PL"/>
        </w:rPr>
      </w:pPr>
      <w:hyperlink w:anchor="_Toc415646189" w:history="1">
        <w:r w:rsidRPr="00AF51AB">
          <w:rPr>
            <w:rStyle w:val="Hipercze"/>
            <w:noProof/>
            <w:lang w:val="pl-PL"/>
          </w:rPr>
          <w:t>9.</w:t>
        </w:r>
        <w:r w:rsidRPr="00AF51AB">
          <w:rPr>
            <w:rFonts w:eastAsiaTheme="minorEastAsia"/>
            <w:noProof/>
            <w:lang w:val="pl-PL" w:eastAsia="pl-PL"/>
          </w:rPr>
          <w:tab/>
        </w:r>
        <w:r w:rsidRPr="00AF51AB">
          <w:rPr>
            <w:rStyle w:val="Hipercze"/>
            <w:noProof/>
            <w:lang w:val="pl-PL"/>
          </w:rPr>
          <w:t>Hämäläinen przeciwko Finlandii, wyrok Wielkiej Izby z 16.07.2014</w:t>
        </w:r>
        <w:r w:rsidRPr="00AF51AB">
          <w:rPr>
            <w:noProof/>
            <w:webHidden/>
          </w:rPr>
          <w:tab/>
        </w:r>
        <w:r w:rsidRPr="00AF51AB">
          <w:rPr>
            <w:noProof/>
            <w:webHidden/>
          </w:rPr>
          <w:fldChar w:fldCharType="begin"/>
        </w:r>
        <w:r w:rsidRPr="00AF51AB">
          <w:rPr>
            <w:noProof/>
            <w:webHidden/>
          </w:rPr>
          <w:instrText xml:space="preserve"> PAGEREF _Toc415646189 \h </w:instrText>
        </w:r>
        <w:r w:rsidRPr="00AF51AB">
          <w:rPr>
            <w:noProof/>
            <w:webHidden/>
          </w:rPr>
        </w:r>
        <w:r w:rsidRPr="00AF51AB">
          <w:rPr>
            <w:noProof/>
            <w:webHidden/>
          </w:rPr>
          <w:fldChar w:fldCharType="separate"/>
        </w:r>
        <w:r w:rsidR="007845A3">
          <w:rPr>
            <w:noProof/>
            <w:webHidden/>
          </w:rPr>
          <w:t>10</w:t>
        </w:r>
        <w:r w:rsidRPr="00AF51AB">
          <w:rPr>
            <w:noProof/>
            <w:webHidden/>
          </w:rPr>
          <w:fldChar w:fldCharType="end"/>
        </w:r>
      </w:hyperlink>
    </w:p>
    <w:p w14:paraId="0C49BB39" w14:textId="48054334" w:rsidR="000C3591" w:rsidRPr="00AF51AB" w:rsidRDefault="000C3591">
      <w:pPr>
        <w:pStyle w:val="Spistreci1"/>
        <w:tabs>
          <w:tab w:val="left" w:pos="660"/>
          <w:tab w:val="right" w:leader="dot" w:pos="9062"/>
        </w:tabs>
        <w:rPr>
          <w:rFonts w:eastAsiaTheme="minorEastAsia"/>
          <w:noProof/>
          <w:lang w:val="pl-PL" w:eastAsia="pl-PL"/>
        </w:rPr>
      </w:pPr>
      <w:hyperlink w:anchor="_Toc415646190" w:history="1">
        <w:r w:rsidRPr="00AF51AB">
          <w:rPr>
            <w:rStyle w:val="Hipercze"/>
            <w:noProof/>
            <w:lang w:val="pl-PL"/>
          </w:rPr>
          <w:t>10.</w:t>
        </w:r>
        <w:r w:rsidRPr="00AF51AB">
          <w:rPr>
            <w:rFonts w:eastAsiaTheme="minorEastAsia"/>
            <w:noProof/>
            <w:lang w:val="pl-PL" w:eastAsia="pl-PL"/>
          </w:rPr>
          <w:tab/>
        </w:r>
        <w:r w:rsidRPr="00AF51AB">
          <w:rPr>
            <w:rStyle w:val="Hipercze"/>
            <w:noProof/>
            <w:lang w:val="pl-PL"/>
          </w:rPr>
          <w:t>Hassan przeciwko Wielkiej Brytanii, wyrok Wielkiej Izby z 16.09.2014</w:t>
        </w:r>
        <w:r w:rsidRPr="00AF51AB">
          <w:rPr>
            <w:noProof/>
            <w:webHidden/>
          </w:rPr>
          <w:tab/>
        </w:r>
        <w:r w:rsidRPr="00AF51AB">
          <w:rPr>
            <w:noProof/>
            <w:webHidden/>
          </w:rPr>
          <w:fldChar w:fldCharType="begin"/>
        </w:r>
        <w:r w:rsidRPr="00AF51AB">
          <w:rPr>
            <w:noProof/>
            <w:webHidden/>
          </w:rPr>
          <w:instrText xml:space="preserve"> PAGEREF _Toc415646190 \h </w:instrText>
        </w:r>
        <w:r w:rsidRPr="00AF51AB">
          <w:rPr>
            <w:noProof/>
            <w:webHidden/>
          </w:rPr>
        </w:r>
        <w:r w:rsidRPr="00AF51AB">
          <w:rPr>
            <w:noProof/>
            <w:webHidden/>
          </w:rPr>
          <w:fldChar w:fldCharType="separate"/>
        </w:r>
        <w:r w:rsidR="007845A3">
          <w:rPr>
            <w:noProof/>
            <w:webHidden/>
          </w:rPr>
          <w:t>11</w:t>
        </w:r>
        <w:r w:rsidRPr="00AF51AB">
          <w:rPr>
            <w:noProof/>
            <w:webHidden/>
          </w:rPr>
          <w:fldChar w:fldCharType="end"/>
        </w:r>
      </w:hyperlink>
    </w:p>
    <w:p w14:paraId="03A035BB" w14:textId="6F67D1C8" w:rsidR="000C3591" w:rsidRPr="00AF51AB" w:rsidRDefault="000C3591">
      <w:pPr>
        <w:pStyle w:val="Spistreci1"/>
        <w:tabs>
          <w:tab w:val="left" w:pos="660"/>
          <w:tab w:val="right" w:leader="dot" w:pos="9062"/>
        </w:tabs>
        <w:rPr>
          <w:rFonts w:eastAsiaTheme="minorEastAsia"/>
          <w:noProof/>
          <w:lang w:val="pl-PL" w:eastAsia="pl-PL"/>
        </w:rPr>
      </w:pPr>
      <w:hyperlink w:anchor="_Toc415646191" w:history="1">
        <w:r w:rsidRPr="00AF51AB">
          <w:rPr>
            <w:rStyle w:val="Hipercze"/>
            <w:noProof/>
            <w:lang w:val="pl-PL"/>
          </w:rPr>
          <w:t>11.</w:t>
        </w:r>
        <w:r w:rsidRPr="00AF51AB">
          <w:rPr>
            <w:rFonts w:eastAsiaTheme="minorEastAsia"/>
            <w:noProof/>
            <w:lang w:val="pl-PL" w:eastAsia="pl-PL"/>
          </w:rPr>
          <w:tab/>
        </w:r>
        <w:r w:rsidRPr="00AF51AB">
          <w:rPr>
            <w:rStyle w:val="Hipercze"/>
            <w:noProof/>
            <w:lang w:val="pl-PL"/>
          </w:rPr>
          <w:t>Jaloud przeciwko Holandii, wyrok Wielkiej Izby z 20.11.2014</w:t>
        </w:r>
        <w:r w:rsidRPr="00AF51AB">
          <w:rPr>
            <w:noProof/>
            <w:webHidden/>
          </w:rPr>
          <w:tab/>
        </w:r>
        <w:r w:rsidRPr="00AF51AB">
          <w:rPr>
            <w:noProof/>
            <w:webHidden/>
          </w:rPr>
          <w:fldChar w:fldCharType="begin"/>
        </w:r>
        <w:r w:rsidRPr="00AF51AB">
          <w:rPr>
            <w:noProof/>
            <w:webHidden/>
          </w:rPr>
          <w:instrText xml:space="preserve"> PAGEREF _Toc415646191 \h </w:instrText>
        </w:r>
        <w:r w:rsidRPr="00AF51AB">
          <w:rPr>
            <w:noProof/>
            <w:webHidden/>
          </w:rPr>
        </w:r>
        <w:r w:rsidRPr="00AF51AB">
          <w:rPr>
            <w:noProof/>
            <w:webHidden/>
          </w:rPr>
          <w:fldChar w:fldCharType="separate"/>
        </w:r>
        <w:r w:rsidR="007845A3">
          <w:rPr>
            <w:noProof/>
            <w:webHidden/>
          </w:rPr>
          <w:t>13</w:t>
        </w:r>
        <w:r w:rsidRPr="00AF51AB">
          <w:rPr>
            <w:noProof/>
            <w:webHidden/>
          </w:rPr>
          <w:fldChar w:fldCharType="end"/>
        </w:r>
      </w:hyperlink>
    </w:p>
    <w:p w14:paraId="3439E701" w14:textId="65A6AF0C" w:rsidR="000C3591" w:rsidRPr="00AF51AB" w:rsidRDefault="000C3591">
      <w:pPr>
        <w:pStyle w:val="Spistreci1"/>
        <w:tabs>
          <w:tab w:val="left" w:pos="660"/>
          <w:tab w:val="right" w:leader="dot" w:pos="9062"/>
        </w:tabs>
        <w:rPr>
          <w:rFonts w:eastAsiaTheme="minorEastAsia"/>
          <w:noProof/>
          <w:lang w:val="pl-PL" w:eastAsia="pl-PL"/>
        </w:rPr>
      </w:pPr>
      <w:hyperlink w:anchor="_Toc415646192" w:history="1">
        <w:r w:rsidRPr="00AF51AB">
          <w:rPr>
            <w:rStyle w:val="Hipercze"/>
            <w:noProof/>
            <w:lang w:val="pl-PL"/>
          </w:rPr>
          <w:t>12.</w:t>
        </w:r>
        <w:r w:rsidRPr="00AF51AB">
          <w:rPr>
            <w:rFonts w:eastAsiaTheme="minorEastAsia"/>
            <w:noProof/>
            <w:lang w:val="pl-PL" w:eastAsia="pl-PL"/>
          </w:rPr>
          <w:tab/>
        </w:r>
        <w:r w:rsidRPr="00AF51AB">
          <w:rPr>
            <w:rStyle w:val="Hipercze"/>
            <w:noProof/>
            <w:lang w:val="pl-PL"/>
          </w:rPr>
          <w:t xml:space="preserve">Jones i Inni przeciwko Wielkiej Brytanii </w:t>
        </w:r>
        <w:r w:rsidRPr="00AF51AB">
          <w:rPr>
            <w:noProof/>
            <w:webHidden/>
          </w:rPr>
          <w:tab/>
        </w:r>
        <w:r w:rsidRPr="00AF51AB">
          <w:rPr>
            <w:noProof/>
            <w:webHidden/>
          </w:rPr>
          <w:fldChar w:fldCharType="begin"/>
        </w:r>
        <w:r w:rsidRPr="00AF51AB">
          <w:rPr>
            <w:noProof/>
            <w:webHidden/>
          </w:rPr>
          <w:instrText xml:space="preserve"> PAGEREF _Toc415646192 \h </w:instrText>
        </w:r>
        <w:r w:rsidRPr="00AF51AB">
          <w:rPr>
            <w:noProof/>
            <w:webHidden/>
          </w:rPr>
        </w:r>
        <w:r w:rsidRPr="00AF51AB">
          <w:rPr>
            <w:noProof/>
            <w:webHidden/>
          </w:rPr>
          <w:fldChar w:fldCharType="separate"/>
        </w:r>
        <w:r w:rsidR="007845A3">
          <w:rPr>
            <w:noProof/>
            <w:webHidden/>
          </w:rPr>
          <w:t>15</w:t>
        </w:r>
        <w:r w:rsidRPr="00AF51AB">
          <w:rPr>
            <w:noProof/>
            <w:webHidden/>
          </w:rPr>
          <w:fldChar w:fldCharType="end"/>
        </w:r>
      </w:hyperlink>
    </w:p>
    <w:p w14:paraId="2C5FE150" w14:textId="0D5F1CB8" w:rsidR="000C3591" w:rsidRPr="00AF51AB" w:rsidRDefault="000C3591">
      <w:pPr>
        <w:pStyle w:val="Spistreci1"/>
        <w:tabs>
          <w:tab w:val="left" w:pos="660"/>
          <w:tab w:val="right" w:leader="dot" w:pos="9062"/>
        </w:tabs>
        <w:rPr>
          <w:rFonts w:eastAsiaTheme="minorEastAsia"/>
          <w:noProof/>
          <w:lang w:val="pl-PL" w:eastAsia="pl-PL"/>
        </w:rPr>
      </w:pPr>
      <w:hyperlink w:anchor="_Toc415646193" w:history="1">
        <w:r w:rsidRPr="00AF51AB">
          <w:rPr>
            <w:rStyle w:val="Hipercze"/>
            <w:noProof/>
            <w:lang w:val="pl-PL"/>
          </w:rPr>
          <w:t>13.</w:t>
        </w:r>
        <w:r w:rsidRPr="00AF51AB">
          <w:rPr>
            <w:rFonts w:eastAsiaTheme="minorEastAsia"/>
            <w:noProof/>
            <w:lang w:val="pl-PL" w:eastAsia="pl-PL"/>
          </w:rPr>
          <w:tab/>
        </w:r>
        <w:r w:rsidRPr="00AF51AB">
          <w:rPr>
            <w:rStyle w:val="Hipercze"/>
            <w:noProof/>
            <w:lang w:val="pl-PL"/>
          </w:rPr>
          <w:t>Kurić i Inni p. Słowenii (słuszne zadośćuczynienie), wyrok Wielkiej Izby z 12.3.2014</w:t>
        </w:r>
        <w:r w:rsidRPr="00AF51AB">
          <w:rPr>
            <w:noProof/>
            <w:webHidden/>
          </w:rPr>
          <w:tab/>
        </w:r>
        <w:r w:rsidRPr="00AF51AB">
          <w:rPr>
            <w:noProof/>
            <w:webHidden/>
          </w:rPr>
          <w:fldChar w:fldCharType="begin"/>
        </w:r>
        <w:r w:rsidRPr="00AF51AB">
          <w:rPr>
            <w:noProof/>
            <w:webHidden/>
          </w:rPr>
          <w:instrText xml:space="preserve"> PAGEREF _Toc415646193 \h </w:instrText>
        </w:r>
        <w:r w:rsidRPr="00AF51AB">
          <w:rPr>
            <w:noProof/>
            <w:webHidden/>
          </w:rPr>
        </w:r>
        <w:r w:rsidRPr="00AF51AB">
          <w:rPr>
            <w:noProof/>
            <w:webHidden/>
          </w:rPr>
          <w:fldChar w:fldCharType="separate"/>
        </w:r>
        <w:r w:rsidR="007845A3">
          <w:rPr>
            <w:noProof/>
            <w:webHidden/>
          </w:rPr>
          <w:t>16</w:t>
        </w:r>
        <w:r w:rsidRPr="00AF51AB">
          <w:rPr>
            <w:noProof/>
            <w:webHidden/>
          </w:rPr>
          <w:fldChar w:fldCharType="end"/>
        </w:r>
      </w:hyperlink>
    </w:p>
    <w:p w14:paraId="75538CA1" w14:textId="0E38484F" w:rsidR="000C3591" w:rsidRPr="00AF51AB" w:rsidRDefault="000C3591">
      <w:pPr>
        <w:pStyle w:val="Spistreci1"/>
        <w:tabs>
          <w:tab w:val="left" w:pos="660"/>
          <w:tab w:val="right" w:leader="dot" w:pos="9062"/>
        </w:tabs>
        <w:rPr>
          <w:rFonts w:eastAsiaTheme="minorEastAsia"/>
          <w:noProof/>
          <w:lang w:val="pl-PL" w:eastAsia="pl-PL"/>
        </w:rPr>
      </w:pPr>
      <w:hyperlink w:anchor="_Toc415646194" w:history="1">
        <w:r w:rsidRPr="00AF51AB">
          <w:rPr>
            <w:rStyle w:val="Hipercze"/>
            <w:noProof/>
            <w:lang w:val="pl-PL"/>
          </w:rPr>
          <w:t>14.</w:t>
        </w:r>
        <w:r w:rsidRPr="00AF51AB">
          <w:rPr>
            <w:rFonts w:eastAsiaTheme="minorEastAsia"/>
            <w:noProof/>
            <w:lang w:val="pl-PL" w:eastAsia="pl-PL"/>
          </w:rPr>
          <w:tab/>
        </w:r>
        <w:r w:rsidRPr="00AF51AB">
          <w:rPr>
            <w:rStyle w:val="Hipercze"/>
            <w:noProof/>
            <w:lang w:val="pl-PL"/>
          </w:rPr>
          <w:t xml:space="preserve">Magyar Keresztény Mennonita Egyház i Inni przeciwko Węgrom </w:t>
        </w:r>
        <w:r w:rsidRPr="00AF51AB">
          <w:rPr>
            <w:noProof/>
            <w:webHidden/>
          </w:rPr>
          <w:tab/>
        </w:r>
        <w:r w:rsidRPr="00AF51AB">
          <w:rPr>
            <w:noProof/>
            <w:webHidden/>
          </w:rPr>
          <w:fldChar w:fldCharType="begin"/>
        </w:r>
        <w:r w:rsidRPr="00AF51AB">
          <w:rPr>
            <w:noProof/>
            <w:webHidden/>
          </w:rPr>
          <w:instrText xml:space="preserve"> PAGEREF _Toc415646194 \h </w:instrText>
        </w:r>
        <w:r w:rsidRPr="00AF51AB">
          <w:rPr>
            <w:noProof/>
            <w:webHidden/>
          </w:rPr>
        </w:r>
        <w:r w:rsidRPr="00AF51AB">
          <w:rPr>
            <w:noProof/>
            <w:webHidden/>
          </w:rPr>
          <w:fldChar w:fldCharType="separate"/>
        </w:r>
        <w:r w:rsidR="007845A3">
          <w:rPr>
            <w:noProof/>
            <w:webHidden/>
          </w:rPr>
          <w:t>17</w:t>
        </w:r>
        <w:r w:rsidRPr="00AF51AB">
          <w:rPr>
            <w:noProof/>
            <w:webHidden/>
          </w:rPr>
          <w:fldChar w:fldCharType="end"/>
        </w:r>
      </w:hyperlink>
    </w:p>
    <w:p w14:paraId="21470323" w14:textId="08D7A2BF" w:rsidR="000C3591" w:rsidRPr="00AF51AB" w:rsidRDefault="000C3591">
      <w:pPr>
        <w:pStyle w:val="Spistreci1"/>
        <w:tabs>
          <w:tab w:val="left" w:pos="660"/>
          <w:tab w:val="right" w:leader="dot" w:pos="9062"/>
        </w:tabs>
        <w:rPr>
          <w:rFonts w:eastAsiaTheme="minorEastAsia"/>
          <w:noProof/>
          <w:lang w:val="pl-PL" w:eastAsia="pl-PL"/>
        </w:rPr>
      </w:pPr>
      <w:hyperlink w:anchor="_Toc415646195" w:history="1">
        <w:r w:rsidRPr="00AF51AB">
          <w:rPr>
            <w:rStyle w:val="Hipercze"/>
            <w:noProof/>
            <w:lang w:val="pl-PL"/>
          </w:rPr>
          <w:t>15.</w:t>
        </w:r>
        <w:r w:rsidRPr="00AF51AB">
          <w:rPr>
            <w:rFonts w:eastAsiaTheme="minorEastAsia"/>
            <w:noProof/>
            <w:lang w:val="pl-PL" w:eastAsia="pl-PL"/>
          </w:rPr>
          <w:tab/>
        </w:r>
        <w:r w:rsidRPr="00AF51AB">
          <w:rPr>
            <w:rStyle w:val="Hipercze"/>
            <w:noProof/>
            <w:lang w:val="pl-PL"/>
          </w:rPr>
          <w:t>Marguš przeciwko Chorwacji, wyrok Wielkiej Izby z 27.5.2014</w:t>
        </w:r>
        <w:r w:rsidRPr="00AF51AB">
          <w:rPr>
            <w:noProof/>
            <w:webHidden/>
          </w:rPr>
          <w:tab/>
        </w:r>
        <w:r w:rsidRPr="00AF51AB">
          <w:rPr>
            <w:noProof/>
            <w:webHidden/>
          </w:rPr>
          <w:fldChar w:fldCharType="begin"/>
        </w:r>
        <w:r w:rsidRPr="00AF51AB">
          <w:rPr>
            <w:noProof/>
            <w:webHidden/>
          </w:rPr>
          <w:instrText xml:space="preserve"> PAGEREF _Toc415646195 \h </w:instrText>
        </w:r>
        <w:r w:rsidRPr="00AF51AB">
          <w:rPr>
            <w:noProof/>
            <w:webHidden/>
          </w:rPr>
        </w:r>
        <w:r w:rsidRPr="00AF51AB">
          <w:rPr>
            <w:noProof/>
            <w:webHidden/>
          </w:rPr>
          <w:fldChar w:fldCharType="separate"/>
        </w:r>
        <w:r w:rsidR="007845A3">
          <w:rPr>
            <w:noProof/>
            <w:webHidden/>
          </w:rPr>
          <w:t>18</w:t>
        </w:r>
        <w:r w:rsidRPr="00AF51AB">
          <w:rPr>
            <w:noProof/>
            <w:webHidden/>
          </w:rPr>
          <w:fldChar w:fldCharType="end"/>
        </w:r>
      </w:hyperlink>
    </w:p>
    <w:p w14:paraId="3C5018ED" w14:textId="1B4542FB" w:rsidR="000C3591" w:rsidRPr="00AF51AB" w:rsidRDefault="000C3591">
      <w:pPr>
        <w:pStyle w:val="Spistreci1"/>
        <w:tabs>
          <w:tab w:val="left" w:pos="660"/>
          <w:tab w:val="right" w:leader="dot" w:pos="9062"/>
        </w:tabs>
        <w:rPr>
          <w:rFonts w:eastAsiaTheme="minorEastAsia"/>
          <w:noProof/>
          <w:lang w:val="pl-PL" w:eastAsia="pl-PL"/>
        </w:rPr>
      </w:pPr>
      <w:hyperlink w:anchor="_Toc415646196" w:history="1">
        <w:r w:rsidRPr="00AF51AB">
          <w:rPr>
            <w:rStyle w:val="Hipercze"/>
            <w:noProof/>
            <w:lang w:val="pl-PL"/>
          </w:rPr>
          <w:t>16.</w:t>
        </w:r>
        <w:r w:rsidRPr="00AF51AB">
          <w:rPr>
            <w:rFonts w:eastAsiaTheme="minorEastAsia"/>
            <w:noProof/>
            <w:lang w:val="pl-PL" w:eastAsia="pl-PL"/>
          </w:rPr>
          <w:tab/>
        </w:r>
        <w:r w:rsidRPr="00AF51AB">
          <w:rPr>
            <w:rStyle w:val="Hipercze"/>
            <w:noProof/>
            <w:lang w:val="pl-PL"/>
          </w:rPr>
          <w:t xml:space="preserve">Mennesson przeciwko Francji </w:t>
        </w:r>
        <w:r w:rsidRPr="00AF51AB">
          <w:rPr>
            <w:noProof/>
            <w:webHidden/>
          </w:rPr>
          <w:tab/>
        </w:r>
        <w:r w:rsidRPr="00AF51AB">
          <w:rPr>
            <w:noProof/>
            <w:webHidden/>
          </w:rPr>
          <w:fldChar w:fldCharType="begin"/>
        </w:r>
        <w:r w:rsidRPr="00AF51AB">
          <w:rPr>
            <w:noProof/>
            <w:webHidden/>
          </w:rPr>
          <w:instrText xml:space="preserve"> PAGEREF _Toc415646196 \h </w:instrText>
        </w:r>
        <w:r w:rsidRPr="00AF51AB">
          <w:rPr>
            <w:noProof/>
            <w:webHidden/>
          </w:rPr>
        </w:r>
        <w:r w:rsidRPr="00AF51AB">
          <w:rPr>
            <w:noProof/>
            <w:webHidden/>
          </w:rPr>
          <w:fldChar w:fldCharType="separate"/>
        </w:r>
        <w:r w:rsidR="007845A3">
          <w:rPr>
            <w:noProof/>
            <w:webHidden/>
          </w:rPr>
          <w:t>18</w:t>
        </w:r>
        <w:r w:rsidRPr="00AF51AB">
          <w:rPr>
            <w:noProof/>
            <w:webHidden/>
          </w:rPr>
          <w:fldChar w:fldCharType="end"/>
        </w:r>
      </w:hyperlink>
    </w:p>
    <w:p w14:paraId="67D91350" w14:textId="3E08FFD3" w:rsidR="000C3591" w:rsidRPr="00AF51AB" w:rsidRDefault="000C3591">
      <w:pPr>
        <w:pStyle w:val="Spistreci1"/>
        <w:tabs>
          <w:tab w:val="left" w:pos="660"/>
          <w:tab w:val="right" w:leader="dot" w:pos="9062"/>
        </w:tabs>
        <w:rPr>
          <w:rFonts w:eastAsiaTheme="minorEastAsia"/>
          <w:noProof/>
          <w:lang w:val="pl-PL" w:eastAsia="pl-PL"/>
        </w:rPr>
      </w:pPr>
      <w:hyperlink w:anchor="_Toc415646197" w:history="1">
        <w:r w:rsidRPr="00AF51AB">
          <w:rPr>
            <w:rStyle w:val="Hipercze"/>
            <w:noProof/>
            <w:lang w:val="pl-PL"/>
          </w:rPr>
          <w:t>17.</w:t>
        </w:r>
        <w:r w:rsidRPr="00AF51AB">
          <w:rPr>
            <w:rFonts w:eastAsiaTheme="minorEastAsia"/>
            <w:noProof/>
            <w:lang w:val="pl-PL" w:eastAsia="pl-PL"/>
          </w:rPr>
          <w:tab/>
        </w:r>
        <w:r w:rsidRPr="00AF51AB">
          <w:rPr>
            <w:rStyle w:val="Hipercze"/>
            <w:noProof/>
            <w:lang w:val="pl-PL"/>
          </w:rPr>
          <w:t>Mocanu i Inni przeciwko Rumunii, wyrok Wielkiej Izby z 17.09.2014</w:t>
        </w:r>
        <w:r w:rsidRPr="00AF51AB">
          <w:rPr>
            <w:noProof/>
            <w:webHidden/>
          </w:rPr>
          <w:tab/>
        </w:r>
        <w:r w:rsidRPr="00AF51AB">
          <w:rPr>
            <w:noProof/>
            <w:webHidden/>
          </w:rPr>
          <w:fldChar w:fldCharType="begin"/>
        </w:r>
        <w:r w:rsidRPr="00AF51AB">
          <w:rPr>
            <w:noProof/>
            <w:webHidden/>
          </w:rPr>
          <w:instrText xml:space="preserve"> PAGEREF _Toc415646197 \h </w:instrText>
        </w:r>
        <w:r w:rsidRPr="00AF51AB">
          <w:rPr>
            <w:noProof/>
            <w:webHidden/>
          </w:rPr>
        </w:r>
        <w:r w:rsidRPr="00AF51AB">
          <w:rPr>
            <w:noProof/>
            <w:webHidden/>
          </w:rPr>
          <w:fldChar w:fldCharType="separate"/>
        </w:r>
        <w:r w:rsidR="007845A3">
          <w:rPr>
            <w:noProof/>
            <w:webHidden/>
          </w:rPr>
          <w:t>19</w:t>
        </w:r>
        <w:r w:rsidRPr="00AF51AB">
          <w:rPr>
            <w:noProof/>
            <w:webHidden/>
          </w:rPr>
          <w:fldChar w:fldCharType="end"/>
        </w:r>
      </w:hyperlink>
    </w:p>
    <w:p w14:paraId="0DC6CE64" w14:textId="2E424442" w:rsidR="000C3591" w:rsidRPr="00AF51AB" w:rsidRDefault="000C3591">
      <w:pPr>
        <w:pStyle w:val="Spistreci1"/>
        <w:tabs>
          <w:tab w:val="left" w:pos="660"/>
          <w:tab w:val="right" w:leader="dot" w:pos="9062"/>
        </w:tabs>
        <w:rPr>
          <w:rFonts w:eastAsiaTheme="minorEastAsia"/>
          <w:noProof/>
          <w:lang w:val="pl-PL" w:eastAsia="pl-PL"/>
        </w:rPr>
      </w:pPr>
      <w:hyperlink w:anchor="_Toc415646198" w:history="1">
        <w:r w:rsidRPr="00AF51AB">
          <w:rPr>
            <w:rStyle w:val="Hipercze"/>
            <w:noProof/>
            <w:lang w:val="en-US"/>
          </w:rPr>
          <w:t>18.</w:t>
        </w:r>
        <w:r w:rsidRPr="00AF51AB">
          <w:rPr>
            <w:rFonts w:eastAsiaTheme="minorEastAsia"/>
            <w:noProof/>
            <w:lang w:val="pl-PL" w:eastAsia="pl-PL"/>
          </w:rPr>
          <w:tab/>
        </w:r>
        <w:r w:rsidRPr="00AF51AB">
          <w:rPr>
            <w:rStyle w:val="Hipercze"/>
            <w:noProof/>
            <w:lang w:val="en-US"/>
          </w:rPr>
          <w:t xml:space="preserve">National Union of Rail, Maritime and Transport Workers przeciwko Wielkiej Brytanii </w:t>
        </w:r>
        <w:r w:rsidRPr="00AF51AB">
          <w:rPr>
            <w:noProof/>
            <w:webHidden/>
          </w:rPr>
          <w:tab/>
        </w:r>
        <w:r w:rsidRPr="00AF51AB">
          <w:rPr>
            <w:noProof/>
            <w:webHidden/>
          </w:rPr>
          <w:fldChar w:fldCharType="begin"/>
        </w:r>
        <w:r w:rsidRPr="00AF51AB">
          <w:rPr>
            <w:noProof/>
            <w:webHidden/>
          </w:rPr>
          <w:instrText xml:space="preserve"> PAGEREF _Toc415646198 \h </w:instrText>
        </w:r>
        <w:r w:rsidRPr="00AF51AB">
          <w:rPr>
            <w:noProof/>
            <w:webHidden/>
          </w:rPr>
        </w:r>
        <w:r w:rsidRPr="00AF51AB">
          <w:rPr>
            <w:noProof/>
            <w:webHidden/>
          </w:rPr>
          <w:fldChar w:fldCharType="separate"/>
        </w:r>
        <w:r w:rsidR="007845A3">
          <w:rPr>
            <w:noProof/>
            <w:webHidden/>
          </w:rPr>
          <w:t>20</w:t>
        </w:r>
        <w:r w:rsidRPr="00AF51AB">
          <w:rPr>
            <w:noProof/>
            <w:webHidden/>
          </w:rPr>
          <w:fldChar w:fldCharType="end"/>
        </w:r>
      </w:hyperlink>
    </w:p>
    <w:p w14:paraId="1EE87C24" w14:textId="49CCD239" w:rsidR="000C3591" w:rsidRPr="00AF51AB" w:rsidRDefault="000C3591">
      <w:pPr>
        <w:pStyle w:val="Spistreci1"/>
        <w:tabs>
          <w:tab w:val="left" w:pos="660"/>
          <w:tab w:val="right" w:leader="dot" w:pos="9062"/>
        </w:tabs>
        <w:rPr>
          <w:rFonts w:eastAsiaTheme="minorEastAsia"/>
          <w:noProof/>
          <w:lang w:val="pl-PL" w:eastAsia="pl-PL"/>
        </w:rPr>
      </w:pPr>
      <w:hyperlink w:anchor="_Toc415646199" w:history="1">
        <w:r w:rsidRPr="00AF51AB">
          <w:rPr>
            <w:rStyle w:val="Hipercze"/>
            <w:noProof/>
            <w:lang w:val="pl-PL"/>
          </w:rPr>
          <w:t>19.</w:t>
        </w:r>
        <w:r w:rsidRPr="00AF51AB">
          <w:rPr>
            <w:rFonts w:eastAsiaTheme="minorEastAsia"/>
            <w:noProof/>
            <w:lang w:val="pl-PL" w:eastAsia="pl-PL"/>
          </w:rPr>
          <w:tab/>
        </w:r>
        <w:r w:rsidRPr="00AF51AB">
          <w:rPr>
            <w:rStyle w:val="Hipercze"/>
            <w:noProof/>
            <w:lang w:val="pl-PL"/>
          </w:rPr>
          <w:t xml:space="preserve">Natsvlishvili i Togonidze przeciwko Gruzji </w:t>
        </w:r>
        <w:r w:rsidRPr="00AF51AB">
          <w:rPr>
            <w:noProof/>
            <w:webHidden/>
          </w:rPr>
          <w:tab/>
        </w:r>
        <w:r w:rsidRPr="00AF51AB">
          <w:rPr>
            <w:noProof/>
            <w:webHidden/>
          </w:rPr>
          <w:fldChar w:fldCharType="begin"/>
        </w:r>
        <w:r w:rsidRPr="00AF51AB">
          <w:rPr>
            <w:noProof/>
            <w:webHidden/>
          </w:rPr>
          <w:instrText xml:space="preserve"> PAGEREF _Toc415646199 \h </w:instrText>
        </w:r>
        <w:r w:rsidRPr="00AF51AB">
          <w:rPr>
            <w:noProof/>
            <w:webHidden/>
          </w:rPr>
        </w:r>
        <w:r w:rsidRPr="00AF51AB">
          <w:rPr>
            <w:noProof/>
            <w:webHidden/>
          </w:rPr>
          <w:fldChar w:fldCharType="separate"/>
        </w:r>
        <w:r w:rsidR="007845A3">
          <w:rPr>
            <w:noProof/>
            <w:webHidden/>
          </w:rPr>
          <w:t>21</w:t>
        </w:r>
        <w:r w:rsidRPr="00AF51AB">
          <w:rPr>
            <w:noProof/>
            <w:webHidden/>
          </w:rPr>
          <w:fldChar w:fldCharType="end"/>
        </w:r>
      </w:hyperlink>
    </w:p>
    <w:p w14:paraId="57EF3231" w14:textId="752147F6" w:rsidR="000C3591" w:rsidRPr="00AF51AB" w:rsidRDefault="000C3591">
      <w:pPr>
        <w:pStyle w:val="Spistreci1"/>
        <w:tabs>
          <w:tab w:val="left" w:pos="660"/>
          <w:tab w:val="right" w:leader="dot" w:pos="9062"/>
        </w:tabs>
        <w:rPr>
          <w:rFonts w:eastAsiaTheme="minorEastAsia"/>
          <w:noProof/>
          <w:lang w:val="pl-PL" w:eastAsia="pl-PL"/>
        </w:rPr>
      </w:pPr>
      <w:hyperlink w:anchor="_Toc415646200" w:history="1">
        <w:r w:rsidRPr="00AF51AB">
          <w:rPr>
            <w:rStyle w:val="Hipercze"/>
            <w:noProof/>
            <w:lang w:val="pl-PL"/>
          </w:rPr>
          <w:t>20.</w:t>
        </w:r>
        <w:r w:rsidRPr="00AF51AB">
          <w:rPr>
            <w:rFonts w:eastAsiaTheme="minorEastAsia"/>
            <w:noProof/>
            <w:lang w:val="pl-PL" w:eastAsia="pl-PL"/>
          </w:rPr>
          <w:tab/>
        </w:r>
        <w:r w:rsidRPr="00AF51AB">
          <w:rPr>
            <w:rStyle w:val="Hipercze"/>
            <w:noProof/>
            <w:lang w:val="pl-PL"/>
          </w:rPr>
          <w:t xml:space="preserve">Nusret Kaya i Inni przeciwko Turcji </w:t>
        </w:r>
        <w:r w:rsidRPr="00AF51AB">
          <w:rPr>
            <w:noProof/>
            <w:webHidden/>
          </w:rPr>
          <w:tab/>
        </w:r>
        <w:r w:rsidRPr="00AF51AB">
          <w:rPr>
            <w:noProof/>
            <w:webHidden/>
          </w:rPr>
          <w:fldChar w:fldCharType="begin"/>
        </w:r>
        <w:r w:rsidRPr="00AF51AB">
          <w:rPr>
            <w:noProof/>
            <w:webHidden/>
          </w:rPr>
          <w:instrText xml:space="preserve"> PAGEREF _Toc415646200 \h </w:instrText>
        </w:r>
        <w:r w:rsidRPr="00AF51AB">
          <w:rPr>
            <w:noProof/>
            <w:webHidden/>
          </w:rPr>
        </w:r>
        <w:r w:rsidRPr="00AF51AB">
          <w:rPr>
            <w:noProof/>
            <w:webHidden/>
          </w:rPr>
          <w:fldChar w:fldCharType="separate"/>
        </w:r>
        <w:r w:rsidR="007845A3">
          <w:rPr>
            <w:noProof/>
            <w:webHidden/>
          </w:rPr>
          <w:t>22</w:t>
        </w:r>
        <w:r w:rsidRPr="00AF51AB">
          <w:rPr>
            <w:noProof/>
            <w:webHidden/>
          </w:rPr>
          <w:fldChar w:fldCharType="end"/>
        </w:r>
      </w:hyperlink>
    </w:p>
    <w:p w14:paraId="0E6555B9" w14:textId="61B9DBE4" w:rsidR="000C3591" w:rsidRPr="00AF51AB" w:rsidRDefault="000C3591">
      <w:pPr>
        <w:pStyle w:val="Spistreci1"/>
        <w:tabs>
          <w:tab w:val="left" w:pos="660"/>
          <w:tab w:val="right" w:leader="dot" w:pos="9062"/>
        </w:tabs>
        <w:rPr>
          <w:rFonts w:eastAsiaTheme="minorEastAsia"/>
          <w:noProof/>
          <w:lang w:val="pl-PL" w:eastAsia="pl-PL"/>
        </w:rPr>
      </w:pPr>
      <w:hyperlink w:anchor="_Toc415646201" w:history="1">
        <w:r w:rsidRPr="00AF51AB">
          <w:rPr>
            <w:rStyle w:val="Hipercze"/>
            <w:noProof/>
            <w:lang w:val="pl-PL"/>
          </w:rPr>
          <w:t>21.</w:t>
        </w:r>
        <w:r w:rsidRPr="00AF51AB">
          <w:rPr>
            <w:rFonts w:eastAsiaTheme="minorEastAsia"/>
            <w:noProof/>
            <w:lang w:val="pl-PL" w:eastAsia="pl-PL"/>
          </w:rPr>
          <w:tab/>
        </w:r>
        <w:r w:rsidRPr="00AF51AB">
          <w:rPr>
            <w:rStyle w:val="Hipercze"/>
            <w:noProof/>
            <w:lang w:val="pl-PL"/>
          </w:rPr>
          <w:t>O’Keeffe przeciwk</w:t>
        </w:r>
        <w:r w:rsidR="004D146F" w:rsidRPr="00AF51AB">
          <w:rPr>
            <w:rStyle w:val="Hipercze"/>
            <w:noProof/>
            <w:lang w:val="pl-PL"/>
          </w:rPr>
          <w:t xml:space="preserve">o Irlandii, </w:t>
        </w:r>
        <w:r w:rsidRPr="00AF51AB">
          <w:rPr>
            <w:rStyle w:val="Hipercze"/>
            <w:noProof/>
            <w:lang w:val="pl-PL"/>
          </w:rPr>
          <w:t>wyrok Wielkiej Izby z 28.1.2014</w:t>
        </w:r>
        <w:r w:rsidRPr="00AF51AB">
          <w:rPr>
            <w:noProof/>
            <w:webHidden/>
          </w:rPr>
          <w:tab/>
        </w:r>
        <w:r w:rsidRPr="00AF51AB">
          <w:rPr>
            <w:noProof/>
            <w:webHidden/>
          </w:rPr>
          <w:fldChar w:fldCharType="begin"/>
        </w:r>
        <w:r w:rsidRPr="00AF51AB">
          <w:rPr>
            <w:noProof/>
            <w:webHidden/>
          </w:rPr>
          <w:instrText xml:space="preserve"> PAGEREF _Toc415646201 \h </w:instrText>
        </w:r>
        <w:r w:rsidRPr="00AF51AB">
          <w:rPr>
            <w:noProof/>
            <w:webHidden/>
          </w:rPr>
        </w:r>
        <w:r w:rsidRPr="00AF51AB">
          <w:rPr>
            <w:noProof/>
            <w:webHidden/>
          </w:rPr>
          <w:fldChar w:fldCharType="separate"/>
        </w:r>
        <w:r w:rsidR="007845A3">
          <w:rPr>
            <w:noProof/>
            <w:webHidden/>
          </w:rPr>
          <w:t>23</w:t>
        </w:r>
        <w:r w:rsidRPr="00AF51AB">
          <w:rPr>
            <w:noProof/>
            <w:webHidden/>
          </w:rPr>
          <w:fldChar w:fldCharType="end"/>
        </w:r>
      </w:hyperlink>
    </w:p>
    <w:p w14:paraId="60965E77" w14:textId="5048CC6F" w:rsidR="000C3591" w:rsidRPr="00AF51AB" w:rsidRDefault="000C3591">
      <w:pPr>
        <w:pStyle w:val="Spistreci1"/>
        <w:tabs>
          <w:tab w:val="left" w:pos="660"/>
          <w:tab w:val="right" w:leader="dot" w:pos="9062"/>
        </w:tabs>
        <w:rPr>
          <w:rFonts w:eastAsiaTheme="minorEastAsia"/>
          <w:noProof/>
          <w:lang w:val="pl-PL" w:eastAsia="pl-PL"/>
        </w:rPr>
      </w:pPr>
      <w:hyperlink w:anchor="_Toc415646202" w:history="1">
        <w:r w:rsidRPr="00AF51AB">
          <w:rPr>
            <w:rStyle w:val="Hipercze"/>
            <w:noProof/>
            <w:lang w:val="pl-PL"/>
          </w:rPr>
          <w:t>22.</w:t>
        </w:r>
        <w:r w:rsidRPr="00AF51AB">
          <w:rPr>
            <w:rFonts w:eastAsiaTheme="minorEastAsia"/>
            <w:noProof/>
            <w:lang w:val="pl-PL" w:eastAsia="pl-PL"/>
          </w:rPr>
          <w:tab/>
        </w:r>
        <w:r w:rsidRPr="00AF51AB">
          <w:rPr>
            <w:rStyle w:val="Hipercze"/>
            <w:noProof/>
            <w:lang w:val="pl-PL"/>
          </w:rPr>
          <w:t>S.A.S. przeci</w:t>
        </w:r>
        <w:r w:rsidR="004D146F" w:rsidRPr="00AF51AB">
          <w:rPr>
            <w:rStyle w:val="Hipercze"/>
            <w:noProof/>
            <w:lang w:val="pl-PL"/>
          </w:rPr>
          <w:t>wko Francji,</w:t>
        </w:r>
        <w:r w:rsidRPr="00AF51AB">
          <w:rPr>
            <w:rStyle w:val="Hipercze"/>
            <w:noProof/>
            <w:lang w:val="pl-PL"/>
          </w:rPr>
          <w:t xml:space="preserve"> wyrok Wielkiej Izby z 01.07.2014</w:t>
        </w:r>
        <w:r w:rsidRPr="00AF51AB">
          <w:rPr>
            <w:noProof/>
            <w:webHidden/>
          </w:rPr>
          <w:tab/>
        </w:r>
        <w:r w:rsidRPr="00AF51AB">
          <w:rPr>
            <w:noProof/>
            <w:webHidden/>
          </w:rPr>
          <w:fldChar w:fldCharType="begin"/>
        </w:r>
        <w:r w:rsidRPr="00AF51AB">
          <w:rPr>
            <w:noProof/>
            <w:webHidden/>
          </w:rPr>
          <w:instrText xml:space="preserve"> PAGEREF _Toc415646202 \h </w:instrText>
        </w:r>
        <w:r w:rsidRPr="00AF51AB">
          <w:rPr>
            <w:noProof/>
            <w:webHidden/>
          </w:rPr>
        </w:r>
        <w:r w:rsidRPr="00AF51AB">
          <w:rPr>
            <w:noProof/>
            <w:webHidden/>
          </w:rPr>
          <w:fldChar w:fldCharType="separate"/>
        </w:r>
        <w:r w:rsidR="007845A3">
          <w:rPr>
            <w:noProof/>
            <w:webHidden/>
          </w:rPr>
          <w:t>24</w:t>
        </w:r>
        <w:r w:rsidRPr="00AF51AB">
          <w:rPr>
            <w:noProof/>
            <w:webHidden/>
          </w:rPr>
          <w:fldChar w:fldCharType="end"/>
        </w:r>
      </w:hyperlink>
    </w:p>
    <w:p w14:paraId="03B2E748" w14:textId="51C72B7D" w:rsidR="000C3591" w:rsidRPr="00AF51AB" w:rsidRDefault="000C3591">
      <w:pPr>
        <w:pStyle w:val="Spistreci1"/>
        <w:tabs>
          <w:tab w:val="left" w:pos="660"/>
          <w:tab w:val="right" w:leader="dot" w:pos="9062"/>
        </w:tabs>
        <w:rPr>
          <w:rFonts w:eastAsiaTheme="minorEastAsia"/>
          <w:noProof/>
          <w:lang w:val="pl-PL" w:eastAsia="pl-PL"/>
        </w:rPr>
      </w:pPr>
      <w:hyperlink w:anchor="_Toc415646203" w:history="1">
        <w:r w:rsidRPr="00AF51AB">
          <w:rPr>
            <w:rStyle w:val="Hipercze"/>
            <w:noProof/>
            <w:lang w:val="pl-PL"/>
          </w:rPr>
          <w:t>23.</w:t>
        </w:r>
        <w:r w:rsidRPr="00AF51AB">
          <w:rPr>
            <w:rFonts w:eastAsiaTheme="minorEastAsia"/>
            <w:noProof/>
            <w:lang w:val="pl-PL" w:eastAsia="pl-PL"/>
          </w:rPr>
          <w:tab/>
        </w:r>
        <w:r w:rsidRPr="00AF51AB">
          <w:rPr>
            <w:rStyle w:val="Hipercze"/>
            <w:noProof/>
            <w:lang w:val="pl-PL"/>
          </w:rPr>
          <w:t>Svinarenko i Slyadnev przeciwko Rosji</w:t>
        </w:r>
        <w:r w:rsidR="004D146F" w:rsidRPr="00AF51AB">
          <w:rPr>
            <w:rStyle w:val="Hipercze"/>
            <w:noProof/>
            <w:lang w:val="pl-PL"/>
          </w:rPr>
          <w:t>,</w:t>
        </w:r>
        <w:r w:rsidRPr="00AF51AB">
          <w:rPr>
            <w:rStyle w:val="Hipercze"/>
            <w:noProof/>
            <w:lang w:val="pl-PL"/>
          </w:rPr>
          <w:t xml:space="preserve"> wyrok Wielkiej Izby z 17.07.2014</w:t>
        </w:r>
        <w:r w:rsidRPr="00AF51AB">
          <w:rPr>
            <w:noProof/>
            <w:webHidden/>
          </w:rPr>
          <w:tab/>
        </w:r>
        <w:r w:rsidRPr="00AF51AB">
          <w:rPr>
            <w:noProof/>
            <w:webHidden/>
          </w:rPr>
          <w:fldChar w:fldCharType="begin"/>
        </w:r>
        <w:r w:rsidRPr="00AF51AB">
          <w:rPr>
            <w:noProof/>
            <w:webHidden/>
          </w:rPr>
          <w:instrText xml:space="preserve"> PAGEREF _Toc415646203 \h </w:instrText>
        </w:r>
        <w:r w:rsidRPr="00AF51AB">
          <w:rPr>
            <w:noProof/>
            <w:webHidden/>
          </w:rPr>
        </w:r>
        <w:r w:rsidRPr="00AF51AB">
          <w:rPr>
            <w:noProof/>
            <w:webHidden/>
          </w:rPr>
          <w:fldChar w:fldCharType="separate"/>
        </w:r>
        <w:r w:rsidR="007845A3">
          <w:rPr>
            <w:noProof/>
            <w:webHidden/>
          </w:rPr>
          <w:t>25</w:t>
        </w:r>
        <w:r w:rsidRPr="00AF51AB">
          <w:rPr>
            <w:noProof/>
            <w:webHidden/>
          </w:rPr>
          <w:fldChar w:fldCharType="end"/>
        </w:r>
      </w:hyperlink>
    </w:p>
    <w:p w14:paraId="015F65CA" w14:textId="7BA4E338" w:rsidR="000C3591" w:rsidRPr="00AF51AB" w:rsidRDefault="000C3591">
      <w:pPr>
        <w:pStyle w:val="Spistreci1"/>
        <w:tabs>
          <w:tab w:val="left" w:pos="660"/>
          <w:tab w:val="right" w:leader="dot" w:pos="9062"/>
        </w:tabs>
        <w:rPr>
          <w:rFonts w:eastAsiaTheme="minorEastAsia"/>
          <w:noProof/>
          <w:lang w:val="pl-PL" w:eastAsia="pl-PL"/>
        </w:rPr>
      </w:pPr>
      <w:hyperlink w:anchor="_Toc415646204" w:history="1">
        <w:r w:rsidRPr="00AF51AB">
          <w:rPr>
            <w:rStyle w:val="Hipercze"/>
            <w:noProof/>
            <w:lang w:val="pl-PL"/>
          </w:rPr>
          <w:t>24.</w:t>
        </w:r>
        <w:r w:rsidRPr="00AF51AB">
          <w:rPr>
            <w:rFonts w:eastAsiaTheme="minorEastAsia"/>
            <w:noProof/>
            <w:lang w:val="pl-PL" w:eastAsia="pl-PL"/>
          </w:rPr>
          <w:tab/>
        </w:r>
        <w:r w:rsidRPr="00AF51AB">
          <w:rPr>
            <w:rStyle w:val="Hipercze"/>
            <w:noProof/>
            <w:lang w:val="pl-PL"/>
          </w:rPr>
          <w:t xml:space="preserve">Tarakhel przeciwko </w:t>
        </w:r>
        <w:r w:rsidR="004D146F" w:rsidRPr="00AF51AB">
          <w:rPr>
            <w:rStyle w:val="Hipercze"/>
            <w:noProof/>
            <w:lang w:val="pl-PL"/>
          </w:rPr>
          <w:t xml:space="preserve">Szwajcarii, </w:t>
        </w:r>
        <w:r w:rsidRPr="00AF51AB">
          <w:rPr>
            <w:rStyle w:val="Hipercze"/>
            <w:noProof/>
            <w:lang w:val="pl-PL"/>
          </w:rPr>
          <w:t>wyrok Wielkiej Izby z 04.11.2014</w:t>
        </w:r>
        <w:r w:rsidRPr="00AF51AB">
          <w:rPr>
            <w:noProof/>
            <w:webHidden/>
          </w:rPr>
          <w:tab/>
        </w:r>
        <w:r w:rsidRPr="00AF51AB">
          <w:rPr>
            <w:noProof/>
            <w:webHidden/>
          </w:rPr>
          <w:fldChar w:fldCharType="begin"/>
        </w:r>
        <w:r w:rsidRPr="00AF51AB">
          <w:rPr>
            <w:noProof/>
            <w:webHidden/>
          </w:rPr>
          <w:instrText xml:space="preserve"> PAGEREF _Toc415646204 \h </w:instrText>
        </w:r>
        <w:r w:rsidRPr="00AF51AB">
          <w:rPr>
            <w:noProof/>
            <w:webHidden/>
          </w:rPr>
        </w:r>
        <w:r w:rsidRPr="00AF51AB">
          <w:rPr>
            <w:noProof/>
            <w:webHidden/>
          </w:rPr>
          <w:fldChar w:fldCharType="separate"/>
        </w:r>
        <w:r w:rsidR="007845A3">
          <w:rPr>
            <w:noProof/>
            <w:webHidden/>
          </w:rPr>
          <w:t>26</w:t>
        </w:r>
        <w:r w:rsidRPr="00AF51AB">
          <w:rPr>
            <w:noProof/>
            <w:webHidden/>
          </w:rPr>
          <w:fldChar w:fldCharType="end"/>
        </w:r>
      </w:hyperlink>
    </w:p>
    <w:p w14:paraId="43D0A570" w14:textId="4B67C00F" w:rsidR="000C3591" w:rsidRPr="00AF51AB" w:rsidRDefault="000C3591">
      <w:pPr>
        <w:pStyle w:val="Spistreci1"/>
        <w:tabs>
          <w:tab w:val="left" w:pos="660"/>
          <w:tab w:val="right" w:leader="dot" w:pos="9062"/>
        </w:tabs>
        <w:rPr>
          <w:rFonts w:eastAsiaTheme="minorEastAsia"/>
          <w:noProof/>
          <w:lang w:val="pl-PL" w:eastAsia="pl-PL"/>
        </w:rPr>
      </w:pPr>
      <w:hyperlink w:anchor="_Toc415646205" w:history="1">
        <w:r w:rsidRPr="00AF51AB">
          <w:rPr>
            <w:rStyle w:val="Hipercze"/>
            <w:noProof/>
            <w:lang w:val="pl-PL"/>
          </w:rPr>
          <w:t>25.</w:t>
        </w:r>
        <w:r w:rsidRPr="00AF51AB">
          <w:rPr>
            <w:rFonts w:eastAsiaTheme="minorEastAsia"/>
            <w:noProof/>
            <w:lang w:val="pl-PL" w:eastAsia="pl-PL"/>
          </w:rPr>
          <w:tab/>
        </w:r>
        <w:r w:rsidRPr="00AF51AB">
          <w:rPr>
            <w:rStyle w:val="Hipercze"/>
            <w:noProof/>
            <w:lang w:val="pl-PL"/>
          </w:rPr>
          <w:t>Trabelsi prz</w:t>
        </w:r>
        <w:r w:rsidR="004D146F" w:rsidRPr="00AF51AB">
          <w:rPr>
            <w:rStyle w:val="Hipercze"/>
            <w:noProof/>
            <w:lang w:val="pl-PL"/>
          </w:rPr>
          <w:t xml:space="preserve">eciwko Belgii </w:t>
        </w:r>
        <w:r w:rsidRPr="00AF51AB">
          <w:rPr>
            <w:noProof/>
            <w:webHidden/>
          </w:rPr>
          <w:tab/>
        </w:r>
        <w:r w:rsidRPr="00AF51AB">
          <w:rPr>
            <w:noProof/>
            <w:webHidden/>
          </w:rPr>
          <w:fldChar w:fldCharType="begin"/>
        </w:r>
        <w:r w:rsidRPr="00AF51AB">
          <w:rPr>
            <w:noProof/>
            <w:webHidden/>
          </w:rPr>
          <w:instrText xml:space="preserve"> PAGEREF _Toc415646205 \h </w:instrText>
        </w:r>
        <w:r w:rsidRPr="00AF51AB">
          <w:rPr>
            <w:noProof/>
            <w:webHidden/>
          </w:rPr>
        </w:r>
        <w:r w:rsidRPr="00AF51AB">
          <w:rPr>
            <w:noProof/>
            <w:webHidden/>
          </w:rPr>
          <w:fldChar w:fldCharType="separate"/>
        </w:r>
        <w:r w:rsidR="007845A3">
          <w:rPr>
            <w:noProof/>
            <w:webHidden/>
          </w:rPr>
          <w:t>27</w:t>
        </w:r>
        <w:r w:rsidRPr="00AF51AB">
          <w:rPr>
            <w:noProof/>
            <w:webHidden/>
          </w:rPr>
          <w:fldChar w:fldCharType="end"/>
        </w:r>
      </w:hyperlink>
    </w:p>
    <w:p w14:paraId="3667963A" w14:textId="390FCE1C" w:rsidR="000C3591" w:rsidRPr="00AF51AB" w:rsidRDefault="000C3591">
      <w:pPr>
        <w:pStyle w:val="Spistreci1"/>
        <w:tabs>
          <w:tab w:val="left" w:pos="660"/>
          <w:tab w:val="right" w:leader="dot" w:pos="9062"/>
        </w:tabs>
        <w:rPr>
          <w:rFonts w:eastAsiaTheme="minorEastAsia"/>
          <w:noProof/>
          <w:lang w:val="pl-PL" w:eastAsia="pl-PL"/>
        </w:rPr>
      </w:pPr>
      <w:hyperlink w:anchor="_Toc415646206" w:history="1">
        <w:r w:rsidRPr="00AF51AB">
          <w:rPr>
            <w:rStyle w:val="Hipercze"/>
            <w:noProof/>
            <w:lang w:val="pl-PL"/>
          </w:rPr>
          <w:t>26.</w:t>
        </w:r>
        <w:r w:rsidRPr="00AF51AB">
          <w:rPr>
            <w:rFonts w:eastAsiaTheme="minorEastAsia"/>
            <w:noProof/>
            <w:lang w:val="pl-PL" w:eastAsia="pl-PL"/>
          </w:rPr>
          <w:tab/>
        </w:r>
        <w:r w:rsidRPr="00AF51AB">
          <w:rPr>
            <w:rStyle w:val="Hipercze"/>
            <w:noProof/>
            <w:lang w:val="pl-PL"/>
          </w:rPr>
          <w:t xml:space="preserve">Velyo </w:t>
        </w:r>
        <w:r w:rsidR="004D146F" w:rsidRPr="00AF51AB">
          <w:rPr>
            <w:rStyle w:val="Hipercze"/>
            <w:noProof/>
            <w:lang w:val="pl-PL"/>
          </w:rPr>
          <w:t xml:space="preserve">Velev przeciwko Bułgarii </w:t>
        </w:r>
        <w:r w:rsidRPr="00AF51AB">
          <w:rPr>
            <w:noProof/>
            <w:webHidden/>
          </w:rPr>
          <w:tab/>
        </w:r>
        <w:r w:rsidRPr="00AF51AB">
          <w:rPr>
            <w:noProof/>
            <w:webHidden/>
          </w:rPr>
          <w:fldChar w:fldCharType="begin"/>
        </w:r>
        <w:r w:rsidRPr="00AF51AB">
          <w:rPr>
            <w:noProof/>
            <w:webHidden/>
          </w:rPr>
          <w:instrText xml:space="preserve"> PAGEREF _Toc415646206 \h </w:instrText>
        </w:r>
        <w:r w:rsidRPr="00AF51AB">
          <w:rPr>
            <w:noProof/>
            <w:webHidden/>
          </w:rPr>
        </w:r>
        <w:r w:rsidRPr="00AF51AB">
          <w:rPr>
            <w:noProof/>
            <w:webHidden/>
          </w:rPr>
          <w:fldChar w:fldCharType="separate"/>
        </w:r>
        <w:r w:rsidR="007845A3">
          <w:rPr>
            <w:noProof/>
            <w:webHidden/>
          </w:rPr>
          <w:t>27</w:t>
        </w:r>
        <w:r w:rsidRPr="00AF51AB">
          <w:rPr>
            <w:noProof/>
            <w:webHidden/>
          </w:rPr>
          <w:fldChar w:fldCharType="end"/>
        </w:r>
      </w:hyperlink>
    </w:p>
    <w:p w14:paraId="3EFAFA86" w14:textId="21043018" w:rsidR="000C3591" w:rsidRPr="00AF51AB" w:rsidRDefault="000C3591">
      <w:pPr>
        <w:pStyle w:val="Spistreci1"/>
        <w:tabs>
          <w:tab w:val="left" w:pos="660"/>
          <w:tab w:val="right" w:leader="dot" w:pos="9062"/>
        </w:tabs>
        <w:rPr>
          <w:rFonts w:eastAsiaTheme="minorEastAsia"/>
          <w:noProof/>
          <w:lang w:val="pl-PL" w:eastAsia="pl-PL"/>
        </w:rPr>
      </w:pPr>
      <w:hyperlink w:anchor="_Toc415646207" w:history="1">
        <w:r w:rsidRPr="00AF51AB">
          <w:rPr>
            <w:rStyle w:val="Hipercze"/>
            <w:noProof/>
            <w:lang w:val="pl-PL"/>
          </w:rPr>
          <w:t>27.</w:t>
        </w:r>
        <w:r w:rsidRPr="00AF51AB">
          <w:rPr>
            <w:rFonts w:eastAsiaTheme="minorEastAsia"/>
            <w:noProof/>
            <w:lang w:val="pl-PL" w:eastAsia="pl-PL"/>
          </w:rPr>
          <w:tab/>
        </w:r>
        <w:r w:rsidRPr="00AF51AB">
          <w:rPr>
            <w:rStyle w:val="Hipercze"/>
            <w:noProof/>
            <w:lang w:val="pl-PL"/>
          </w:rPr>
          <w:t>Vistiņš i Perepjolkins przeciwko Łotwie (</w:t>
        </w:r>
        <w:r w:rsidR="004D146F" w:rsidRPr="00AF51AB">
          <w:rPr>
            <w:rStyle w:val="Hipercze"/>
            <w:noProof/>
            <w:lang w:val="pl-PL"/>
          </w:rPr>
          <w:t xml:space="preserve">słuszne zadośćuczynienie), </w:t>
        </w:r>
        <w:r w:rsidRPr="00AF51AB">
          <w:rPr>
            <w:rStyle w:val="Hipercze"/>
            <w:noProof/>
            <w:lang w:val="pl-PL"/>
          </w:rPr>
          <w:t>wyrok Wielkiej Izby z 25.03.2014</w:t>
        </w:r>
        <w:r w:rsidRPr="00AF51AB">
          <w:rPr>
            <w:noProof/>
            <w:webHidden/>
          </w:rPr>
          <w:tab/>
        </w:r>
        <w:r w:rsidRPr="00AF51AB">
          <w:rPr>
            <w:noProof/>
            <w:webHidden/>
          </w:rPr>
          <w:fldChar w:fldCharType="begin"/>
        </w:r>
        <w:r w:rsidRPr="00AF51AB">
          <w:rPr>
            <w:noProof/>
            <w:webHidden/>
          </w:rPr>
          <w:instrText xml:space="preserve"> PAGEREF _Toc415646207 \h </w:instrText>
        </w:r>
        <w:r w:rsidRPr="00AF51AB">
          <w:rPr>
            <w:noProof/>
            <w:webHidden/>
          </w:rPr>
        </w:r>
        <w:r w:rsidRPr="00AF51AB">
          <w:rPr>
            <w:noProof/>
            <w:webHidden/>
          </w:rPr>
          <w:fldChar w:fldCharType="separate"/>
        </w:r>
        <w:r w:rsidR="007845A3">
          <w:rPr>
            <w:noProof/>
            <w:webHidden/>
          </w:rPr>
          <w:t>27</w:t>
        </w:r>
        <w:r w:rsidRPr="00AF51AB">
          <w:rPr>
            <w:noProof/>
            <w:webHidden/>
          </w:rPr>
          <w:fldChar w:fldCharType="end"/>
        </w:r>
      </w:hyperlink>
    </w:p>
    <w:p w14:paraId="3D69BD26" w14:textId="3135027D" w:rsidR="000C3591" w:rsidRPr="00AF51AB" w:rsidRDefault="000C3591">
      <w:pPr>
        <w:pStyle w:val="Spistreci1"/>
        <w:tabs>
          <w:tab w:val="left" w:pos="660"/>
          <w:tab w:val="right" w:leader="dot" w:pos="9062"/>
        </w:tabs>
        <w:rPr>
          <w:rFonts w:eastAsiaTheme="minorEastAsia"/>
          <w:noProof/>
          <w:lang w:val="pl-PL" w:eastAsia="pl-PL"/>
        </w:rPr>
      </w:pPr>
      <w:hyperlink w:anchor="_Toc415646208" w:history="1">
        <w:r w:rsidRPr="00AF51AB">
          <w:rPr>
            <w:rStyle w:val="Hipercze"/>
            <w:noProof/>
          </w:rPr>
          <w:t>28.</w:t>
        </w:r>
        <w:r w:rsidRPr="00AF51AB">
          <w:rPr>
            <w:rFonts w:eastAsiaTheme="minorEastAsia"/>
            <w:noProof/>
            <w:lang w:val="pl-PL" w:eastAsia="pl-PL"/>
          </w:rPr>
          <w:tab/>
        </w:r>
        <w:r w:rsidRPr="00AF51AB">
          <w:rPr>
            <w:rStyle w:val="Hipercze"/>
            <w:noProof/>
          </w:rPr>
          <w:t>Wyroki nieprawomocne</w:t>
        </w:r>
        <w:r w:rsidRPr="00AF51AB">
          <w:rPr>
            <w:noProof/>
            <w:webHidden/>
          </w:rPr>
          <w:tab/>
        </w:r>
        <w:r w:rsidRPr="00AF51AB">
          <w:rPr>
            <w:noProof/>
            <w:webHidden/>
          </w:rPr>
          <w:fldChar w:fldCharType="begin"/>
        </w:r>
        <w:r w:rsidRPr="00AF51AB">
          <w:rPr>
            <w:noProof/>
            <w:webHidden/>
          </w:rPr>
          <w:instrText xml:space="preserve"> PAGEREF _Toc415646208 \h </w:instrText>
        </w:r>
        <w:r w:rsidRPr="00AF51AB">
          <w:rPr>
            <w:noProof/>
            <w:webHidden/>
          </w:rPr>
        </w:r>
        <w:r w:rsidRPr="00AF51AB">
          <w:rPr>
            <w:noProof/>
            <w:webHidden/>
          </w:rPr>
          <w:fldChar w:fldCharType="separate"/>
        </w:r>
        <w:r w:rsidR="007845A3">
          <w:rPr>
            <w:noProof/>
            <w:webHidden/>
          </w:rPr>
          <w:t>28</w:t>
        </w:r>
        <w:r w:rsidRPr="00AF51AB">
          <w:rPr>
            <w:noProof/>
            <w:webHidden/>
          </w:rPr>
          <w:fldChar w:fldCharType="end"/>
        </w:r>
      </w:hyperlink>
    </w:p>
    <w:p w14:paraId="1C8A25CF" w14:textId="77777777" w:rsidR="00852C87" w:rsidRPr="00AF51AB" w:rsidRDefault="00C8103F" w:rsidP="00852C87">
      <w:pPr>
        <w:autoSpaceDE w:val="0"/>
        <w:autoSpaceDN w:val="0"/>
        <w:adjustRightInd w:val="0"/>
        <w:spacing w:after="0" w:line="240" w:lineRule="auto"/>
        <w:jc w:val="both"/>
        <w:rPr>
          <w:rFonts w:cs="Verdana"/>
          <w:sz w:val="24"/>
          <w:szCs w:val="24"/>
          <w:lang w:val="pl-PL"/>
        </w:rPr>
      </w:pPr>
      <w:r w:rsidRPr="00AF51AB">
        <w:rPr>
          <w:rFonts w:cs="Verdana"/>
          <w:sz w:val="24"/>
          <w:szCs w:val="24"/>
          <w:lang w:val="pl-PL"/>
        </w:rPr>
        <w:fldChar w:fldCharType="end"/>
      </w:r>
    </w:p>
    <w:p w14:paraId="7AD94937" w14:textId="77777777" w:rsidR="00852C87" w:rsidRPr="00AF51AB" w:rsidRDefault="00852C87" w:rsidP="005F7FDE">
      <w:pPr>
        <w:autoSpaceDE w:val="0"/>
        <w:autoSpaceDN w:val="0"/>
        <w:adjustRightInd w:val="0"/>
        <w:spacing w:after="0" w:line="240" w:lineRule="auto"/>
        <w:jc w:val="center"/>
        <w:rPr>
          <w:rFonts w:cs="Verdana"/>
          <w:sz w:val="24"/>
          <w:szCs w:val="24"/>
          <w:lang w:val="pl-PL"/>
        </w:rPr>
      </w:pPr>
    </w:p>
    <w:p w14:paraId="7CDACD12" w14:textId="77777777" w:rsidR="00852C87" w:rsidRPr="00AF51AB" w:rsidRDefault="00852C87" w:rsidP="006A3ABC">
      <w:pPr>
        <w:autoSpaceDE w:val="0"/>
        <w:autoSpaceDN w:val="0"/>
        <w:adjustRightInd w:val="0"/>
        <w:spacing w:after="0" w:line="240" w:lineRule="auto"/>
        <w:rPr>
          <w:rFonts w:cs="Verdana"/>
          <w:sz w:val="24"/>
          <w:szCs w:val="24"/>
          <w:lang w:val="pl-PL"/>
        </w:rPr>
      </w:pPr>
    </w:p>
    <w:p w14:paraId="70FA22BF" w14:textId="77777777" w:rsidR="00852C87" w:rsidRDefault="00852C87" w:rsidP="005F7FDE">
      <w:pPr>
        <w:autoSpaceDE w:val="0"/>
        <w:autoSpaceDN w:val="0"/>
        <w:adjustRightInd w:val="0"/>
        <w:spacing w:after="0" w:line="240" w:lineRule="auto"/>
        <w:jc w:val="center"/>
        <w:rPr>
          <w:rFonts w:cs="Verdana"/>
          <w:b/>
          <w:bCs/>
          <w:sz w:val="24"/>
          <w:szCs w:val="24"/>
          <w:lang w:val="pl-PL"/>
        </w:rPr>
      </w:pPr>
    </w:p>
    <w:p w14:paraId="4713F94A" w14:textId="77777777" w:rsidR="005F7FDE" w:rsidRPr="00677C9D" w:rsidRDefault="005F7FDE" w:rsidP="005F7FDE">
      <w:pPr>
        <w:autoSpaceDE w:val="0"/>
        <w:autoSpaceDN w:val="0"/>
        <w:adjustRightInd w:val="0"/>
        <w:spacing w:after="0" w:line="240" w:lineRule="auto"/>
        <w:jc w:val="center"/>
        <w:rPr>
          <w:rFonts w:cs="Verdana"/>
          <w:b/>
          <w:bCs/>
          <w:sz w:val="24"/>
          <w:szCs w:val="24"/>
          <w:lang w:val="pl-PL"/>
        </w:rPr>
      </w:pPr>
      <w:r w:rsidRPr="00677C9D">
        <w:rPr>
          <w:rFonts w:cs="Verdana"/>
          <w:b/>
          <w:bCs/>
          <w:sz w:val="24"/>
          <w:szCs w:val="24"/>
          <w:lang w:val="pl-PL"/>
        </w:rPr>
        <w:lastRenderedPageBreak/>
        <w:t xml:space="preserve">Wybrane orzeczenia Europejskiego Trybunału Praw Człowieka wydane w 2014 r. </w:t>
      </w:r>
      <w:r w:rsidRPr="00677C9D">
        <w:rPr>
          <w:rFonts w:cs="Verdana"/>
          <w:b/>
          <w:bCs/>
          <w:sz w:val="24"/>
          <w:szCs w:val="24"/>
          <w:lang w:val="pl-PL"/>
        </w:rPr>
        <w:br/>
        <w:t xml:space="preserve">w sprawach dotyczących innych Państw-Stron Konwencji, </w:t>
      </w:r>
      <w:r w:rsidRPr="00677C9D">
        <w:rPr>
          <w:rFonts w:cs="Verdana"/>
          <w:b/>
          <w:bCs/>
          <w:sz w:val="24"/>
          <w:szCs w:val="24"/>
          <w:lang w:val="pl-PL"/>
        </w:rPr>
        <w:br/>
        <w:t>które mają lub mogą mieć znaczenie dla prawa lub praktyki jego stosowania w Polsce</w:t>
      </w:r>
    </w:p>
    <w:p w14:paraId="644F681E" w14:textId="77777777" w:rsidR="005F7FDE" w:rsidRPr="00677C9D" w:rsidRDefault="005F7FDE" w:rsidP="005F7FDE">
      <w:pPr>
        <w:autoSpaceDE w:val="0"/>
        <w:autoSpaceDN w:val="0"/>
        <w:adjustRightInd w:val="0"/>
        <w:spacing w:after="0" w:line="240" w:lineRule="auto"/>
        <w:jc w:val="center"/>
        <w:rPr>
          <w:rFonts w:cs="Verdana"/>
          <w:b/>
          <w:bCs/>
          <w:sz w:val="24"/>
          <w:szCs w:val="24"/>
          <w:lang w:val="pl-PL"/>
        </w:rPr>
      </w:pPr>
    </w:p>
    <w:p w14:paraId="555A37BD" w14:textId="77777777" w:rsidR="005F7FDE" w:rsidRPr="00677C9D" w:rsidRDefault="005F7FDE" w:rsidP="005F7FDE">
      <w:pPr>
        <w:pStyle w:val="Akapitzlist"/>
        <w:autoSpaceDE w:val="0"/>
        <w:autoSpaceDN w:val="0"/>
        <w:adjustRightInd w:val="0"/>
        <w:spacing w:after="0" w:line="240" w:lineRule="auto"/>
        <w:ind w:left="0"/>
        <w:jc w:val="both"/>
        <w:rPr>
          <w:rFonts w:cs="Verdana"/>
          <w:bCs/>
          <w:sz w:val="24"/>
          <w:szCs w:val="24"/>
          <w:lang w:val="pl-PL"/>
        </w:rPr>
      </w:pPr>
      <w:r w:rsidRPr="00677C9D">
        <w:rPr>
          <w:rFonts w:cs="Verdana"/>
          <w:bCs/>
          <w:sz w:val="24"/>
          <w:szCs w:val="24"/>
          <w:lang w:val="pl-PL"/>
        </w:rPr>
        <w:t xml:space="preserve">W ramach działań mających na celu zapobieganie stwierdzaniu przez Trybunał naruszenia Konwencji o ochronie praw człowieka i podstawowych wolności przez Polskę, istotne jest nie tylko usuwanie stwierdzonych nieprawidłowości w prawie lub praktyce jego stosowania, ale także podejmowanie działań prewencyjnych na przyszłość. Choć na mocy art. 46 ust. 1 Konwencji państwa są formalnie zobowiązane do przestrzegania ostatecznych wyroków Trybunału w sprawach, których są stronami, nie należy pomijać orzecznictwa Trybunału wobec innych państw Rady Europy. </w:t>
      </w:r>
    </w:p>
    <w:p w14:paraId="01193CA2" w14:textId="77777777" w:rsidR="005F7FDE" w:rsidRPr="00677C9D" w:rsidRDefault="005F7FDE" w:rsidP="005F7FDE">
      <w:pPr>
        <w:pStyle w:val="Akapitzlist"/>
        <w:autoSpaceDE w:val="0"/>
        <w:autoSpaceDN w:val="0"/>
        <w:adjustRightInd w:val="0"/>
        <w:spacing w:after="0" w:line="240" w:lineRule="auto"/>
        <w:ind w:left="0"/>
        <w:jc w:val="both"/>
        <w:rPr>
          <w:rFonts w:cs="Verdana"/>
          <w:bCs/>
          <w:sz w:val="24"/>
          <w:szCs w:val="24"/>
          <w:lang w:val="pl-PL"/>
        </w:rPr>
      </w:pPr>
    </w:p>
    <w:p w14:paraId="4037C6B4" w14:textId="77777777" w:rsidR="00EA4616" w:rsidRPr="00677C9D" w:rsidRDefault="005F7FDE" w:rsidP="005F7FDE">
      <w:pPr>
        <w:pStyle w:val="Akapitzlist"/>
        <w:autoSpaceDE w:val="0"/>
        <w:autoSpaceDN w:val="0"/>
        <w:adjustRightInd w:val="0"/>
        <w:spacing w:after="0" w:line="240" w:lineRule="auto"/>
        <w:ind w:left="0"/>
        <w:jc w:val="both"/>
        <w:rPr>
          <w:rFonts w:cs="Verdana"/>
          <w:bCs/>
          <w:sz w:val="24"/>
          <w:szCs w:val="24"/>
          <w:lang w:val="pl-PL"/>
        </w:rPr>
      </w:pPr>
      <w:r w:rsidRPr="00677C9D">
        <w:rPr>
          <w:rFonts w:cs="Verdana"/>
          <w:bCs/>
          <w:sz w:val="24"/>
          <w:szCs w:val="24"/>
          <w:lang w:val="pl-PL"/>
        </w:rPr>
        <w:t xml:space="preserve">Z tego względu Pełnomocnik przedstawia poniżej listę wybranych orzeczeń Trybunału wydanych w 2014 r. wobec innych państw, które </w:t>
      </w:r>
      <w:r w:rsidR="006057F5">
        <w:rPr>
          <w:rFonts w:cs="Verdana"/>
          <w:bCs/>
          <w:sz w:val="24"/>
          <w:szCs w:val="24"/>
          <w:lang w:val="pl-PL"/>
        </w:rPr>
        <w:t xml:space="preserve">przy założeniu, że przepisy Konwencji będą stosowane </w:t>
      </w:r>
      <w:r w:rsidR="006057F5" w:rsidRPr="00677C9D">
        <w:rPr>
          <w:rFonts w:cs="Verdana"/>
          <w:bCs/>
          <w:sz w:val="24"/>
          <w:szCs w:val="24"/>
          <w:lang w:val="pl-PL"/>
        </w:rPr>
        <w:t>wobec Polski w podobny sposób jak wobec innych państw</w:t>
      </w:r>
      <w:r w:rsidR="006057F5">
        <w:rPr>
          <w:rFonts w:cs="Verdana"/>
          <w:bCs/>
          <w:sz w:val="24"/>
          <w:szCs w:val="24"/>
          <w:lang w:val="pl-PL"/>
        </w:rPr>
        <w:t xml:space="preserve">, </w:t>
      </w:r>
      <w:r w:rsidRPr="00677C9D">
        <w:rPr>
          <w:rFonts w:cs="Verdana"/>
          <w:bCs/>
          <w:sz w:val="24"/>
          <w:szCs w:val="24"/>
          <w:lang w:val="pl-PL"/>
        </w:rPr>
        <w:t xml:space="preserve">mają lub potencjalnie mogą mieć (np. w razie podjęcia nowych działań legislacyjnych) znaczenie dla polskiego porządku prawnego i dla praktyki stosowania prawa. </w:t>
      </w:r>
      <w:bookmarkEnd w:id="0"/>
      <w:r w:rsidR="006057F5">
        <w:rPr>
          <w:rFonts w:cs="Verdana"/>
          <w:bCs/>
          <w:sz w:val="24"/>
          <w:szCs w:val="24"/>
          <w:lang w:val="pl-PL"/>
        </w:rPr>
        <w:t>O</w:t>
      </w:r>
      <w:r w:rsidR="009D5413" w:rsidRPr="00677C9D">
        <w:rPr>
          <w:rFonts w:cs="Verdana"/>
          <w:bCs/>
          <w:sz w:val="24"/>
          <w:szCs w:val="24"/>
          <w:lang w:val="pl-PL"/>
        </w:rPr>
        <w:t>pisane</w:t>
      </w:r>
      <w:r w:rsidR="00834962" w:rsidRPr="00677C9D">
        <w:rPr>
          <w:rFonts w:cs="Verdana"/>
          <w:bCs/>
          <w:sz w:val="24"/>
          <w:szCs w:val="24"/>
          <w:lang w:val="pl-PL"/>
        </w:rPr>
        <w:t xml:space="preserve"> </w:t>
      </w:r>
      <w:r w:rsidR="006057F5">
        <w:rPr>
          <w:rFonts w:cs="Verdana"/>
          <w:bCs/>
          <w:sz w:val="24"/>
          <w:szCs w:val="24"/>
          <w:lang w:val="pl-PL"/>
        </w:rPr>
        <w:t xml:space="preserve">orzeczenia </w:t>
      </w:r>
      <w:r w:rsidR="00834962" w:rsidRPr="00677C9D">
        <w:rPr>
          <w:rFonts w:cs="Verdana"/>
          <w:bCs/>
          <w:sz w:val="24"/>
          <w:szCs w:val="24"/>
          <w:lang w:val="pl-PL"/>
        </w:rPr>
        <w:t xml:space="preserve">zostały wskazane przez Europejski Trybunał Praw Człowieka jako najistotniejsze orzeczenia wydane w 2014 r. </w:t>
      </w:r>
      <w:r w:rsidR="00B222D3" w:rsidRPr="00677C9D">
        <w:rPr>
          <w:rFonts w:cs="Verdana"/>
          <w:bCs/>
          <w:sz w:val="24"/>
          <w:szCs w:val="24"/>
          <w:lang w:val="pl-PL"/>
        </w:rPr>
        <w:t xml:space="preserve">Podane </w:t>
      </w:r>
      <w:r w:rsidR="00897694" w:rsidRPr="00677C9D">
        <w:rPr>
          <w:rFonts w:cs="Verdana"/>
          <w:bCs/>
          <w:sz w:val="24"/>
          <w:szCs w:val="24"/>
          <w:lang w:val="pl-PL"/>
        </w:rPr>
        <w:t xml:space="preserve">poniżej </w:t>
      </w:r>
      <w:r w:rsidR="00B222D3" w:rsidRPr="00677C9D">
        <w:rPr>
          <w:rFonts w:cs="Verdana"/>
          <w:bCs/>
          <w:sz w:val="24"/>
          <w:szCs w:val="24"/>
          <w:lang w:val="pl-PL"/>
        </w:rPr>
        <w:t>informacje należy traktować jedynie jako sygnalizujące wstępnie problematykę</w:t>
      </w:r>
      <w:r w:rsidR="00897694" w:rsidRPr="00677C9D">
        <w:rPr>
          <w:rFonts w:cs="Verdana"/>
          <w:bCs/>
          <w:sz w:val="24"/>
          <w:szCs w:val="24"/>
          <w:lang w:val="pl-PL"/>
        </w:rPr>
        <w:t xml:space="preserve"> orzeczenia</w:t>
      </w:r>
      <w:r w:rsidR="00B222D3" w:rsidRPr="00677C9D">
        <w:rPr>
          <w:rFonts w:cs="Verdana"/>
          <w:bCs/>
          <w:sz w:val="24"/>
          <w:szCs w:val="24"/>
          <w:lang w:val="pl-PL"/>
        </w:rPr>
        <w:t>, nie zaś jako pełny opis argumentacji Trybunału</w:t>
      </w:r>
      <w:r w:rsidR="00897694" w:rsidRPr="00677C9D">
        <w:rPr>
          <w:rFonts w:cs="Verdana"/>
          <w:bCs/>
          <w:sz w:val="24"/>
          <w:szCs w:val="24"/>
          <w:lang w:val="pl-PL"/>
        </w:rPr>
        <w:t xml:space="preserve"> i stwierdzonego naruszenia</w:t>
      </w:r>
      <w:r w:rsidR="00B222D3" w:rsidRPr="00677C9D">
        <w:rPr>
          <w:rFonts w:cs="Verdana"/>
          <w:bCs/>
          <w:sz w:val="24"/>
          <w:szCs w:val="24"/>
          <w:lang w:val="pl-PL"/>
        </w:rPr>
        <w:t>. Również analiza znaczenia wyroku dla prawa polskiego ma charakter wstępny –</w:t>
      </w:r>
      <w:r w:rsidR="00A9314A" w:rsidRPr="00677C9D">
        <w:rPr>
          <w:rFonts w:cs="Verdana"/>
          <w:bCs/>
          <w:sz w:val="24"/>
          <w:szCs w:val="24"/>
          <w:lang w:val="pl-PL"/>
        </w:rPr>
        <w:t xml:space="preserve"> </w:t>
      </w:r>
      <w:r w:rsidR="00B222D3" w:rsidRPr="00677C9D">
        <w:rPr>
          <w:rFonts w:cs="Verdana"/>
          <w:bCs/>
          <w:sz w:val="24"/>
          <w:szCs w:val="24"/>
          <w:lang w:val="pl-PL"/>
        </w:rPr>
        <w:t xml:space="preserve">niezbędne jest przeprowadzenie </w:t>
      </w:r>
      <w:r w:rsidR="00A9314A" w:rsidRPr="00677C9D">
        <w:rPr>
          <w:rFonts w:cs="Verdana"/>
          <w:bCs/>
          <w:sz w:val="24"/>
          <w:szCs w:val="24"/>
          <w:lang w:val="pl-PL"/>
        </w:rPr>
        <w:t xml:space="preserve">dalszej, </w:t>
      </w:r>
      <w:r w:rsidR="00B222D3" w:rsidRPr="00677C9D">
        <w:rPr>
          <w:rFonts w:cs="Verdana"/>
          <w:bCs/>
          <w:sz w:val="24"/>
          <w:szCs w:val="24"/>
          <w:lang w:val="pl-PL"/>
        </w:rPr>
        <w:t>pełnej analizy przez właściwe organy.</w:t>
      </w:r>
    </w:p>
    <w:p w14:paraId="36CEB58B" w14:textId="77777777" w:rsidR="00FF780D" w:rsidRPr="00852C87" w:rsidRDefault="00FF780D" w:rsidP="000C3591">
      <w:pPr>
        <w:pStyle w:val="Nagwek1"/>
        <w:numPr>
          <w:ilvl w:val="0"/>
          <w:numId w:val="34"/>
        </w:numPr>
        <w:rPr>
          <w:rFonts w:asciiTheme="minorHAnsi" w:hAnsiTheme="minorHAnsi"/>
          <w:color w:val="auto"/>
          <w:sz w:val="24"/>
          <w:szCs w:val="24"/>
          <w:lang w:val="pl-PL"/>
        </w:rPr>
      </w:pPr>
      <w:bookmarkStart w:id="1" w:name="_Toc415257910"/>
      <w:bookmarkStart w:id="2" w:name="_Toc415646181"/>
      <w:proofErr w:type="spellStart"/>
      <w:r w:rsidRPr="00852C87">
        <w:rPr>
          <w:rFonts w:asciiTheme="minorHAnsi" w:hAnsiTheme="minorHAnsi"/>
          <w:color w:val="auto"/>
          <w:sz w:val="24"/>
          <w:szCs w:val="24"/>
          <w:lang w:val="pl-PL"/>
        </w:rPr>
        <w:t>Ališić</w:t>
      </w:r>
      <w:proofErr w:type="spellEnd"/>
      <w:r w:rsidRPr="00852C87">
        <w:rPr>
          <w:rFonts w:asciiTheme="minorHAnsi" w:hAnsiTheme="minorHAnsi"/>
          <w:color w:val="auto"/>
          <w:sz w:val="24"/>
          <w:szCs w:val="24"/>
          <w:lang w:val="pl-PL"/>
        </w:rPr>
        <w:t xml:space="preserve"> i Inni przeciwko Bośni i Hercegowinie, Chorwacji, Serbii, Słowenii oraz byłej Jugosłowiańskiej Republice Macedonii, skarga nr 60642/08, wyrok Wielkiej Izby z 16.07.2014</w:t>
      </w:r>
      <w:bookmarkEnd w:id="1"/>
      <w:bookmarkEnd w:id="2"/>
    </w:p>
    <w:p w14:paraId="331765BF" w14:textId="77777777" w:rsidR="00FF780D" w:rsidRPr="00677C9D" w:rsidRDefault="00A5737D" w:rsidP="00C83635">
      <w:pPr>
        <w:pStyle w:val="Akapitzlist"/>
        <w:numPr>
          <w:ilvl w:val="0"/>
          <w:numId w:val="3"/>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naruszenie </w:t>
      </w:r>
      <w:r w:rsidR="00FF780D" w:rsidRPr="00677C9D">
        <w:rPr>
          <w:rFonts w:cs="Verdana"/>
          <w:bCs/>
          <w:sz w:val="24"/>
          <w:szCs w:val="24"/>
          <w:lang w:val="pl-PL"/>
        </w:rPr>
        <w:t xml:space="preserve">art. 1 Protokołu nr 1 </w:t>
      </w:r>
      <w:r w:rsidR="003C564F">
        <w:rPr>
          <w:rFonts w:cs="Verdana"/>
          <w:bCs/>
          <w:sz w:val="24"/>
          <w:szCs w:val="24"/>
          <w:lang w:val="pl-PL"/>
        </w:rPr>
        <w:t xml:space="preserve">do Konwencji </w:t>
      </w:r>
      <w:r w:rsidR="00901CDC" w:rsidRPr="00677C9D">
        <w:rPr>
          <w:rFonts w:cs="Verdana"/>
          <w:bCs/>
          <w:sz w:val="24"/>
          <w:szCs w:val="24"/>
          <w:lang w:val="pl-PL"/>
        </w:rPr>
        <w:t>(</w:t>
      </w:r>
      <w:r w:rsidR="00DE1EEB" w:rsidRPr="00677C9D">
        <w:rPr>
          <w:rFonts w:cs="Verdana"/>
          <w:bCs/>
          <w:sz w:val="24"/>
          <w:szCs w:val="24"/>
          <w:lang w:val="pl-PL"/>
        </w:rPr>
        <w:t xml:space="preserve">obowiązek </w:t>
      </w:r>
      <w:r w:rsidR="00B03515" w:rsidRPr="00677C9D">
        <w:rPr>
          <w:rFonts w:cs="Verdana"/>
          <w:bCs/>
          <w:sz w:val="24"/>
          <w:szCs w:val="24"/>
          <w:lang w:val="pl-PL"/>
        </w:rPr>
        <w:t>poszanowania prawa do mienia</w:t>
      </w:r>
      <w:r w:rsidR="00901CDC" w:rsidRPr="00677C9D">
        <w:rPr>
          <w:rFonts w:cs="Verdana"/>
          <w:bCs/>
          <w:sz w:val="24"/>
          <w:szCs w:val="24"/>
          <w:lang w:val="pl-PL"/>
        </w:rPr>
        <w:t xml:space="preserve">) </w:t>
      </w:r>
      <w:r w:rsidRPr="00677C9D">
        <w:rPr>
          <w:rFonts w:cs="Verdana"/>
          <w:bCs/>
          <w:sz w:val="24"/>
          <w:szCs w:val="24"/>
          <w:lang w:val="pl-PL"/>
        </w:rPr>
        <w:t xml:space="preserve">dokonane </w:t>
      </w:r>
      <w:r w:rsidR="00FF780D" w:rsidRPr="00677C9D">
        <w:rPr>
          <w:rFonts w:cs="Verdana"/>
          <w:bCs/>
          <w:sz w:val="24"/>
          <w:szCs w:val="24"/>
          <w:lang w:val="pl-PL"/>
        </w:rPr>
        <w:t xml:space="preserve">przez Słowenię i Serbię z uwagi na długotrwały brak możliwości podjęcia przez trzech obywateli </w:t>
      </w:r>
      <w:proofErr w:type="spellStart"/>
      <w:r w:rsidR="00FF780D" w:rsidRPr="00677C9D">
        <w:rPr>
          <w:rFonts w:cs="Verdana"/>
          <w:bCs/>
          <w:sz w:val="24"/>
          <w:szCs w:val="24"/>
          <w:lang w:val="pl-PL"/>
        </w:rPr>
        <w:t>BiH</w:t>
      </w:r>
      <w:proofErr w:type="spellEnd"/>
      <w:r w:rsidR="00FF780D" w:rsidRPr="00677C9D">
        <w:rPr>
          <w:rFonts w:cs="Verdana"/>
          <w:bCs/>
          <w:sz w:val="24"/>
          <w:szCs w:val="24"/>
          <w:lang w:val="pl-PL"/>
        </w:rPr>
        <w:t xml:space="preserve"> środków z tzw. starych rachunków oszczędnościowych w walucie obcej po rozpadzie byłej Jugosławii (Trybunał stwierdził, że zobowiązania nie zostały nigdy „wygaszone”, zarówno same państwa, jak i sądy krajowe potwierdzały odpowiedzialność obu państw)</w:t>
      </w:r>
      <w:r w:rsidR="005F7FDE" w:rsidRPr="00677C9D">
        <w:rPr>
          <w:rFonts w:cs="Verdana"/>
          <w:bCs/>
          <w:sz w:val="24"/>
          <w:szCs w:val="24"/>
          <w:lang w:val="pl-PL"/>
        </w:rPr>
        <w:t>;</w:t>
      </w:r>
      <w:r w:rsidR="00FF780D" w:rsidRPr="00677C9D">
        <w:rPr>
          <w:rFonts w:cs="Verdana"/>
          <w:bCs/>
          <w:sz w:val="24"/>
          <w:szCs w:val="24"/>
          <w:lang w:val="pl-PL"/>
        </w:rPr>
        <w:t xml:space="preserve">  </w:t>
      </w:r>
    </w:p>
    <w:p w14:paraId="23A71878" w14:textId="77777777" w:rsidR="00FF780D" w:rsidRPr="00677C9D" w:rsidRDefault="00FF780D" w:rsidP="00C83635">
      <w:pPr>
        <w:pStyle w:val="Akapitzlist"/>
        <w:numPr>
          <w:ilvl w:val="0"/>
          <w:numId w:val="3"/>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art. 46 </w:t>
      </w:r>
      <w:r w:rsidR="00AD2867" w:rsidRPr="00677C9D">
        <w:rPr>
          <w:rFonts w:cs="Verdana"/>
          <w:bCs/>
          <w:sz w:val="24"/>
          <w:szCs w:val="24"/>
          <w:lang w:val="pl-PL"/>
        </w:rPr>
        <w:t>(moc obowiązująca oraz wykonanie wyroku)</w:t>
      </w:r>
      <w:r w:rsidR="00A5737D" w:rsidRPr="00677C9D">
        <w:rPr>
          <w:rFonts w:cs="Verdana"/>
          <w:bCs/>
          <w:sz w:val="24"/>
          <w:szCs w:val="24"/>
          <w:lang w:val="pl-PL"/>
        </w:rPr>
        <w:t xml:space="preserve"> </w:t>
      </w:r>
      <w:r w:rsidRPr="00677C9D">
        <w:rPr>
          <w:rFonts w:cs="Verdana"/>
          <w:bCs/>
          <w:sz w:val="24"/>
          <w:szCs w:val="24"/>
          <w:lang w:val="pl-PL"/>
        </w:rPr>
        <w:t>-  wyrok pilotażowy,  z uwagi na fakt, że zawisłych przed Trybunałem było ok. 8000 podobnych spraw (a kolejne tysiące skarg mogą zostać złożone), Słowenia i Serbia zostały zobowiązane do podjęcia w ciągu roku środków w celu umożliwienia skarżącym i innym osobom w takiej sytuacji odzyskani</w:t>
      </w:r>
      <w:r w:rsidR="00A5737D" w:rsidRPr="00677C9D">
        <w:rPr>
          <w:rFonts w:cs="Verdana"/>
          <w:bCs/>
          <w:sz w:val="24"/>
          <w:szCs w:val="24"/>
          <w:lang w:val="pl-PL"/>
        </w:rPr>
        <w:t>a</w:t>
      </w:r>
      <w:r w:rsidRPr="00677C9D">
        <w:rPr>
          <w:rFonts w:cs="Verdana"/>
          <w:bCs/>
          <w:sz w:val="24"/>
          <w:szCs w:val="24"/>
          <w:lang w:val="pl-PL"/>
        </w:rPr>
        <w:t xml:space="preserve"> „starych” oszczędności w obcej walucie. Trybunał jednocześnie powstrzymał się od zobowiązywania tych państw do odszkodowania za szkody poniesione na skutek niemożności korzystania z oszczędności przez ok. 20 lat, nie wykluczył możliwości zmiany stanowiska w tej sprawie, jeśli pozwane państwa nie wdrożą środków generalnych umożliwiających odzyskanie oszczędności</w:t>
      </w:r>
      <w:r w:rsidR="00A5737D" w:rsidRPr="00677C9D">
        <w:rPr>
          <w:rFonts w:cs="Verdana"/>
          <w:bCs/>
          <w:sz w:val="24"/>
          <w:szCs w:val="24"/>
          <w:lang w:val="pl-PL"/>
        </w:rPr>
        <w:t>.</w:t>
      </w:r>
    </w:p>
    <w:p w14:paraId="5C628364" w14:textId="77777777" w:rsidR="00FF780D" w:rsidRPr="00677C9D" w:rsidRDefault="00FF780D" w:rsidP="00FF780D">
      <w:pPr>
        <w:autoSpaceDE w:val="0"/>
        <w:autoSpaceDN w:val="0"/>
        <w:adjustRightInd w:val="0"/>
        <w:spacing w:after="120" w:line="240" w:lineRule="auto"/>
        <w:jc w:val="both"/>
        <w:rPr>
          <w:rFonts w:cs="Verdana"/>
          <w:bCs/>
          <w:sz w:val="24"/>
          <w:szCs w:val="24"/>
          <w:lang w:val="pl-PL"/>
        </w:rPr>
      </w:pPr>
      <w:r w:rsidRPr="00677C9D">
        <w:rPr>
          <w:rFonts w:cs="Verdana"/>
          <w:bCs/>
          <w:sz w:val="24"/>
          <w:szCs w:val="24"/>
          <w:u w:val="single"/>
          <w:lang w:val="pl-PL"/>
        </w:rPr>
        <w:t>Znaczenie wyroku dla Polski</w:t>
      </w:r>
      <w:r w:rsidRPr="00677C9D">
        <w:rPr>
          <w:rFonts w:cs="Verdana"/>
          <w:bCs/>
          <w:sz w:val="24"/>
          <w:szCs w:val="24"/>
          <w:lang w:val="pl-PL"/>
        </w:rPr>
        <w:t>: wskazuje na zasady i kryteria odpowiedzialności państw za spółki, w tym banki, na gruncie art. 1</w:t>
      </w:r>
      <w:r w:rsidR="00A5737D" w:rsidRPr="00677C9D">
        <w:rPr>
          <w:rFonts w:cs="Verdana"/>
          <w:bCs/>
          <w:sz w:val="24"/>
          <w:szCs w:val="24"/>
          <w:lang w:val="pl-PL"/>
        </w:rPr>
        <w:t xml:space="preserve"> Protokołu nr 1</w:t>
      </w:r>
      <w:r w:rsidRPr="00677C9D">
        <w:rPr>
          <w:rFonts w:cs="Verdana"/>
          <w:bCs/>
          <w:sz w:val="24"/>
          <w:szCs w:val="24"/>
          <w:lang w:val="pl-PL"/>
        </w:rPr>
        <w:t xml:space="preserve">, w tym w odniesieniu do kwestii, które miały miejsce przed wejściem w życie Konwencji wobec państwa; odnosi się do problematyki sukcesji państw; część kwestii ma charakter swoisty, związany ze szczególnymi okolicznościami związanymi z rozpadem byłej Jugosławii (orzeczenia nie należy </w:t>
      </w:r>
      <w:r w:rsidRPr="00677C9D">
        <w:rPr>
          <w:rFonts w:cs="Verdana"/>
          <w:bCs/>
          <w:sz w:val="24"/>
          <w:szCs w:val="24"/>
          <w:lang w:val="pl-PL"/>
        </w:rPr>
        <w:lastRenderedPageBreak/>
        <w:t>interpretować jako wykluczającego możliwość podejmowania przez państwa jakichkolwiek środków mających na celu uzdrowienie sytuacji w odniesieniu do niewypłacalnych prywatnych banków).</w:t>
      </w:r>
    </w:p>
    <w:p w14:paraId="4A577E53" w14:textId="77777777" w:rsidR="00FF780D" w:rsidRPr="000C3591" w:rsidRDefault="00FF780D" w:rsidP="000C3591">
      <w:pPr>
        <w:pStyle w:val="Nagwek1"/>
        <w:numPr>
          <w:ilvl w:val="0"/>
          <w:numId w:val="34"/>
        </w:numPr>
        <w:rPr>
          <w:rFonts w:asciiTheme="minorHAnsi" w:hAnsiTheme="minorHAnsi"/>
          <w:color w:val="auto"/>
          <w:sz w:val="24"/>
          <w:szCs w:val="24"/>
          <w:lang w:val="pl-PL"/>
        </w:rPr>
      </w:pPr>
      <w:bookmarkStart w:id="3" w:name="_Toc415257911"/>
      <w:bookmarkStart w:id="4" w:name="_Toc415646182"/>
      <w:r w:rsidRPr="000C3591">
        <w:rPr>
          <w:rFonts w:asciiTheme="minorHAnsi" w:hAnsiTheme="minorHAnsi"/>
          <w:color w:val="auto"/>
          <w:sz w:val="24"/>
          <w:szCs w:val="24"/>
          <w:lang w:val="pl-PL"/>
        </w:rPr>
        <w:t>Battista przeciwko Włochom, skarga nr 43978/09, wyrok z 02.12.2014</w:t>
      </w:r>
      <w:bookmarkEnd w:id="3"/>
      <w:bookmarkEnd w:id="4"/>
    </w:p>
    <w:p w14:paraId="19961EAE" w14:textId="77777777" w:rsidR="00FF780D" w:rsidRPr="00677C9D" w:rsidRDefault="00A5737D" w:rsidP="00C83635">
      <w:pPr>
        <w:pStyle w:val="Akapitzlist"/>
        <w:numPr>
          <w:ilvl w:val="0"/>
          <w:numId w:val="4"/>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naruszenie </w:t>
      </w:r>
      <w:r w:rsidR="00FF780D" w:rsidRPr="00677C9D">
        <w:rPr>
          <w:rFonts w:cs="Verdana"/>
          <w:bCs/>
          <w:sz w:val="24"/>
          <w:szCs w:val="24"/>
          <w:lang w:val="pl-PL"/>
        </w:rPr>
        <w:t>art. 2 Protokołu nr 4</w:t>
      </w:r>
      <w:r w:rsidR="00AD2867" w:rsidRPr="00677C9D">
        <w:rPr>
          <w:rFonts w:cs="Verdana"/>
          <w:bCs/>
          <w:sz w:val="24"/>
          <w:szCs w:val="24"/>
          <w:lang w:val="pl-PL"/>
        </w:rPr>
        <w:t xml:space="preserve"> (prawo do swobodnego poruszania się)</w:t>
      </w:r>
      <w:r w:rsidR="00FF780D" w:rsidRPr="00677C9D">
        <w:rPr>
          <w:rFonts w:cs="Verdana"/>
          <w:bCs/>
          <w:sz w:val="24"/>
          <w:szCs w:val="24"/>
          <w:lang w:val="pl-PL"/>
        </w:rPr>
        <w:t xml:space="preserve"> </w:t>
      </w:r>
      <w:r w:rsidRPr="00677C9D">
        <w:rPr>
          <w:rFonts w:cs="Verdana"/>
          <w:bCs/>
          <w:sz w:val="24"/>
          <w:szCs w:val="24"/>
          <w:lang w:val="pl-PL"/>
        </w:rPr>
        <w:t xml:space="preserve">poprzez wprowadzenie </w:t>
      </w:r>
      <w:r w:rsidR="00FF780D" w:rsidRPr="00677C9D">
        <w:rPr>
          <w:rFonts w:cs="Verdana"/>
          <w:bCs/>
          <w:sz w:val="24"/>
          <w:szCs w:val="24"/>
          <w:lang w:val="pl-PL"/>
        </w:rPr>
        <w:t>zakaz</w:t>
      </w:r>
      <w:r w:rsidRPr="00677C9D">
        <w:rPr>
          <w:rFonts w:cs="Verdana"/>
          <w:bCs/>
          <w:sz w:val="24"/>
          <w:szCs w:val="24"/>
          <w:lang w:val="pl-PL"/>
        </w:rPr>
        <w:t>u</w:t>
      </w:r>
      <w:r w:rsidR="00FF780D" w:rsidRPr="00677C9D">
        <w:rPr>
          <w:rFonts w:cs="Verdana"/>
          <w:bCs/>
          <w:sz w:val="24"/>
          <w:szCs w:val="24"/>
          <w:lang w:val="pl-PL"/>
        </w:rPr>
        <w:t xml:space="preserve"> opuszczenia kraju z uwagi na potrzebę zagwarantowania opłacania alimentów na dziecko</w:t>
      </w:r>
      <w:r w:rsidR="005F7FDE" w:rsidRPr="00677C9D">
        <w:rPr>
          <w:rFonts w:cs="Verdana"/>
          <w:bCs/>
          <w:sz w:val="24"/>
          <w:szCs w:val="24"/>
          <w:lang w:val="pl-PL"/>
        </w:rPr>
        <w:t>;</w:t>
      </w:r>
    </w:p>
    <w:p w14:paraId="2F23BB99" w14:textId="77777777" w:rsidR="00FF780D" w:rsidRPr="00677C9D" w:rsidRDefault="00A5737D" w:rsidP="00C83635">
      <w:pPr>
        <w:pStyle w:val="Akapitzlist"/>
        <w:numPr>
          <w:ilvl w:val="0"/>
          <w:numId w:val="4"/>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o</w:t>
      </w:r>
      <w:r w:rsidR="00FF780D" w:rsidRPr="00677C9D">
        <w:rPr>
          <w:rFonts w:cs="Verdana"/>
          <w:bCs/>
          <w:sz w:val="24"/>
          <w:szCs w:val="24"/>
          <w:lang w:val="pl-PL"/>
        </w:rPr>
        <w:t xml:space="preserve">rgany krajowe odmówiły wydania paszportu i unieważniły dowód tożsamości skarżącego umożliwiający mu wyjazd za granicę, motywując to faktem, iż jest on zobowiązany do opłacania alimentów na dziecko. Trybunał stwierdził naruszenie art. 2 Protokołu nr 4, uznając, że podjęty środek, choć zgodny z prawem i mający uprawniony cel, nie był konieczny w społeczeństwie demokratycznym. Wytknął fakt, że organy zbadały jedynie interes dziecka, pominęły jednak interes skarżącego, i zastosowały przedmiotowy środek w sposób automatyczny, bez określenia długości jego trwania ani bez rozważenia jego proporcjonalności. Co więcej, nie uwzględniły istniejących mechanizmów współpracy międzynarodowej mających na celu zapewnienie opłacania alimentów za granicę. Zastosowany środek sam w sobie nie zapewniał zaś opłacania tychże alimentów. </w:t>
      </w:r>
    </w:p>
    <w:p w14:paraId="08E0B3E1" w14:textId="77777777" w:rsidR="00FF780D" w:rsidRPr="00677C9D" w:rsidRDefault="00F02FBE" w:rsidP="00FF780D">
      <w:pPr>
        <w:autoSpaceDE w:val="0"/>
        <w:autoSpaceDN w:val="0"/>
        <w:adjustRightInd w:val="0"/>
        <w:spacing w:after="120" w:line="240" w:lineRule="auto"/>
        <w:jc w:val="both"/>
        <w:rPr>
          <w:rFonts w:cs="Verdana"/>
          <w:bCs/>
          <w:sz w:val="24"/>
          <w:szCs w:val="24"/>
          <w:lang w:val="pl-PL"/>
        </w:rPr>
      </w:pPr>
      <w:r w:rsidRPr="00677C9D">
        <w:rPr>
          <w:rFonts w:cs="Verdana"/>
          <w:bCs/>
          <w:sz w:val="24"/>
          <w:szCs w:val="24"/>
          <w:u w:val="single"/>
          <w:lang w:val="pl-PL"/>
        </w:rPr>
        <w:t>Znaczenie wyroku dla Polski</w:t>
      </w:r>
      <w:r w:rsidRPr="00677C9D">
        <w:rPr>
          <w:rFonts w:cs="Verdana"/>
          <w:bCs/>
          <w:sz w:val="24"/>
          <w:szCs w:val="24"/>
          <w:lang w:val="pl-PL"/>
        </w:rPr>
        <w:t xml:space="preserve"> </w:t>
      </w:r>
      <w:r w:rsidR="00FF780D" w:rsidRPr="00677C9D">
        <w:rPr>
          <w:rFonts w:cs="Verdana"/>
          <w:bCs/>
          <w:sz w:val="24"/>
          <w:szCs w:val="24"/>
          <w:lang w:val="pl-PL"/>
        </w:rPr>
        <w:t>– należy zbadać prawo i praktykę sądową w odniesieniu do problematyki zabezpieczania płatności alimentów (ewentualnie innych zobowiązań na gruncie prawa prywatnego wobec osób trzecich) poprzez zakaz wyjazdu za granicę.</w:t>
      </w:r>
    </w:p>
    <w:p w14:paraId="2F61634E" w14:textId="77777777" w:rsidR="00FF780D" w:rsidRPr="00677C9D" w:rsidRDefault="00FF780D" w:rsidP="000C3591">
      <w:pPr>
        <w:pStyle w:val="Nagwek1"/>
        <w:numPr>
          <w:ilvl w:val="0"/>
          <w:numId w:val="34"/>
        </w:numPr>
        <w:rPr>
          <w:rFonts w:asciiTheme="minorHAnsi" w:hAnsiTheme="minorHAnsi"/>
          <w:color w:val="auto"/>
          <w:sz w:val="24"/>
          <w:szCs w:val="24"/>
        </w:rPr>
      </w:pPr>
      <w:bookmarkStart w:id="5" w:name="_Toc415257912"/>
      <w:bookmarkStart w:id="6" w:name="_Toc415646183"/>
      <w:r w:rsidRPr="00677C9D">
        <w:rPr>
          <w:rFonts w:asciiTheme="minorHAnsi" w:hAnsiTheme="minorHAnsi"/>
          <w:color w:val="auto"/>
          <w:sz w:val="24"/>
          <w:szCs w:val="24"/>
        </w:rPr>
        <w:t xml:space="preserve">Centre for Legal Resources on behalf of Valentin Câmpeanu </w:t>
      </w:r>
      <w:proofErr w:type="spellStart"/>
      <w:r w:rsidRPr="00677C9D">
        <w:rPr>
          <w:rFonts w:asciiTheme="minorHAnsi" w:hAnsiTheme="minorHAnsi"/>
          <w:color w:val="auto"/>
          <w:sz w:val="24"/>
          <w:szCs w:val="24"/>
        </w:rPr>
        <w:t>przeciwko</w:t>
      </w:r>
      <w:proofErr w:type="spellEnd"/>
      <w:r w:rsidRPr="00677C9D">
        <w:rPr>
          <w:rFonts w:asciiTheme="minorHAnsi" w:hAnsiTheme="minorHAnsi"/>
          <w:color w:val="auto"/>
          <w:sz w:val="24"/>
          <w:szCs w:val="24"/>
        </w:rPr>
        <w:t xml:space="preserve"> </w:t>
      </w:r>
      <w:proofErr w:type="spellStart"/>
      <w:r w:rsidRPr="00677C9D">
        <w:rPr>
          <w:rFonts w:asciiTheme="minorHAnsi" w:hAnsiTheme="minorHAnsi"/>
          <w:color w:val="auto"/>
          <w:sz w:val="24"/>
          <w:szCs w:val="24"/>
        </w:rPr>
        <w:t>Rumunii</w:t>
      </w:r>
      <w:proofErr w:type="spellEnd"/>
      <w:r w:rsidRPr="00677C9D">
        <w:rPr>
          <w:rFonts w:asciiTheme="minorHAnsi" w:hAnsiTheme="minorHAnsi"/>
          <w:color w:val="auto"/>
          <w:sz w:val="24"/>
          <w:szCs w:val="24"/>
        </w:rPr>
        <w:t xml:space="preserve">, </w:t>
      </w:r>
      <w:proofErr w:type="spellStart"/>
      <w:r w:rsidRPr="00677C9D">
        <w:rPr>
          <w:rFonts w:asciiTheme="minorHAnsi" w:hAnsiTheme="minorHAnsi"/>
          <w:color w:val="auto"/>
          <w:sz w:val="24"/>
          <w:szCs w:val="24"/>
        </w:rPr>
        <w:t>skarga</w:t>
      </w:r>
      <w:proofErr w:type="spellEnd"/>
      <w:r w:rsidRPr="00677C9D">
        <w:rPr>
          <w:rFonts w:asciiTheme="minorHAnsi" w:hAnsiTheme="minorHAnsi"/>
          <w:color w:val="auto"/>
          <w:sz w:val="24"/>
          <w:szCs w:val="24"/>
        </w:rPr>
        <w:t xml:space="preserve"> nr 47848/08, wyrok Wielkiej Izby z 17.07.2014</w:t>
      </w:r>
      <w:bookmarkEnd w:id="5"/>
      <w:bookmarkEnd w:id="6"/>
    </w:p>
    <w:p w14:paraId="462B7363" w14:textId="77777777" w:rsidR="00FF780D" w:rsidRPr="00677C9D" w:rsidRDefault="001B110D" w:rsidP="00C83635">
      <w:pPr>
        <w:pStyle w:val="Akapitzlist"/>
        <w:numPr>
          <w:ilvl w:val="0"/>
          <w:numId w:val="5"/>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naruszenie </w:t>
      </w:r>
      <w:r w:rsidR="00FF780D" w:rsidRPr="00677C9D">
        <w:rPr>
          <w:rFonts w:cs="Verdana"/>
          <w:bCs/>
          <w:sz w:val="24"/>
          <w:szCs w:val="24"/>
          <w:lang w:val="pl-PL"/>
        </w:rPr>
        <w:t xml:space="preserve">art. 2 </w:t>
      </w:r>
      <w:r w:rsidR="00AD2867" w:rsidRPr="00677C9D">
        <w:rPr>
          <w:rFonts w:cs="Verdana"/>
          <w:bCs/>
          <w:sz w:val="24"/>
          <w:szCs w:val="24"/>
          <w:lang w:val="pl-PL"/>
        </w:rPr>
        <w:t xml:space="preserve">(prawo do życia) </w:t>
      </w:r>
      <w:r w:rsidRPr="00677C9D">
        <w:rPr>
          <w:rFonts w:cs="Verdana"/>
          <w:bCs/>
          <w:sz w:val="24"/>
          <w:szCs w:val="24"/>
          <w:lang w:val="pl-PL"/>
        </w:rPr>
        <w:t xml:space="preserve">poprzez </w:t>
      </w:r>
      <w:r w:rsidR="00FF780D" w:rsidRPr="00677C9D">
        <w:rPr>
          <w:rFonts w:cs="Verdana"/>
          <w:bCs/>
          <w:sz w:val="24"/>
          <w:szCs w:val="24"/>
          <w:lang w:val="pl-PL"/>
        </w:rPr>
        <w:t>brak zapewnienia odpowiedniej opieki dla pacjenta zakładu psychiatrycznego, nosiciela wirusa HIV</w:t>
      </w:r>
      <w:r w:rsidRPr="00677C9D">
        <w:rPr>
          <w:rFonts w:cs="Verdana"/>
          <w:bCs/>
          <w:sz w:val="24"/>
          <w:szCs w:val="24"/>
          <w:lang w:val="pl-PL"/>
        </w:rPr>
        <w:t xml:space="preserve"> oraz brak przeprowadzenia skutecznego śledztwa w celu wyjaśnienia okoliczności jego śmierci</w:t>
      </w:r>
      <w:r w:rsidR="005F7FDE" w:rsidRPr="00677C9D">
        <w:rPr>
          <w:rFonts w:cs="Verdana"/>
          <w:bCs/>
          <w:sz w:val="24"/>
          <w:szCs w:val="24"/>
          <w:lang w:val="pl-PL"/>
        </w:rPr>
        <w:t>;</w:t>
      </w:r>
      <w:r w:rsidR="00FF780D" w:rsidRPr="00677C9D">
        <w:rPr>
          <w:rFonts w:cs="Verdana"/>
          <w:bCs/>
          <w:sz w:val="24"/>
          <w:szCs w:val="24"/>
          <w:lang w:val="pl-PL"/>
        </w:rPr>
        <w:t xml:space="preserve">  </w:t>
      </w:r>
    </w:p>
    <w:p w14:paraId="0BF684D2" w14:textId="77777777" w:rsidR="00FF780D" w:rsidRPr="00677C9D" w:rsidRDefault="00FF780D" w:rsidP="00C83635">
      <w:pPr>
        <w:pStyle w:val="Akapitzlist"/>
        <w:numPr>
          <w:ilvl w:val="0"/>
          <w:numId w:val="5"/>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art. 34 </w:t>
      </w:r>
      <w:r w:rsidR="007923F8" w:rsidRPr="00677C9D">
        <w:rPr>
          <w:rFonts w:cs="Verdana"/>
          <w:bCs/>
          <w:sz w:val="24"/>
          <w:szCs w:val="24"/>
          <w:lang w:val="pl-PL"/>
        </w:rPr>
        <w:t xml:space="preserve">(prawo do skargi indywidualnej) </w:t>
      </w:r>
      <w:r w:rsidRPr="00677C9D">
        <w:rPr>
          <w:rFonts w:cs="Verdana"/>
          <w:bCs/>
          <w:sz w:val="24"/>
          <w:szCs w:val="24"/>
          <w:lang w:val="pl-PL"/>
        </w:rPr>
        <w:t>– kwestia uprawnienia organizacji pozarządowej do wniesienia skargi w imieniu zmarłego pacjenta zakładu psychiatrycznego, oddalenie zarzutu wstępnego rządu;</w:t>
      </w:r>
    </w:p>
    <w:p w14:paraId="0B521654" w14:textId="77777777" w:rsidR="00FF780D" w:rsidRPr="00677C9D" w:rsidRDefault="00FF780D" w:rsidP="00C83635">
      <w:pPr>
        <w:pStyle w:val="Akapitzlist"/>
        <w:numPr>
          <w:ilvl w:val="0"/>
          <w:numId w:val="5"/>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art. 46</w:t>
      </w:r>
      <w:r w:rsidR="00AD2867" w:rsidRPr="00677C9D">
        <w:rPr>
          <w:rFonts w:cs="Verdana"/>
          <w:bCs/>
          <w:sz w:val="24"/>
          <w:szCs w:val="24"/>
          <w:lang w:val="pl-PL"/>
        </w:rPr>
        <w:t xml:space="preserve"> (moc obowiązująca oraz wykonanie wyroku) -</w:t>
      </w:r>
      <w:r w:rsidRPr="00677C9D">
        <w:rPr>
          <w:rFonts w:cs="Verdana"/>
          <w:bCs/>
          <w:sz w:val="24"/>
          <w:szCs w:val="24"/>
          <w:lang w:val="pl-PL"/>
        </w:rPr>
        <w:t xml:space="preserve">  zobowiązanie pozwanego państwa do podjęcia środków generalnych w celu zapewnienia niezależnej reprezentacji dla osób z zaburzeniami psychicznym, umożliwiającej im doprowadzenie do zbadania przez sąd lub inny niezależny organ skarg na </w:t>
      </w:r>
      <w:r w:rsidR="001B110D" w:rsidRPr="00677C9D">
        <w:rPr>
          <w:rFonts w:cs="Verdana"/>
          <w:bCs/>
          <w:sz w:val="24"/>
          <w:szCs w:val="24"/>
          <w:lang w:val="pl-PL"/>
        </w:rPr>
        <w:t xml:space="preserve">naruszenia praw gwarantowanych w </w:t>
      </w:r>
      <w:r w:rsidRPr="00677C9D">
        <w:rPr>
          <w:rFonts w:cs="Verdana"/>
          <w:bCs/>
          <w:sz w:val="24"/>
          <w:szCs w:val="24"/>
          <w:lang w:val="pl-PL"/>
        </w:rPr>
        <w:t>Konwencji dotyczących ich zdrowia i leczenia</w:t>
      </w:r>
      <w:r w:rsidR="005F7FDE" w:rsidRPr="00677C9D">
        <w:rPr>
          <w:rFonts w:cs="Verdana"/>
          <w:bCs/>
          <w:sz w:val="24"/>
          <w:szCs w:val="24"/>
          <w:lang w:val="pl-PL"/>
        </w:rPr>
        <w:t>;</w:t>
      </w:r>
      <w:r w:rsidRPr="00677C9D">
        <w:rPr>
          <w:rFonts w:cs="Verdana"/>
          <w:bCs/>
          <w:sz w:val="24"/>
          <w:szCs w:val="24"/>
          <w:lang w:val="pl-PL"/>
        </w:rPr>
        <w:t xml:space="preserve"> </w:t>
      </w:r>
    </w:p>
    <w:p w14:paraId="672F442B" w14:textId="77777777" w:rsidR="0052689F" w:rsidRPr="00677C9D" w:rsidRDefault="005F7FDE" w:rsidP="00C83635">
      <w:pPr>
        <w:pStyle w:val="Akapitzlist"/>
        <w:numPr>
          <w:ilvl w:val="0"/>
          <w:numId w:val="5"/>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s</w:t>
      </w:r>
      <w:r w:rsidR="00FF780D" w:rsidRPr="00677C9D">
        <w:rPr>
          <w:rFonts w:cs="Verdana"/>
          <w:bCs/>
          <w:sz w:val="24"/>
          <w:szCs w:val="24"/>
          <w:lang w:val="pl-PL"/>
        </w:rPr>
        <w:t>prawa dotyczyła młodego Roma, opuszczonego w dzieciństwie przez matkę, nosiciela wirusa HIV, który w stanie skrajnej degradacji psychicznej i fizycznej, został przyjęty do szpitala psychiatrycznego, gdzie przebywał w uwłaczających warunkach i bez opieki (z uwagi na fakt, że personel obawiał się zarażeni</w:t>
      </w:r>
      <w:r w:rsidR="00223A15" w:rsidRPr="00677C9D">
        <w:rPr>
          <w:rFonts w:cs="Verdana"/>
          <w:bCs/>
          <w:sz w:val="24"/>
          <w:szCs w:val="24"/>
          <w:lang w:val="pl-PL"/>
        </w:rPr>
        <w:t>a</w:t>
      </w:r>
      <w:r w:rsidR="00FF780D" w:rsidRPr="00677C9D">
        <w:rPr>
          <w:rFonts w:cs="Verdana"/>
          <w:bCs/>
          <w:sz w:val="24"/>
          <w:szCs w:val="24"/>
          <w:lang w:val="pl-PL"/>
        </w:rPr>
        <w:t xml:space="preserve"> wirusem HIV, a placówka nie była dostosowana do przyjmowania takich osób). Wcześniej wiele innych instytucji odmawiało przyjęcia go. Organizacja pozarządowa, monitorująca sytuację w przedmiotowym szpitalu, stwierdziła szereg nieprawidłowości, jednak tego samego dnia pacjent zmarł, nie udzielając jej żadnych pełnomocnictw do prowadzenia postępowań w jego sprawie. Trybunał dopuścił skargę złożoną przez </w:t>
      </w:r>
      <w:r w:rsidR="00FF780D" w:rsidRPr="00677C9D">
        <w:rPr>
          <w:rFonts w:cs="Verdana"/>
          <w:bCs/>
          <w:sz w:val="24"/>
          <w:szCs w:val="24"/>
          <w:lang w:val="pl-PL"/>
        </w:rPr>
        <w:lastRenderedPageBreak/>
        <w:t>przedmiotową organizację z uwagi na szczególne okoliczności sprawy, mimo iż organizacja pozarządowa nie mogła się wykazać żadnymi bliskimi relacjami ze zmarłym</w:t>
      </w:r>
      <w:r w:rsidR="001B110D" w:rsidRPr="00677C9D">
        <w:rPr>
          <w:rFonts w:cs="Verdana"/>
          <w:bCs/>
          <w:sz w:val="24"/>
          <w:szCs w:val="24"/>
          <w:lang w:val="pl-PL"/>
        </w:rPr>
        <w:t>,</w:t>
      </w:r>
      <w:r w:rsidR="00FF780D" w:rsidRPr="00677C9D">
        <w:rPr>
          <w:rFonts w:cs="Verdana"/>
          <w:bCs/>
          <w:sz w:val="24"/>
          <w:szCs w:val="24"/>
          <w:lang w:val="pl-PL"/>
        </w:rPr>
        <w:t xml:space="preserve"> ani też osobistym interesem w sprawie. Trybunał uznał jednak, że sprawa dotyczyła osoby wyjątkowo wrażliwej, cierpiącej na zaburzenia psychiczne, nosiciela HIV, która całe życie spędziła w instytucjach państwowych i nie była w stanie sama wszcząć jakichkolwiek postępowań. W dodatku nie miała żadnych krewnych, a państwo zaniechało realizacji swego obowiązku wyznaczenia opiekuna lub kuratora. W tej sytuacji uznanie braku możliwości złożenia skargi w imieniu tej osoby przez organizację pozarządową oznaczałoby, że państwo dzięki własnym zaniechaniom może uniknąć odpowiedzialności za sposób potraktowania zmarłego. Trybunał odnotował też, że w postępowaniach krajowych władze nie kwestionowały możliwości działania przedmiotowej organizacji. Trybunał przywołał też swe orzecznictwo dotyczące badania zgodności z prawem pozbawienia wolności na mocy art. 5 ust. 4, w świetle którego uznał za istotne zapewnienie, by osoba pozbawiona wolności, która wykazuje pewne zaburzenia psychiczne, miała zapewniony dostęp do sądu, czy to osobiście, czy to poprzez jakąś formę reprezentacji. </w:t>
      </w:r>
    </w:p>
    <w:p w14:paraId="1B57138B" w14:textId="77777777" w:rsidR="00641ADF" w:rsidRDefault="00641ADF" w:rsidP="0052689F">
      <w:pPr>
        <w:pStyle w:val="Akapitzlist"/>
        <w:autoSpaceDE w:val="0"/>
        <w:autoSpaceDN w:val="0"/>
        <w:adjustRightInd w:val="0"/>
        <w:spacing w:after="120" w:line="240" w:lineRule="auto"/>
        <w:jc w:val="both"/>
        <w:rPr>
          <w:rFonts w:cs="Verdana"/>
          <w:bCs/>
          <w:sz w:val="24"/>
          <w:szCs w:val="24"/>
          <w:lang w:val="pl-PL"/>
        </w:rPr>
      </w:pPr>
    </w:p>
    <w:p w14:paraId="769580E0" w14:textId="77777777" w:rsidR="00FF780D" w:rsidRPr="00677C9D" w:rsidRDefault="00FF780D" w:rsidP="0052689F">
      <w:pPr>
        <w:pStyle w:val="Akapitzlist"/>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Trybunał uznał też, że władze nie zapewniły stosownej opieki zmarłemu, przenoszono go z instytucji do instytucji, bez odpowiedniego zbadania i terapii, umieszczono go zaś ostatecznie w szpitalu, wiedząc, iż nie ma on możliwości zapewnienia odpowiednich warunków i terapii, przez co można uznać, że władze naraziły go </w:t>
      </w:r>
      <w:r w:rsidR="001B110D" w:rsidRPr="00677C9D">
        <w:rPr>
          <w:rFonts w:cs="Verdana"/>
          <w:bCs/>
          <w:sz w:val="24"/>
          <w:szCs w:val="24"/>
          <w:lang w:val="pl-PL"/>
        </w:rPr>
        <w:t xml:space="preserve">na ryzyko utraty </w:t>
      </w:r>
      <w:r w:rsidRPr="00677C9D">
        <w:rPr>
          <w:rFonts w:cs="Verdana"/>
          <w:bCs/>
          <w:sz w:val="24"/>
          <w:szCs w:val="24"/>
          <w:lang w:val="pl-PL"/>
        </w:rPr>
        <w:t>życi</w:t>
      </w:r>
      <w:r w:rsidR="001B110D" w:rsidRPr="00677C9D">
        <w:rPr>
          <w:rFonts w:cs="Verdana"/>
          <w:bCs/>
          <w:sz w:val="24"/>
          <w:szCs w:val="24"/>
          <w:lang w:val="pl-PL"/>
        </w:rPr>
        <w:t>a</w:t>
      </w:r>
      <w:r w:rsidRPr="00677C9D">
        <w:rPr>
          <w:rFonts w:cs="Verdana"/>
          <w:bCs/>
          <w:sz w:val="24"/>
          <w:szCs w:val="24"/>
          <w:lang w:val="pl-PL"/>
        </w:rPr>
        <w:t xml:space="preserve">. W efekcie państwo nie spełniło wymogów dotyczących odpowiedniego standardu ochrony prawa do życia. Trybunał stwierdził jednocześnie naruszenie proceduralnego aspektu art. 2 z uwagi na nieprzeprowadzenie skutecznego śledztwa w sprawie okoliczności śmierci pacjenta. </w:t>
      </w:r>
    </w:p>
    <w:p w14:paraId="607E1938" w14:textId="77777777" w:rsidR="00FF780D" w:rsidRPr="00677C9D" w:rsidRDefault="00F02FBE" w:rsidP="00FF780D">
      <w:pPr>
        <w:autoSpaceDE w:val="0"/>
        <w:autoSpaceDN w:val="0"/>
        <w:adjustRightInd w:val="0"/>
        <w:spacing w:after="120" w:line="240" w:lineRule="auto"/>
        <w:jc w:val="both"/>
        <w:rPr>
          <w:rFonts w:cs="Verdana"/>
          <w:bCs/>
          <w:sz w:val="24"/>
          <w:szCs w:val="24"/>
          <w:lang w:val="pl-PL"/>
        </w:rPr>
      </w:pPr>
      <w:r w:rsidRPr="00677C9D">
        <w:rPr>
          <w:rFonts w:cs="Verdana"/>
          <w:bCs/>
          <w:sz w:val="24"/>
          <w:szCs w:val="24"/>
          <w:u w:val="single"/>
          <w:lang w:val="pl-PL"/>
        </w:rPr>
        <w:t>Znaczenie wyroku dla Polski</w:t>
      </w:r>
      <w:r w:rsidRPr="00677C9D">
        <w:rPr>
          <w:rFonts w:cs="Verdana"/>
          <w:bCs/>
          <w:sz w:val="24"/>
          <w:szCs w:val="24"/>
          <w:lang w:val="pl-PL"/>
        </w:rPr>
        <w:t xml:space="preserve"> </w:t>
      </w:r>
      <w:r w:rsidR="00FF780D" w:rsidRPr="00677C9D">
        <w:rPr>
          <w:rFonts w:cs="Verdana"/>
          <w:bCs/>
          <w:sz w:val="24"/>
          <w:szCs w:val="24"/>
          <w:lang w:val="pl-PL"/>
        </w:rPr>
        <w:t>– konieczność przeanalizowania zasad i praktyki w zakresie zapewniania reprezentacji dla osób z zaburzeniami psychicznymi umieszczanych w szpitalach psychiatrycznych, tak by prawa tych osób do właściwego traktowania i leczenia były gwarantowane, a ewentualne skargi mogły zostać przedłożone niezależnym organom.</w:t>
      </w:r>
    </w:p>
    <w:p w14:paraId="609A5F52" w14:textId="77777777" w:rsidR="00641ADF" w:rsidRPr="004C740F" w:rsidRDefault="005939C9" w:rsidP="00641ADF">
      <w:pPr>
        <w:pStyle w:val="Nagwek1"/>
        <w:numPr>
          <w:ilvl w:val="0"/>
          <w:numId w:val="34"/>
        </w:numPr>
        <w:rPr>
          <w:rFonts w:asciiTheme="minorHAnsi" w:hAnsiTheme="minorHAnsi"/>
          <w:color w:val="auto"/>
          <w:sz w:val="24"/>
          <w:szCs w:val="24"/>
          <w:lang w:val="pl-PL"/>
        </w:rPr>
      </w:pPr>
      <w:bookmarkStart w:id="7" w:name="_Toc415257913"/>
      <w:bookmarkStart w:id="8" w:name="_Toc415646184"/>
      <w:r w:rsidRPr="000C3591">
        <w:rPr>
          <w:rFonts w:asciiTheme="minorHAnsi" w:hAnsiTheme="minorHAnsi"/>
          <w:color w:val="auto"/>
          <w:sz w:val="24"/>
          <w:szCs w:val="24"/>
          <w:lang w:val="pl-PL"/>
        </w:rPr>
        <w:t>Cypr przeciwko Turcji (słuszne zadośćuczynienie), skarga nr 25781/94, wyrok Wielkiej Izby z 12.05.2014</w:t>
      </w:r>
      <w:bookmarkEnd w:id="7"/>
      <w:bookmarkEnd w:id="8"/>
    </w:p>
    <w:p w14:paraId="1D47AECC" w14:textId="77777777" w:rsidR="005939C9" w:rsidRPr="00677C9D" w:rsidRDefault="005939C9" w:rsidP="00C83635">
      <w:pPr>
        <w:pStyle w:val="Akapitzlist"/>
        <w:numPr>
          <w:ilvl w:val="0"/>
          <w:numId w:val="6"/>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art. 41 – zadośćuczynienie na rzecz Cypru w wysokości 30 milionów euro za szkody niemajątkowe poniesione przez krewnych osób zaginionych, a także 60 milionów euro za szkody niemajątkowe poniesione przez cypryjskich Greków przebywających w enklawie na półwyspie </w:t>
      </w:r>
      <w:proofErr w:type="spellStart"/>
      <w:r w:rsidRPr="00677C9D">
        <w:rPr>
          <w:rFonts w:cs="Verdana"/>
          <w:bCs/>
          <w:sz w:val="24"/>
          <w:szCs w:val="24"/>
          <w:lang w:val="pl-PL"/>
        </w:rPr>
        <w:t>Karpas</w:t>
      </w:r>
      <w:proofErr w:type="spellEnd"/>
      <w:r w:rsidRPr="00677C9D">
        <w:rPr>
          <w:rFonts w:cs="Verdana"/>
          <w:bCs/>
          <w:sz w:val="24"/>
          <w:szCs w:val="24"/>
          <w:lang w:val="pl-PL"/>
        </w:rPr>
        <w:t xml:space="preserve"> w północnym Cyprze. Kwoty te powinny zostać rozdystrybuowane przez rząd cypryjski między uprawnione osoby. W wyroku tym Trybunał rozstrzygnął też kwestię zastosowania art. 41 do spraw międzypaństwowych. Przypomniał, że co do zasady w takich sprawach nie zachodzi potrzeba przyznania słusznego zadośćuczynienia, jako że celem skargi międzypaństwowej jest z reguły przywrócenie stanu zgodnego z prawem, ponadto zaś to jednostki, a nie państwa, mogą być bezpośrednio ofiarami naruszenia Konwencji i szkód wynikających z faktu jej naruszenia. Przyznanie zadośćuczynienia może jednak mieć miejsce, gdy państwo składa skargę z uwagi na naruszenia praw osób indywidualnych, a zadośćuczynienie jest dochodzone na korzyść jednostek. Trybunał jednocześnie oddalił zarzut Turcji, jakoby kwestia roszczeń finansowych była </w:t>
      </w:r>
      <w:r w:rsidRPr="00677C9D">
        <w:rPr>
          <w:rFonts w:cs="Verdana"/>
          <w:bCs/>
          <w:sz w:val="24"/>
          <w:szCs w:val="24"/>
          <w:lang w:val="pl-PL"/>
        </w:rPr>
        <w:lastRenderedPageBreak/>
        <w:t>przedawniona. Trybunał przypomniał, że w wyroku z 2001 r. dotycząc</w:t>
      </w:r>
      <w:r w:rsidR="001B110D" w:rsidRPr="00677C9D">
        <w:rPr>
          <w:rFonts w:cs="Verdana"/>
          <w:bCs/>
          <w:sz w:val="24"/>
          <w:szCs w:val="24"/>
          <w:lang w:val="pl-PL"/>
        </w:rPr>
        <w:t xml:space="preserve">ym </w:t>
      </w:r>
      <w:r w:rsidRPr="00677C9D">
        <w:rPr>
          <w:rFonts w:cs="Verdana"/>
          <w:bCs/>
          <w:sz w:val="24"/>
          <w:szCs w:val="24"/>
          <w:lang w:val="pl-PL"/>
        </w:rPr>
        <w:t xml:space="preserve">sprawy </w:t>
      </w:r>
      <w:r w:rsidRPr="00677C9D">
        <w:rPr>
          <w:rFonts w:cs="Verdana"/>
          <w:bCs/>
          <w:i/>
          <w:sz w:val="24"/>
          <w:szCs w:val="24"/>
          <w:lang w:val="pl-PL"/>
        </w:rPr>
        <w:t>Cypr przeciwko Turcji</w:t>
      </w:r>
      <w:r w:rsidRPr="00677C9D">
        <w:rPr>
          <w:rFonts w:cs="Verdana"/>
          <w:bCs/>
          <w:sz w:val="24"/>
          <w:szCs w:val="24"/>
          <w:lang w:val="pl-PL"/>
        </w:rPr>
        <w:t xml:space="preserve"> odroczył rozstrzygnięcie tej kwestii</w:t>
      </w:r>
      <w:r w:rsidR="005F7FDE" w:rsidRPr="00677C9D">
        <w:rPr>
          <w:rFonts w:cs="Verdana"/>
          <w:bCs/>
          <w:sz w:val="24"/>
          <w:szCs w:val="24"/>
          <w:lang w:val="pl-PL"/>
        </w:rPr>
        <w:t>;</w:t>
      </w:r>
    </w:p>
    <w:p w14:paraId="62099210" w14:textId="77777777" w:rsidR="005939C9" w:rsidRPr="00677C9D" w:rsidRDefault="005939C9" w:rsidP="00C83635">
      <w:pPr>
        <w:pStyle w:val="Akapitzlist"/>
        <w:numPr>
          <w:ilvl w:val="0"/>
          <w:numId w:val="6"/>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Wyrok ws. słusznego zadośćuczynienia został wydany w związku z wcześniej wydanym wyrokiem Wielkiej Izby z 10 maja 2001 r., w którym Trybunał stwierdził szereg naruszeń Konwencji przez Turcję, wynikających z operacji militarnych na Cyprze Północnym w lipcu i sierpniu 1974 r., a także z trwającego podziału terytorium Cypru i działań tzw. Tureckiej Republiki Cypru Północnego. Trybunał odroczył wówczas rozstrzygnięcie w sprawie słusznego zadośćuczynienia. </w:t>
      </w:r>
    </w:p>
    <w:p w14:paraId="2435545E" w14:textId="77777777" w:rsidR="005939C9" w:rsidRPr="00677C9D" w:rsidRDefault="00F02FBE" w:rsidP="005939C9">
      <w:pPr>
        <w:autoSpaceDE w:val="0"/>
        <w:autoSpaceDN w:val="0"/>
        <w:adjustRightInd w:val="0"/>
        <w:spacing w:after="120" w:line="240" w:lineRule="auto"/>
        <w:jc w:val="both"/>
        <w:rPr>
          <w:rFonts w:cs="Verdana"/>
          <w:bCs/>
          <w:sz w:val="24"/>
          <w:szCs w:val="24"/>
          <w:lang w:val="pl-PL"/>
        </w:rPr>
      </w:pPr>
      <w:r w:rsidRPr="00677C9D">
        <w:rPr>
          <w:rFonts w:cs="Verdana"/>
          <w:bCs/>
          <w:sz w:val="24"/>
          <w:szCs w:val="24"/>
          <w:u w:val="single"/>
          <w:lang w:val="pl-PL"/>
        </w:rPr>
        <w:t>Znaczenie wyroku dla Polski</w:t>
      </w:r>
      <w:r w:rsidRPr="00677C9D">
        <w:rPr>
          <w:rFonts w:cs="Verdana"/>
          <w:bCs/>
          <w:sz w:val="24"/>
          <w:szCs w:val="24"/>
          <w:lang w:val="pl-PL"/>
        </w:rPr>
        <w:t xml:space="preserve"> </w:t>
      </w:r>
      <w:r w:rsidR="005939C9" w:rsidRPr="00677C9D">
        <w:rPr>
          <w:rFonts w:cs="Verdana"/>
          <w:bCs/>
          <w:sz w:val="24"/>
          <w:szCs w:val="24"/>
          <w:lang w:val="pl-PL"/>
        </w:rPr>
        <w:t>– pośrednie, w szczególności jako źródło informacji nt. zasad ogólnych dochodzenia słusznego zadośćuczynienia w ramach procedury skargi międzypaństwowej przed Trybunałem.</w:t>
      </w:r>
    </w:p>
    <w:p w14:paraId="2CF26AD9" w14:textId="77777777" w:rsidR="00D07641" w:rsidRPr="000C3591" w:rsidRDefault="00D07641" w:rsidP="000C3591">
      <w:pPr>
        <w:pStyle w:val="Nagwek1"/>
        <w:numPr>
          <w:ilvl w:val="0"/>
          <w:numId w:val="34"/>
        </w:numPr>
        <w:rPr>
          <w:rFonts w:asciiTheme="minorHAnsi" w:hAnsiTheme="minorHAnsi"/>
          <w:color w:val="auto"/>
          <w:sz w:val="24"/>
          <w:szCs w:val="24"/>
          <w:lang w:val="pl-PL"/>
        </w:rPr>
      </w:pPr>
      <w:bookmarkStart w:id="9" w:name="_Toc415257914"/>
      <w:bookmarkStart w:id="10" w:name="_Toc415646185"/>
      <w:proofErr w:type="spellStart"/>
      <w:r w:rsidRPr="000C3591">
        <w:rPr>
          <w:rFonts w:asciiTheme="minorHAnsi" w:hAnsiTheme="minorHAnsi"/>
          <w:color w:val="auto"/>
          <w:sz w:val="24"/>
          <w:szCs w:val="24"/>
          <w:lang w:val="pl-PL"/>
        </w:rPr>
        <w:t>Fernández</w:t>
      </w:r>
      <w:proofErr w:type="spellEnd"/>
      <w:r w:rsidRPr="000C3591">
        <w:rPr>
          <w:rFonts w:asciiTheme="minorHAnsi" w:hAnsiTheme="minorHAnsi"/>
          <w:color w:val="auto"/>
          <w:sz w:val="24"/>
          <w:szCs w:val="24"/>
          <w:lang w:val="pl-PL"/>
        </w:rPr>
        <w:t xml:space="preserve"> </w:t>
      </w:r>
      <w:proofErr w:type="spellStart"/>
      <w:r w:rsidRPr="000C3591">
        <w:rPr>
          <w:rFonts w:asciiTheme="minorHAnsi" w:hAnsiTheme="minorHAnsi"/>
          <w:color w:val="auto"/>
          <w:sz w:val="24"/>
          <w:szCs w:val="24"/>
          <w:lang w:val="pl-PL"/>
        </w:rPr>
        <w:t>Martínez</w:t>
      </w:r>
      <w:proofErr w:type="spellEnd"/>
      <w:r w:rsidRPr="000C3591">
        <w:rPr>
          <w:rFonts w:asciiTheme="minorHAnsi" w:hAnsiTheme="minorHAnsi"/>
          <w:color w:val="auto"/>
          <w:sz w:val="24"/>
          <w:szCs w:val="24"/>
          <w:lang w:val="pl-PL"/>
        </w:rPr>
        <w:t xml:space="preserve"> przeciwko Hiszpanii, skarga nr 56030/07, wyrok Wielkiej Izby z 12.06.2014</w:t>
      </w:r>
      <w:bookmarkEnd w:id="9"/>
      <w:bookmarkEnd w:id="10"/>
    </w:p>
    <w:p w14:paraId="6AF9D25C" w14:textId="7AE879EA" w:rsidR="00D07641" w:rsidRPr="00677C9D" w:rsidRDefault="00927243" w:rsidP="00C83635">
      <w:pPr>
        <w:pStyle w:val="Akapitzlist"/>
        <w:numPr>
          <w:ilvl w:val="0"/>
          <w:numId w:val="7"/>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brak naruszenia </w:t>
      </w:r>
      <w:r w:rsidR="00D07641" w:rsidRPr="00677C9D">
        <w:rPr>
          <w:rFonts w:cs="Verdana"/>
          <w:bCs/>
          <w:sz w:val="24"/>
          <w:szCs w:val="24"/>
          <w:lang w:val="pl-PL"/>
        </w:rPr>
        <w:t xml:space="preserve">art. 8 </w:t>
      </w:r>
      <w:r w:rsidR="007923F8" w:rsidRPr="00677C9D">
        <w:rPr>
          <w:rFonts w:cs="Verdana"/>
          <w:bCs/>
          <w:sz w:val="24"/>
          <w:szCs w:val="24"/>
          <w:lang w:val="pl-PL"/>
        </w:rPr>
        <w:t xml:space="preserve">(prawo do poszanowania życia prywatnego i rodzinnego) </w:t>
      </w:r>
      <w:r w:rsidRPr="00677C9D">
        <w:rPr>
          <w:rFonts w:cs="Verdana"/>
          <w:bCs/>
          <w:sz w:val="24"/>
          <w:szCs w:val="24"/>
          <w:lang w:val="pl-PL"/>
        </w:rPr>
        <w:t xml:space="preserve">poprzez </w:t>
      </w:r>
      <w:r w:rsidR="00D07641" w:rsidRPr="00677C9D">
        <w:rPr>
          <w:rFonts w:cs="Verdana"/>
          <w:bCs/>
          <w:sz w:val="24"/>
          <w:szCs w:val="24"/>
          <w:lang w:val="pl-PL"/>
        </w:rPr>
        <w:t>odmow</w:t>
      </w:r>
      <w:r w:rsidRPr="00677C9D">
        <w:rPr>
          <w:rFonts w:cs="Verdana"/>
          <w:bCs/>
          <w:sz w:val="24"/>
          <w:szCs w:val="24"/>
          <w:lang w:val="pl-PL"/>
        </w:rPr>
        <w:t>ę</w:t>
      </w:r>
      <w:r w:rsidR="00D07641" w:rsidRPr="00677C9D">
        <w:rPr>
          <w:rFonts w:cs="Verdana"/>
          <w:bCs/>
          <w:sz w:val="24"/>
          <w:szCs w:val="24"/>
          <w:lang w:val="pl-PL"/>
        </w:rPr>
        <w:t xml:space="preserve"> przedłużenia umowy z nauczycielem religii katolickiej i </w:t>
      </w:r>
      <w:r w:rsidR="004D283D">
        <w:rPr>
          <w:rFonts w:cs="Verdana"/>
          <w:bCs/>
          <w:sz w:val="24"/>
          <w:szCs w:val="24"/>
          <w:lang w:val="pl-PL"/>
        </w:rPr>
        <w:t xml:space="preserve">etyki </w:t>
      </w:r>
      <w:r w:rsidR="00D07641" w:rsidRPr="00677C9D">
        <w:rPr>
          <w:rFonts w:cs="Verdana"/>
          <w:bCs/>
          <w:sz w:val="24"/>
          <w:szCs w:val="24"/>
          <w:lang w:val="pl-PL"/>
        </w:rPr>
        <w:t xml:space="preserve">po </w:t>
      </w:r>
      <w:r w:rsidR="00AF51AB">
        <w:rPr>
          <w:rFonts w:cs="Verdana"/>
          <w:bCs/>
          <w:sz w:val="24"/>
          <w:szCs w:val="24"/>
          <w:lang w:val="pl-PL"/>
        </w:rPr>
        <w:t>u</w:t>
      </w:r>
      <w:r w:rsidR="00D07641" w:rsidRPr="00677C9D">
        <w:rPr>
          <w:rFonts w:cs="Verdana"/>
          <w:bCs/>
          <w:sz w:val="24"/>
          <w:szCs w:val="24"/>
          <w:lang w:val="pl-PL"/>
        </w:rPr>
        <w:t>jawnieniu przez niego publicznie swojej sytuacji jako „żonatego księdza”</w:t>
      </w:r>
      <w:r w:rsidR="005F7FDE" w:rsidRPr="00677C9D">
        <w:rPr>
          <w:rFonts w:cs="Verdana"/>
          <w:bCs/>
          <w:sz w:val="24"/>
          <w:szCs w:val="24"/>
          <w:lang w:val="pl-PL"/>
        </w:rPr>
        <w:t>;</w:t>
      </w:r>
    </w:p>
    <w:p w14:paraId="0D07F0DC" w14:textId="77777777" w:rsidR="0052689F" w:rsidRPr="00677C9D" w:rsidRDefault="00A77168" w:rsidP="00C83635">
      <w:pPr>
        <w:pStyle w:val="Akapitzlist"/>
        <w:numPr>
          <w:ilvl w:val="0"/>
          <w:numId w:val="7"/>
        </w:numPr>
        <w:autoSpaceDE w:val="0"/>
        <w:autoSpaceDN w:val="0"/>
        <w:adjustRightInd w:val="0"/>
        <w:spacing w:after="120" w:line="240" w:lineRule="auto"/>
        <w:jc w:val="both"/>
        <w:rPr>
          <w:rFonts w:cs="Verdana"/>
          <w:bCs/>
          <w:sz w:val="24"/>
          <w:szCs w:val="24"/>
          <w:lang w:val="pl-PL"/>
        </w:rPr>
      </w:pPr>
      <w:r>
        <w:rPr>
          <w:rFonts w:cs="Verdana"/>
          <w:bCs/>
          <w:sz w:val="24"/>
          <w:szCs w:val="24"/>
          <w:lang w:val="pl-PL"/>
        </w:rPr>
        <w:t>s</w:t>
      </w:r>
      <w:r w:rsidR="00D07641" w:rsidRPr="00677C9D">
        <w:rPr>
          <w:rFonts w:cs="Verdana"/>
          <w:bCs/>
          <w:sz w:val="24"/>
          <w:szCs w:val="24"/>
          <w:lang w:val="pl-PL"/>
        </w:rPr>
        <w:t xml:space="preserve">prawa dotyczyła księdza, z którym nie przedłużono umowy na nauczanie religii </w:t>
      </w:r>
      <w:r w:rsidR="00927243" w:rsidRPr="00677C9D">
        <w:rPr>
          <w:rFonts w:cs="Verdana"/>
          <w:bCs/>
          <w:sz w:val="24"/>
          <w:szCs w:val="24"/>
          <w:lang w:val="pl-PL"/>
        </w:rPr>
        <w:t>i</w:t>
      </w:r>
      <w:r w:rsidR="00D07641" w:rsidRPr="00677C9D">
        <w:rPr>
          <w:rFonts w:cs="Verdana"/>
          <w:bCs/>
          <w:sz w:val="24"/>
          <w:szCs w:val="24"/>
          <w:lang w:val="pl-PL"/>
        </w:rPr>
        <w:t xml:space="preserve"> etyki katolickiej w szkole</w:t>
      </w:r>
      <w:r w:rsidR="00927243" w:rsidRPr="00677C9D">
        <w:rPr>
          <w:rFonts w:cs="Verdana"/>
          <w:bCs/>
          <w:sz w:val="24"/>
          <w:szCs w:val="24"/>
          <w:lang w:val="pl-PL"/>
        </w:rPr>
        <w:t xml:space="preserve"> państwowej</w:t>
      </w:r>
      <w:r w:rsidR="00D07641" w:rsidRPr="00677C9D">
        <w:rPr>
          <w:rFonts w:cs="Verdana"/>
          <w:bCs/>
          <w:sz w:val="24"/>
          <w:szCs w:val="24"/>
          <w:lang w:val="pl-PL"/>
        </w:rPr>
        <w:t xml:space="preserve"> po opublikowaniu informacji na temat udziału skarżącego w zgromadzeniu, na którym wyrażano poglądy sprzeczne ze stanowiskiem Kościoła w odniesieniu do takich kwestii jak aborcja, rozwody, seksualność i kontrola urodzeń. W prasie opublikowano też artykuł ze zdjęciami skarżącego z jego rodziną. Nie przedłużono z nim umowy z powołaniem się na fakt, że poprzez opublikowanie przez skarżącego informacji na temat jego sytuacji jako „żonatego księdza” naruszył on obowiązek nauczania bez powodowania ryzyka skandalu. Sądy krajowe uznały, że uzasadnienie decyzji miało charakter religijny i ograniczyły się </w:t>
      </w:r>
      <w:r w:rsidR="00927243" w:rsidRPr="00677C9D">
        <w:rPr>
          <w:rFonts w:cs="Verdana"/>
          <w:bCs/>
          <w:sz w:val="24"/>
          <w:szCs w:val="24"/>
          <w:lang w:val="pl-PL"/>
        </w:rPr>
        <w:t xml:space="preserve">jedynie </w:t>
      </w:r>
      <w:r w:rsidR="00D07641" w:rsidRPr="00677C9D">
        <w:rPr>
          <w:rFonts w:cs="Verdana"/>
          <w:bCs/>
          <w:sz w:val="24"/>
          <w:szCs w:val="24"/>
          <w:lang w:val="pl-PL"/>
        </w:rPr>
        <w:t xml:space="preserve">do zbadania kwestii poszanowania praw fundamentalnych. Uznały, że ingerencja w prawa skarżącego nie była nieproporcjonalna ani niekonstytucyjna, była zaś uzasadniona poszanowaniem zgodnego z prawem wykonywania przez Kościół </w:t>
      </w:r>
      <w:r w:rsidR="007B02ED">
        <w:rPr>
          <w:rFonts w:cs="Verdana"/>
          <w:bCs/>
          <w:sz w:val="24"/>
          <w:szCs w:val="24"/>
          <w:lang w:val="pl-PL"/>
        </w:rPr>
        <w:t>K</w:t>
      </w:r>
      <w:r w:rsidR="00D07641" w:rsidRPr="00677C9D">
        <w:rPr>
          <w:rFonts w:cs="Verdana"/>
          <w:bCs/>
          <w:sz w:val="24"/>
          <w:szCs w:val="24"/>
          <w:lang w:val="pl-PL"/>
        </w:rPr>
        <w:t>atolicki prawa do wolności religii (w jej wymiarze kolektywnym) w powiązaniu z prawem rodziców do wyboru edukacji religijnej swoich dzieci</w:t>
      </w:r>
      <w:r w:rsidR="006057F5">
        <w:rPr>
          <w:rFonts w:cs="Verdana"/>
          <w:bCs/>
          <w:sz w:val="24"/>
          <w:szCs w:val="24"/>
          <w:lang w:val="pl-PL"/>
        </w:rPr>
        <w:t>.</w:t>
      </w:r>
      <w:r w:rsidR="00D07641" w:rsidRPr="00677C9D">
        <w:rPr>
          <w:rFonts w:cs="Verdana"/>
          <w:bCs/>
          <w:sz w:val="24"/>
          <w:szCs w:val="24"/>
          <w:lang w:val="pl-PL"/>
        </w:rPr>
        <w:t xml:space="preserve"> </w:t>
      </w:r>
    </w:p>
    <w:p w14:paraId="04AFEEE2" w14:textId="77777777" w:rsidR="00D07641" w:rsidRPr="00677C9D" w:rsidRDefault="00D07641" w:rsidP="0052689F">
      <w:pPr>
        <w:pStyle w:val="Akapitzlist"/>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Trybunał uznał, że ingerencja w sprawie skarżącego nie naruszała Konwencji. Była bowiem zgodna z prawem i miała uprawniony cel, jakim jest ochrona praw i wolności innych osób, mianowicie Kościoła </w:t>
      </w:r>
      <w:r w:rsidR="00927243" w:rsidRPr="00677C9D">
        <w:rPr>
          <w:rFonts w:cs="Verdana"/>
          <w:bCs/>
          <w:sz w:val="24"/>
          <w:szCs w:val="24"/>
          <w:lang w:val="pl-PL"/>
        </w:rPr>
        <w:t>K</w:t>
      </w:r>
      <w:r w:rsidRPr="00677C9D">
        <w:rPr>
          <w:rFonts w:cs="Verdana"/>
          <w:bCs/>
          <w:sz w:val="24"/>
          <w:szCs w:val="24"/>
          <w:lang w:val="pl-PL"/>
        </w:rPr>
        <w:t xml:space="preserve">atolickiego, a w szczególności jego autonomii w odniesieniu do wyboru osób upoważnionych do nauczania doktryny religijnej. Trybunał uwzględnił również następujące kwestie. Skarżący, poprzez podpisywanie kolejnych umów o pracę, w sposób świadomy i dobrowolny zaakceptował wymóg  lojalności wobec Kościoła Katolickiego i pewne ograniczenie jego prawa do poszanowania życia prywatnego i  rodzinnego. Jest to dopuszczalne na gruncie Konwencji pod warunkiem, że ograniczenia te są akceptowane w sposób </w:t>
      </w:r>
      <w:r w:rsidR="00927243" w:rsidRPr="00677C9D">
        <w:rPr>
          <w:rFonts w:cs="Verdana"/>
          <w:bCs/>
          <w:sz w:val="24"/>
          <w:szCs w:val="24"/>
          <w:lang w:val="pl-PL"/>
        </w:rPr>
        <w:t>dobrowolny</w:t>
      </w:r>
      <w:r w:rsidRPr="00677C9D">
        <w:rPr>
          <w:rFonts w:cs="Verdana"/>
          <w:bCs/>
          <w:sz w:val="24"/>
          <w:szCs w:val="24"/>
          <w:lang w:val="pl-PL"/>
        </w:rPr>
        <w:t xml:space="preserve">. Mimo jego statusu jako żonatego księdza, od skarżącego wciąż można było wymagać obowiązku lojalności wobec Kościoła. Skarżący jednak przynajmniej godził się na publikację informacji dotyczącej jego sytuacji rodzinnej i powiązań ze zgromadzeniem o charakterze opozycyjnym, przez co zerwał więź zaufania niezbędną do wykonywania przez niego jego zadań. </w:t>
      </w:r>
      <w:r w:rsidR="00927243" w:rsidRPr="00677C9D">
        <w:rPr>
          <w:rFonts w:cs="Verdana"/>
          <w:bCs/>
          <w:sz w:val="24"/>
          <w:szCs w:val="24"/>
          <w:lang w:val="pl-PL"/>
        </w:rPr>
        <w:t>Z</w:t>
      </w:r>
      <w:r w:rsidRPr="00677C9D">
        <w:rPr>
          <w:rFonts w:cs="Verdana"/>
          <w:bCs/>
          <w:sz w:val="24"/>
          <w:szCs w:val="24"/>
          <w:lang w:val="pl-PL"/>
        </w:rPr>
        <w:t xml:space="preserve">erwanie tej więzi zaufania pociągnęło za sobą konsekwencje. Nie jest nierozsądne oczekiwanie przez kościół lub wspólnotę </w:t>
      </w:r>
      <w:r w:rsidRPr="00677C9D">
        <w:rPr>
          <w:rFonts w:cs="Verdana"/>
          <w:bCs/>
          <w:sz w:val="24"/>
          <w:szCs w:val="24"/>
          <w:lang w:val="pl-PL"/>
        </w:rPr>
        <w:lastRenderedPageBreak/>
        <w:t xml:space="preserve">wyznaniową szczególnej lojalności ze strony nauczycieli religii, gdy mogą być oni uznawani za ich reprezentantów. Istnienie rozbieżności między ideami, których powinni nauczać, a osobistymi przekonaniami nauczyciela może być problematyczne z punktu widzenia wiarygodności, gdy nauczyciel aktywnie i publicznie działa przeciwko przedmiotowym ideom. </w:t>
      </w:r>
      <w:r w:rsidR="00927243" w:rsidRPr="00677C9D">
        <w:rPr>
          <w:rFonts w:cs="Verdana"/>
          <w:bCs/>
          <w:sz w:val="24"/>
          <w:szCs w:val="24"/>
          <w:lang w:val="pl-PL"/>
        </w:rPr>
        <w:t>W</w:t>
      </w:r>
      <w:r w:rsidRPr="00677C9D">
        <w:rPr>
          <w:rFonts w:cs="Verdana"/>
          <w:bCs/>
          <w:sz w:val="24"/>
          <w:szCs w:val="24"/>
          <w:lang w:val="pl-PL"/>
        </w:rPr>
        <w:t xml:space="preserve">ymóg lojalności jest usprawiedliwiony faktem, że aby religia pozostawała wiarygodna, powinna być nauczana przez osobę, której sposób życia i publiczne oświadczenia nie pozostają w jaskrawej sprzeczności z przedmiotową religią. Sam fakt, że nie było dowodów, by w szkole skarżący nauczał niezgodnie z doktryną Kościoła </w:t>
      </w:r>
      <w:r w:rsidR="00927243" w:rsidRPr="00677C9D">
        <w:rPr>
          <w:rFonts w:cs="Verdana"/>
          <w:bCs/>
          <w:sz w:val="24"/>
          <w:szCs w:val="24"/>
          <w:lang w:val="pl-PL"/>
        </w:rPr>
        <w:t>K</w:t>
      </w:r>
      <w:r w:rsidRPr="00677C9D">
        <w:rPr>
          <w:rFonts w:cs="Verdana"/>
          <w:bCs/>
          <w:sz w:val="24"/>
          <w:szCs w:val="24"/>
          <w:lang w:val="pl-PL"/>
        </w:rPr>
        <w:t xml:space="preserve">atolickiego, nie jest wystarczający do uznania, że spełnił on wymóg lojalności. W świetle </w:t>
      </w:r>
      <w:r w:rsidR="00BA2FA9" w:rsidRPr="00677C9D">
        <w:rPr>
          <w:rFonts w:cs="Verdana"/>
          <w:bCs/>
          <w:sz w:val="24"/>
          <w:szCs w:val="24"/>
          <w:lang w:val="pl-PL"/>
        </w:rPr>
        <w:t xml:space="preserve">treści </w:t>
      </w:r>
      <w:r w:rsidRPr="00677C9D">
        <w:rPr>
          <w:rFonts w:cs="Verdana"/>
          <w:bCs/>
          <w:sz w:val="24"/>
          <w:szCs w:val="24"/>
          <w:lang w:val="pl-PL"/>
        </w:rPr>
        <w:t xml:space="preserve">artykułu prasowego, skarżący opowiedział się za ideami sprzecznymi z nauczaniem Kościoła. Choć możliwość wyrażania takich opinii korzysta z wolności chronionej art. 10, nie oznacza to, że Kościół nie może podjąć działań w odniesieniu do tych wypowiedzi, korzystając ze swej autonomii na mocy art. 9 Konwencji. </w:t>
      </w:r>
      <w:r w:rsidR="00C30587" w:rsidRPr="00677C9D">
        <w:rPr>
          <w:rFonts w:cs="Verdana"/>
          <w:bCs/>
          <w:sz w:val="24"/>
          <w:szCs w:val="24"/>
          <w:lang w:val="pl-PL"/>
        </w:rPr>
        <w:t xml:space="preserve">W kontekście należy też uwzględnić, że skarżący </w:t>
      </w:r>
      <w:r w:rsidRPr="00677C9D">
        <w:rPr>
          <w:rFonts w:cs="Verdana"/>
          <w:bCs/>
          <w:sz w:val="24"/>
          <w:szCs w:val="24"/>
          <w:lang w:val="pl-PL"/>
        </w:rPr>
        <w:t xml:space="preserve">nauczał osoby młode, które nie były wystarczająco dojrzałe, by rozróżnić informacje będące częścią doktryny Kościoła od informacji będących prywatnymi opiniami skarżącego. Fakt, że skarżący był zatrudniony i wynagradzany przez </w:t>
      </w:r>
      <w:r w:rsidR="00C30587" w:rsidRPr="00677C9D">
        <w:rPr>
          <w:rFonts w:cs="Verdana"/>
          <w:bCs/>
          <w:sz w:val="24"/>
          <w:szCs w:val="24"/>
          <w:lang w:val="pl-PL"/>
        </w:rPr>
        <w:t>p</w:t>
      </w:r>
      <w:r w:rsidRPr="00677C9D">
        <w:rPr>
          <w:rFonts w:cs="Verdana"/>
          <w:bCs/>
          <w:sz w:val="24"/>
          <w:szCs w:val="24"/>
          <w:lang w:val="pl-PL"/>
        </w:rPr>
        <w:t xml:space="preserve">aństwo nie wpływa na zakres jego lojalności wobec Kościoła </w:t>
      </w:r>
      <w:r w:rsidR="00C30587" w:rsidRPr="00677C9D">
        <w:rPr>
          <w:rFonts w:cs="Verdana"/>
          <w:bCs/>
          <w:sz w:val="24"/>
          <w:szCs w:val="24"/>
          <w:lang w:val="pl-PL"/>
        </w:rPr>
        <w:t>K</w:t>
      </w:r>
      <w:r w:rsidRPr="00677C9D">
        <w:rPr>
          <w:rFonts w:cs="Verdana"/>
          <w:bCs/>
          <w:sz w:val="24"/>
          <w:szCs w:val="24"/>
          <w:lang w:val="pl-PL"/>
        </w:rPr>
        <w:t>atolickiego ani też na zakres środków, jakie Kościół ten mógł podjąć w razie naruszenia obowiązku lojalności. Trybunał uznał też, że konsekwencje w postaci nie</w:t>
      </w:r>
      <w:r w:rsidR="00C30587" w:rsidRPr="00677C9D">
        <w:rPr>
          <w:rFonts w:cs="Verdana"/>
          <w:bCs/>
          <w:sz w:val="24"/>
          <w:szCs w:val="24"/>
          <w:lang w:val="pl-PL"/>
        </w:rPr>
        <w:t xml:space="preserve">przedłużenia </w:t>
      </w:r>
      <w:r w:rsidRPr="00677C9D">
        <w:rPr>
          <w:rFonts w:cs="Verdana"/>
          <w:bCs/>
          <w:sz w:val="24"/>
          <w:szCs w:val="24"/>
          <w:lang w:val="pl-PL"/>
        </w:rPr>
        <w:t>umowy nie były nadmierne w okolicznościach sprawy, zważywszy, że skarżący świadomie postawił się w sytuacji, w której pozostawał w całkowitej opozycji wobec nauczania Kościoła. Wreszcie Trybunał stwierdził, że sądy krajowe zbadały wszystkie istotne okoliczności sprawy, a wnioski, do jakich doszły, nie były nie</w:t>
      </w:r>
      <w:r w:rsidR="00C30587" w:rsidRPr="00677C9D">
        <w:rPr>
          <w:rFonts w:cs="Verdana"/>
          <w:bCs/>
          <w:sz w:val="24"/>
          <w:szCs w:val="24"/>
          <w:lang w:val="pl-PL"/>
        </w:rPr>
        <w:t>uzasadnione</w:t>
      </w:r>
      <w:r w:rsidRPr="00677C9D">
        <w:rPr>
          <w:rFonts w:cs="Verdana"/>
          <w:bCs/>
          <w:sz w:val="24"/>
          <w:szCs w:val="24"/>
          <w:lang w:val="pl-PL"/>
        </w:rPr>
        <w:t>. W odniesieniu zaś do kwestii autonomii Kościoła, w świetle analizy dokonanej przez sądy krajowe, brak jest podstaw, by uznać, że została ona nieprawidłowo powołana w obecnej sprawie. Nie można bowiem uznać, by decyzja biskupa o nie</w:t>
      </w:r>
      <w:r w:rsidR="00C30587" w:rsidRPr="00677C9D">
        <w:rPr>
          <w:rFonts w:cs="Verdana"/>
          <w:bCs/>
          <w:sz w:val="24"/>
          <w:szCs w:val="24"/>
          <w:lang w:val="pl-PL"/>
        </w:rPr>
        <w:t xml:space="preserve">przedłużeniu </w:t>
      </w:r>
      <w:r w:rsidRPr="00677C9D">
        <w:rPr>
          <w:rFonts w:cs="Verdana"/>
          <w:bCs/>
          <w:sz w:val="24"/>
          <w:szCs w:val="24"/>
          <w:lang w:val="pl-PL"/>
        </w:rPr>
        <w:t>umowy była pozbawiona wystarczającego</w:t>
      </w:r>
      <w:r w:rsidR="00C30587" w:rsidRPr="00677C9D">
        <w:rPr>
          <w:rFonts w:cs="Verdana"/>
          <w:bCs/>
          <w:sz w:val="24"/>
          <w:szCs w:val="24"/>
          <w:lang w:val="pl-PL"/>
        </w:rPr>
        <w:t xml:space="preserve"> </w:t>
      </w:r>
      <w:r w:rsidRPr="00677C9D">
        <w:rPr>
          <w:rFonts w:cs="Verdana"/>
          <w:bCs/>
          <w:sz w:val="24"/>
          <w:szCs w:val="24"/>
          <w:lang w:val="pl-PL"/>
        </w:rPr>
        <w:t>uzasadnienia, arbitralna lub że została podjęta w celu niezwiązanym</w:t>
      </w:r>
      <w:r w:rsidR="00C30587" w:rsidRPr="00677C9D">
        <w:rPr>
          <w:rFonts w:cs="Verdana"/>
          <w:bCs/>
          <w:sz w:val="24"/>
          <w:szCs w:val="24"/>
          <w:lang w:val="pl-PL"/>
        </w:rPr>
        <w:t xml:space="preserve"> </w:t>
      </w:r>
      <w:r w:rsidRPr="00677C9D">
        <w:rPr>
          <w:rFonts w:cs="Verdana"/>
          <w:bCs/>
          <w:sz w:val="24"/>
          <w:szCs w:val="24"/>
          <w:lang w:val="pl-PL"/>
        </w:rPr>
        <w:t>z wykonywaniem autonomii Kościoła Katolickiego.</w:t>
      </w:r>
    </w:p>
    <w:p w14:paraId="6C6C0819" w14:textId="77777777" w:rsidR="00D07641" w:rsidRPr="00677C9D" w:rsidRDefault="00F02FBE" w:rsidP="00D07641">
      <w:pPr>
        <w:autoSpaceDE w:val="0"/>
        <w:autoSpaceDN w:val="0"/>
        <w:adjustRightInd w:val="0"/>
        <w:spacing w:after="120" w:line="240" w:lineRule="auto"/>
        <w:jc w:val="both"/>
        <w:rPr>
          <w:rFonts w:cs="Verdana"/>
          <w:b/>
          <w:bCs/>
          <w:sz w:val="24"/>
          <w:szCs w:val="24"/>
          <w:lang w:val="pl-PL"/>
        </w:rPr>
      </w:pPr>
      <w:r w:rsidRPr="00677C9D">
        <w:rPr>
          <w:rFonts w:cs="Verdana"/>
          <w:bCs/>
          <w:sz w:val="24"/>
          <w:szCs w:val="24"/>
          <w:u w:val="single"/>
          <w:lang w:val="pl-PL"/>
        </w:rPr>
        <w:t>Znaczenie wyroku dla Polski</w:t>
      </w:r>
      <w:r w:rsidRPr="00677C9D">
        <w:rPr>
          <w:rFonts w:cs="Verdana"/>
          <w:bCs/>
          <w:sz w:val="24"/>
          <w:szCs w:val="24"/>
          <w:lang w:val="pl-PL"/>
        </w:rPr>
        <w:t xml:space="preserve"> </w:t>
      </w:r>
      <w:r w:rsidR="00D07641" w:rsidRPr="00677C9D">
        <w:rPr>
          <w:rFonts w:cs="Verdana"/>
          <w:bCs/>
          <w:sz w:val="24"/>
          <w:szCs w:val="24"/>
          <w:lang w:val="pl-PL"/>
        </w:rPr>
        <w:t>– wyrok może mieć znaczenie dla sądów orzekających w sprawie ewentualnych sporów dotyczących rozwiązania umów z osobami nauczającymi religii w szkołach. Zawiera też istotne zasady ogólne dotyczące kwestii zakresu autonomii związków wyznaniowych, w tym w zakresie zatrudnienia</w:t>
      </w:r>
      <w:r w:rsidR="00D07641" w:rsidRPr="00677C9D">
        <w:rPr>
          <w:sz w:val="24"/>
          <w:szCs w:val="24"/>
          <w:lang w:val="pl-PL"/>
        </w:rPr>
        <w:t>.</w:t>
      </w:r>
    </w:p>
    <w:p w14:paraId="077FA989" w14:textId="77777777" w:rsidR="005939C9" w:rsidRPr="000C3591" w:rsidRDefault="005939C9" w:rsidP="000C3591">
      <w:pPr>
        <w:pStyle w:val="Nagwek1"/>
        <w:numPr>
          <w:ilvl w:val="0"/>
          <w:numId w:val="34"/>
        </w:numPr>
        <w:rPr>
          <w:rFonts w:asciiTheme="minorHAnsi" w:hAnsiTheme="minorHAnsi"/>
          <w:color w:val="auto"/>
          <w:sz w:val="24"/>
          <w:szCs w:val="24"/>
          <w:lang w:val="pl-PL"/>
        </w:rPr>
      </w:pPr>
      <w:bookmarkStart w:id="11" w:name="_Toc415257915"/>
      <w:bookmarkStart w:id="12" w:name="_Toc415646186"/>
      <w:r w:rsidRPr="000C3591">
        <w:rPr>
          <w:rFonts w:asciiTheme="minorHAnsi" w:hAnsiTheme="minorHAnsi"/>
          <w:color w:val="auto"/>
          <w:sz w:val="24"/>
          <w:szCs w:val="24"/>
          <w:lang w:val="pl-PL"/>
        </w:rPr>
        <w:t>Gross przeciwko Szwajcarii, skarga nr 67810/10, wyrok Wielkiej Izby z 30.09.2014</w:t>
      </w:r>
      <w:bookmarkEnd w:id="11"/>
      <w:bookmarkEnd w:id="12"/>
    </w:p>
    <w:p w14:paraId="4797A963" w14:textId="77777777" w:rsidR="005939C9" w:rsidRPr="00677C9D" w:rsidRDefault="00C30587" w:rsidP="00C83635">
      <w:pPr>
        <w:pStyle w:val="Akapitzlist"/>
        <w:numPr>
          <w:ilvl w:val="0"/>
          <w:numId w:val="8"/>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niedopuszczalność skargi na </w:t>
      </w:r>
      <w:r w:rsidR="009E6D1B" w:rsidRPr="00677C9D">
        <w:rPr>
          <w:rFonts w:cs="Verdana"/>
          <w:bCs/>
          <w:sz w:val="24"/>
          <w:szCs w:val="24"/>
          <w:lang w:val="pl-PL"/>
        </w:rPr>
        <w:t xml:space="preserve">podstawie </w:t>
      </w:r>
      <w:r w:rsidR="005939C9" w:rsidRPr="00677C9D">
        <w:rPr>
          <w:rFonts w:cs="Verdana"/>
          <w:bCs/>
          <w:sz w:val="24"/>
          <w:szCs w:val="24"/>
          <w:lang w:val="pl-PL"/>
        </w:rPr>
        <w:t>art. 35 ust. 3 (a)</w:t>
      </w:r>
      <w:r w:rsidR="007923F8" w:rsidRPr="00677C9D">
        <w:rPr>
          <w:rFonts w:cs="Verdana"/>
          <w:bCs/>
          <w:sz w:val="24"/>
          <w:szCs w:val="24"/>
          <w:lang w:val="pl-PL"/>
        </w:rPr>
        <w:t xml:space="preserve"> (kryteria dopuszczalności skargi)</w:t>
      </w:r>
      <w:r w:rsidR="005939C9" w:rsidRPr="00677C9D">
        <w:rPr>
          <w:rFonts w:cs="Verdana"/>
          <w:bCs/>
          <w:sz w:val="24"/>
          <w:szCs w:val="24"/>
          <w:lang w:val="pl-PL"/>
        </w:rPr>
        <w:t xml:space="preserve"> </w:t>
      </w:r>
      <w:r w:rsidRPr="00677C9D">
        <w:rPr>
          <w:rFonts w:cs="Verdana"/>
          <w:bCs/>
          <w:sz w:val="24"/>
          <w:szCs w:val="24"/>
          <w:lang w:val="pl-PL"/>
        </w:rPr>
        <w:t xml:space="preserve">z powodu </w:t>
      </w:r>
      <w:r w:rsidR="005939C9" w:rsidRPr="00677C9D">
        <w:rPr>
          <w:rFonts w:cs="Verdana"/>
          <w:bCs/>
          <w:sz w:val="24"/>
          <w:szCs w:val="24"/>
          <w:lang w:val="pl-PL"/>
        </w:rPr>
        <w:t>nadużyci</w:t>
      </w:r>
      <w:r w:rsidRPr="00677C9D">
        <w:rPr>
          <w:rFonts w:cs="Verdana"/>
          <w:bCs/>
          <w:sz w:val="24"/>
          <w:szCs w:val="24"/>
          <w:lang w:val="pl-PL"/>
        </w:rPr>
        <w:t>a</w:t>
      </w:r>
      <w:r w:rsidR="005939C9" w:rsidRPr="00677C9D">
        <w:rPr>
          <w:rFonts w:cs="Verdana"/>
          <w:bCs/>
          <w:sz w:val="24"/>
          <w:szCs w:val="24"/>
          <w:lang w:val="pl-PL"/>
        </w:rPr>
        <w:t xml:space="preserve"> prawa do skargi</w:t>
      </w:r>
      <w:r w:rsidRPr="00677C9D">
        <w:rPr>
          <w:rFonts w:cs="Verdana"/>
          <w:bCs/>
          <w:sz w:val="24"/>
          <w:szCs w:val="24"/>
          <w:lang w:val="pl-PL"/>
        </w:rPr>
        <w:t xml:space="preserve"> poprzez </w:t>
      </w:r>
      <w:r w:rsidR="00A77168">
        <w:rPr>
          <w:rFonts w:cs="Verdana"/>
          <w:bCs/>
          <w:sz w:val="24"/>
          <w:szCs w:val="24"/>
          <w:lang w:val="pl-PL"/>
        </w:rPr>
        <w:t xml:space="preserve">podjęcie przez skarżącą działań mających na celu spowodowanie, iż </w:t>
      </w:r>
      <w:r w:rsidRPr="00677C9D">
        <w:rPr>
          <w:rFonts w:cs="Verdana"/>
          <w:bCs/>
          <w:sz w:val="24"/>
          <w:szCs w:val="24"/>
          <w:lang w:val="pl-PL"/>
        </w:rPr>
        <w:t>Trybunał</w:t>
      </w:r>
      <w:r w:rsidR="00A77168">
        <w:rPr>
          <w:rFonts w:cs="Verdana"/>
          <w:bCs/>
          <w:sz w:val="24"/>
          <w:szCs w:val="24"/>
          <w:lang w:val="pl-PL"/>
        </w:rPr>
        <w:t xml:space="preserve"> nie zostanie poinformowany o </w:t>
      </w:r>
      <w:r w:rsidR="000A48DE">
        <w:rPr>
          <w:rFonts w:cs="Verdana"/>
          <w:bCs/>
          <w:sz w:val="24"/>
          <w:szCs w:val="24"/>
          <w:lang w:val="pl-PL"/>
        </w:rPr>
        <w:t>jej śmierci</w:t>
      </w:r>
      <w:r w:rsidR="00A77168">
        <w:rPr>
          <w:rFonts w:cs="Verdana"/>
          <w:bCs/>
          <w:sz w:val="24"/>
          <w:szCs w:val="24"/>
          <w:lang w:val="pl-PL"/>
        </w:rPr>
        <w:t xml:space="preserve"> </w:t>
      </w:r>
      <w:r w:rsidR="005939C9" w:rsidRPr="00677C9D">
        <w:rPr>
          <w:rFonts w:cs="Verdana"/>
          <w:bCs/>
          <w:sz w:val="24"/>
          <w:szCs w:val="24"/>
          <w:lang w:val="pl-PL"/>
        </w:rPr>
        <w:t xml:space="preserve">w </w:t>
      </w:r>
      <w:r w:rsidRPr="00677C9D">
        <w:rPr>
          <w:rFonts w:cs="Verdana"/>
          <w:bCs/>
          <w:sz w:val="24"/>
          <w:szCs w:val="24"/>
          <w:lang w:val="pl-PL"/>
        </w:rPr>
        <w:t>trakcie trwania postępowania</w:t>
      </w:r>
      <w:r w:rsidR="005F7FDE" w:rsidRPr="00677C9D">
        <w:rPr>
          <w:rFonts w:cs="Verdana"/>
          <w:bCs/>
          <w:sz w:val="24"/>
          <w:szCs w:val="24"/>
          <w:lang w:val="pl-PL"/>
        </w:rPr>
        <w:t>;</w:t>
      </w:r>
      <w:r w:rsidR="005939C9" w:rsidRPr="00677C9D">
        <w:rPr>
          <w:rFonts w:cs="Verdana"/>
          <w:bCs/>
          <w:sz w:val="24"/>
          <w:szCs w:val="24"/>
          <w:lang w:val="pl-PL"/>
        </w:rPr>
        <w:t xml:space="preserve"> </w:t>
      </w:r>
    </w:p>
    <w:p w14:paraId="204A12C8" w14:textId="77777777" w:rsidR="005939C9" w:rsidRPr="00677C9D" w:rsidRDefault="00A77168" w:rsidP="00C83635">
      <w:pPr>
        <w:pStyle w:val="Akapitzlist"/>
        <w:numPr>
          <w:ilvl w:val="0"/>
          <w:numId w:val="8"/>
        </w:numPr>
        <w:autoSpaceDE w:val="0"/>
        <w:autoSpaceDN w:val="0"/>
        <w:adjustRightInd w:val="0"/>
        <w:spacing w:after="120" w:line="240" w:lineRule="auto"/>
        <w:jc w:val="both"/>
        <w:rPr>
          <w:rFonts w:cs="Verdana"/>
          <w:bCs/>
          <w:sz w:val="24"/>
          <w:szCs w:val="24"/>
          <w:lang w:val="pl-PL"/>
        </w:rPr>
      </w:pPr>
      <w:r>
        <w:rPr>
          <w:rFonts w:cs="Verdana"/>
          <w:bCs/>
          <w:sz w:val="24"/>
          <w:szCs w:val="24"/>
          <w:lang w:val="pl-PL"/>
        </w:rPr>
        <w:t>w</w:t>
      </w:r>
      <w:r w:rsidR="005939C9" w:rsidRPr="00677C9D">
        <w:rPr>
          <w:rFonts w:cs="Verdana"/>
          <w:bCs/>
          <w:sz w:val="24"/>
          <w:szCs w:val="24"/>
          <w:lang w:val="pl-PL"/>
        </w:rPr>
        <w:t xml:space="preserve">yrok Wielkiej Izby dotyczył sprawy, w której Izba uznała wcześniej (w dniu 14 maja 2013 r.) naruszenie art. 8 </w:t>
      </w:r>
      <w:r w:rsidR="007923F8" w:rsidRPr="00677C9D">
        <w:rPr>
          <w:rFonts w:cs="Verdana"/>
          <w:bCs/>
          <w:sz w:val="24"/>
          <w:szCs w:val="24"/>
          <w:lang w:val="pl-PL"/>
        </w:rPr>
        <w:t xml:space="preserve">(prawo do poszanowania życia prywatnego i rodzinnego) </w:t>
      </w:r>
      <w:r w:rsidR="005939C9" w:rsidRPr="00677C9D">
        <w:rPr>
          <w:rFonts w:cs="Verdana"/>
          <w:bCs/>
          <w:sz w:val="24"/>
          <w:szCs w:val="24"/>
          <w:lang w:val="pl-PL"/>
        </w:rPr>
        <w:t xml:space="preserve">z uwagi na trudności, jakie skarżąca napotkała, próbując uzyskać receptę na środek, który umożliwiłby jej popełnienie samobójstwa. W toku postępowania przed Wielką Izbą Rząd odkrył, że skarżąca uzyskała receptę już w 2011 r. i popełniła samobójstwo. </w:t>
      </w:r>
      <w:r w:rsidR="00C30587" w:rsidRPr="00677C9D">
        <w:rPr>
          <w:rFonts w:cs="Verdana"/>
          <w:bCs/>
          <w:sz w:val="24"/>
          <w:szCs w:val="24"/>
          <w:lang w:val="pl-PL"/>
        </w:rPr>
        <w:t>O fakcie otrzymania recepty n</w:t>
      </w:r>
      <w:r w:rsidR="005939C9" w:rsidRPr="00677C9D">
        <w:rPr>
          <w:rFonts w:cs="Verdana"/>
          <w:bCs/>
          <w:sz w:val="24"/>
          <w:szCs w:val="24"/>
          <w:lang w:val="pl-PL"/>
        </w:rPr>
        <w:t xml:space="preserve">ie poinformowała Trybunału, a także podjęła celowo działania, by informacja </w:t>
      </w:r>
      <w:r w:rsidR="00C30587" w:rsidRPr="00677C9D">
        <w:rPr>
          <w:rFonts w:cs="Verdana"/>
          <w:bCs/>
          <w:sz w:val="24"/>
          <w:szCs w:val="24"/>
          <w:lang w:val="pl-PL"/>
        </w:rPr>
        <w:t xml:space="preserve">o jej śmierci nie </w:t>
      </w:r>
      <w:r w:rsidR="005939C9" w:rsidRPr="00677C9D">
        <w:rPr>
          <w:rFonts w:cs="Verdana"/>
          <w:bCs/>
          <w:sz w:val="24"/>
          <w:szCs w:val="24"/>
          <w:lang w:val="pl-PL"/>
        </w:rPr>
        <w:t xml:space="preserve">dotarła do jej pełnomocnika procesowego i </w:t>
      </w:r>
      <w:r w:rsidR="005939C9" w:rsidRPr="00677C9D">
        <w:rPr>
          <w:rFonts w:cs="Verdana"/>
          <w:bCs/>
          <w:sz w:val="24"/>
          <w:szCs w:val="24"/>
          <w:lang w:val="pl-PL"/>
        </w:rPr>
        <w:lastRenderedPageBreak/>
        <w:t xml:space="preserve">Trybunału. Pełnomocnik kontaktował się ze skarżącą jedynie przez pośrednika, który na wniosek skarżącej celowo zataił przed nim informację nt. śmierci skarżącej. Skarżąca uznała bowiem, że niezależnie od faktu, że udało się jej uzyskać receptę, rozstrzygnięcie Trybunału może mieć znaczenie dla innych osób w podobnej sytuacji. Trybunał stwierdził, że sytuacja ta stanowiła nadużycie prawa do skargi i w rezultacie uznał skargę za niedopuszczalną. Trybunał zwrócił też uwagę na fakt, że sytuacja, w której pełnomocnik nie ma bezpośredniego kontaktu ze skarżącym, a godzi się na kontakty z nim jedynie przez pośrednika, wywołuje wątpliwości w odniesieniu do roli takiego pełnomocnika w postępowaniu przed Trybunałem. Nie tylko skarżący, ale również jego pełnomocnik ponosi szczególną odpowiedzialność za nieskładanie </w:t>
      </w:r>
      <w:r w:rsidR="00C30587" w:rsidRPr="00677C9D">
        <w:rPr>
          <w:rFonts w:cs="Verdana"/>
          <w:bCs/>
          <w:sz w:val="24"/>
          <w:szCs w:val="24"/>
          <w:lang w:val="pl-PL"/>
        </w:rPr>
        <w:t xml:space="preserve">oświadczeń </w:t>
      </w:r>
      <w:r w:rsidR="005939C9" w:rsidRPr="00677C9D">
        <w:rPr>
          <w:rFonts w:cs="Verdana"/>
          <w:bCs/>
          <w:sz w:val="24"/>
          <w:szCs w:val="24"/>
          <w:lang w:val="pl-PL"/>
        </w:rPr>
        <w:t xml:space="preserve">wprowadzających w błąd.  </w:t>
      </w:r>
    </w:p>
    <w:p w14:paraId="54BF5800" w14:textId="77777777" w:rsidR="00D07641" w:rsidRPr="00677C9D" w:rsidRDefault="00F02FBE" w:rsidP="00FF780D">
      <w:pPr>
        <w:autoSpaceDE w:val="0"/>
        <w:autoSpaceDN w:val="0"/>
        <w:adjustRightInd w:val="0"/>
        <w:spacing w:after="120" w:line="240" w:lineRule="auto"/>
        <w:jc w:val="both"/>
        <w:rPr>
          <w:rFonts w:cs="Verdana"/>
          <w:bCs/>
          <w:sz w:val="24"/>
          <w:szCs w:val="24"/>
          <w:lang w:val="pl-PL"/>
        </w:rPr>
      </w:pPr>
      <w:r w:rsidRPr="00677C9D">
        <w:rPr>
          <w:rFonts w:cs="Verdana"/>
          <w:bCs/>
          <w:sz w:val="24"/>
          <w:szCs w:val="24"/>
          <w:u w:val="single"/>
          <w:lang w:val="pl-PL"/>
        </w:rPr>
        <w:t>Znaczenie wyroku dla Polski</w:t>
      </w:r>
      <w:r w:rsidRPr="00677C9D">
        <w:rPr>
          <w:rFonts w:cs="Verdana"/>
          <w:bCs/>
          <w:sz w:val="24"/>
          <w:szCs w:val="24"/>
          <w:lang w:val="pl-PL"/>
        </w:rPr>
        <w:t xml:space="preserve"> </w:t>
      </w:r>
      <w:r w:rsidR="005939C9" w:rsidRPr="00677C9D">
        <w:rPr>
          <w:rFonts w:cs="Verdana"/>
          <w:bCs/>
          <w:sz w:val="24"/>
          <w:szCs w:val="24"/>
          <w:lang w:val="pl-PL"/>
        </w:rPr>
        <w:t xml:space="preserve">– na skutek </w:t>
      </w:r>
      <w:r w:rsidR="0052689F" w:rsidRPr="00677C9D">
        <w:rPr>
          <w:rFonts w:cs="Verdana"/>
          <w:bCs/>
          <w:sz w:val="24"/>
          <w:szCs w:val="24"/>
          <w:lang w:val="pl-PL"/>
        </w:rPr>
        <w:t xml:space="preserve">wyroku </w:t>
      </w:r>
      <w:r w:rsidR="005939C9" w:rsidRPr="00677C9D">
        <w:rPr>
          <w:rFonts w:cs="Verdana"/>
          <w:bCs/>
          <w:sz w:val="24"/>
          <w:szCs w:val="24"/>
          <w:lang w:val="pl-PL"/>
        </w:rPr>
        <w:t>Wielkiej Izby wcześniejszy wyrok Izby w przedmiotowej sprawie, dotyczący braku wystarczającej precyzji pr</w:t>
      </w:r>
      <w:r w:rsidR="00C30587" w:rsidRPr="00677C9D">
        <w:rPr>
          <w:rFonts w:cs="Verdana"/>
          <w:bCs/>
          <w:sz w:val="24"/>
          <w:szCs w:val="24"/>
          <w:lang w:val="pl-PL"/>
        </w:rPr>
        <w:t xml:space="preserve">zepisów prawnych </w:t>
      </w:r>
      <w:r w:rsidR="005939C9" w:rsidRPr="00677C9D">
        <w:rPr>
          <w:rFonts w:cs="Verdana"/>
          <w:bCs/>
          <w:sz w:val="24"/>
          <w:szCs w:val="24"/>
          <w:lang w:val="pl-PL"/>
        </w:rPr>
        <w:t xml:space="preserve">w zakresie możliwości popełnienia samobójstwa, nie stał się ostateczny, a ustalenia w nim zawarte nie mają mocy prawnej. </w:t>
      </w:r>
      <w:r w:rsidR="00D45D04" w:rsidRPr="00677C9D">
        <w:rPr>
          <w:rFonts w:cs="Verdana"/>
          <w:bCs/>
          <w:sz w:val="24"/>
          <w:szCs w:val="24"/>
          <w:lang w:val="pl-PL"/>
        </w:rPr>
        <w:t>W</w:t>
      </w:r>
      <w:r w:rsidR="005939C9" w:rsidRPr="00677C9D">
        <w:rPr>
          <w:rFonts w:cs="Verdana"/>
          <w:bCs/>
          <w:sz w:val="24"/>
          <w:szCs w:val="24"/>
          <w:lang w:val="pl-PL"/>
        </w:rPr>
        <w:t>yrok Wielkiej izby przypomina zasady dotyczące wymogu rzetelnego działania skarżącego i jego pełnomocnika w postępowaniu przed Trybunałem.</w:t>
      </w:r>
    </w:p>
    <w:p w14:paraId="4B9FCD91" w14:textId="77777777" w:rsidR="00FF780D" w:rsidRPr="000C3591" w:rsidRDefault="00FF780D" w:rsidP="000C3591">
      <w:pPr>
        <w:pStyle w:val="Nagwek1"/>
        <w:numPr>
          <w:ilvl w:val="0"/>
          <w:numId w:val="34"/>
        </w:numPr>
        <w:rPr>
          <w:rFonts w:asciiTheme="minorHAnsi" w:hAnsiTheme="minorHAnsi"/>
          <w:color w:val="auto"/>
          <w:sz w:val="24"/>
          <w:szCs w:val="24"/>
          <w:lang w:val="pl-PL"/>
        </w:rPr>
      </w:pPr>
      <w:bookmarkStart w:id="13" w:name="_Toc415257916"/>
      <w:bookmarkStart w:id="14" w:name="_Toc415646187"/>
      <w:r w:rsidRPr="000C3591">
        <w:rPr>
          <w:rFonts w:asciiTheme="minorHAnsi" w:hAnsiTheme="minorHAnsi"/>
          <w:color w:val="auto"/>
          <w:sz w:val="24"/>
          <w:szCs w:val="24"/>
          <w:lang w:val="pl-PL"/>
        </w:rPr>
        <w:t>Gruzja przeciwko Rosji (nr 1), skarga nr 13255/07, wyrok Wielkiej Izby z 03.07.2014</w:t>
      </w:r>
      <w:bookmarkEnd w:id="13"/>
      <w:bookmarkEnd w:id="14"/>
    </w:p>
    <w:p w14:paraId="4C9E1E26" w14:textId="77777777" w:rsidR="00FF780D" w:rsidRPr="00677C9D" w:rsidRDefault="009E6D1B" w:rsidP="00C83635">
      <w:pPr>
        <w:pStyle w:val="Akapitzlist"/>
        <w:numPr>
          <w:ilvl w:val="0"/>
          <w:numId w:val="9"/>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oddalenie zarzutu wstępnego </w:t>
      </w:r>
      <w:r w:rsidR="0020289E" w:rsidRPr="00677C9D">
        <w:rPr>
          <w:rFonts w:cs="Verdana"/>
          <w:bCs/>
          <w:sz w:val="24"/>
          <w:szCs w:val="24"/>
          <w:lang w:val="pl-PL"/>
        </w:rPr>
        <w:t xml:space="preserve">opartego </w:t>
      </w:r>
      <w:r w:rsidR="00D8002A" w:rsidRPr="00677C9D">
        <w:rPr>
          <w:rFonts w:cs="Verdana"/>
          <w:bCs/>
          <w:sz w:val="24"/>
          <w:szCs w:val="24"/>
          <w:lang w:val="pl-PL"/>
        </w:rPr>
        <w:t xml:space="preserve">na </w:t>
      </w:r>
      <w:r w:rsidR="0020289E" w:rsidRPr="00677C9D">
        <w:rPr>
          <w:rFonts w:cs="Verdana"/>
          <w:bCs/>
          <w:sz w:val="24"/>
          <w:szCs w:val="24"/>
          <w:lang w:val="pl-PL"/>
        </w:rPr>
        <w:t xml:space="preserve">art. 35 (kryteria dopuszczalności skargi) </w:t>
      </w:r>
      <w:r w:rsidRPr="00677C9D">
        <w:rPr>
          <w:rFonts w:cs="Verdana"/>
          <w:bCs/>
          <w:sz w:val="24"/>
          <w:szCs w:val="24"/>
          <w:lang w:val="pl-PL"/>
        </w:rPr>
        <w:t>dotyczącego niewykorzystania środków krajowych</w:t>
      </w:r>
      <w:r w:rsidR="0020289E" w:rsidRPr="00677C9D">
        <w:rPr>
          <w:rFonts w:cs="Verdana"/>
          <w:bCs/>
          <w:sz w:val="24"/>
          <w:szCs w:val="24"/>
          <w:lang w:val="pl-PL"/>
        </w:rPr>
        <w:t xml:space="preserve"> </w:t>
      </w:r>
      <w:r w:rsidR="00FF780D" w:rsidRPr="00677C9D">
        <w:rPr>
          <w:rFonts w:cs="Verdana"/>
          <w:bCs/>
          <w:sz w:val="24"/>
          <w:szCs w:val="24"/>
          <w:lang w:val="pl-PL"/>
        </w:rPr>
        <w:t>–</w:t>
      </w:r>
      <w:r w:rsidR="0020289E" w:rsidRPr="00677C9D">
        <w:rPr>
          <w:rFonts w:cs="Verdana"/>
          <w:bCs/>
          <w:sz w:val="24"/>
          <w:szCs w:val="24"/>
          <w:lang w:val="pl-PL"/>
        </w:rPr>
        <w:t xml:space="preserve"> </w:t>
      </w:r>
      <w:r w:rsidR="00FF780D" w:rsidRPr="00677C9D">
        <w:rPr>
          <w:rFonts w:cs="Verdana"/>
          <w:bCs/>
          <w:sz w:val="24"/>
          <w:szCs w:val="24"/>
          <w:lang w:val="pl-PL"/>
        </w:rPr>
        <w:t>wymóg ten nie ma zastosowania z uwagi na praktykę administracyjną aresztowania, zatrzymywania i wydalania obywateli gruzińskich</w:t>
      </w:r>
      <w:r w:rsidR="00A77168">
        <w:rPr>
          <w:rFonts w:cs="Verdana"/>
          <w:bCs/>
          <w:sz w:val="24"/>
          <w:szCs w:val="24"/>
          <w:lang w:val="pl-PL"/>
        </w:rPr>
        <w:t xml:space="preserve"> oraz stwierdzenie szeregu naruszeń praw gwarantowanych Konwencją</w:t>
      </w:r>
      <w:r w:rsidR="005F7FDE" w:rsidRPr="00677C9D">
        <w:rPr>
          <w:rFonts w:cs="Verdana"/>
          <w:bCs/>
          <w:sz w:val="24"/>
          <w:szCs w:val="24"/>
          <w:lang w:val="pl-PL"/>
        </w:rPr>
        <w:t>;</w:t>
      </w:r>
      <w:r w:rsidR="00FF780D" w:rsidRPr="00677C9D">
        <w:rPr>
          <w:rFonts w:cs="Verdana"/>
          <w:bCs/>
          <w:sz w:val="24"/>
          <w:szCs w:val="24"/>
          <w:lang w:val="pl-PL"/>
        </w:rPr>
        <w:t xml:space="preserve"> </w:t>
      </w:r>
    </w:p>
    <w:p w14:paraId="68F775EA" w14:textId="77777777" w:rsidR="00FF780D" w:rsidRPr="00677C9D" w:rsidRDefault="00A77168" w:rsidP="00C83635">
      <w:pPr>
        <w:pStyle w:val="Akapitzlist"/>
        <w:numPr>
          <w:ilvl w:val="0"/>
          <w:numId w:val="9"/>
        </w:numPr>
        <w:autoSpaceDE w:val="0"/>
        <w:autoSpaceDN w:val="0"/>
        <w:adjustRightInd w:val="0"/>
        <w:spacing w:after="120" w:line="240" w:lineRule="auto"/>
        <w:jc w:val="both"/>
        <w:rPr>
          <w:rFonts w:cs="Verdana"/>
          <w:bCs/>
          <w:sz w:val="24"/>
          <w:szCs w:val="24"/>
          <w:lang w:val="pl-PL"/>
        </w:rPr>
      </w:pPr>
      <w:r>
        <w:rPr>
          <w:rFonts w:cs="Verdana"/>
          <w:bCs/>
          <w:sz w:val="24"/>
          <w:szCs w:val="24"/>
          <w:lang w:val="pl-PL"/>
        </w:rPr>
        <w:t>s</w:t>
      </w:r>
      <w:r w:rsidR="00FF780D" w:rsidRPr="00677C9D">
        <w:rPr>
          <w:rFonts w:cs="Verdana"/>
          <w:bCs/>
          <w:sz w:val="24"/>
          <w:szCs w:val="24"/>
          <w:lang w:val="pl-PL"/>
        </w:rPr>
        <w:t>karga Gruzji dotyczyła zbiorowego wydalenia obywateli gruzińskich z Rosji – od końca września 2006 r. do stycznia 2007 r. wydalonych zostało ok. 4600 osób, w tym 2300 osób zostało zatrzymanych i przymusowo deportowanych. Gruzja zarzucała, że wydano okólniki nakazujące urzędnikom identyfikowanie obywateli gruzińskich nielegalnie przebywających na terytorium Rosji w celu ich zatrzymania i wydalenia, a nawet skierowano</w:t>
      </w:r>
      <w:r w:rsidR="007B02ED" w:rsidRPr="007B02ED">
        <w:rPr>
          <w:rFonts w:cs="Verdana"/>
          <w:bCs/>
          <w:sz w:val="24"/>
          <w:szCs w:val="24"/>
          <w:lang w:val="pl-PL"/>
        </w:rPr>
        <w:t xml:space="preserve"> </w:t>
      </w:r>
      <w:r w:rsidR="007B02ED" w:rsidRPr="00677C9D">
        <w:rPr>
          <w:rFonts w:cs="Verdana"/>
          <w:bCs/>
          <w:sz w:val="24"/>
          <w:szCs w:val="24"/>
          <w:lang w:val="pl-PL"/>
        </w:rPr>
        <w:t>do szkół</w:t>
      </w:r>
      <w:r w:rsidR="00FF780D" w:rsidRPr="00677C9D">
        <w:rPr>
          <w:rFonts w:cs="Verdana"/>
          <w:bCs/>
          <w:sz w:val="24"/>
          <w:szCs w:val="24"/>
          <w:lang w:val="pl-PL"/>
        </w:rPr>
        <w:t xml:space="preserve"> polecenie identyfikowania uczniów gruzińskich. Trybunał uznał, że skarżący nie byli zobowiązani do wyczerpania krajowych środków odwoławczych, zważywszy, że istniała skoordynowana polityka administracyjna zatrzymywania i wydalania obywateli gruzińskich. Potwierdza to liczba decyzji o wydaleniu i liczba osób zatrzymanych i wydalonych przymusowo, a także fakt wydania okólników i instrukcji w tej sprawie przez władze. Choć </w:t>
      </w:r>
      <w:r w:rsidR="00D8002A" w:rsidRPr="00677C9D">
        <w:rPr>
          <w:rFonts w:cs="Verdana"/>
          <w:bCs/>
          <w:sz w:val="24"/>
          <w:szCs w:val="24"/>
          <w:lang w:val="pl-PL"/>
        </w:rPr>
        <w:t xml:space="preserve">prawo krajowe przewiduje środki odwoławcze od podejmowanych decyzji, </w:t>
      </w:r>
      <w:r w:rsidR="00FF780D" w:rsidRPr="00677C9D">
        <w:rPr>
          <w:rFonts w:cs="Verdana"/>
          <w:bCs/>
          <w:sz w:val="24"/>
          <w:szCs w:val="24"/>
          <w:lang w:val="pl-PL"/>
        </w:rPr>
        <w:t xml:space="preserve">Trybunał podkreślił potrzebę </w:t>
      </w:r>
      <w:r w:rsidR="00D8002A" w:rsidRPr="00677C9D">
        <w:rPr>
          <w:rFonts w:cs="Verdana"/>
          <w:bCs/>
          <w:sz w:val="24"/>
          <w:szCs w:val="24"/>
          <w:lang w:val="pl-PL"/>
        </w:rPr>
        <w:t xml:space="preserve">dokonania oceny </w:t>
      </w:r>
      <w:r w:rsidR="00FF780D" w:rsidRPr="00677C9D">
        <w:rPr>
          <w:rFonts w:cs="Verdana"/>
          <w:bCs/>
          <w:sz w:val="24"/>
          <w:szCs w:val="24"/>
          <w:lang w:val="pl-PL"/>
        </w:rPr>
        <w:t>realistyczne</w:t>
      </w:r>
      <w:r w:rsidR="00D8002A" w:rsidRPr="00677C9D">
        <w:rPr>
          <w:rFonts w:cs="Verdana"/>
          <w:bCs/>
          <w:sz w:val="24"/>
          <w:szCs w:val="24"/>
          <w:lang w:val="pl-PL"/>
        </w:rPr>
        <w:t xml:space="preserve">j </w:t>
      </w:r>
      <w:r w:rsidR="00FF780D" w:rsidRPr="00677C9D">
        <w:rPr>
          <w:rFonts w:cs="Verdana"/>
          <w:bCs/>
          <w:sz w:val="24"/>
          <w:szCs w:val="24"/>
          <w:lang w:val="pl-PL"/>
        </w:rPr>
        <w:t xml:space="preserve">i uwzględnienia nie tylko, czy formalnie środki istnieją w systemie prawnym, ale też generalnego i politycznego kontekstu, w którym one funkcjonują. </w:t>
      </w:r>
      <w:r w:rsidR="00D8002A" w:rsidRPr="00677C9D">
        <w:rPr>
          <w:rFonts w:cs="Verdana"/>
          <w:bCs/>
          <w:sz w:val="24"/>
          <w:szCs w:val="24"/>
          <w:lang w:val="pl-PL"/>
        </w:rPr>
        <w:t xml:space="preserve">Korzystanie ze środków krajowych było utrudnione, ponieważ </w:t>
      </w:r>
      <w:r w:rsidR="00FF780D" w:rsidRPr="00677C9D">
        <w:rPr>
          <w:rFonts w:cs="Verdana"/>
          <w:bCs/>
          <w:sz w:val="24"/>
          <w:szCs w:val="24"/>
          <w:lang w:val="pl-PL"/>
        </w:rPr>
        <w:t>obywatele gruzińscy byli doprowadzani do sądu w grupach, niektórych wręcz nie dopuszczano do sali sądowej, a przesłuchanie przed sądem trwało średnio pięć minut bez odpowiedniego zbadania faktów. Zmuszano ich następnie do podpisania orzeczeń sądowych bez możliwości przeczytania czy też bez wręczenia kopii. Nie zapewniano tłumacza ani dostępu do adwokata. Zniechęcano też do składania apelacji. Trybunał uznał, że z uwagi na istnienie praktyki administracyjnej aresztowania, zatrzymania i wydalania obywateli gruzińskich, nie było konieczne wykorzystanie środków krajowych</w:t>
      </w:r>
      <w:r w:rsidR="00150DD1">
        <w:rPr>
          <w:rFonts w:cs="Verdana"/>
          <w:bCs/>
          <w:sz w:val="24"/>
          <w:szCs w:val="24"/>
          <w:lang w:val="pl-PL"/>
        </w:rPr>
        <w:t>.</w:t>
      </w:r>
      <w:r w:rsidR="00FF780D" w:rsidRPr="00677C9D">
        <w:rPr>
          <w:rFonts w:cs="Verdana"/>
          <w:bCs/>
          <w:sz w:val="24"/>
          <w:szCs w:val="24"/>
          <w:lang w:val="pl-PL"/>
        </w:rPr>
        <w:t xml:space="preserve"> </w:t>
      </w:r>
    </w:p>
    <w:p w14:paraId="7873713D" w14:textId="77777777" w:rsidR="00A77168" w:rsidRDefault="00FF780D" w:rsidP="00D8002A">
      <w:pPr>
        <w:pStyle w:val="Akapitzlist"/>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lastRenderedPageBreak/>
        <w:t xml:space="preserve">Choć wydawano decyzje dotyczące poszczególnych osób, Trybunał uznał, że miało miejsce zbiorowe wydalenie cudzoziemców. Trybunał odnotował fakt, że postępowania przed sądami prowadzone były w sposób uproszczony, a wydalenie następowało w oparciu o powtarzalną praktykę stosowaną w całym kraju. Wiele raportów organizacji międzynarodowych wskazywało na koordynację działań władz administracyjnych i sądowych. Sądy wydały tysiące nakazów wydalenia obywateli gruzińskich. Tak więc mimo, iż w każdej sprawie wydana była oddzielna decyzja, okoliczności sprawiły, że nie było możliwe przeprowadzenie rozsądnego i obiektywnego zbadania szczególnych okoliczności dotyczących każdej osoby. Choć państwo ma prawo ustanowić własną politykę imigracyjną, problemy dotyczące zarządzania migracją nie mogą usprawiedliwić stosowania praktyk niezgodnych z </w:t>
      </w:r>
      <w:r w:rsidR="00D8002A" w:rsidRPr="00677C9D">
        <w:rPr>
          <w:rFonts w:cs="Verdana"/>
          <w:bCs/>
          <w:sz w:val="24"/>
          <w:szCs w:val="24"/>
          <w:lang w:val="pl-PL"/>
        </w:rPr>
        <w:t>K</w:t>
      </w:r>
      <w:r w:rsidRPr="00677C9D">
        <w:rPr>
          <w:rFonts w:cs="Verdana"/>
          <w:bCs/>
          <w:sz w:val="24"/>
          <w:szCs w:val="24"/>
          <w:lang w:val="pl-PL"/>
        </w:rPr>
        <w:t>onwencją</w:t>
      </w:r>
      <w:r w:rsidR="00150DD1">
        <w:rPr>
          <w:rFonts w:cs="Verdana"/>
          <w:bCs/>
          <w:sz w:val="24"/>
          <w:szCs w:val="24"/>
          <w:lang w:val="pl-PL"/>
        </w:rPr>
        <w:t>;</w:t>
      </w:r>
      <w:r w:rsidRPr="00677C9D">
        <w:rPr>
          <w:rFonts w:cs="Verdana"/>
          <w:bCs/>
          <w:sz w:val="24"/>
          <w:szCs w:val="24"/>
          <w:lang w:val="pl-PL"/>
        </w:rPr>
        <w:t xml:space="preserve"> </w:t>
      </w:r>
    </w:p>
    <w:p w14:paraId="7FCC2C30" w14:textId="77777777" w:rsidR="00A77168" w:rsidRPr="00677C9D" w:rsidRDefault="00A77168" w:rsidP="00A77168">
      <w:pPr>
        <w:pStyle w:val="Akapitzlist"/>
        <w:numPr>
          <w:ilvl w:val="0"/>
          <w:numId w:val="9"/>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naruszenie m.in. art. 4 Protokołu nr 4 (zakaz zbiorowego wydalania cudzoziemców) poprzez </w:t>
      </w:r>
      <w:r>
        <w:rPr>
          <w:rFonts w:cs="Verdana"/>
          <w:bCs/>
          <w:sz w:val="24"/>
          <w:szCs w:val="24"/>
          <w:lang w:val="pl-PL"/>
        </w:rPr>
        <w:t xml:space="preserve">praktykę administracyjna </w:t>
      </w:r>
      <w:r w:rsidRPr="00677C9D">
        <w:rPr>
          <w:rFonts w:cs="Verdana"/>
          <w:bCs/>
          <w:sz w:val="24"/>
          <w:szCs w:val="24"/>
          <w:lang w:val="pl-PL"/>
        </w:rPr>
        <w:t>zbiorowe</w:t>
      </w:r>
      <w:r>
        <w:rPr>
          <w:rFonts w:cs="Verdana"/>
          <w:bCs/>
          <w:sz w:val="24"/>
          <w:szCs w:val="24"/>
          <w:lang w:val="pl-PL"/>
        </w:rPr>
        <w:t xml:space="preserve">go </w:t>
      </w:r>
      <w:r w:rsidRPr="00677C9D">
        <w:rPr>
          <w:rFonts w:cs="Verdana"/>
          <w:bCs/>
          <w:sz w:val="24"/>
          <w:szCs w:val="24"/>
          <w:lang w:val="pl-PL"/>
        </w:rPr>
        <w:t>wydaleni</w:t>
      </w:r>
      <w:r>
        <w:rPr>
          <w:rFonts w:cs="Verdana"/>
          <w:bCs/>
          <w:sz w:val="24"/>
          <w:szCs w:val="24"/>
          <w:lang w:val="pl-PL"/>
        </w:rPr>
        <w:t>a</w:t>
      </w:r>
      <w:r w:rsidRPr="00677C9D">
        <w:rPr>
          <w:rFonts w:cs="Verdana"/>
          <w:bCs/>
          <w:sz w:val="24"/>
          <w:szCs w:val="24"/>
          <w:lang w:val="pl-PL"/>
        </w:rPr>
        <w:t xml:space="preserve"> obywateli gruzińskich przez władze rosyjskie od października 2006 r. do stycznia 2007 r.; </w:t>
      </w:r>
    </w:p>
    <w:p w14:paraId="56C83787" w14:textId="77777777" w:rsidR="00A72FF5" w:rsidRDefault="00A72FF5" w:rsidP="00A72FF5">
      <w:pPr>
        <w:pStyle w:val="Akapitzlist"/>
        <w:numPr>
          <w:ilvl w:val="0"/>
          <w:numId w:val="9"/>
        </w:numPr>
        <w:autoSpaceDE w:val="0"/>
        <w:autoSpaceDN w:val="0"/>
        <w:adjustRightInd w:val="0"/>
        <w:spacing w:after="120" w:line="240" w:lineRule="auto"/>
        <w:jc w:val="both"/>
        <w:rPr>
          <w:rFonts w:cs="Verdana"/>
          <w:bCs/>
          <w:sz w:val="24"/>
          <w:szCs w:val="24"/>
          <w:lang w:val="pl-PL"/>
        </w:rPr>
      </w:pPr>
      <w:r>
        <w:rPr>
          <w:rFonts w:cs="Verdana"/>
          <w:bCs/>
          <w:sz w:val="24"/>
          <w:szCs w:val="24"/>
          <w:lang w:val="pl-PL"/>
        </w:rPr>
        <w:t xml:space="preserve">naruszenie </w:t>
      </w:r>
      <w:r w:rsidRPr="00677C9D">
        <w:rPr>
          <w:rFonts w:cs="Verdana"/>
          <w:bCs/>
          <w:sz w:val="24"/>
          <w:szCs w:val="24"/>
          <w:lang w:val="pl-PL"/>
        </w:rPr>
        <w:t>art. 5 ust. 1 Konwencji (prawo do wolności i bezpieczeństwa osobistego)</w:t>
      </w:r>
      <w:r>
        <w:rPr>
          <w:rFonts w:cs="Verdana"/>
          <w:bCs/>
          <w:sz w:val="24"/>
          <w:szCs w:val="24"/>
          <w:lang w:val="pl-PL"/>
        </w:rPr>
        <w:t xml:space="preserve"> poprzez </w:t>
      </w:r>
      <w:r w:rsidR="00FF780D" w:rsidRPr="00677C9D">
        <w:rPr>
          <w:rFonts w:cs="Verdana"/>
          <w:bCs/>
          <w:sz w:val="24"/>
          <w:szCs w:val="24"/>
          <w:lang w:val="pl-PL"/>
        </w:rPr>
        <w:t>masow</w:t>
      </w:r>
      <w:r>
        <w:rPr>
          <w:rFonts w:cs="Verdana"/>
          <w:bCs/>
          <w:sz w:val="24"/>
          <w:szCs w:val="24"/>
          <w:lang w:val="pl-PL"/>
        </w:rPr>
        <w:t>ą</w:t>
      </w:r>
      <w:r w:rsidR="00D8002A" w:rsidRPr="00677C9D">
        <w:rPr>
          <w:rFonts w:cs="Verdana"/>
          <w:bCs/>
          <w:sz w:val="24"/>
          <w:szCs w:val="24"/>
          <w:lang w:val="pl-PL"/>
        </w:rPr>
        <w:t xml:space="preserve"> </w:t>
      </w:r>
      <w:r w:rsidR="00FF780D" w:rsidRPr="00677C9D">
        <w:rPr>
          <w:rFonts w:cs="Verdana"/>
          <w:bCs/>
          <w:sz w:val="24"/>
          <w:szCs w:val="24"/>
          <w:lang w:val="pl-PL"/>
        </w:rPr>
        <w:t>praktyk</w:t>
      </w:r>
      <w:r>
        <w:rPr>
          <w:rFonts w:cs="Verdana"/>
          <w:bCs/>
          <w:sz w:val="24"/>
          <w:szCs w:val="24"/>
          <w:lang w:val="pl-PL"/>
        </w:rPr>
        <w:t xml:space="preserve">ę </w:t>
      </w:r>
      <w:r w:rsidR="00FF780D" w:rsidRPr="00677C9D">
        <w:rPr>
          <w:rFonts w:cs="Verdana"/>
          <w:bCs/>
          <w:sz w:val="24"/>
          <w:szCs w:val="24"/>
          <w:lang w:val="pl-PL"/>
        </w:rPr>
        <w:t>zatrzymywania obywateli gruzińskich – na ulicy, w pracy, w domach</w:t>
      </w:r>
      <w:r>
        <w:rPr>
          <w:rFonts w:cs="Verdana"/>
          <w:bCs/>
          <w:sz w:val="24"/>
          <w:szCs w:val="24"/>
          <w:lang w:val="pl-PL"/>
        </w:rPr>
        <w:t xml:space="preserve">, która to praktyka </w:t>
      </w:r>
      <w:r w:rsidR="00FF780D" w:rsidRPr="00677C9D">
        <w:rPr>
          <w:rFonts w:cs="Verdana"/>
          <w:bCs/>
          <w:sz w:val="24"/>
          <w:szCs w:val="24"/>
          <w:lang w:val="pl-PL"/>
        </w:rPr>
        <w:t>stanowiła część skoordynowanej polityki aresztowania, zatrzymania i wydalenia obywateli gruzińskich</w:t>
      </w:r>
      <w:r>
        <w:rPr>
          <w:rFonts w:cs="Verdana"/>
          <w:bCs/>
          <w:sz w:val="24"/>
          <w:szCs w:val="24"/>
          <w:lang w:val="pl-PL"/>
        </w:rPr>
        <w:t>;</w:t>
      </w:r>
    </w:p>
    <w:p w14:paraId="5A072D41" w14:textId="77777777" w:rsidR="00A72FF5" w:rsidRDefault="00A72FF5" w:rsidP="00A72FF5">
      <w:pPr>
        <w:pStyle w:val="Akapitzlist"/>
        <w:numPr>
          <w:ilvl w:val="0"/>
          <w:numId w:val="9"/>
        </w:numPr>
        <w:autoSpaceDE w:val="0"/>
        <w:autoSpaceDN w:val="0"/>
        <w:adjustRightInd w:val="0"/>
        <w:spacing w:after="120" w:line="240" w:lineRule="auto"/>
        <w:jc w:val="both"/>
        <w:rPr>
          <w:rFonts w:cs="Verdana"/>
          <w:bCs/>
          <w:sz w:val="24"/>
          <w:szCs w:val="24"/>
          <w:lang w:val="pl-PL"/>
        </w:rPr>
      </w:pPr>
      <w:r>
        <w:rPr>
          <w:rFonts w:cs="Verdana"/>
          <w:bCs/>
          <w:sz w:val="24"/>
          <w:szCs w:val="24"/>
          <w:lang w:val="pl-PL"/>
        </w:rPr>
        <w:t xml:space="preserve">naruszenie </w:t>
      </w:r>
      <w:r w:rsidR="00FF780D" w:rsidRPr="00677C9D">
        <w:rPr>
          <w:rFonts w:cs="Verdana"/>
          <w:bCs/>
          <w:sz w:val="24"/>
          <w:szCs w:val="24"/>
          <w:lang w:val="pl-PL"/>
        </w:rPr>
        <w:t>art. 5 ust. 4 Konwencji z uwagi na brak skutecznego środka odwoławczego umożliwiającego zbadanie legalności pozbawienia wolności</w:t>
      </w:r>
      <w:r w:rsidR="006057F5">
        <w:rPr>
          <w:rFonts w:cs="Verdana"/>
          <w:bCs/>
          <w:sz w:val="24"/>
          <w:szCs w:val="24"/>
          <w:lang w:val="pl-PL"/>
        </w:rPr>
        <w:t>;</w:t>
      </w:r>
    </w:p>
    <w:p w14:paraId="605FF013" w14:textId="77777777" w:rsidR="00FF780D" w:rsidRPr="00677C9D" w:rsidRDefault="00A72FF5" w:rsidP="00A72FF5">
      <w:pPr>
        <w:pStyle w:val="Akapitzlist"/>
        <w:numPr>
          <w:ilvl w:val="0"/>
          <w:numId w:val="9"/>
        </w:numPr>
        <w:autoSpaceDE w:val="0"/>
        <w:autoSpaceDN w:val="0"/>
        <w:adjustRightInd w:val="0"/>
        <w:spacing w:after="120" w:line="240" w:lineRule="auto"/>
        <w:jc w:val="both"/>
        <w:rPr>
          <w:rFonts w:cs="Verdana"/>
          <w:bCs/>
          <w:sz w:val="24"/>
          <w:szCs w:val="24"/>
          <w:lang w:val="pl-PL"/>
        </w:rPr>
      </w:pPr>
      <w:r>
        <w:rPr>
          <w:rFonts w:cs="Verdana"/>
          <w:bCs/>
          <w:sz w:val="24"/>
          <w:szCs w:val="24"/>
          <w:lang w:val="pl-PL"/>
        </w:rPr>
        <w:t xml:space="preserve">naruszenie art. 3 na skutek </w:t>
      </w:r>
      <w:r w:rsidR="00FF780D" w:rsidRPr="00677C9D">
        <w:rPr>
          <w:rFonts w:cs="Verdana"/>
          <w:bCs/>
          <w:sz w:val="24"/>
          <w:szCs w:val="24"/>
          <w:lang w:val="pl-PL"/>
        </w:rPr>
        <w:t xml:space="preserve">nieodpowiednie </w:t>
      </w:r>
      <w:r>
        <w:rPr>
          <w:rFonts w:cs="Verdana"/>
          <w:bCs/>
          <w:sz w:val="24"/>
          <w:szCs w:val="24"/>
          <w:lang w:val="pl-PL"/>
        </w:rPr>
        <w:t xml:space="preserve">warunków zatrzymań; </w:t>
      </w:r>
    </w:p>
    <w:p w14:paraId="5B8A0475" w14:textId="77777777" w:rsidR="00FF780D" w:rsidRPr="00677C9D" w:rsidRDefault="00A72FF5" w:rsidP="00C83635">
      <w:pPr>
        <w:pStyle w:val="Akapitzlist"/>
        <w:numPr>
          <w:ilvl w:val="0"/>
          <w:numId w:val="9"/>
        </w:numPr>
        <w:autoSpaceDE w:val="0"/>
        <w:autoSpaceDN w:val="0"/>
        <w:adjustRightInd w:val="0"/>
        <w:spacing w:after="120" w:line="240" w:lineRule="auto"/>
        <w:jc w:val="both"/>
        <w:rPr>
          <w:rFonts w:cs="Verdana"/>
          <w:bCs/>
          <w:sz w:val="24"/>
          <w:szCs w:val="24"/>
          <w:lang w:val="pl-PL"/>
        </w:rPr>
      </w:pPr>
      <w:r>
        <w:rPr>
          <w:rFonts w:cs="Verdana"/>
          <w:bCs/>
          <w:sz w:val="24"/>
          <w:szCs w:val="24"/>
          <w:lang w:val="pl-PL"/>
        </w:rPr>
        <w:t xml:space="preserve">brak naruszenia </w:t>
      </w:r>
      <w:r w:rsidR="00FF780D" w:rsidRPr="00677C9D">
        <w:rPr>
          <w:rFonts w:cs="Verdana"/>
          <w:bCs/>
          <w:sz w:val="24"/>
          <w:szCs w:val="24"/>
          <w:lang w:val="pl-PL"/>
        </w:rPr>
        <w:t>art. 1 Prot. nr 7, gdyż dotyczy on gwarancji dla cudzoziemców legalnie przebywających na terytorium państwa, podczas gdy w obecnej sprawie nie wskazano, by aresztowania i wydalenia dotyczyły obywateli gruzińskich legalnie przebywających w Rosji</w:t>
      </w:r>
      <w:r w:rsidR="005F7FDE" w:rsidRPr="00677C9D">
        <w:rPr>
          <w:rFonts w:cs="Verdana"/>
          <w:bCs/>
          <w:sz w:val="24"/>
          <w:szCs w:val="24"/>
          <w:lang w:val="pl-PL"/>
        </w:rPr>
        <w:t>;</w:t>
      </w:r>
      <w:r w:rsidR="00FF780D" w:rsidRPr="00677C9D">
        <w:rPr>
          <w:rFonts w:cs="Verdana"/>
          <w:bCs/>
          <w:sz w:val="24"/>
          <w:szCs w:val="24"/>
          <w:lang w:val="pl-PL"/>
        </w:rPr>
        <w:t xml:space="preserve"> </w:t>
      </w:r>
    </w:p>
    <w:p w14:paraId="58D9EA7F" w14:textId="77777777" w:rsidR="00FF780D" w:rsidRPr="00A72FF5" w:rsidRDefault="00A72FF5" w:rsidP="00A72FF5">
      <w:pPr>
        <w:pStyle w:val="Akapitzlist"/>
        <w:numPr>
          <w:ilvl w:val="0"/>
          <w:numId w:val="9"/>
        </w:numPr>
        <w:autoSpaceDE w:val="0"/>
        <w:autoSpaceDN w:val="0"/>
        <w:adjustRightInd w:val="0"/>
        <w:spacing w:after="120" w:line="240" w:lineRule="auto"/>
        <w:jc w:val="both"/>
        <w:rPr>
          <w:rFonts w:cs="Verdana"/>
          <w:bCs/>
          <w:sz w:val="24"/>
          <w:szCs w:val="24"/>
          <w:lang w:val="pl-PL"/>
        </w:rPr>
      </w:pPr>
      <w:r w:rsidRPr="00A77168">
        <w:rPr>
          <w:rFonts w:cs="Verdana"/>
          <w:bCs/>
          <w:sz w:val="24"/>
          <w:szCs w:val="24"/>
          <w:lang w:val="pl-PL"/>
        </w:rPr>
        <w:t>naruszenie art. 38 w zakresie obowiązku współpracy Rosji z Trybunałem</w:t>
      </w:r>
      <w:r>
        <w:rPr>
          <w:rFonts w:cs="Verdana"/>
          <w:bCs/>
          <w:sz w:val="24"/>
          <w:szCs w:val="24"/>
          <w:lang w:val="pl-PL"/>
        </w:rPr>
        <w:t xml:space="preserve">, </w:t>
      </w:r>
      <w:r w:rsidR="00FF780D" w:rsidRPr="00A72FF5">
        <w:rPr>
          <w:rFonts w:cs="Verdana"/>
          <w:bCs/>
          <w:sz w:val="24"/>
          <w:szCs w:val="24"/>
          <w:lang w:val="pl-PL"/>
        </w:rPr>
        <w:t xml:space="preserve">Rosja odmówiła bowiem przekazania tekstów okólników, na które powołała się Gruzja, która twierdziła, że nakazywały one urzędnikom podjęcie na masową skalę </w:t>
      </w:r>
      <w:r w:rsidR="00150DD1">
        <w:rPr>
          <w:rFonts w:cs="Verdana"/>
          <w:bCs/>
          <w:sz w:val="24"/>
          <w:szCs w:val="24"/>
          <w:lang w:val="pl-PL"/>
        </w:rPr>
        <w:t xml:space="preserve">działań </w:t>
      </w:r>
      <w:r w:rsidR="00FF780D" w:rsidRPr="00A72FF5">
        <w:rPr>
          <w:rFonts w:cs="Verdana"/>
          <w:bCs/>
          <w:sz w:val="24"/>
          <w:szCs w:val="24"/>
          <w:lang w:val="pl-PL"/>
        </w:rPr>
        <w:t xml:space="preserve">w celu zidentyfikowania obywateli gruzińskich nielegalnie przebywających w Rosji w celu ich zatrzymania i deportacji. Rosja argumentowała, że dokumenty te są niejawne. Trybunał przypomniał swe orzecznictwo, w świetle którego państwo nie może się powoływać na regulacje prawa krajowego w celu uzasadnienia odmowy dostarczenia Trybunałowi dowodów. Rosja nie wyjaśniła też, dlaczego przedmiotowe dokumenty wymagały utajnienia. Trybunał przypomniał też o możliwości zapewnienia ochrony takich dokumentów na podstawie Regulaminu Trybunału. </w:t>
      </w:r>
      <w:r w:rsidR="00D8002A" w:rsidRPr="00A72FF5">
        <w:rPr>
          <w:rFonts w:cs="Verdana"/>
          <w:bCs/>
          <w:sz w:val="24"/>
          <w:szCs w:val="24"/>
          <w:lang w:val="pl-PL"/>
        </w:rPr>
        <w:t>O</w:t>
      </w:r>
      <w:r w:rsidR="00FF780D" w:rsidRPr="00A72FF5">
        <w:rPr>
          <w:rFonts w:cs="Verdana"/>
          <w:bCs/>
          <w:sz w:val="24"/>
          <w:szCs w:val="24"/>
          <w:lang w:val="pl-PL"/>
        </w:rPr>
        <w:t xml:space="preserve">rzekając w sprawie naruszenia art. 4 Prot. nr 7 Trybunał przyjął również, że prawdopodobnie wspomniane okólniki zawierały treści powoływane przez Gruzję.  </w:t>
      </w:r>
    </w:p>
    <w:p w14:paraId="3B05FCDA" w14:textId="77777777" w:rsidR="00FF780D" w:rsidRPr="00677C9D" w:rsidRDefault="00F02FBE" w:rsidP="00FF780D">
      <w:pPr>
        <w:autoSpaceDE w:val="0"/>
        <w:autoSpaceDN w:val="0"/>
        <w:adjustRightInd w:val="0"/>
        <w:spacing w:after="120" w:line="240" w:lineRule="auto"/>
        <w:jc w:val="both"/>
        <w:rPr>
          <w:rFonts w:cs="Verdana"/>
          <w:bCs/>
          <w:sz w:val="24"/>
          <w:szCs w:val="24"/>
          <w:lang w:val="pl-PL"/>
        </w:rPr>
      </w:pPr>
      <w:r w:rsidRPr="00677C9D">
        <w:rPr>
          <w:rFonts w:cs="Verdana"/>
          <w:bCs/>
          <w:sz w:val="24"/>
          <w:szCs w:val="24"/>
          <w:u w:val="single"/>
          <w:lang w:val="pl-PL"/>
        </w:rPr>
        <w:t>Znaczenie wyroku dla Polski</w:t>
      </w:r>
      <w:r w:rsidRPr="00677C9D">
        <w:rPr>
          <w:rFonts w:cs="Verdana"/>
          <w:bCs/>
          <w:sz w:val="24"/>
          <w:szCs w:val="24"/>
          <w:lang w:val="pl-PL"/>
        </w:rPr>
        <w:t xml:space="preserve"> </w:t>
      </w:r>
      <w:r w:rsidR="00FF780D" w:rsidRPr="00677C9D">
        <w:rPr>
          <w:rFonts w:cs="Verdana"/>
          <w:bCs/>
          <w:sz w:val="24"/>
          <w:szCs w:val="24"/>
          <w:lang w:val="pl-PL"/>
        </w:rPr>
        <w:t xml:space="preserve">– pośrednie z uwagi na brak porównywalnych praktyk, jako źródło informacji nt. zasad ogólnych dotyczących problematyki zbiorowego wydalenia cudzoziemców, a także zasad ustalania, czy dany środek krajowy może być uznany za skuteczny w sytuacji istnienia praktyki uniemożlwiającej jego skuteczne funkcjonowanie. </w:t>
      </w:r>
    </w:p>
    <w:p w14:paraId="6FC2148E" w14:textId="77777777" w:rsidR="008913EF" w:rsidRPr="000C3591" w:rsidRDefault="008913EF" w:rsidP="000C3591">
      <w:pPr>
        <w:pStyle w:val="Nagwek1"/>
        <w:numPr>
          <w:ilvl w:val="0"/>
          <w:numId w:val="34"/>
        </w:numPr>
        <w:rPr>
          <w:rFonts w:asciiTheme="minorHAnsi" w:hAnsiTheme="minorHAnsi"/>
          <w:color w:val="auto"/>
          <w:sz w:val="24"/>
          <w:szCs w:val="24"/>
          <w:lang w:val="pl-PL"/>
        </w:rPr>
      </w:pPr>
      <w:bookmarkStart w:id="15" w:name="_Toc415257917"/>
      <w:bookmarkStart w:id="16" w:name="_Toc415646188"/>
      <w:r w:rsidRPr="000C3591">
        <w:rPr>
          <w:rFonts w:asciiTheme="minorHAnsi" w:hAnsiTheme="minorHAnsi"/>
          <w:color w:val="auto"/>
          <w:sz w:val="24"/>
          <w:szCs w:val="24"/>
          <w:lang w:val="pl-PL"/>
        </w:rPr>
        <w:lastRenderedPageBreak/>
        <w:t xml:space="preserve">H. and J. przeciwko Holandii, </w:t>
      </w:r>
      <w:r w:rsidR="006A0DD7" w:rsidRPr="000C3591">
        <w:rPr>
          <w:rFonts w:asciiTheme="minorHAnsi" w:hAnsiTheme="minorHAnsi"/>
          <w:color w:val="auto"/>
          <w:sz w:val="24"/>
          <w:szCs w:val="24"/>
          <w:lang w:val="pl-PL"/>
        </w:rPr>
        <w:t xml:space="preserve">skargi nr </w:t>
      </w:r>
      <w:r w:rsidRPr="000C3591">
        <w:rPr>
          <w:rFonts w:asciiTheme="minorHAnsi" w:hAnsiTheme="minorHAnsi"/>
          <w:color w:val="auto"/>
          <w:sz w:val="24"/>
          <w:szCs w:val="24"/>
          <w:lang w:val="pl-PL"/>
        </w:rPr>
        <w:t xml:space="preserve">978/09 </w:t>
      </w:r>
      <w:r w:rsidR="006A0DD7" w:rsidRPr="000C3591">
        <w:rPr>
          <w:rFonts w:asciiTheme="minorHAnsi" w:hAnsiTheme="minorHAnsi"/>
          <w:color w:val="auto"/>
          <w:sz w:val="24"/>
          <w:szCs w:val="24"/>
          <w:lang w:val="pl-PL"/>
        </w:rPr>
        <w:t xml:space="preserve">i </w:t>
      </w:r>
      <w:r w:rsidRPr="000C3591">
        <w:rPr>
          <w:rFonts w:asciiTheme="minorHAnsi" w:hAnsiTheme="minorHAnsi"/>
          <w:color w:val="auto"/>
          <w:sz w:val="24"/>
          <w:szCs w:val="24"/>
          <w:lang w:val="pl-PL"/>
        </w:rPr>
        <w:t>992/09, decyzja z</w:t>
      </w:r>
      <w:r w:rsidR="006A0DD7" w:rsidRPr="000C3591">
        <w:rPr>
          <w:rFonts w:asciiTheme="minorHAnsi" w:hAnsiTheme="minorHAnsi"/>
          <w:color w:val="auto"/>
          <w:sz w:val="24"/>
          <w:szCs w:val="24"/>
          <w:lang w:val="pl-PL"/>
        </w:rPr>
        <w:t xml:space="preserve"> </w:t>
      </w:r>
      <w:r w:rsidRPr="000C3591">
        <w:rPr>
          <w:rFonts w:asciiTheme="minorHAnsi" w:hAnsiTheme="minorHAnsi"/>
          <w:color w:val="auto"/>
          <w:sz w:val="24"/>
          <w:szCs w:val="24"/>
          <w:lang w:val="pl-PL"/>
        </w:rPr>
        <w:t>13.11.2014</w:t>
      </w:r>
      <w:bookmarkEnd w:id="15"/>
      <w:bookmarkEnd w:id="16"/>
    </w:p>
    <w:p w14:paraId="039B71DE" w14:textId="77777777" w:rsidR="008913EF" w:rsidRPr="00677C9D" w:rsidRDefault="00395100" w:rsidP="00C83635">
      <w:pPr>
        <w:pStyle w:val="Akapitzlist"/>
        <w:numPr>
          <w:ilvl w:val="0"/>
          <w:numId w:val="10"/>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niedopuszczalność skargi na podstawie </w:t>
      </w:r>
      <w:r w:rsidR="008913EF" w:rsidRPr="00677C9D">
        <w:rPr>
          <w:rFonts w:cs="Verdana"/>
          <w:bCs/>
          <w:sz w:val="24"/>
          <w:szCs w:val="24"/>
          <w:lang w:val="pl-PL"/>
        </w:rPr>
        <w:t>art. 6 ust. 1</w:t>
      </w:r>
      <w:r w:rsidR="007923F8" w:rsidRPr="00677C9D">
        <w:rPr>
          <w:rFonts w:cs="Verdana"/>
          <w:bCs/>
          <w:sz w:val="24"/>
          <w:szCs w:val="24"/>
          <w:lang w:val="pl-PL"/>
        </w:rPr>
        <w:t xml:space="preserve"> (prawo do rzetelnego procesu sądowego) </w:t>
      </w:r>
      <w:r w:rsidR="008913EF" w:rsidRPr="00677C9D">
        <w:rPr>
          <w:rFonts w:cs="Verdana"/>
          <w:bCs/>
          <w:sz w:val="24"/>
          <w:szCs w:val="24"/>
          <w:lang w:val="pl-PL"/>
        </w:rPr>
        <w:t xml:space="preserve">– wykorzystanie w </w:t>
      </w:r>
      <w:r w:rsidR="00377FC5" w:rsidRPr="00677C9D">
        <w:rPr>
          <w:rFonts w:cs="Verdana"/>
          <w:bCs/>
          <w:sz w:val="24"/>
          <w:szCs w:val="24"/>
          <w:lang w:val="pl-PL"/>
        </w:rPr>
        <w:t xml:space="preserve">postępowaniu dotyczącym </w:t>
      </w:r>
      <w:r w:rsidR="008913EF" w:rsidRPr="00677C9D">
        <w:rPr>
          <w:rFonts w:cs="Verdana"/>
          <w:bCs/>
          <w:sz w:val="24"/>
          <w:szCs w:val="24"/>
          <w:lang w:val="pl-PL"/>
        </w:rPr>
        <w:t>oskarżeni</w:t>
      </w:r>
      <w:r w:rsidR="00377FC5" w:rsidRPr="00677C9D">
        <w:rPr>
          <w:rFonts w:cs="Verdana"/>
          <w:bCs/>
          <w:sz w:val="24"/>
          <w:szCs w:val="24"/>
          <w:lang w:val="pl-PL"/>
        </w:rPr>
        <w:t>a</w:t>
      </w:r>
      <w:r w:rsidR="008913EF" w:rsidRPr="00677C9D">
        <w:rPr>
          <w:rFonts w:cs="Verdana"/>
          <w:bCs/>
          <w:sz w:val="24"/>
          <w:szCs w:val="24"/>
          <w:lang w:val="pl-PL"/>
        </w:rPr>
        <w:t xml:space="preserve"> o </w:t>
      </w:r>
      <w:r w:rsidR="00377FC5" w:rsidRPr="00677C9D">
        <w:rPr>
          <w:rFonts w:cs="Verdana"/>
          <w:bCs/>
          <w:sz w:val="24"/>
          <w:szCs w:val="24"/>
          <w:lang w:val="pl-PL"/>
        </w:rPr>
        <w:t xml:space="preserve">stosowanie </w:t>
      </w:r>
      <w:r w:rsidR="008913EF" w:rsidRPr="00677C9D">
        <w:rPr>
          <w:rFonts w:cs="Verdana"/>
          <w:bCs/>
          <w:sz w:val="24"/>
          <w:szCs w:val="24"/>
          <w:lang w:val="pl-PL"/>
        </w:rPr>
        <w:t xml:space="preserve">tortur zeznań </w:t>
      </w:r>
      <w:r w:rsidRPr="00677C9D">
        <w:rPr>
          <w:rFonts w:cs="Verdana"/>
          <w:bCs/>
          <w:sz w:val="24"/>
          <w:szCs w:val="24"/>
          <w:lang w:val="pl-PL"/>
        </w:rPr>
        <w:t xml:space="preserve">złożonych </w:t>
      </w:r>
      <w:r w:rsidR="008913EF" w:rsidRPr="00677C9D">
        <w:rPr>
          <w:rFonts w:cs="Verdana"/>
          <w:bCs/>
          <w:sz w:val="24"/>
          <w:szCs w:val="24"/>
          <w:lang w:val="pl-PL"/>
        </w:rPr>
        <w:t>w trybie poufnym w postępowaniu azylowym</w:t>
      </w:r>
      <w:r w:rsidR="005F7FDE" w:rsidRPr="00677C9D">
        <w:rPr>
          <w:rFonts w:cs="Verdana"/>
          <w:bCs/>
          <w:sz w:val="24"/>
          <w:szCs w:val="24"/>
          <w:lang w:val="pl-PL"/>
        </w:rPr>
        <w:t>;</w:t>
      </w:r>
      <w:r w:rsidR="008913EF" w:rsidRPr="00677C9D">
        <w:rPr>
          <w:rFonts w:cs="Verdana"/>
          <w:bCs/>
          <w:sz w:val="24"/>
          <w:szCs w:val="24"/>
          <w:lang w:val="pl-PL"/>
        </w:rPr>
        <w:t xml:space="preserve"> </w:t>
      </w:r>
    </w:p>
    <w:p w14:paraId="7D6C02DF" w14:textId="77777777" w:rsidR="008913EF" w:rsidRPr="00677C9D" w:rsidRDefault="00377FC5" w:rsidP="00C83635">
      <w:pPr>
        <w:pStyle w:val="Akapitzlist"/>
        <w:numPr>
          <w:ilvl w:val="0"/>
          <w:numId w:val="10"/>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s</w:t>
      </w:r>
      <w:r w:rsidR="008913EF" w:rsidRPr="00677C9D">
        <w:rPr>
          <w:rFonts w:cs="Verdana"/>
          <w:bCs/>
          <w:sz w:val="24"/>
          <w:szCs w:val="24"/>
          <w:lang w:val="pl-PL"/>
        </w:rPr>
        <w:t xml:space="preserve">karżący, wysokiej rangi oficerowie służby bezpieczeństwa reżimu komunistycznego w Afganistanie, ubiegali się o </w:t>
      </w:r>
      <w:r w:rsidR="00395100" w:rsidRPr="00677C9D">
        <w:rPr>
          <w:rFonts w:cs="Verdana"/>
          <w:bCs/>
          <w:sz w:val="24"/>
          <w:szCs w:val="24"/>
          <w:lang w:val="pl-PL"/>
        </w:rPr>
        <w:t xml:space="preserve">przyznanie im </w:t>
      </w:r>
      <w:r w:rsidR="008913EF" w:rsidRPr="00677C9D">
        <w:rPr>
          <w:rFonts w:cs="Verdana"/>
          <w:bCs/>
          <w:sz w:val="24"/>
          <w:szCs w:val="24"/>
          <w:lang w:val="pl-PL"/>
        </w:rPr>
        <w:t>status</w:t>
      </w:r>
      <w:r w:rsidR="00395100" w:rsidRPr="00677C9D">
        <w:rPr>
          <w:rFonts w:cs="Verdana"/>
          <w:bCs/>
          <w:sz w:val="24"/>
          <w:szCs w:val="24"/>
          <w:lang w:val="pl-PL"/>
        </w:rPr>
        <w:t>u</w:t>
      </w:r>
      <w:r w:rsidR="008913EF" w:rsidRPr="00677C9D">
        <w:rPr>
          <w:rFonts w:cs="Verdana"/>
          <w:bCs/>
          <w:sz w:val="24"/>
          <w:szCs w:val="24"/>
          <w:lang w:val="pl-PL"/>
        </w:rPr>
        <w:t xml:space="preserve"> uchodźc</w:t>
      </w:r>
      <w:r w:rsidR="00395100" w:rsidRPr="00677C9D">
        <w:rPr>
          <w:rFonts w:cs="Verdana"/>
          <w:bCs/>
          <w:sz w:val="24"/>
          <w:szCs w:val="24"/>
          <w:lang w:val="pl-PL"/>
        </w:rPr>
        <w:t xml:space="preserve">ów </w:t>
      </w:r>
      <w:r w:rsidR="008913EF" w:rsidRPr="00677C9D">
        <w:rPr>
          <w:rFonts w:cs="Verdana"/>
          <w:bCs/>
          <w:sz w:val="24"/>
          <w:szCs w:val="24"/>
          <w:lang w:val="pl-PL"/>
        </w:rPr>
        <w:t xml:space="preserve">w Holandii. W trakcie procedury azylowej wymagano od nich podania prawdziwych przyczyn ubiegania się o azyl, w tym nt. </w:t>
      </w:r>
      <w:r w:rsidR="00395100" w:rsidRPr="00677C9D">
        <w:rPr>
          <w:rFonts w:cs="Verdana"/>
          <w:bCs/>
          <w:sz w:val="24"/>
          <w:szCs w:val="24"/>
          <w:lang w:val="pl-PL"/>
        </w:rPr>
        <w:t xml:space="preserve">informacji o przebiegu zatrudnienia </w:t>
      </w:r>
      <w:r w:rsidR="008913EF" w:rsidRPr="00677C9D">
        <w:rPr>
          <w:rFonts w:cs="Verdana"/>
          <w:bCs/>
          <w:sz w:val="24"/>
          <w:szCs w:val="24"/>
          <w:lang w:val="pl-PL"/>
        </w:rPr>
        <w:t>w służb</w:t>
      </w:r>
      <w:r w:rsidR="00395100" w:rsidRPr="00677C9D">
        <w:rPr>
          <w:rFonts w:cs="Verdana"/>
          <w:bCs/>
          <w:sz w:val="24"/>
          <w:szCs w:val="24"/>
          <w:lang w:val="pl-PL"/>
        </w:rPr>
        <w:t xml:space="preserve">ach </w:t>
      </w:r>
      <w:r w:rsidR="008913EF" w:rsidRPr="00677C9D">
        <w:rPr>
          <w:rFonts w:cs="Verdana"/>
          <w:bCs/>
          <w:sz w:val="24"/>
          <w:szCs w:val="24"/>
          <w:lang w:val="pl-PL"/>
        </w:rPr>
        <w:t xml:space="preserve">bezpieczeństwa. Odmówiono im statusu uchodźcy, jednak nie deportowano ich z uwagi na ryzyko tortur (ochrona </w:t>
      </w:r>
      <w:r w:rsidR="008913EF" w:rsidRPr="00677C9D">
        <w:rPr>
          <w:rFonts w:cs="Verdana"/>
          <w:bCs/>
          <w:i/>
          <w:sz w:val="24"/>
          <w:szCs w:val="24"/>
          <w:lang w:val="pl-PL"/>
        </w:rPr>
        <w:t>de facto</w:t>
      </w:r>
      <w:r w:rsidR="008913EF" w:rsidRPr="00677C9D">
        <w:rPr>
          <w:rFonts w:cs="Verdana"/>
          <w:bCs/>
          <w:sz w:val="24"/>
          <w:szCs w:val="24"/>
          <w:lang w:val="pl-PL"/>
        </w:rPr>
        <w:t xml:space="preserve">). Wszczęto jednak wobec nich postępowanie karne skończone skazaniem za zbrodnie wojenne, a w przypadku jednego skarżącego również za udział w stosowaniu tortur. Trybunał odnotował, że Holandia jest stroną międzynarodowych konwencji zakazujących tortur i wymagających ścigania przypadków tortur (zasada, iż państwo powinno albo wydać oskarżonego o stosowanie tortur, albo samo przeprowadzić postępowanie w jego sprawie). W odniesieniu do zarzutu skarżących, iż w postępowaniu karnym wykorzystano oświadczenia złożone </w:t>
      </w:r>
      <w:r w:rsidR="00395100" w:rsidRPr="00677C9D">
        <w:rPr>
          <w:rFonts w:cs="Verdana"/>
          <w:bCs/>
          <w:sz w:val="24"/>
          <w:szCs w:val="24"/>
          <w:lang w:val="pl-PL"/>
        </w:rPr>
        <w:t xml:space="preserve">przez nich </w:t>
      </w:r>
      <w:r w:rsidR="008913EF" w:rsidRPr="00677C9D">
        <w:rPr>
          <w:rFonts w:cs="Verdana"/>
          <w:bCs/>
          <w:sz w:val="24"/>
          <w:szCs w:val="24"/>
          <w:lang w:val="pl-PL"/>
        </w:rPr>
        <w:t>w postępowaniu azylowym, Trybunał przypomniał, że skarżący przybyli do Holandii z własnej woli i zwrócili się o ochronę. Władze holenderskie były uprawnione do oczekiwania uzasadnienia przez skarżących ich obaw prześladowania. Ponieważ ciężar dowodu spoczywał na skarżących, nie było niewłaściwe, że władze holenderskie domagały się przedstawienia prawdziwych informacji. Obietnica poufności w postępowaniu azylowym służy zapewnieniu, by złożone zeznania nie przedostały się do podmiotów, przed którymi dana osoba ma być chroniona. Nie służy jednak jako gwa</w:t>
      </w:r>
      <w:r w:rsidR="00395100" w:rsidRPr="00677C9D">
        <w:rPr>
          <w:rFonts w:cs="Verdana"/>
          <w:bCs/>
          <w:sz w:val="24"/>
          <w:szCs w:val="24"/>
          <w:lang w:val="pl-PL"/>
        </w:rPr>
        <w:t xml:space="preserve">rancja bezkarności i nie zakazuje </w:t>
      </w:r>
      <w:r w:rsidR="008913EF" w:rsidRPr="00677C9D">
        <w:rPr>
          <w:rFonts w:cs="Verdana"/>
          <w:bCs/>
          <w:sz w:val="24"/>
          <w:szCs w:val="24"/>
          <w:lang w:val="pl-PL"/>
        </w:rPr>
        <w:t xml:space="preserve">przekazania tych danych do organów ścigania zgodnie z właściwością. Fakt, że skarżących skonfrontowano z zeznaniami, jakie </w:t>
      </w:r>
      <w:r w:rsidRPr="00677C9D">
        <w:rPr>
          <w:rFonts w:cs="Verdana"/>
          <w:bCs/>
          <w:sz w:val="24"/>
          <w:szCs w:val="24"/>
          <w:lang w:val="pl-PL"/>
        </w:rPr>
        <w:t xml:space="preserve">złożyli </w:t>
      </w:r>
      <w:r w:rsidR="008913EF" w:rsidRPr="00677C9D">
        <w:rPr>
          <w:rFonts w:cs="Verdana"/>
          <w:bCs/>
          <w:sz w:val="24"/>
          <w:szCs w:val="24"/>
          <w:lang w:val="pl-PL"/>
        </w:rPr>
        <w:t xml:space="preserve">w postępowaniu azylowym, sam w sobie nie miał wpływu na rzetelność postępowania karnego. Skarżących przesłuchano zachowując </w:t>
      </w:r>
      <w:r w:rsidRPr="00677C9D">
        <w:rPr>
          <w:rFonts w:cs="Verdana"/>
          <w:bCs/>
          <w:sz w:val="24"/>
          <w:szCs w:val="24"/>
          <w:lang w:val="pl-PL"/>
        </w:rPr>
        <w:t>poufność</w:t>
      </w:r>
      <w:r w:rsidR="008913EF" w:rsidRPr="00677C9D">
        <w:rPr>
          <w:rFonts w:cs="Verdana"/>
          <w:bCs/>
          <w:sz w:val="24"/>
          <w:szCs w:val="24"/>
          <w:lang w:val="pl-PL"/>
        </w:rPr>
        <w:t xml:space="preserve">, a także korzystali </w:t>
      </w:r>
      <w:r w:rsidRPr="00677C9D">
        <w:rPr>
          <w:rFonts w:cs="Verdana"/>
          <w:bCs/>
          <w:sz w:val="24"/>
          <w:szCs w:val="24"/>
          <w:lang w:val="pl-PL"/>
        </w:rPr>
        <w:t xml:space="preserve">oni </w:t>
      </w:r>
      <w:r w:rsidR="008913EF" w:rsidRPr="00677C9D">
        <w:rPr>
          <w:rFonts w:cs="Verdana"/>
          <w:bCs/>
          <w:sz w:val="24"/>
          <w:szCs w:val="24"/>
          <w:lang w:val="pl-PL"/>
        </w:rPr>
        <w:t>z prawa do zachowania milczenia. Ponieważ żaden skarżący nie przyznał się do popełnienia tortur lub jakichkolwiek innych przestępstw, nie doszło więc do sytuacji, w której skarżących  skłoniono do złożenia zezna</w:t>
      </w:r>
      <w:r w:rsidRPr="00677C9D">
        <w:rPr>
          <w:rFonts w:cs="Verdana"/>
          <w:bCs/>
          <w:sz w:val="24"/>
          <w:szCs w:val="24"/>
          <w:lang w:val="pl-PL"/>
        </w:rPr>
        <w:t>ń</w:t>
      </w:r>
      <w:r w:rsidR="008913EF" w:rsidRPr="00677C9D">
        <w:rPr>
          <w:rFonts w:cs="Verdana"/>
          <w:bCs/>
          <w:sz w:val="24"/>
          <w:szCs w:val="24"/>
          <w:lang w:val="pl-PL"/>
        </w:rPr>
        <w:t xml:space="preserve"> </w:t>
      </w:r>
      <w:r w:rsidRPr="00677C9D">
        <w:rPr>
          <w:rFonts w:cs="Verdana"/>
          <w:bCs/>
          <w:sz w:val="24"/>
          <w:szCs w:val="24"/>
          <w:lang w:val="pl-PL"/>
        </w:rPr>
        <w:t xml:space="preserve">w postępowaniu karnym, </w:t>
      </w:r>
      <w:r w:rsidR="008913EF" w:rsidRPr="00677C9D">
        <w:rPr>
          <w:rFonts w:cs="Verdana"/>
          <w:bCs/>
          <w:sz w:val="24"/>
          <w:szCs w:val="24"/>
          <w:lang w:val="pl-PL"/>
        </w:rPr>
        <w:t xml:space="preserve">które następnie posłużyły do skazania. Z powyższych względów Trybunał uznał skargę za w sposób oczywisty nieuzasadnioną. </w:t>
      </w:r>
    </w:p>
    <w:p w14:paraId="33B7322D" w14:textId="77777777" w:rsidR="00FF780D" w:rsidRPr="00677C9D" w:rsidRDefault="00F02FBE" w:rsidP="00FF780D">
      <w:pPr>
        <w:autoSpaceDE w:val="0"/>
        <w:autoSpaceDN w:val="0"/>
        <w:adjustRightInd w:val="0"/>
        <w:spacing w:after="120" w:line="240" w:lineRule="auto"/>
        <w:jc w:val="both"/>
        <w:rPr>
          <w:rFonts w:cs="Verdana"/>
          <w:bCs/>
          <w:sz w:val="24"/>
          <w:szCs w:val="24"/>
          <w:lang w:val="pl-PL"/>
        </w:rPr>
      </w:pPr>
      <w:r w:rsidRPr="00677C9D">
        <w:rPr>
          <w:rFonts w:cs="Verdana"/>
          <w:bCs/>
          <w:sz w:val="24"/>
          <w:szCs w:val="24"/>
          <w:u w:val="single"/>
          <w:lang w:val="pl-PL"/>
        </w:rPr>
        <w:t>Znaczenie wyroku dla Polski</w:t>
      </w:r>
      <w:r w:rsidRPr="00677C9D">
        <w:rPr>
          <w:rFonts w:cs="Verdana"/>
          <w:bCs/>
          <w:sz w:val="24"/>
          <w:szCs w:val="24"/>
          <w:lang w:val="pl-PL"/>
        </w:rPr>
        <w:t xml:space="preserve"> </w:t>
      </w:r>
      <w:r w:rsidR="008913EF" w:rsidRPr="00677C9D">
        <w:rPr>
          <w:rFonts w:cs="Verdana"/>
          <w:bCs/>
          <w:sz w:val="24"/>
          <w:szCs w:val="24"/>
          <w:lang w:val="pl-PL"/>
        </w:rPr>
        <w:t>– z punktu widzenia prowadzenia postępowań ws. statusu uchodźcy wobec osób, które mogły się dopuścić zbrodni międzynarodowych.</w:t>
      </w:r>
    </w:p>
    <w:p w14:paraId="160CCA48" w14:textId="77777777" w:rsidR="00FF780D" w:rsidRPr="000C3591" w:rsidRDefault="00FF780D" w:rsidP="000C3591">
      <w:pPr>
        <w:pStyle w:val="Nagwek1"/>
        <w:numPr>
          <w:ilvl w:val="0"/>
          <w:numId w:val="34"/>
        </w:numPr>
        <w:rPr>
          <w:rFonts w:asciiTheme="minorHAnsi" w:hAnsiTheme="minorHAnsi"/>
          <w:color w:val="auto"/>
          <w:sz w:val="24"/>
          <w:szCs w:val="24"/>
          <w:lang w:val="pl-PL"/>
        </w:rPr>
      </w:pPr>
      <w:bookmarkStart w:id="17" w:name="_Toc415257918"/>
      <w:bookmarkStart w:id="18" w:name="_Toc415646189"/>
      <w:proofErr w:type="spellStart"/>
      <w:r w:rsidRPr="000C3591">
        <w:rPr>
          <w:rFonts w:asciiTheme="minorHAnsi" w:hAnsiTheme="minorHAnsi"/>
          <w:color w:val="auto"/>
          <w:sz w:val="24"/>
          <w:szCs w:val="24"/>
          <w:lang w:val="pl-PL"/>
        </w:rPr>
        <w:t>Hämäläinen</w:t>
      </w:r>
      <w:proofErr w:type="spellEnd"/>
      <w:r w:rsidRPr="000C3591">
        <w:rPr>
          <w:rFonts w:asciiTheme="minorHAnsi" w:hAnsiTheme="minorHAnsi"/>
          <w:color w:val="auto"/>
          <w:sz w:val="24"/>
          <w:szCs w:val="24"/>
          <w:lang w:val="pl-PL"/>
        </w:rPr>
        <w:t xml:space="preserve"> przeciwko Finlandii, skarga nr 37359/09, wyrok Wielkiej Izby z 16.07.2014</w:t>
      </w:r>
      <w:bookmarkEnd w:id="17"/>
      <w:bookmarkEnd w:id="18"/>
    </w:p>
    <w:p w14:paraId="03B8EF25" w14:textId="77777777" w:rsidR="00DE4529" w:rsidRPr="00677C9D" w:rsidRDefault="00377FC5" w:rsidP="00C83635">
      <w:pPr>
        <w:pStyle w:val="Akapitzlist"/>
        <w:numPr>
          <w:ilvl w:val="0"/>
          <w:numId w:val="11"/>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brak naruszenia </w:t>
      </w:r>
      <w:r w:rsidR="00FF780D" w:rsidRPr="00677C9D">
        <w:rPr>
          <w:rFonts w:cs="Verdana"/>
          <w:bCs/>
          <w:sz w:val="24"/>
          <w:szCs w:val="24"/>
          <w:lang w:val="pl-PL"/>
        </w:rPr>
        <w:t xml:space="preserve">art. 8 </w:t>
      </w:r>
      <w:r w:rsidR="007923F8" w:rsidRPr="00677C9D">
        <w:rPr>
          <w:rFonts w:cs="Verdana"/>
          <w:bCs/>
          <w:sz w:val="24"/>
          <w:szCs w:val="24"/>
          <w:lang w:val="pl-PL"/>
        </w:rPr>
        <w:t xml:space="preserve">(prawo do poszanowania życia prywatnego i rodzinnego) </w:t>
      </w:r>
      <w:r w:rsidR="00FF780D" w:rsidRPr="00677C9D">
        <w:rPr>
          <w:rFonts w:cs="Verdana"/>
          <w:bCs/>
          <w:sz w:val="24"/>
          <w:szCs w:val="24"/>
          <w:lang w:val="pl-PL"/>
        </w:rPr>
        <w:t>w odniesieniu do odmowy</w:t>
      </w:r>
      <w:r w:rsidR="00DE4529" w:rsidRPr="00677C9D">
        <w:rPr>
          <w:rFonts w:cs="Verdana"/>
          <w:bCs/>
          <w:sz w:val="24"/>
          <w:szCs w:val="24"/>
          <w:lang w:val="pl-PL"/>
        </w:rPr>
        <w:t xml:space="preserve"> władz </w:t>
      </w:r>
      <w:r w:rsidR="00FF780D" w:rsidRPr="00677C9D">
        <w:rPr>
          <w:rFonts w:cs="Verdana"/>
          <w:bCs/>
          <w:sz w:val="24"/>
          <w:szCs w:val="24"/>
          <w:lang w:val="pl-PL"/>
        </w:rPr>
        <w:t>zmiany numeru tożsamości skarżącej w celu dostosowania go do sytuacji po zabiegu korekty płci, w sytuacji, w której skarżąca nie zechciała skorzystać z możliwości przekształcenia związku małżeńskiego w związek partnerski osób tej samej płci</w:t>
      </w:r>
      <w:r w:rsidR="005F7FDE" w:rsidRPr="00677C9D">
        <w:rPr>
          <w:rFonts w:cs="Verdana"/>
          <w:bCs/>
          <w:sz w:val="24"/>
          <w:szCs w:val="24"/>
          <w:lang w:val="pl-PL"/>
        </w:rPr>
        <w:t>;</w:t>
      </w:r>
      <w:r w:rsidR="00FF780D" w:rsidRPr="00677C9D">
        <w:rPr>
          <w:rFonts w:cs="Verdana"/>
          <w:bCs/>
          <w:sz w:val="24"/>
          <w:szCs w:val="24"/>
          <w:lang w:val="pl-PL"/>
        </w:rPr>
        <w:t xml:space="preserve"> </w:t>
      </w:r>
    </w:p>
    <w:p w14:paraId="68BB20C0" w14:textId="77777777" w:rsidR="00FF780D" w:rsidRPr="00677C9D" w:rsidRDefault="00DE4529" w:rsidP="00C83635">
      <w:pPr>
        <w:pStyle w:val="Akapitzlist"/>
        <w:numPr>
          <w:ilvl w:val="0"/>
          <w:numId w:val="11"/>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w </w:t>
      </w:r>
      <w:r w:rsidR="00FF780D" w:rsidRPr="00677C9D">
        <w:rPr>
          <w:rFonts w:cs="Verdana"/>
          <w:bCs/>
          <w:sz w:val="24"/>
          <w:szCs w:val="24"/>
          <w:lang w:val="pl-PL"/>
        </w:rPr>
        <w:t>świetle prawa fińskiego, małżeństwo jest związkiem osób przeciwn</w:t>
      </w:r>
      <w:r w:rsidR="00150DD1">
        <w:rPr>
          <w:rFonts w:cs="Verdana"/>
          <w:bCs/>
          <w:sz w:val="24"/>
          <w:szCs w:val="24"/>
          <w:lang w:val="pl-PL"/>
        </w:rPr>
        <w:t xml:space="preserve">ych </w:t>
      </w:r>
      <w:r w:rsidR="00FF780D" w:rsidRPr="00677C9D">
        <w:rPr>
          <w:rFonts w:cs="Verdana"/>
          <w:bCs/>
          <w:sz w:val="24"/>
          <w:szCs w:val="24"/>
          <w:lang w:val="pl-PL"/>
        </w:rPr>
        <w:t>płci, dopuszczalne są jednak cywilne związki partnerskie osób tej samej płci. Skarżąca, pozostając w związku małżeńskim, przeszła zabieg zmiany płci, zmianie uległo też jej imię,</w:t>
      </w:r>
      <w:r w:rsidRPr="00677C9D">
        <w:rPr>
          <w:rFonts w:cs="Verdana"/>
          <w:bCs/>
          <w:sz w:val="24"/>
          <w:szCs w:val="24"/>
          <w:lang w:val="pl-PL"/>
        </w:rPr>
        <w:t xml:space="preserve"> </w:t>
      </w:r>
      <w:r w:rsidR="00FF780D" w:rsidRPr="00677C9D">
        <w:rPr>
          <w:rFonts w:cs="Verdana"/>
          <w:bCs/>
          <w:sz w:val="24"/>
          <w:szCs w:val="24"/>
          <w:lang w:val="pl-PL"/>
        </w:rPr>
        <w:t xml:space="preserve">odmówiono jej jednak przyznania nowego numeru tożsamości </w:t>
      </w:r>
      <w:r w:rsidR="00FF780D" w:rsidRPr="00677C9D">
        <w:rPr>
          <w:rFonts w:cs="Verdana"/>
          <w:bCs/>
          <w:sz w:val="24"/>
          <w:szCs w:val="24"/>
          <w:lang w:val="pl-PL"/>
        </w:rPr>
        <w:lastRenderedPageBreak/>
        <w:t xml:space="preserve">odzwierciedlającego zmienioną płeć. Skarżąca powołała się na względy religijne uniemożliwiające jej ubieganie się o rozwód, a także na swą chęć pozostania w związku małżeńskim jako gwarantującym wyższe bezpieczeństwo niż związek partnerski. Zarzuciła naruszenie prawa do poszanowania życia rodzinnego z uwagi na odmowę uznania pełnych skutków zabiegu korekty płci. Trybunał przypomniał, że Konwencja nie nakłada na państwa obowiązku uznania prawa do małżeństwa osób tej samej płci, kwestia regulowania skutków zmiany płci w kontekście małżeństwa pozostaje w znacznej mierze w ramach marginesu oceny poszczególnych państw. Trybunał odnotował też brak konsensusu europejskiego w tych kwestiach, co sprawia, że margines uznania państw powinien nadal pozostawać szeroki. Wymóg przekształcenia związku małżeńskiego w związek partnerski w celu uzyskania nowego numer tożsamości nie był nieproporcjonalny, zważywszy na prawie identyczną ochronę związków partnerskich w prawie fińskim. </w:t>
      </w:r>
    </w:p>
    <w:p w14:paraId="6DE45C6F" w14:textId="77777777" w:rsidR="00FF780D" w:rsidRPr="00677C9D" w:rsidRDefault="00F02FBE" w:rsidP="00FF780D">
      <w:pPr>
        <w:autoSpaceDE w:val="0"/>
        <w:autoSpaceDN w:val="0"/>
        <w:adjustRightInd w:val="0"/>
        <w:spacing w:after="120" w:line="240" w:lineRule="auto"/>
        <w:jc w:val="both"/>
        <w:rPr>
          <w:rFonts w:cs="Verdana"/>
          <w:bCs/>
          <w:sz w:val="24"/>
          <w:szCs w:val="24"/>
          <w:lang w:val="pl-PL"/>
        </w:rPr>
      </w:pPr>
      <w:r w:rsidRPr="00677C9D">
        <w:rPr>
          <w:rFonts w:cs="Verdana"/>
          <w:bCs/>
          <w:sz w:val="24"/>
          <w:szCs w:val="24"/>
          <w:u w:val="single"/>
          <w:lang w:val="pl-PL"/>
        </w:rPr>
        <w:t>Znaczenie wyroku dla Polski</w:t>
      </w:r>
      <w:r w:rsidR="00FF780D" w:rsidRPr="00677C9D">
        <w:rPr>
          <w:rFonts w:cs="Verdana"/>
          <w:bCs/>
          <w:sz w:val="24"/>
          <w:szCs w:val="24"/>
          <w:lang w:val="pl-PL"/>
        </w:rPr>
        <w:t>: pośrednie z uwagi na brak regulacji dotyczących małżeństw osób tej samej płci i procedury korekty płci. Trybunał odnotował</w:t>
      </w:r>
      <w:r w:rsidR="002D3C9C">
        <w:rPr>
          <w:rFonts w:cs="Verdana"/>
          <w:bCs/>
          <w:sz w:val="24"/>
          <w:szCs w:val="24"/>
          <w:lang w:val="pl-PL"/>
        </w:rPr>
        <w:t xml:space="preserve"> </w:t>
      </w:r>
      <w:r w:rsidR="002D3C9C" w:rsidRPr="00677C9D">
        <w:rPr>
          <w:rFonts w:cs="Verdana"/>
          <w:bCs/>
          <w:sz w:val="24"/>
          <w:szCs w:val="24"/>
          <w:lang w:val="pl-PL"/>
        </w:rPr>
        <w:t>wśród państw nie dopuszczających małżeństw osób tej samej płci</w:t>
      </w:r>
      <w:r w:rsidR="002D3C9C">
        <w:rPr>
          <w:rFonts w:cs="Verdana"/>
          <w:bCs/>
          <w:sz w:val="24"/>
          <w:szCs w:val="24"/>
          <w:lang w:val="pl-PL"/>
        </w:rPr>
        <w:t xml:space="preserve"> </w:t>
      </w:r>
      <w:r w:rsidR="00FF780D" w:rsidRPr="00677C9D">
        <w:rPr>
          <w:rFonts w:cs="Verdana"/>
          <w:bCs/>
          <w:sz w:val="24"/>
          <w:szCs w:val="24"/>
          <w:lang w:val="pl-PL"/>
        </w:rPr>
        <w:t>brak konsensusu w odniesieniu do kwestii regulowania skutków zmiany płci w kontekście małżeństwa, i potwierdził szeroki margines uznania w tym względzie.</w:t>
      </w:r>
    </w:p>
    <w:p w14:paraId="6CBB03BC" w14:textId="77777777" w:rsidR="00C90E21" w:rsidRPr="000C3591" w:rsidRDefault="00C90E21" w:rsidP="000C3591">
      <w:pPr>
        <w:pStyle w:val="Nagwek1"/>
        <w:numPr>
          <w:ilvl w:val="0"/>
          <w:numId w:val="34"/>
        </w:numPr>
        <w:rPr>
          <w:rFonts w:asciiTheme="minorHAnsi" w:hAnsiTheme="minorHAnsi"/>
          <w:color w:val="auto"/>
          <w:sz w:val="24"/>
          <w:szCs w:val="24"/>
          <w:lang w:val="pl-PL"/>
        </w:rPr>
      </w:pPr>
      <w:bookmarkStart w:id="19" w:name="_Toc415257919"/>
      <w:bookmarkStart w:id="20" w:name="_Toc415646190"/>
      <w:r w:rsidRPr="000C3591">
        <w:rPr>
          <w:rFonts w:asciiTheme="minorHAnsi" w:hAnsiTheme="minorHAnsi"/>
          <w:color w:val="auto"/>
          <w:sz w:val="24"/>
          <w:szCs w:val="24"/>
          <w:lang w:val="pl-PL"/>
        </w:rPr>
        <w:t>Hassan przeciwko Wielkiej Brytanii, skarga nr 29750/09, wyrok Wielkiej Izby z 16.09.2014</w:t>
      </w:r>
      <w:bookmarkEnd w:id="19"/>
      <w:bookmarkEnd w:id="20"/>
    </w:p>
    <w:p w14:paraId="5D8B3569" w14:textId="77777777" w:rsidR="008413CE" w:rsidRDefault="008413CE" w:rsidP="00C83635">
      <w:pPr>
        <w:pStyle w:val="Akapitzlist"/>
        <w:numPr>
          <w:ilvl w:val="0"/>
          <w:numId w:val="12"/>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sprawa rozpatrywana w świetle art. 1 (obowiązek przestrzegania praw człowieka) – kwestia jurysdykcji terytorialnej w odniesieniu do zatrzymania obywatela irackiego przez koalicyjne siły zbrojne w Iraku, zarzut braku jurysdykcji oddalony;</w:t>
      </w:r>
    </w:p>
    <w:p w14:paraId="408CEF8F" w14:textId="77777777" w:rsidR="00177DA4" w:rsidRDefault="00177DA4" w:rsidP="00C83635">
      <w:pPr>
        <w:pStyle w:val="Akapitzlist"/>
        <w:numPr>
          <w:ilvl w:val="0"/>
          <w:numId w:val="12"/>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nie</w:t>
      </w:r>
      <w:r w:rsidR="00CB65B2">
        <w:rPr>
          <w:rFonts w:cs="Verdana"/>
          <w:bCs/>
          <w:sz w:val="24"/>
          <w:szCs w:val="24"/>
          <w:lang w:val="pl-PL"/>
        </w:rPr>
        <w:t xml:space="preserve">dopuszczalność </w:t>
      </w:r>
      <w:r w:rsidRPr="00677C9D">
        <w:rPr>
          <w:rFonts w:cs="Verdana"/>
          <w:bCs/>
          <w:sz w:val="24"/>
          <w:szCs w:val="24"/>
          <w:lang w:val="pl-PL"/>
        </w:rPr>
        <w:t>skargi na podstawie art. 2 (prawo do życia) i art. 3 (zakaz tortur)</w:t>
      </w:r>
      <w:r w:rsidR="00CB65B2">
        <w:rPr>
          <w:rFonts w:cs="Verdana"/>
          <w:bCs/>
          <w:sz w:val="24"/>
          <w:szCs w:val="24"/>
          <w:lang w:val="pl-PL"/>
        </w:rPr>
        <w:t xml:space="preserve"> z powodu braku dowodów</w:t>
      </w:r>
      <w:r w:rsidR="00CB65B2" w:rsidRPr="00677C9D">
        <w:rPr>
          <w:rFonts w:cs="Verdana"/>
          <w:bCs/>
          <w:sz w:val="24"/>
          <w:szCs w:val="24"/>
          <w:lang w:val="pl-PL"/>
        </w:rPr>
        <w:t xml:space="preserve">, by władze brytyjskie w jakikolwiek sposób były odpowiedzialne, pośrednio lub bezpośrednio, za śmierć brata skarżącego, która nastąpiła kilka miesięcy po jego zwolnieniu z </w:t>
      </w:r>
      <w:proofErr w:type="spellStart"/>
      <w:r w:rsidR="00CB65B2" w:rsidRPr="00677C9D">
        <w:rPr>
          <w:rFonts w:cs="Verdana"/>
          <w:bCs/>
          <w:sz w:val="24"/>
          <w:szCs w:val="24"/>
          <w:lang w:val="pl-PL"/>
        </w:rPr>
        <w:t>Camp</w:t>
      </w:r>
      <w:proofErr w:type="spellEnd"/>
      <w:r w:rsidR="00CB65B2" w:rsidRPr="00677C9D">
        <w:rPr>
          <w:rFonts w:cs="Verdana"/>
          <w:bCs/>
          <w:sz w:val="24"/>
          <w:szCs w:val="24"/>
          <w:lang w:val="pl-PL"/>
        </w:rPr>
        <w:t xml:space="preserve"> </w:t>
      </w:r>
      <w:proofErr w:type="spellStart"/>
      <w:r w:rsidR="00CB65B2" w:rsidRPr="00677C9D">
        <w:rPr>
          <w:rFonts w:cs="Verdana"/>
          <w:bCs/>
          <w:sz w:val="24"/>
          <w:szCs w:val="24"/>
          <w:lang w:val="pl-PL"/>
        </w:rPr>
        <w:t>Bucca</w:t>
      </w:r>
      <w:proofErr w:type="spellEnd"/>
      <w:r w:rsidR="00C51632">
        <w:rPr>
          <w:rFonts w:cs="Verdana"/>
          <w:bCs/>
          <w:sz w:val="24"/>
          <w:szCs w:val="24"/>
          <w:lang w:val="pl-PL"/>
        </w:rPr>
        <w:t>,</w:t>
      </w:r>
      <w:r w:rsidR="00CB65B2" w:rsidRPr="00677C9D">
        <w:rPr>
          <w:rFonts w:cs="Verdana"/>
          <w:bCs/>
          <w:sz w:val="24"/>
          <w:szCs w:val="24"/>
          <w:lang w:val="pl-PL"/>
        </w:rPr>
        <w:t xml:space="preserve"> w miejscu odległym i niekontrolowanym przez siły brytyjskie</w:t>
      </w:r>
      <w:r w:rsidR="00C51632">
        <w:rPr>
          <w:rFonts w:cs="Verdana"/>
          <w:bCs/>
          <w:sz w:val="24"/>
          <w:szCs w:val="24"/>
          <w:lang w:val="pl-PL"/>
        </w:rPr>
        <w:t xml:space="preserve"> oraz braku </w:t>
      </w:r>
      <w:r w:rsidRPr="00677C9D">
        <w:rPr>
          <w:rFonts w:cs="Verdana"/>
          <w:bCs/>
          <w:sz w:val="24"/>
          <w:szCs w:val="24"/>
          <w:lang w:val="pl-PL"/>
        </w:rPr>
        <w:t>dowodów sugerujących, że brat skarżącego był torturowany w czasie zatrzymania, co dawałoby podstawy obowiązku przeprowadzenia skutecznego śledztwa na mocy art. 3</w:t>
      </w:r>
      <w:r w:rsidR="006057F5">
        <w:rPr>
          <w:rFonts w:cs="Verdana"/>
          <w:bCs/>
          <w:sz w:val="24"/>
          <w:szCs w:val="24"/>
          <w:lang w:val="pl-PL"/>
        </w:rPr>
        <w:t>;</w:t>
      </w:r>
      <w:r w:rsidRPr="00677C9D">
        <w:rPr>
          <w:rFonts w:cs="Verdana"/>
          <w:bCs/>
          <w:sz w:val="24"/>
          <w:szCs w:val="24"/>
          <w:lang w:val="pl-PL"/>
        </w:rPr>
        <w:t xml:space="preserve"> </w:t>
      </w:r>
    </w:p>
    <w:p w14:paraId="79CF28CC" w14:textId="77777777" w:rsidR="00CB65B2" w:rsidRPr="00677C9D" w:rsidRDefault="00CB65B2" w:rsidP="00C83635">
      <w:pPr>
        <w:pStyle w:val="Akapitzlist"/>
        <w:numPr>
          <w:ilvl w:val="0"/>
          <w:numId w:val="12"/>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brak naruszenia art. 5 (prawo do wolności i bezpieczeństwa osobistego) </w:t>
      </w:r>
      <w:r>
        <w:rPr>
          <w:rFonts w:cs="Verdana"/>
          <w:bCs/>
          <w:sz w:val="24"/>
          <w:szCs w:val="24"/>
          <w:lang w:val="pl-PL"/>
        </w:rPr>
        <w:t xml:space="preserve">w zakresie </w:t>
      </w:r>
      <w:r w:rsidRPr="00677C9D">
        <w:rPr>
          <w:rFonts w:cs="Verdana"/>
          <w:bCs/>
          <w:sz w:val="24"/>
          <w:szCs w:val="24"/>
          <w:lang w:val="pl-PL"/>
        </w:rPr>
        <w:t>legalności zatrzymania w związku z internowaniem w Iraku na podstawie Trzeciej i Czwartej Konwencji Genewskiej;</w:t>
      </w:r>
    </w:p>
    <w:p w14:paraId="1B5D10E0" w14:textId="77777777" w:rsidR="001037E9" w:rsidRPr="00677C9D" w:rsidRDefault="00177DA4" w:rsidP="00C83635">
      <w:pPr>
        <w:pStyle w:val="Akapitzlist"/>
        <w:numPr>
          <w:ilvl w:val="0"/>
          <w:numId w:val="12"/>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s</w:t>
      </w:r>
      <w:r w:rsidR="003D6DAE" w:rsidRPr="00677C9D">
        <w:rPr>
          <w:rFonts w:cs="Verdana"/>
          <w:bCs/>
          <w:sz w:val="24"/>
          <w:szCs w:val="24"/>
          <w:lang w:val="pl-PL"/>
        </w:rPr>
        <w:t xml:space="preserve">karżący, wysoki rangą członek Partii </w:t>
      </w:r>
      <w:proofErr w:type="spellStart"/>
      <w:r w:rsidR="003D6DAE" w:rsidRPr="00677C9D">
        <w:rPr>
          <w:rFonts w:cs="Verdana"/>
          <w:bCs/>
          <w:sz w:val="24"/>
          <w:szCs w:val="24"/>
          <w:lang w:val="pl-PL"/>
        </w:rPr>
        <w:t>Baas</w:t>
      </w:r>
      <w:proofErr w:type="spellEnd"/>
      <w:r w:rsidR="003D6DAE" w:rsidRPr="00677C9D">
        <w:rPr>
          <w:rFonts w:cs="Verdana"/>
          <w:bCs/>
          <w:sz w:val="24"/>
          <w:szCs w:val="24"/>
          <w:lang w:val="pl-PL"/>
        </w:rPr>
        <w:t xml:space="preserve">, ukrywał się po wkroczeniu sił Stanów Zjednoczonych do Iraku w marcu 2003 r. W domu pozostał jego brat, który został zatrzymany przez siły brytyjskie w kwietniu 2003 r., które przybyły do jego domu, mając nadzieję zatrzymać skarżącego. Brat skarżącego został zabrany do </w:t>
      </w:r>
      <w:proofErr w:type="spellStart"/>
      <w:r w:rsidR="003D6DAE" w:rsidRPr="00677C9D">
        <w:rPr>
          <w:rFonts w:cs="Verdana"/>
          <w:bCs/>
          <w:sz w:val="24"/>
          <w:szCs w:val="24"/>
          <w:lang w:val="pl-PL"/>
        </w:rPr>
        <w:t>Camp</w:t>
      </w:r>
      <w:proofErr w:type="spellEnd"/>
      <w:r w:rsidR="003D6DAE" w:rsidRPr="00677C9D">
        <w:rPr>
          <w:rFonts w:cs="Verdana"/>
          <w:bCs/>
          <w:sz w:val="24"/>
          <w:szCs w:val="24"/>
          <w:lang w:val="pl-PL"/>
        </w:rPr>
        <w:t xml:space="preserve"> </w:t>
      </w:r>
      <w:proofErr w:type="spellStart"/>
      <w:r w:rsidR="003D6DAE" w:rsidRPr="00677C9D">
        <w:rPr>
          <w:rFonts w:cs="Verdana"/>
          <w:bCs/>
          <w:sz w:val="24"/>
          <w:szCs w:val="24"/>
          <w:lang w:val="pl-PL"/>
        </w:rPr>
        <w:t>Bucca</w:t>
      </w:r>
      <w:proofErr w:type="spellEnd"/>
      <w:r w:rsidR="003D6DAE" w:rsidRPr="00677C9D">
        <w:rPr>
          <w:rFonts w:cs="Verdana"/>
          <w:bCs/>
          <w:sz w:val="24"/>
          <w:szCs w:val="24"/>
          <w:lang w:val="pl-PL"/>
        </w:rPr>
        <w:t xml:space="preserve">, ośrodka zatrzymań prowadzonego przez USA, których część była wykorzystywana także przez siły Wielkiej Brytanii na potrzeby zatrzymania i przesłuchania zatrzymanych. Ponieważ uznano, że brat skarżącego nie jest istotny jako źródło informacji, został – w świetle danych w rejestrze – zwolniony w </w:t>
      </w:r>
      <w:proofErr w:type="spellStart"/>
      <w:r w:rsidR="003D6DAE" w:rsidRPr="00677C9D">
        <w:rPr>
          <w:rFonts w:cs="Verdana"/>
          <w:bCs/>
          <w:sz w:val="24"/>
          <w:szCs w:val="24"/>
          <w:lang w:val="pl-PL"/>
        </w:rPr>
        <w:t>Umm</w:t>
      </w:r>
      <w:proofErr w:type="spellEnd"/>
      <w:r w:rsidR="003D6DAE" w:rsidRPr="00677C9D">
        <w:rPr>
          <w:rFonts w:cs="Verdana"/>
          <w:bCs/>
          <w:sz w:val="24"/>
          <w:szCs w:val="24"/>
          <w:lang w:val="pl-PL"/>
        </w:rPr>
        <w:t xml:space="preserve"> </w:t>
      </w:r>
      <w:proofErr w:type="spellStart"/>
      <w:r w:rsidR="003D6DAE" w:rsidRPr="00677C9D">
        <w:rPr>
          <w:rFonts w:cs="Verdana"/>
          <w:bCs/>
          <w:sz w:val="24"/>
          <w:szCs w:val="24"/>
          <w:lang w:val="pl-PL"/>
        </w:rPr>
        <w:t>Qasr</w:t>
      </w:r>
      <w:proofErr w:type="spellEnd"/>
      <w:r w:rsidR="003D6DAE" w:rsidRPr="00677C9D">
        <w:rPr>
          <w:rFonts w:cs="Verdana"/>
          <w:bCs/>
          <w:sz w:val="24"/>
          <w:szCs w:val="24"/>
          <w:lang w:val="pl-PL"/>
        </w:rPr>
        <w:t xml:space="preserve">. Jego ciało, noszące ślady  tortur i egzekucji, zostało znalezione kilka miesięcy później 700 km dalej. Skarżący podnosił, że jego brat został zatrzymany przez siły brytyjskie, a następnie znaleziony martwy w niewyjaśnionych okolicznościach. Twierdził, że jego zatrzymanie było arbitralne i bezprawne i nie zostały zachowane gwarancje </w:t>
      </w:r>
      <w:r w:rsidR="003D6DAE" w:rsidRPr="00677C9D">
        <w:rPr>
          <w:rFonts w:cs="Verdana"/>
          <w:bCs/>
          <w:sz w:val="24"/>
          <w:szCs w:val="24"/>
          <w:lang w:val="pl-PL"/>
        </w:rPr>
        <w:lastRenderedPageBreak/>
        <w:t>proceduralne. Podnosił także, że władze Wielkiej Brytanii nie przeprowadziły skutecznego śledztwa w sprawie okoliczności jego zatrzymania, złego traktowania oraz śmierci.</w:t>
      </w:r>
      <w:r w:rsidR="001037E9" w:rsidRPr="00677C9D">
        <w:rPr>
          <w:rFonts w:cs="Verdana"/>
          <w:bCs/>
          <w:sz w:val="24"/>
          <w:szCs w:val="24"/>
          <w:lang w:val="pl-PL"/>
        </w:rPr>
        <w:t xml:space="preserve"> </w:t>
      </w:r>
    </w:p>
    <w:p w14:paraId="5C5D111A" w14:textId="77777777" w:rsidR="00641ADF" w:rsidRDefault="00641ADF" w:rsidP="001037E9">
      <w:pPr>
        <w:pStyle w:val="Akapitzlist"/>
        <w:autoSpaceDE w:val="0"/>
        <w:autoSpaceDN w:val="0"/>
        <w:adjustRightInd w:val="0"/>
        <w:spacing w:after="120" w:line="240" w:lineRule="auto"/>
        <w:jc w:val="both"/>
        <w:rPr>
          <w:rFonts w:cs="Verdana"/>
          <w:bCs/>
          <w:sz w:val="24"/>
          <w:szCs w:val="24"/>
          <w:lang w:val="pl-PL"/>
        </w:rPr>
      </w:pPr>
    </w:p>
    <w:p w14:paraId="79660755" w14:textId="77777777" w:rsidR="001037E9" w:rsidRPr="00677C9D" w:rsidRDefault="008D6373" w:rsidP="001037E9">
      <w:pPr>
        <w:pStyle w:val="Akapitzlist"/>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W odniesieniu do zarzutów naruszenia art. 5 ust. 1, 2, 3 i 4 (prawo do wolności i bezpieczeństwa osobistego), Trybunał stwierdził, że Wielka Brytania sprawowała jurysdykcję w odniesieniu do brata skarżącego</w:t>
      </w:r>
      <w:r w:rsidR="006548A3" w:rsidRPr="00677C9D">
        <w:rPr>
          <w:rFonts w:cs="Verdana"/>
          <w:bCs/>
          <w:sz w:val="24"/>
          <w:szCs w:val="24"/>
          <w:lang w:val="pl-PL"/>
        </w:rPr>
        <w:t xml:space="preserve"> w czasie od jego pojmania do umieszczenia w </w:t>
      </w:r>
      <w:proofErr w:type="spellStart"/>
      <w:r w:rsidR="006548A3" w:rsidRPr="00677C9D">
        <w:rPr>
          <w:rFonts w:cs="Verdana"/>
          <w:bCs/>
          <w:sz w:val="24"/>
          <w:szCs w:val="24"/>
          <w:lang w:val="pl-PL"/>
        </w:rPr>
        <w:t>Camp</w:t>
      </w:r>
      <w:proofErr w:type="spellEnd"/>
      <w:r w:rsidR="006548A3" w:rsidRPr="00677C9D">
        <w:rPr>
          <w:rFonts w:cs="Verdana"/>
          <w:bCs/>
          <w:sz w:val="24"/>
          <w:szCs w:val="24"/>
          <w:lang w:val="pl-PL"/>
        </w:rPr>
        <w:t xml:space="preserve"> </w:t>
      </w:r>
      <w:proofErr w:type="spellStart"/>
      <w:r w:rsidR="006548A3" w:rsidRPr="00677C9D">
        <w:rPr>
          <w:rFonts w:cs="Verdana"/>
          <w:bCs/>
          <w:sz w:val="24"/>
          <w:szCs w:val="24"/>
          <w:lang w:val="pl-PL"/>
        </w:rPr>
        <w:t>Bucca</w:t>
      </w:r>
      <w:proofErr w:type="spellEnd"/>
      <w:r w:rsidRPr="00677C9D">
        <w:rPr>
          <w:rFonts w:cs="Verdana"/>
          <w:bCs/>
          <w:sz w:val="24"/>
          <w:szCs w:val="24"/>
          <w:lang w:val="pl-PL"/>
        </w:rPr>
        <w:t xml:space="preserve">. Został bowiem zatrzymany i znajdował się pod kontrolą żołnierzy brytyjskich. Trybunał odrzucił argument rządu brytyjskiego, jakoby jego jurysdykcja nie rozciągała się na fazę aktywnych działań wojennych w czasie międzynarodowego konfliktu </w:t>
      </w:r>
      <w:r w:rsidR="00AF4D94" w:rsidRPr="00677C9D">
        <w:rPr>
          <w:rFonts w:cs="Verdana"/>
          <w:bCs/>
          <w:sz w:val="24"/>
          <w:szCs w:val="24"/>
          <w:lang w:val="pl-PL"/>
        </w:rPr>
        <w:t>zbrojnego</w:t>
      </w:r>
      <w:r w:rsidRPr="00677C9D">
        <w:rPr>
          <w:rFonts w:cs="Verdana"/>
          <w:bCs/>
          <w:sz w:val="24"/>
          <w:szCs w:val="24"/>
          <w:lang w:val="pl-PL"/>
        </w:rPr>
        <w:t xml:space="preserve">, gdy </w:t>
      </w:r>
      <w:r w:rsidR="00AF4D94" w:rsidRPr="00677C9D">
        <w:rPr>
          <w:rFonts w:cs="Verdana"/>
          <w:bCs/>
          <w:sz w:val="24"/>
          <w:szCs w:val="24"/>
          <w:lang w:val="pl-PL"/>
        </w:rPr>
        <w:t>funkcjonariusze</w:t>
      </w:r>
      <w:r w:rsidRPr="00677C9D">
        <w:rPr>
          <w:rFonts w:cs="Verdana"/>
          <w:bCs/>
          <w:sz w:val="24"/>
          <w:szCs w:val="24"/>
          <w:lang w:val="pl-PL"/>
        </w:rPr>
        <w:t xml:space="preserve"> państwa strony </w:t>
      </w:r>
      <w:r w:rsidR="003C564F">
        <w:rPr>
          <w:rFonts w:cs="Verdana"/>
          <w:bCs/>
          <w:sz w:val="24"/>
          <w:szCs w:val="24"/>
          <w:lang w:val="pl-PL"/>
        </w:rPr>
        <w:t>K</w:t>
      </w:r>
      <w:r w:rsidRPr="00677C9D">
        <w:rPr>
          <w:rFonts w:cs="Verdana"/>
          <w:bCs/>
          <w:sz w:val="24"/>
          <w:szCs w:val="24"/>
          <w:lang w:val="pl-PL"/>
        </w:rPr>
        <w:t>onwencji działają na terytorium, na którym nie są podmiotem okupującym i w sytuacji, gdy działania państwa podlegają wymogom międzynarodowego prawa humanitarnego. W opinii Trybunału takie podejście byłoby niezgodne z jego orzecznictwem, a także orzecznictwem Międzynarodowego Trybunału Sprawiedliwości, który uznaje, że prawa człowieka i prawo humanitarne mogą mieć zastosowanie w sposób zbieżny.</w:t>
      </w:r>
      <w:r w:rsidR="001037E9" w:rsidRPr="00677C9D">
        <w:rPr>
          <w:rFonts w:cs="Verdana"/>
          <w:bCs/>
          <w:sz w:val="24"/>
          <w:szCs w:val="24"/>
          <w:lang w:val="pl-PL"/>
        </w:rPr>
        <w:t xml:space="preserve"> </w:t>
      </w:r>
    </w:p>
    <w:p w14:paraId="5A342F81" w14:textId="77777777" w:rsidR="00641ADF" w:rsidRDefault="00641ADF" w:rsidP="001037E9">
      <w:pPr>
        <w:pStyle w:val="Akapitzlist"/>
        <w:autoSpaceDE w:val="0"/>
        <w:autoSpaceDN w:val="0"/>
        <w:adjustRightInd w:val="0"/>
        <w:spacing w:after="120" w:line="240" w:lineRule="auto"/>
        <w:jc w:val="both"/>
        <w:rPr>
          <w:rFonts w:cs="Verdana"/>
          <w:bCs/>
          <w:sz w:val="24"/>
          <w:szCs w:val="24"/>
          <w:lang w:val="pl-PL"/>
        </w:rPr>
      </w:pPr>
    </w:p>
    <w:p w14:paraId="1F0F49CC" w14:textId="77777777" w:rsidR="001037E9" w:rsidRPr="00677C9D" w:rsidRDefault="006548A3" w:rsidP="001037E9">
      <w:pPr>
        <w:pStyle w:val="Akapitzlist"/>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W odniesieniu do okresu po przyjęciu brata skarżącego do </w:t>
      </w:r>
      <w:proofErr w:type="spellStart"/>
      <w:r w:rsidRPr="00677C9D">
        <w:rPr>
          <w:rFonts w:cs="Verdana"/>
          <w:bCs/>
          <w:sz w:val="24"/>
          <w:szCs w:val="24"/>
          <w:lang w:val="pl-PL"/>
        </w:rPr>
        <w:t>Camp</w:t>
      </w:r>
      <w:proofErr w:type="spellEnd"/>
      <w:r w:rsidRPr="00677C9D">
        <w:rPr>
          <w:rFonts w:cs="Verdana"/>
          <w:bCs/>
          <w:sz w:val="24"/>
          <w:szCs w:val="24"/>
          <w:lang w:val="pl-PL"/>
        </w:rPr>
        <w:t xml:space="preserve"> </w:t>
      </w:r>
      <w:proofErr w:type="spellStart"/>
      <w:r w:rsidRPr="00677C9D">
        <w:rPr>
          <w:rFonts w:cs="Verdana"/>
          <w:bCs/>
          <w:sz w:val="24"/>
          <w:szCs w:val="24"/>
          <w:lang w:val="pl-PL"/>
        </w:rPr>
        <w:t>Bucca</w:t>
      </w:r>
      <w:proofErr w:type="spellEnd"/>
      <w:r w:rsidRPr="00677C9D">
        <w:rPr>
          <w:rFonts w:cs="Verdana"/>
          <w:bCs/>
          <w:sz w:val="24"/>
          <w:szCs w:val="24"/>
          <w:lang w:val="pl-PL"/>
        </w:rPr>
        <w:t xml:space="preserve">, Trybunał również uznał jurysdykcję Wielkiej Brytanii. Został on bowiem przyjęty do </w:t>
      </w:r>
      <w:proofErr w:type="spellStart"/>
      <w:r w:rsidRPr="00677C9D">
        <w:rPr>
          <w:rFonts w:cs="Verdana"/>
          <w:bCs/>
          <w:sz w:val="24"/>
          <w:szCs w:val="24"/>
          <w:lang w:val="pl-PL"/>
        </w:rPr>
        <w:t>Camp</w:t>
      </w:r>
      <w:proofErr w:type="spellEnd"/>
      <w:r w:rsidRPr="00677C9D">
        <w:rPr>
          <w:rFonts w:cs="Verdana"/>
          <w:bCs/>
          <w:sz w:val="24"/>
          <w:szCs w:val="24"/>
          <w:lang w:val="pl-PL"/>
        </w:rPr>
        <w:t xml:space="preserve"> </w:t>
      </w:r>
      <w:proofErr w:type="spellStart"/>
      <w:r w:rsidRPr="00677C9D">
        <w:rPr>
          <w:rFonts w:cs="Verdana"/>
          <w:bCs/>
          <w:sz w:val="24"/>
          <w:szCs w:val="24"/>
          <w:lang w:val="pl-PL"/>
        </w:rPr>
        <w:t>Bucca</w:t>
      </w:r>
      <w:proofErr w:type="spellEnd"/>
      <w:r w:rsidRPr="00677C9D">
        <w:rPr>
          <w:rFonts w:cs="Verdana"/>
          <w:bCs/>
          <w:sz w:val="24"/>
          <w:szCs w:val="24"/>
          <w:lang w:val="pl-PL"/>
        </w:rPr>
        <w:t xml:space="preserve"> jako więzień Wielkiej Brytanii, a </w:t>
      </w:r>
      <w:r w:rsidRPr="00C51632">
        <w:rPr>
          <w:rFonts w:cs="Verdana"/>
          <w:bCs/>
          <w:sz w:val="24"/>
          <w:szCs w:val="24"/>
          <w:lang w:val="pl-PL"/>
        </w:rPr>
        <w:t>nie Stanów Zjednoczonych. Wielka Brytania zachowała władzę i kontrolę nad wszys</w:t>
      </w:r>
      <w:r w:rsidRPr="00677C9D">
        <w:rPr>
          <w:rFonts w:cs="Verdana"/>
          <w:bCs/>
          <w:sz w:val="24"/>
          <w:szCs w:val="24"/>
          <w:lang w:val="pl-PL"/>
        </w:rPr>
        <w:t xml:space="preserve">tkimi aspektami zatrzymania </w:t>
      </w:r>
      <w:r w:rsidR="00C51632">
        <w:rPr>
          <w:rFonts w:cs="Verdana"/>
          <w:bCs/>
          <w:sz w:val="24"/>
          <w:szCs w:val="24"/>
          <w:lang w:val="pl-PL"/>
        </w:rPr>
        <w:t xml:space="preserve">brata skarżącego </w:t>
      </w:r>
      <w:r w:rsidRPr="00677C9D">
        <w:rPr>
          <w:rFonts w:cs="Verdana"/>
          <w:bCs/>
          <w:sz w:val="24"/>
          <w:szCs w:val="24"/>
          <w:lang w:val="pl-PL"/>
        </w:rPr>
        <w:t>ważnymi z punktu widzenia art. 5</w:t>
      </w:r>
      <w:r w:rsidR="001037E9" w:rsidRPr="00677C9D">
        <w:rPr>
          <w:rFonts w:cs="Verdana"/>
          <w:bCs/>
          <w:sz w:val="24"/>
          <w:szCs w:val="24"/>
          <w:lang w:val="pl-PL"/>
        </w:rPr>
        <w:t xml:space="preserve"> Konwencji</w:t>
      </w:r>
      <w:r w:rsidRPr="00677C9D">
        <w:rPr>
          <w:rFonts w:cs="Verdana"/>
          <w:bCs/>
          <w:sz w:val="24"/>
          <w:szCs w:val="24"/>
          <w:lang w:val="pl-PL"/>
        </w:rPr>
        <w:t>.</w:t>
      </w:r>
      <w:r w:rsidR="001037E9" w:rsidRPr="00677C9D">
        <w:rPr>
          <w:rFonts w:cs="Verdana"/>
          <w:bCs/>
          <w:sz w:val="24"/>
          <w:szCs w:val="24"/>
          <w:lang w:val="pl-PL"/>
        </w:rPr>
        <w:t xml:space="preserve"> </w:t>
      </w:r>
      <w:r w:rsidRPr="00677C9D">
        <w:rPr>
          <w:rFonts w:cs="Verdana"/>
          <w:bCs/>
          <w:sz w:val="24"/>
          <w:szCs w:val="24"/>
          <w:lang w:val="pl-PL"/>
        </w:rPr>
        <w:t xml:space="preserve">Brat skarżącego pozostawał więc pod jurysdykcją Wielkiej Brytanii od momentu zatrzymania do momentu zwolnienia w </w:t>
      </w:r>
      <w:proofErr w:type="spellStart"/>
      <w:r w:rsidRPr="00677C9D">
        <w:rPr>
          <w:rFonts w:cs="Verdana"/>
          <w:bCs/>
          <w:sz w:val="24"/>
          <w:szCs w:val="24"/>
          <w:lang w:val="pl-PL"/>
        </w:rPr>
        <w:t>Umm</w:t>
      </w:r>
      <w:proofErr w:type="spellEnd"/>
      <w:r w:rsidRPr="00677C9D">
        <w:rPr>
          <w:rFonts w:cs="Verdana"/>
          <w:bCs/>
          <w:sz w:val="24"/>
          <w:szCs w:val="24"/>
          <w:lang w:val="pl-PL"/>
        </w:rPr>
        <w:t xml:space="preserve"> </w:t>
      </w:r>
      <w:proofErr w:type="spellStart"/>
      <w:r w:rsidRPr="00677C9D">
        <w:rPr>
          <w:rFonts w:cs="Verdana"/>
          <w:bCs/>
          <w:sz w:val="24"/>
          <w:szCs w:val="24"/>
          <w:lang w:val="pl-PL"/>
        </w:rPr>
        <w:t>Qasr</w:t>
      </w:r>
      <w:proofErr w:type="spellEnd"/>
      <w:r w:rsidRPr="00677C9D">
        <w:rPr>
          <w:rFonts w:cs="Verdana"/>
          <w:bCs/>
          <w:sz w:val="24"/>
          <w:szCs w:val="24"/>
          <w:lang w:val="pl-PL"/>
        </w:rPr>
        <w:t xml:space="preserve">. </w:t>
      </w:r>
    </w:p>
    <w:p w14:paraId="288EDA19" w14:textId="77777777" w:rsidR="00641ADF" w:rsidRDefault="00641ADF" w:rsidP="001037E9">
      <w:pPr>
        <w:pStyle w:val="Akapitzlist"/>
        <w:autoSpaceDE w:val="0"/>
        <w:autoSpaceDN w:val="0"/>
        <w:adjustRightInd w:val="0"/>
        <w:spacing w:after="120" w:line="240" w:lineRule="auto"/>
        <w:jc w:val="both"/>
        <w:rPr>
          <w:sz w:val="24"/>
          <w:szCs w:val="24"/>
          <w:lang w:val="pl-PL"/>
        </w:rPr>
      </w:pPr>
    </w:p>
    <w:p w14:paraId="0B51B366" w14:textId="77777777" w:rsidR="001037E9" w:rsidRPr="00D71334" w:rsidRDefault="00C359B7" w:rsidP="001037E9">
      <w:pPr>
        <w:pStyle w:val="Akapitzlist"/>
        <w:autoSpaceDE w:val="0"/>
        <w:autoSpaceDN w:val="0"/>
        <w:adjustRightInd w:val="0"/>
        <w:spacing w:after="120" w:line="240" w:lineRule="auto"/>
        <w:jc w:val="both"/>
        <w:rPr>
          <w:sz w:val="24"/>
          <w:szCs w:val="24"/>
          <w:lang w:val="pl-PL"/>
        </w:rPr>
      </w:pPr>
      <w:r w:rsidRPr="007722D4">
        <w:rPr>
          <w:sz w:val="24"/>
          <w:szCs w:val="24"/>
          <w:lang w:val="pl-PL"/>
        </w:rPr>
        <w:t xml:space="preserve">Trybunał zbadał też legalność zatrzymania brata skarżącego, w sytuacji, w której został on zatrzymany w oparciu o postanowienia Trzeciej i Czwartej Konwencji Genewskiej, które były inne niż dopuszczalne przesłanki wymienione w art. 5 ust. 1 Konwencji. Trybunał podkreślił, że wykładnia Konwencji powinna być dokonywana zgodnie z postanowieniami Konwencji Wiedeńskiej o prawie traktatów z 1969 r. Odnotował, że brzmienie art. 5 nie zostało zmienione na mocy późniejszej umowy państw-stron Konwencji. </w:t>
      </w:r>
      <w:r w:rsidR="007722D4" w:rsidRPr="007722D4">
        <w:rPr>
          <w:rFonts w:cs="Arial"/>
          <w:sz w:val="24"/>
          <w:szCs w:val="24"/>
          <w:lang w:val="pl-PL"/>
        </w:rPr>
        <w:t>Trybunał podkreślił, że praktyką państw jest nieskładanie deklaracji derogacyjnych dotyczących art. 5 w celu zatrzymywania osób na podstawie Trzeciej i Czwartej Konwencji Genewskiej w trakcie międzynarodowych konfliktów zbrojnych.</w:t>
      </w:r>
      <w:r w:rsidRPr="007722D4">
        <w:rPr>
          <w:sz w:val="24"/>
          <w:szCs w:val="24"/>
          <w:lang w:val="pl-PL"/>
        </w:rPr>
        <w:t xml:space="preserve"> </w:t>
      </w:r>
      <w:r w:rsidR="007722D4" w:rsidRPr="007722D4">
        <w:rPr>
          <w:sz w:val="24"/>
          <w:szCs w:val="24"/>
          <w:lang w:val="pl-PL"/>
        </w:rPr>
        <w:t>P</w:t>
      </w:r>
      <w:r w:rsidRPr="007722D4">
        <w:rPr>
          <w:sz w:val="24"/>
          <w:szCs w:val="24"/>
          <w:lang w:val="pl-PL"/>
        </w:rPr>
        <w:t xml:space="preserve">odkreślił natomiast, że Konwencja powinna być interpretowana w harmonii z innymi regulacjami prawa międzynarodowego, w tym prawa humanitarnego. Fakt braku formalnej derogacji art. 5 na podstawie art. 15 Konwencji nie stoi na przeszkodzie, by Trybunał wziął pod uwagę kontekst oraz postanowienia prawa humanitarnego przy wykładni art. 5 Konwencji w sprawie skarżącego. Nawet w sytuacjach międzynarodowych konfliktów zbrojnych, gwarancje konwencyjne w dalszym ciągu znajdują zastosowanie, choć podlegają interpretacji z uwzględnieniem postanowień międzynarodowego prawa humanitarnego. Z uwagi na współistnienie gwarancji prawa humanitarnego i gwarancji konwencyjnych, przesłanki dozwolonego pozbawienia wolności przewidziane w art. 5 ust. 1 lit. a-f powinny być odpowiednio dostosowane, tak dalece jak to możliwe, do sytuacji wzięcia jeńców lub zatrzymania </w:t>
      </w:r>
      <w:r w:rsidRPr="007722D4">
        <w:rPr>
          <w:sz w:val="24"/>
          <w:szCs w:val="24"/>
          <w:lang w:val="pl-PL"/>
        </w:rPr>
        <w:lastRenderedPageBreak/>
        <w:t xml:space="preserve">cywilów, którzy stanowią zagrożenie dla bezpieczeństwa, na podstawie Trzeciej i </w:t>
      </w:r>
      <w:r w:rsidRPr="00D71334">
        <w:rPr>
          <w:sz w:val="24"/>
          <w:szCs w:val="24"/>
          <w:lang w:val="pl-PL"/>
        </w:rPr>
        <w:t xml:space="preserve">Czwartej Konwencji Genewskiej. </w:t>
      </w:r>
    </w:p>
    <w:p w14:paraId="585BFA03" w14:textId="77777777" w:rsidR="00641ADF" w:rsidRDefault="00641ADF" w:rsidP="001037E9">
      <w:pPr>
        <w:pStyle w:val="Akapitzlist"/>
        <w:autoSpaceDE w:val="0"/>
        <w:autoSpaceDN w:val="0"/>
        <w:adjustRightInd w:val="0"/>
        <w:spacing w:after="120" w:line="240" w:lineRule="auto"/>
        <w:jc w:val="both"/>
        <w:rPr>
          <w:sz w:val="24"/>
          <w:szCs w:val="24"/>
          <w:lang w:val="pl-PL"/>
        </w:rPr>
      </w:pPr>
    </w:p>
    <w:p w14:paraId="5B933A80" w14:textId="77777777" w:rsidR="001037E9" w:rsidRPr="00D71334" w:rsidRDefault="00C359B7" w:rsidP="001037E9">
      <w:pPr>
        <w:pStyle w:val="Akapitzlist"/>
        <w:autoSpaceDE w:val="0"/>
        <w:autoSpaceDN w:val="0"/>
        <w:adjustRightInd w:val="0"/>
        <w:spacing w:after="120" w:line="240" w:lineRule="auto"/>
        <w:jc w:val="both"/>
        <w:rPr>
          <w:sz w:val="24"/>
          <w:szCs w:val="24"/>
          <w:lang w:val="pl-PL"/>
        </w:rPr>
      </w:pPr>
      <w:r w:rsidRPr="00D71334">
        <w:rPr>
          <w:sz w:val="24"/>
          <w:szCs w:val="24"/>
          <w:lang w:val="pl-PL"/>
        </w:rPr>
        <w:t xml:space="preserve">Internowanie w czasie pokoju nie jest przewidziane wśród dopuszczalnych przesłanek na podstawie art. 5 Konwencji, jeśli nie zostanie zrealizowane uprawnienie państwa do derogacji tego postanowienia na mocy art. 15 </w:t>
      </w:r>
      <w:r w:rsidR="007722D4" w:rsidRPr="00D71334">
        <w:rPr>
          <w:sz w:val="24"/>
          <w:szCs w:val="24"/>
          <w:lang w:val="pl-PL"/>
        </w:rPr>
        <w:t>K</w:t>
      </w:r>
      <w:r w:rsidRPr="00D71334">
        <w:rPr>
          <w:sz w:val="24"/>
          <w:szCs w:val="24"/>
          <w:lang w:val="pl-PL"/>
        </w:rPr>
        <w:t xml:space="preserve">onwencji. Jedynie w sytuacjach międzynarodowego konfliktu zbrojnego wzięcie jeńców i zatrzymanie cywilów powodujących zagrożenie dla bezpieczeństwa stanowi akceptowalną </w:t>
      </w:r>
      <w:r w:rsidR="00D71334" w:rsidRPr="00D71334">
        <w:rPr>
          <w:sz w:val="24"/>
          <w:szCs w:val="24"/>
          <w:lang w:val="pl-PL"/>
        </w:rPr>
        <w:t xml:space="preserve">przesłankę zatrzymania wynikającą z </w:t>
      </w:r>
      <w:r w:rsidRPr="00D71334">
        <w:rPr>
          <w:sz w:val="24"/>
          <w:szCs w:val="24"/>
          <w:lang w:val="pl-PL"/>
        </w:rPr>
        <w:t xml:space="preserve">międzynarodowego prawa humanitarnego, art. 5 może zaś być interpretowany jako zezwalający na wykonywanie tak szerokich uprawnień. Jednakże, wymóg legalności musi być spełniony, by wykluczyć naruszenie art. 5 ust. 1. Oznacza to, że zatrzymanie musi być zgodne z regułami prawa humanitarnego i, co najważniejsze, powinno być zgodne z głównymi celami art. 5 ust. 1 Konwencji, tj. ochroną jednostki przed arbitralnością. W odniesieniu do gwarancji proceduralnych, Trybunał podkreślił m.in. potrzebę regularnego badania, w miarę możliwość co sześć miesięcy, potrzeby trwającego zatrzymania. Organ, który powinien przeprowadzać to badanie, choć nie zawsze musi spełniać wymogi „niezależnego sądu” w rozumieniu art. 5 ust. 4 Konwencji, powinien zapewniać wystarczające gwarancje niezależności i rzetelności procedury w celu zabezpieczenia przed arbitralnością. Pierwsze badanie podstaw zatrzymania powinno odbyć się krótko po zatrzymaniu osoby, kolejne badania odpowiednio często, by zapewnić, że osoba, która nie spełnia kryteriów przewidzianych prawem humanitarnym, zostanie zwolniona bezzwłocznie.  </w:t>
      </w:r>
    </w:p>
    <w:p w14:paraId="3A38328B" w14:textId="77777777" w:rsidR="00641ADF" w:rsidRDefault="00641ADF" w:rsidP="001037E9">
      <w:pPr>
        <w:pStyle w:val="Akapitzlist"/>
        <w:autoSpaceDE w:val="0"/>
        <w:autoSpaceDN w:val="0"/>
        <w:adjustRightInd w:val="0"/>
        <w:spacing w:after="120" w:line="240" w:lineRule="auto"/>
        <w:jc w:val="both"/>
        <w:rPr>
          <w:sz w:val="24"/>
          <w:szCs w:val="24"/>
          <w:lang w:val="pl-PL"/>
        </w:rPr>
      </w:pPr>
    </w:p>
    <w:p w14:paraId="18F7C382" w14:textId="77777777" w:rsidR="00C359B7" w:rsidRPr="00677C9D" w:rsidRDefault="00C359B7" w:rsidP="001037E9">
      <w:pPr>
        <w:pStyle w:val="Akapitzlist"/>
        <w:autoSpaceDE w:val="0"/>
        <w:autoSpaceDN w:val="0"/>
        <w:adjustRightInd w:val="0"/>
        <w:spacing w:after="120" w:line="240" w:lineRule="auto"/>
        <w:jc w:val="both"/>
        <w:rPr>
          <w:sz w:val="24"/>
          <w:szCs w:val="24"/>
          <w:lang w:val="pl-PL"/>
        </w:rPr>
      </w:pPr>
      <w:r w:rsidRPr="00D71334">
        <w:rPr>
          <w:sz w:val="24"/>
          <w:szCs w:val="24"/>
          <w:lang w:val="pl-PL"/>
        </w:rPr>
        <w:t xml:space="preserve">W oparciu o te kryteria Trybunał uznał, że nie doszło do naruszenia art. 5 Konwencji w odniesieniu do zatrzymania brata skarżącego. Istniały podstawy zatrzymania go, gdyż został znaleziony na dachu domu </w:t>
      </w:r>
      <w:r w:rsidR="00D71334" w:rsidRPr="00D71334">
        <w:rPr>
          <w:sz w:val="24"/>
          <w:szCs w:val="24"/>
          <w:lang w:val="pl-PL"/>
        </w:rPr>
        <w:t xml:space="preserve">swojego </w:t>
      </w:r>
      <w:r w:rsidRPr="00D71334">
        <w:rPr>
          <w:sz w:val="24"/>
          <w:szCs w:val="24"/>
          <w:lang w:val="pl-PL"/>
        </w:rPr>
        <w:t>brata, w miejscu gdzie znaleziono m.in. broń. Z tych względów można było uznać, że jest on albo jeńcem wojennym, albo osobą, której zatrzymanie jest konieczne z powodów bezpieczeństwa. Niezwłocznie po zatrzymaniu został przesłuchany, co doprowadziło wkrótce do jego zwolnienia, jako że uznano, że jest on cywilem nie przedstawiającym zagrożenia dla bezpieczeństwa. W tej sytuacji Trybunał uznał, że jego pojmanie i zatrzymanie było zgodne z uprawnieniami Wielkiej Brytanii na mocy Trzeciej i Czwartej Konwencji Genewskiej, i nie było arbitralne. Procedura badania była zaś odpowiednia, co potwierdza fakt, że został on oczyszczony z zarzutów i zwolniony.</w:t>
      </w:r>
      <w:r w:rsidRPr="00677C9D">
        <w:rPr>
          <w:sz w:val="24"/>
          <w:szCs w:val="24"/>
          <w:lang w:val="pl-PL"/>
        </w:rPr>
        <w:t xml:space="preserve"> </w:t>
      </w:r>
    </w:p>
    <w:p w14:paraId="741410DD" w14:textId="77777777" w:rsidR="00C359B7" w:rsidRPr="00677C9D" w:rsidRDefault="00C359B7" w:rsidP="00C359B7">
      <w:pPr>
        <w:autoSpaceDE w:val="0"/>
        <w:autoSpaceDN w:val="0"/>
        <w:adjustRightInd w:val="0"/>
        <w:spacing w:after="120" w:line="240" w:lineRule="auto"/>
        <w:jc w:val="both"/>
        <w:rPr>
          <w:rFonts w:cs="Verdana"/>
          <w:bCs/>
          <w:sz w:val="24"/>
          <w:szCs w:val="24"/>
          <w:lang w:val="pl-PL"/>
        </w:rPr>
      </w:pPr>
      <w:r w:rsidRPr="00677C9D">
        <w:rPr>
          <w:sz w:val="24"/>
          <w:szCs w:val="24"/>
          <w:u w:val="single"/>
          <w:lang w:val="pl-PL"/>
        </w:rPr>
        <w:t>Znaczenie wyroku dla Polski</w:t>
      </w:r>
      <w:r w:rsidRPr="00677C9D">
        <w:rPr>
          <w:sz w:val="24"/>
          <w:szCs w:val="24"/>
          <w:lang w:val="pl-PL"/>
        </w:rPr>
        <w:t xml:space="preserve"> – wyrok zawiera istotne zasady o charakterze ogólnym dotyczące jurysdykcji państw i zastosowania zasad Konwencji w kontekście międzynarodowych konfliktów zbrojnych za granicą, w tym dotyczące relacji między postanowieniami Konwencji a postanowieniami międzynarodowego prawa humanitarnego. Wskazuje wymogi, które powinno spełnić państwo w odniesieniu do gwarancji proceduralnych dotyczących zatrzymania jeńców wojennych i osób cywilnych stwarzających zagrożenie.</w:t>
      </w:r>
    </w:p>
    <w:p w14:paraId="40D7E8CB" w14:textId="77777777" w:rsidR="00FF780D" w:rsidRPr="000C3591" w:rsidRDefault="00FF780D" w:rsidP="000C3591">
      <w:pPr>
        <w:pStyle w:val="Nagwek1"/>
        <w:numPr>
          <w:ilvl w:val="0"/>
          <w:numId w:val="34"/>
        </w:numPr>
        <w:rPr>
          <w:rFonts w:asciiTheme="minorHAnsi" w:hAnsiTheme="minorHAnsi"/>
          <w:color w:val="auto"/>
          <w:sz w:val="24"/>
          <w:szCs w:val="24"/>
          <w:lang w:val="pl-PL"/>
        </w:rPr>
      </w:pPr>
      <w:bookmarkStart w:id="21" w:name="_Toc415257920"/>
      <w:bookmarkStart w:id="22" w:name="_Toc415646191"/>
      <w:proofErr w:type="spellStart"/>
      <w:r w:rsidRPr="000C3591">
        <w:rPr>
          <w:rFonts w:asciiTheme="minorHAnsi" w:hAnsiTheme="minorHAnsi"/>
          <w:color w:val="auto"/>
          <w:sz w:val="24"/>
          <w:szCs w:val="24"/>
          <w:lang w:val="pl-PL"/>
        </w:rPr>
        <w:t>Jaloud</w:t>
      </w:r>
      <w:proofErr w:type="spellEnd"/>
      <w:r w:rsidRPr="000C3591">
        <w:rPr>
          <w:rFonts w:asciiTheme="minorHAnsi" w:hAnsiTheme="minorHAnsi"/>
          <w:color w:val="auto"/>
          <w:sz w:val="24"/>
          <w:szCs w:val="24"/>
          <w:lang w:val="pl-PL"/>
        </w:rPr>
        <w:t xml:space="preserve"> przeciwko Holandii, skarga nr 47708/08, wyrok Wielkiej Izby z 20.11.2014</w:t>
      </w:r>
      <w:bookmarkEnd w:id="21"/>
      <w:bookmarkEnd w:id="22"/>
    </w:p>
    <w:p w14:paraId="360A8CFD" w14:textId="77777777" w:rsidR="00FF780D" w:rsidRPr="00677C9D" w:rsidRDefault="003D6E28" w:rsidP="00C83635">
      <w:pPr>
        <w:pStyle w:val="Akapitzlist"/>
        <w:numPr>
          <w:ilvl w:val="0"/>
          <w:numId w:val="13"/>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naruszenie </w:t>
      </w:r>
      <w:r w:rsidR="00FF780D" w:rsidRPr="00677C9D">
        <w:rPr>
          <w:rFonts w:cs="Verdana"/>
          <w:bCs/>
          <w:sz w:val="24"/>
          <w:szCs w:val="24"/>
          <w:lang w:val="pl-PL"/>
        </w:rPr>
        <w:t xml:space="preserve">art. 2 </w:t>
      </w:r>
      <w:r w:rsidR="00AD2867" w:rsidRPr="00677C9D">
        <w:rPr>
          <w:rFonts w:cs="Verdana"/>
          <w:bCs/>
          <w:sz w:val="24"/>
          <w:szCs w:val="24"/>
          <w:lang w:val="pl-PL"/>
        </w:rPr>
        <w:t xml:space="preserve">(prawo do życia) </w:t>
      </w:r>
      <w:r w:rsidRPr="00677C9D">
        <w:rPr>
          <w:rFonts w:cs="Verdana"/>
          <w:bCs/>
          <w:sz w:val="24"/>
          <w:szCs w:val="24"/>
          <w:lang w:val="pl-PL"/>
        </w:rPr>
        <w:t xml:space="preserve">na skutek </w:t>
      </w:r>
      <w:r w:rsidR="00FF780D" w:rsidRPr="00677C9D">
        <w:rPr>
          <w:rFonts w:cs="Verdana"/>
          <w:bCs/>
          <w:sz w:val="24"/>
          <w:szCs w:val="24"/>
          <w:lang w:val="pl-PL"/>
        </w:rPr>
        <w:t>brak</w:t>
      </w:r>
      <w:r w:rsidRPr="00677C9D">
        <w:rPr>
          <w:rFonts w:cs="Verdana"/>
          <w:bCs/>
          <w:sz w:val="24"/>
          <w:szCs w:val="24"/>
          <w:lang w:val="pl-PL"/>
        </w:rPr>
        <w:t>u</w:t>
      </w:r>
      <w:r w:rsidR="00FF780D" w:rsidRPr="00677C9D">
        <w:rPr>
          <w:rFonts w:cs="Verdana"/>
          <w:bCs/>
          <w:sz w:val="24"/>
          <w:szCs w:val="24"/>
          <w:lang w:val="pl-PL"/>
        </w:rPr>
        <w:t xml:space="preserve"> przeprowadzenia skutecznego śledztwa </w:t>
      </w:r>
      <w:r w:rsidR="002D3C9C">
        <w:rPr>
          <w:rFonts w:cs="Verdana"/>
          <w:bCs/>
          <w:sz w:val="24"/>
          <w:szCs w:val="24"/>
          <w:lang w:val="pl-PL"/>
        </w:rPr>
        <w:t xml:space="preserve">dotyczącego </w:t>
      </w:r>
      <w:r w:rsidR="00FF780D" w:rsidRPr="00677C9D">
        <w:rPr>
          <w:rFonts w:cs="Verdana"/>
          <w:bCs/>
          <w:sz w:val="24"/>
          <w:szCs w:val="24"/>
          <w:lang w:val="pl-PL"/>
        </w:rPr>
        <w:t>zarzutu śmiertelnego postrzelenia przez siły holenderskie w punkcie kontroli pojazdów w południowym Iraku</w:t>
      </w:r>
      <w:r w:rsidRPr="00677C9D">
        <w:rPr>
          <w:rFonts w:cs="Verdana"/>
          <w:bCs/>
          <w:sz w:val="24"/>
          <w:szCs w:val="24"/>
          <w:lang w:val="pl-PL"/>
        </w:rPr>
        <w:t xml:space="preserve">; sprawa rozpatrywana w kontekście </w:t>
      </w:r>
      <w:r w:rsidRPr="00677C9D">
        <w:rPr>
          <w:rFonts w:cs="Verdana"/>
          <w:bCs/>
          <w:sz w:val="24"/>
          <w:szCs w:val="24"/>
          <w:lang w:val="pl-PL"/>
        </w:rPr>
        <w:lastRenderedPageBreak/>
        <w:t>art. 1 (obowiązek przestrzegania praw człowieka) – kwestia jurysdykcji terytorialnej w odniesieniu do zarzutu zabójstwa obywatela irackiego przez funkcjonariusza Holandii, członka Sił Stabilizacyjnych w Iraku, zarzut braku jurysdykcji oddalony</w:t>
      </w:r>
      <w:r w:rsidR="005F7FDE" w:rsidRPr="00677C9D">
        <w:rPr>
          <w:rFonts w:cs="Verdana"/>
          <w:bCs/>
          <w:sz w:val="24"/>
          <w:szCs w:val="24"/>
          <w:lang w:val="pl-PL"/>
        </w:rPr>
        <w:t>;</w:t>
      </w:r>
    </w:p>
    <w:p w14:paraId="4DCF8633" w14:textId="77777777" w:rsidR="001D5CDB" w:rsidRPr="00677C9D" w:rsidRDefault="001D5CDB" w:rsidP="00C83635">
      <w:pPr>
        <w:pStyle w:val="Akapitzlist"/>
        <w:numPr>
          <w:ilvl w:val="0"/>
          <w:numId w:val="13"/>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s</w:t>
      </w:r>
      <w:r w:rsidR="00FF780D" w:rsidRPr="00677C9D">
        <w:rPr>
          <w:rFonts w:cs="Verdana"/>
          <w:bCs/>
          <w:sz w:val="24"/>
          <w:szCs w:val="24"/>
          <w:lang w:val="pl-PL"/>
        </w:rPr>
        <w:t xml:space="preserve">yn skarżącego, obywatela Iraku, został postrzelony przez funkcjonariusza holenderskiego w punkcie kontrolnym, przez który </w:t>
      </w:r>
      <w:r w:rsidRPr="00677C9D">
        <w:rPr>
          <w:rFonts w:cs="Verdana"/>
          <w:bCs/>
          <w:sz w:val="24"/>
          <w:szCs w:val="24"/>
          <w:lang w:val="pl-PL"/>
        </w:rPr>
        <w:t>przejeżdżał samochodem prowadzonym z dużą prędkością</w:t>
      </w:r>
      <w:r w:rsidR="00FF780D" w:rsidRPr="00677C9D">
        <w:rPr>
          <w:rFonts w:cs="Verdana"/>
          <w:bCs/>
          <w:sz w:val="24"/>
          <w:szCs w:val="24"/>
          <w:lang w:val="pl-PL"/>
        </w:rPr>
        <w:t xml:space="preserve">. Prokuratura uznała, że funkcjonariusz strzelał w obronie własnej, omyłkowo uznając, że strzały pochodzące z drugiej strony drogi pochodzą z samochodu, podczas gdy w rzeczywistości </w:t>
      </w:r>
      <w:r w:rsidRPr="00677C9D">
        <w:rPr>
          <w:rFonts w:cs="Verdana"/>
          <w:bCs/>
          <w:sz w:val="24"/>
          <w:szCs w:val="24"/>
          <w:lang w:val="pl-PL"/>
        </w:rPr>
        <w:t>strzały oddane były przez funkcjonariuszy</w:t>
      </w:r>
      <w:r w:rsidR="00FF780D" w:rsidRPr="00677C9D">
        <w:rPr>
          <w:rFonts w:cs="Verdana"/>
          <w:bCs/>
          <w:sz w:val="24"/>
          <w:szCs w:val="24"/>
          <w:lang w:val="pl-PL"/>
        </w:rPr>
        <w:t xml:space="preserve">. Trybunał nie zaakceptował zarzutu wstępnego Holandii ws. braku jurysdykcji terytorialnej z uwagi na fakt, iż oddziały holenderskie działały w tym obszarze pod zwierzchnictwem Wielkiej Brytanii (na mocy </w:t>
      </w:r>
      <w:r w:rsidR="00FF780D" w:rsidRPr="00AF51AB">
        <w:rPr>
          <w:rFonts w:cs="Verdana"/>
          <w:bCs/>
          <w:i/>
          <w:iCs/>
          <w:sz w:val="24"/>
          <w:szCs w:val="24"/>
          <w:lang w:val="pl-PL"/>
        </w:rPr>
        <w:t xml:space="preserve">memorandum of </w:t>
      </w:r>
      <w:proofErr w:type="spellStart"/>
      <w:r w:rsidR="00FF780D" w:rsidRPr="00AF51AB">
        <w:rPr>
          <w:rFonts w:cs="Verdana"/>
          <w:bCs/>
          <w:i/>
          <w:iCs/>
          <w:sz w:val="24"/>
          <w:szCs w:val="24"/>
          <w:lang w:val="pl-PL"/>
        </w:rPr>
        <w:t>understanding</w:t>
      </w:r>
      <w:proofErr w:type="spellEnd"/>
      <w:r w:rsidR="00FF780D" w:rsidRPr="00677C9D">
        <w:rPr>
          <w:rFonts w:cs="Verdana"/>
          <w:bCs/>
          <w:sz w:val="24"/>
          <w:szCs w:val="24"/>
          <w:lang w:val="pl-PL"/>
        </w:rPr>
        <w:t xml:space="preserve">). W opinii Trybunału sam fakt zaakceptowania operacyjnego zwierzchnictwa innego państwa, nie zwalnia pozwanego państwa z obowiązków </w:t>
      </w:r>
      <w:r w:rsidR="0016590B">
        <w:rPr>
          <w:rFonts w:cs="Verdana"/>
          <w:bCs/>
          <w:sz w:val="24"/>
          <w:szCs w:val="24"/>
          <w:lang w:val="pl-PL"/>
        </w:rPr>
        <w:t>wynikających z</w:t>
      </w:r>
      <w:r w:rsidR="00FF780D" w:rsidRPr="00677C9D">
        <w:rPr>
          <w:rFonts w:cs="Verdana"/>
          <w:bCs/>
          <w:sz w:val="24"/>
          <w:szCs w:val="24"/>
          <w:lang w:val="pl-PL"/>
        </w:rPr>
        <w:t xml:space="preserve"> Konwencji. Pozwane państwo utrzymało kierowanie swym personelem wojskowym, a także swą suwerenność, np. w zakresie regulowania zasad użycia broni.  Ponadto Holandia przyjęła odpowiedzialność za zapewnienie bezpieczeństwa na przedmiotowym obszarze, oddziały irackie były podporządkowane jej siłom zbrojnym, a inne państwo nie przejęło wyłącznej kontroli lub kierowania jej siłami. Fakty podnoszone w skardze wywodzą się z działań i zaniechań personelu wojskowego oraz organów ścigania oraz sądowych Holandii, i jako takie mogą stanowić podstawę odpowiedzialności Holandii na gruncie Konwencji</w:t>
      </w:r>
      <w:r w:rsidR="005F7FDE" w:rsidRPr="00677C9D">
        <w:rPr>
          <w:rFonts w:cs="Verdana"/>
          <w:bCs/>
          <w:sz w:val="24"/>
          <w:szCs w:val="24"/>
          <w:lang w:val="pl-PL"/>
        </w:rPr>
        <w:t>;</w:t>
      </w:r>
    </w:p>
    <w:p w14:paraId="2D5C2686" w14:textId="77777777" w:rsidR="00641ADF" w:rsidRDefault="00641ADF" w:rsidP="001D5CDB">
      <w:pPr>
        <w:pStyle w:val="Akapitzlist"/>
        <w:autoSpaceDE w:val="0"/>
        <w:autoSpaceDN w:val="0"/>
        <w:adjustRightInd w:val="0"/>
        <w:spacing w:after="120" w:line="240" w:lineRule="auto"/>
        <w:jc w:val="both"/>
        <w:rPr>
          <w:rFonts w:cs="Verdana"/>
          <w:bCs/>
          <w:sz w:val="24"/>
          <w:szCs w:val="24"/>
          <w:lang w:val="pl-PL"/>
        </w:rPr>
      </w:pPr>
    </w:p>
    <w:p w14:paraId="433EADE8" w14:textId="77777777" w:rsidR="00FF780D" w:rsidRPr="00677C9D" w:rsidRDefault="001D5CDB" w:rsidP="001D5CDB">
      <w:pPr>
        <w:pStyle w:val="Akapitzlist"/>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W ocenie Trybunału p</w:t>
      </w:r>
      <w:r w:rsidR="00FF780D" w:rsidRPr="00677C9D">
        <w:rPr>
          <w:rFonts w:cs="Verdana"/>
          <w:bCs/>
          <w:sz w:val="24"/>
          <w:szCs w:val="24"/>
          <w:lang w:val="pl-PL"/>
        </w:rPr>
        <w:t xml:space="preserve">rzeprowadzone śledztwo, choć zachowane zostały gwarancje niezależności prowadzącego je prokuratora, nie było skuteczne. Doszło do szeregu niedociągnięć. Organy ograniczyły się do stwierdzenia, że działano w obronie własnej, nie zbadały jednak proporcjonalności użycia broni ani też, czy była ona stosowana przez czas tak długi, jak wymagały tego okoliczności, a funkcjonariusz, który strzelał, został przesłuchany dopiero po 6 godzinach od zdarzenia – nie podjęto </w:t>
      </w:r>
      <w:r w:rsidR="00D14AB6">
        <w:rPr>
          <w:rFonts w:cs="Verdana"/>
          <w:bCs/>
          <w:sz w:val="24"/>
          <w:szCs w:val="24"/>
          <w:lang w:val="pl-PL"/>
        </w:rPr>
        <w:t xml:space="preserve">więc </w:t>
      </w:r>
      <w:r w:rsidR="00FF780D" w:rsidRPr="00677C9D">
        <w:rPr>
          <w:rFonts w:cs="Verdana"/>
          <w:bCs/>
          <w:sz w:val="24"/>
          <w:szCs w:val="24"/>
          <w:lang w:val="pl-PL"/>
        </w:rPr>
        <w:t xml:space="preserve">stosownych środków, by zapobiec możliwości zmowy świadków. Sekcja zwłok została przeprowadzona bez udziału odpowiednich specjalistów, a odnalezione w ciele ofiary odłamki metalu nie zostały zabezpieczone i zniknęły w nieznanych okolicznościach. Naruszony został więc wymóg przeprowadzenia skutecznego śledztwa na mocy art. 2 Konwencji. </w:t>
      </w:r>
    </w:p>
    <w:p w14:paraId="56A28535" w14:textId="77777777" w:rsidR="00FF780D" w:rsidRDefault="00F02FBE" w:rsidP="00FF780D">
      <w:pPr>
        <w:autoSpaceDE w:val="0"/>
        <w:autoSpaceDN w:val="0"/>
        <w:adjustRightInd w:val="0"/>
        <w:spacing w:after="120" w:line="240" w:lineRule="auto"/>
        <w:jc w:val="both"/>
        <w:rPr>
          <w:rFonts w:cs="Verdana"/>
          <w:bCs/>
          <w:sz w:val="24"/>
          <w:szCs w:val="24"/>
          <w:lang w:val="pl-PL"/>
        </w:rPr>
      </w:pPr>
      <w:r w:rsidRPr="00677C9D">
        <w:rPr>
          <w:rFonts w:cs="Verdana"/>
          <w:bCs/>
          <w:sz w:val="24"/>
          <w:szCs w:val="24"/>
          <w:u w:val="single"/>
          <w:lang w:val="pl-PL"/>
        </w:rPr>
        <w:t>Znaczenie wyroku dla Polski</w:t>
      </w:r>
      <w:r w:rsidRPr="00677C9D">
        <w:rPr>
          <w:rFonts w:cs="Verdana"/>
          <w:bCs/>
          <w:sz w:val="24"/>
          <w:szCs w:val="24"/>
          <w:lang w:val="pl-PL"/>
        </w:rPr>
        <w:t xml:space="preserve"> </w:t>
      </w:r>
      <w:r w:rsidR="00FF780D" w:rsidRPr="00677C9D">
        <w:rPr>
          <w:rFonts w:cs="Verdana"/>
          <w:bCs/>
          <w:sz w:val="24"/>
          <w:szCs w:val="24"/>
          <w:lang w:val="pl-PL"/>
        </w:rPr>
        <w:t xml:space="preserve">– określenie przez Trybunał zasad dotyczących ustalania jurysdykcji (i w konsekwencji odpowiedzialności na gruncie Konwencji) państwa uczestniczącego w wojskowych misjach stabilizacyjnych za granicą (w wyroku zebrano dotychczasowe zasady wypracowane w orzecznictwie Trybunału), potwierdzenie odpowiedzialności organów ścigania państwa-strony Konwencji za przeprowadzenie skutecznego śledztwa w przypadku śmierci osób w wyniku działania sił wojskowych za granicą. Wyrok zawiera też konkretne wskazówki dotyczące wymogów skutecznego śledztwa. </w:t>
      </w:r>
    </w:p>
    <w:p w14:paraId="2075FF9D" w14:textId="77777777" w:rsidR="00AF51AB" w:rsidRPr="00677C9D" w:rsidRDefault="00AF51AB" w:rsidP="00FF780D">
      <w:pPr>
        <w:autoSpaceDE w:val="0"/>
        <w:autoSpaceDN w:val="0"/>
        <w:adjustRightInd w:val="0"/>
        <w:spacing w:after="120" w:line="240" w:lineRule="auto"/>
        <w:jc w:val="both"/>
        <w:rPr>
          <w:rFonts w:cs="Verdana"/>
          <w:bCs/>
          <w:sz w:val="24"/>
          <w:szCs w:val="24"/>
          <w:lang w:val="pl-PL"/>
        </w:rPr>
      </w:pPr>
    </w:p>
    <w:p w14:paraId="33DD199F" w14:textId="77777777" w:rsidR="005939C9" w:rsidRPr="000C3591" w:rsidRDefault="005939C9" w:rsidP="000C3591">
      <w:pPr>
        <w:pStyle w:val="Nagwek1"/>
        <w:numPr>
          <w:ilvl w:val="0"/>
          <w:numId w:val="34"/>
        </w:numPr>
        <w:rPr>
          <w:rFonts w:asciiTheme="minorHAnsi" w:hAnsiTheme="minorHAnsi"/>
          <w:color w:val="auto"/>
          <w:sz w:val="24"/>
          <w:szCs w:val="24"/>
          <w:lang w:val="pl-PL"/>
        </w:rPr>
      </w:pPr>
      <w:bookmarkStart w:id="23" w:name="_Toc415257921"/>
      <w:bookmarkStart w:id="24" w:name="_Toc415646192"/>
      <w:r w:rsidRPr="000C3591">
        <w:rPr>
          <w:rFonts w:asciiTheme="minorHAnsi" w:hAnsiTheme="minorHAnsi"/>
          <w:color w:val="auto"/>
          <w:sz w:val="24"/>
          <w:szCs w:val="24"/>
          <w:lang w:val="pl-PL"/>
        </w:rPr>
        <w:lastRenderedPageBreak/>
        <w:t>Jones i Inni przeciwko Wielkiej Brytanii, skargi nr 34356/06 i 40528/06, wyrok z 14.1.2014</w:t>
      </w:r>
      <w:bookmarkEnd w:id="23"/>
      <w:bookmarkEnd w:id="24"/>
    </w:p>
    <w:p w14:paraId="442CBAA9" w14:textId="77777777" w:rsidR="00641ADF" w:rsidRDefault="00641ADF" w:rsidP="00641ADF">
      <w:pPr>
        <w:pStyle w:val="Akapitzlist"/>
        <w:autoSpaceDE w:val="0"/>
        <w:autoSpaceDN w:val="0"/>
        <w:adjustRightInd w:val="0"/>
        <w:spacing w:after="120" w:line="240" w:lineRule="auto"/>
        <w:jc w:val="both"/>
        <w:rPr>
          <w:rFonts w:cs="Verdana"/>
          <w:bCs/>
          <w:sz w:val="24"/>
          <w:szCs w:val="24"/>
          <w:lang w:val="pl-PL"/>
        </w:rPr>
      </w:pPr>
    </w:p>
    <w:p w14:paraId="0301AD54" w14:textId="77777777" w:rsidR="005939C9" w:rsidRPr="00677C9D" w:rsidRDefault="00A13B61" w:rsidP="00C83635">
      <w:pPr>
        <w:pStyle w:val="Akapitzlist"/>
        <w:numPr>
          <w:ilvl w:val="0"/>
          <w:numId w:val="14"/>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brak naruszenia </w:t>
      </w:r>
      <w:r w:rsidR="005939C9" w:rsidRPr="00677C9D">
        <w:rPr>
          <w:rFonts w:cs="Verdana"/>
          <w:bCs/>
          <w:sz w:val="24"/>
          <w:szCs w:val="24"/>
          <w:lang w:val="pl-PL"/>
        </w:rPr>
        <w:t xml:space="preserve">art. 6 ust. 1 (dostęp do sądu) </w:t>
      </w:r>
      <w:r w:rsidRPr="00677C9D">
        <w:rPr>
          <w:rFonts w:cs="Verdana"/>
          <w:bCs/>
          <w:sz w:val="24"/>
          <w:szCs w:val="24"/>
          <w:lang w:val="pl-PL"/>
        </w:rPr>
        <w:t xml:space="preserve">w wyniku wydania przez władze krajowe decyzji oddalającej roszczenia </w:t>
      </w:r>
      <w:r w:rsidR="005939C9" w:rsidRPr="00677C9D">
        <w:rPr>
          <w:rFonts w:cs="Verdana"/>
          <w:bCs/>
          <w:sz w:val="24"/>
          <w:szCs w:val="24"/>
          <w:lang w:val="pl-PL"/>
        </w:rPr>
        <w:t>cywiln</w:t>
      </w:r>
      <w:r w:rsidRPr="00677C9D">
        <w:rPr>
          <w:rFonts w:cs="Verdana"/>
          <w:bCs/>
          <w:sz w:val="24"/>
          <w:szCs w:val="24"/>
          <w:lang w:val="pl-PL"/>
        </w:rPr>
        <w:t xml:space="preserve">e związane z zarzutem </w:t>
      </w:r>
      <w:r w:rsidR="005939C9" w:rsidRPr="00677C9D">
        <w:rPr>
          <w:rFonts w:cs="Verdana"/>
          <w:bCs/>
          <w:sz w:val="24"/>
          <w:szCs w:val="24"/>
          <w:lang w:val="pl-PL"/>
        </w:rPr>
        <w:t>tortur</w:t>
      </w:r>
      <w:r w:rsidRPr="00677C9D">
        <w:rPr>
          <w:rFonts w:cs="Verdana"/>
          <w:bCs/>
          <w:sz w:val="24"/>
          <w:szCs w:val="24"/>
          <w:lang w:val="pl-PL"/>
        </w:rPr>
        <w:t>,</w:t>
      </w:r>
      <w:r w:rsidR="005939C9" w:rsidRPr="00677C9D">
        <w:rPr>
          <w:rFonts w:cs="Verdana"/>
          <w:bCs/>
          <w:sz w:val="24"/>
          <w:szCs w:val="24"/>
          <w:lang w:val="pl-PL"/>
        </w:rPr>
        <w:t xml:space="preserve"> z uwagi na immunitet powołany przez pozwane państwo (Arabię Saudyjską) i jego funkcjonariuszy</w:t>
      </w:r>
      <w:r w:rsidR="005F7FDE" w:rsidRPr="00677C9D">
        <w:rPr>
          <w:rFonts w:cs="Verdana"/>
          <w:bCs/>
          <w:sz w:val="24"/>
          <w:szCs w:val="24"/>
          <w:lang w:val="pl-PL"/>
        </w:rPr>
        <w:t>;</w:t>
      </w:r>
      <w:r w:rsidR="005939C9" w:rsidRPr="00677C9D">
        <w:rPr>
          <w:rFonts w:cs="Verdana"/>
          <w:bCs/>
          <w:sz w:val="24"/>
          <w:szCs w:val="24"/>
          <w:lang w:val="pl-PL"/>
        </w:rPr>
        <w:t xml:space="preserve">  </w:t>
      </w:r>
    </w:p>
    <w:p w14:paraId="72633160" w14:textId="77777777" w:rsidR="0012222F" w:rsidRPr="00677C9D" w:rsidRDefault="00A13B61" w:rsidP="00C83635">
      <w:pPr>
        <w:pStyle w:val="Akapitzlist"/>
        <w:numPr>
          <w:ilvl w:val="0"/>
          <w:numId w:val="14"/>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s</w:t>
      </w:r>
      <w:r w:rsidR="005939C9" w:rsidRPr="00677C9D">
        <w:rPr>
          <w:rFonts w:cs="Verdana"/>
          <w:bCs/>
          <w:sz w:val="24"/>
          <w:szCs w:val="24"/>
          <w:lang w:val="pl-PL"/>
        </w:rPr>
        <w:t>karżący zarzucali, że poddano ich torturom w czasie zatrzymania w Arabii Saudyjskiej. W Wielkiej Brytanii wszczęli postępowania cywilne przeciwko Arabii Saudyjskiej, Ministerstwu Spraw Wewnętrznych, a także poszczególnym funkcjonariuszom. Ostatecznie Izba Lordów uznała, że nawet powództwo wobec poszczególnych funkcjonariuszy jest niedopuszczalne z uwagi na immunitet przysługujący państwu, nawet w przypadku, gdy zarzut dotyczy stosowania tortur. Skarżący podnieśli w skardze do Trybunału naruszenie prawa dostępu do sądu</w:t>
      </w:r>
      <w:r w:rsidR="005F7FDE" w:rsidRPr="00677C9D">
        <w:rPr>
          <w:rFonts w:cs="Verdana"/>
          <w:bCs/>
          <w:sz w:val="24"/>
          <w:szCs w:val="24"/>
          <w:lang w:val="pl-PL"/>
        </w:rPr>
        <w:t>.</w:t>
      </w:r>
    </w:p>
    <w:p w14:paraId="626A231E" w14:textId="77777777" w:rsidR="00641ADF" w:rsidRDefault="00641ADF" w:rsidP="0012222F">
      <w:pPr>
        <w:pStyle w:val="Akapitzlist"/>
        <w:autoSpaceDE w:val="0"/>
        <w:autoSpaceDN w:val="0"/>
        <w:adjustRightInd w:val="0"/>
        <w:spacing w:after="120" w:line="240" w:lineRule="auto"/>
        <w:jc w:val="both"/>
        <w:rPr>
          <w:rFonts w:cs="Verdana"/>
          <w:bCs/>
          <w:sz w:val="24"/>
          <w:szCs w:val="24"/>
          <w:lang w:val="pl-PL"/>
        </w:rPr>
      </w:pPr>
    </w:p>
    <w:p w14:paraId="1CD20E64" w14:textId="77777777" w:rsidR="0012222F" w:rsidRPr="00677C9D" w:rsidRDefault="005939C9" w:rsidP="0012222F">
      <w:pPr>
        <w:pStyle w:val="Akapitzlist"/>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Trybunał nie stwierdził naruszenia – zarówno w odniesieniu do przyznania immunitetu Arabii Saudyjskiej, jak też jej funkcjonariuszom. Przypomniał, że podejmowanie przez państwo środków zgodnie z powszechnie uznanymi zasadami prawa międzynarodowego dotyczącymi immunitetu państwa nie może być co do zasady uznawane za nieproporcjonalne ograniczenie prawa do sądu określonego w art. 6 ust. 1 Konwencji. Trybunał przypomniał też zasady wskazane w swym wyroku z 2001 r. w sprawie </w:t>
      </w:r>
      <w:r w:rsidRPr="00677C9D">
        <w:rPr>
          <w:rFonts w:cs="Verdana"/>
          <w:bCs/>
          <w:i/>
          <w:sz w:val="24"/>
          <w:szCs w:val="24"/>
          <w:lang w:val="pl-PL"/>
        </w:rPr>
        <w:t>Al-</w:t>
      </w:r>
      <w:proofErr w:type="spellStart"/>
      <w:r w:rsidRPr="00677C9D">
        <w:rPr>
          <w:rFonts w:cs="Verdana"/>
          <w:bCs/>
          <w:i/>
          <w:sz w:val="24"/>
          <w:szCs w:val="24"/>
          <w:lang w:val="pl-PL"/>
        </w:rPr>
        <w:t>Adsani</w:t>
      </w:r>
      <w:proofErr w:type="spellEnd"/>
      <w:r w:rsidRPr="00677C9D">
        <w:rPr>
          <w:rFonts w:cs="Verdana"/>
          <w:bCs/>
          <w:sz w:val="24"/>
          <w:szCs w:val="24"/>
          <w:lang w:val="pl-PL"/>
        </w:rPr>
        <w:t xml:space="preserve">. Podkreślił konieczność interpretowania Konwencji w miarę możliwości w harmonii z innymi zasadami prawa międzynarodowego, których Konwencja jest częścią. W odniesieniu do immunitetu państwa Trybunał przywołał wyrok Międzynarodowego Trybunału Sprawiedliwości z 3 lutego 2012 r., z którego wynika, że brak jest skrystalizowanego wyjątku o charakterze </w:t>
      </w:r>
      <w:proofErr w:type="spellStart"/>
      <w:r w:rsidRPr="00677C9D">
        <w:rPr>
          <w:rFonts w:cs="Verdana"/>
          <w:bCs/>
          <w:i/>
          <w:sz w:val="24"/>
          <w:szCs w:val="24"/>
          <w:lang w:val="pl-PL"/>
        </w:rPr>
        <w:t>ius</w:t>
      </w:r>
      <w:proofErr w:type="spellEnd"/>
      <w:r w:rsidRPr="00677C9D">
        <w:rPr>
          <w:rFonts w:cs="Verdana"/>
          <w:bCs/>
          <w:i/>
          <w:sz w:val="24"/>
          <w:szCs w:val="24"/>
          <w:lang w:val="pl-PL"/>
        </w:rPr>
        <w:t xml:space="preserve"> </w:t>
      </w:r>
      <w:proofErr w:type="spellStart"/>
      <w:r w:rsidRPr="00677C9D">
        <w:rPr>
          <w:rFonts w:cs="Verdana"/>
          <w:bCs/>
          <w:i/>
          <w:sz w:val="24"/>
          <w:szCs w:val="24"/>
          <w:lang w:val="pl-PL"/>
        </w:rPr>
        <w:t>cogens</w:t>
      </w:r>
      <w:proofErr w:type="spellEnd"/>
      <w:r w:rsidRPr="00677C9D">
        <w:rPr>
          <w:rFonts w:cs="Verdana"/>
          <w:bCs/>
          <w:i/>
          <w:sz w:val="24"/>
          <w:szCs w:val="24"/>
          <w:lang w:val="pl-PL"/>
        </w:rPr>
        <w:t xml:space="preserve"> </w:t>
      </w:r>
      <w:r w:rsidRPr="00677C9D">
        <w:rPr>
          <w:rFonts w:cs="Verdana"/>
          <w:bCs/>
          <w:sz w:val="24"/>
          <w:szCs w:val="24"/>
          <w:lang w:val="pl-PL"/>
        </w:rPr>
        <w:t>od zasady immunitetu państwa. Dlatego też nie można uznać, by powołanie się przez sądy brytyjskie na ten immunitet w 2006 r. stanowiło nieuzasadnione ograniczenie prawa do sądu.</w:t>
      </w:r>
    </w:p>
    <w:p w14:paraId="417ED9A9" w14:textId="77777777" w:rsidR="00641ADF" w:rsidRDefault="00641ADF" w:rsidP="0012222F">
      <w:pPr>
        <w:pStyle w:val="Akapitzlist"/>
        <w:autoSpaceDE w:val="0"/>
        <w:autoSpaceDN w:val="0"/>
        <w:adjustRightInd w:val="0"/>
        <w:spacing w:after="120" w:line="240" w:lineRule="auto"/>
        <w:jc w:val="both"/>
        <w:rPr>
          <w:rFonts w:cs="Verdana"/>
          <w:bCs/>
          <w:sz w:val="24"/>
          <w:szCs w:val="24"/>
          <w:lang w:val="pl-PL"/>
        </w:rPr>
      </w:pPr>
    </w:p>
    <w:p w14:paraId="3A70FF3D" w14:textId="77777777" w:rsidR="005939C9" w:rsidRPr="00677C9D" w:rsidRDefault="005939C9" w:rsidP="0012222F">
      <w:pPr>
        <w:pStyle w:val="Akapitzlist"/>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W odniesieniu zaś do czynów popełnionych przez funkcjonariuszy w imieniu państwa Trybunał m.in. przypomniał, że dany akt nie może być dokonany przez państwo jako takie, a jedynie przez jednostki działające w jego imieniu. Tam gdzie immunitet może być powołany przez państwo, jako punkt wyjścia należy przyjąć zasadę, że immunitet </w:t>
      </w:r>
      <w:r w:rsidRPr="00677C9D">
        <w:rPr>
          <w:rFonts w:cs="Verdana"/>
          <w:bCs/>
          <w:i/>
          <w:sz w:val="24"/>
          <w:szCs w:val="24"/>
          <w:lang w:val="pl-PL"/>
        </w:rPr>
        <w:t xml:space="preserve">ratione materiae </w:t>
      </w:r>
      <w:r w:rsidRPr="00677C9D">
        <w:rPr>
          <w:rFonts w:cs="Verdana"/>
          <w:bCs/>
          <w:sz w:val="24"/>
          <w:szCs w:val="24"/>
          <w:lang w:val="pl-PL"/>
        </w:rPr>
        <w:t xml:space="preserve">ma zastosowanie do działań funkcjonariuszy tego państwa. Jeśliby przyjąć inaczej, oznaczałoby to, że immunitet państwa zawsze mógłby być obchodzony poprzez pozwanie jego funkcjonariuszy. Trybunał jednocześnie nie uznał, by został już ukształtowany wyjątek w prawie międzynarodowym w odniesieniu do </w:t>
      </w:r>
      <w:r w:rsidR="0012222F" w:rsidRPr="00677C9D">
        <w:rPr>
          <w:rFonts w:cs="Verdana"/>
          <w:bCs/>
          <w:sz w:val="24"/>
          <w:szCs w:val="24"/>
          <w:lang w:val="pl-PL"/>
        </w:rPr>
        <w:t xml:space="preserve">immunitetu państwa za </w:t>
      </w:r>
      <w:r w:rsidRPr="00677C9D">
        <w:rPr>
          <w:rFonts w:cs="Verdana"/>
          <w:bCs/>
          <w:sz w:val="24"/>
          <w:szCs w:val="24"/>
          <w:lang w:val="pl-PL"/>
        </w:rPr>
        <w:t>przypadk</w:t>
      </w:r>
      <w:r w:rsidR="0012222F" w:rsidRPr="00677C9D">
        <w:rPr>
          <w:rFonts w:cs="Verdana"/>
          <w:bCs/>
          <w:sz w:val="24"/>
          <w:szCs w:val="24"/>
          <w:lang w:val="pl-PL"/>
        </w:rPr>
        <w:t xml:space="preserve">i </w:t>
      </w:r>
      <w:r w:rsidRPr="00677C9D">
        <w:rPr>
          <w:rFonts w:cs="Verdana"/>
          <w:bCs/>
          <w:sz w:val="24"/>
          <w:szCs w:val="24"/>
          <w:lang w:val="pl-PL"/>
        </w:rPr>
        <w:t xml:space="preserve">stosowania tortur. Choć pojawiają się poglądy na rzecz </w:t>
      </w:r>
      <w:r w:rsidR="004F3DB8">
        <w:rPr>
          <w:rFonts w:cs="Verdana"/>
          <w:bCs/>
          <w:sz w:val="24"/>
          <w:szCs w:val="24"/>
          <w:lang w:val="pl-PL"/>
        </w:rPr>
        <w:t xml:space="preserve">wykształcenia się nowej </w:t>
      </w:r>
      <w:r w:rsidRPr="00677C9D">
        <w:rPr>
          <w:rFonts w:cs="Verdana"/>
          <w:bCs/>
          <w:sz w:val="24"/>
          <w:szCs w:val="24"/>
          <w:lang w:val="pl-PL"/>
        </w:rPr>
        <w:t>zasady lub wyjątku dotyczącego roszczeń cywilnoprawnych z tytułu tortur w</w:t>
      </w:r>
      <w:r w:rsidR="004F3DB8">
        <w:rPr>
          <w:rFonts w:cs="Verdana"/>
          <w:bCs/>
          <w:sz w:val="24"/>
          <w:szCs w:val="24"/>
          <w:lang w:val="pl-PL"/>
        </w:rPr>
        <w:t>ysuwanych w</w:t>
      </w:r>
      <w:r w:rsidRPr="00677C9D">
        <w:rPr>
          <w:rFonts w:cs="Verdana"/>
          <w:bCs/>
          <w:sz w:val="24"/>
          <w:szCs w:val="24"/>
          <w:lang w:val="pl-PL"/>
        </w:rPr>
        <w:t xml:space="preserve">obec funkcjonariuszy państwa, nie stanowią one na razie większości. Praktyka państw jest płynna, są przypadki zarówno przyznania, jak i odmowy przyznania immunitetu </w:t>
      </w:r>
      <w:r w:rsidRPr="00677C9D">
        <w:rPr>
          <w:rFonts w:cs="Verdana"/>
          <w:bCs/>
          <w:i/>
          <w:sz w:val="24"/>
          <w:szCs w:val="24"/>
          <w:lang w:val="pl-PL"/>
        </w:rPr>
        <w:t xml:space="preserve">ratione materiae </w:t>
      </w:r>
      <w:r w:rsidRPr="00677C9D">
        <w:rPr>
          <w:rFonts w:cs="Verdana"/>
          <w:bCs/>
          <w:sz w:val="24"/>
          <w:szCs w:val="24"/>
          <w:lang w:val="pl-PL"/>
        </w:rPr>
        <w:t xml:space="preserve">w takich sprawach. Trybunał uwzględnił fakt, że Izba Lordów dokładnie przeanalizowała tę sprawę i poszczególne argumenty, i uznała, że zwyczajowe prawo międzynarodowe nie dopuszcza wyjątku w zakresie dochodzenia roszczeń z tytułu tortur </w:t>
      </w:r>
      <w:r w:rsidR="004F3DB8" w:rsidRPr="00677C9D">
        <w:rPr>
          <w:rFonts w:cs="Verdana"/>
          <w:bCs/>
          <w:sz w:val="24"/>
          <w:szCs w:val="24"/>
          <w:lang w:val="pl-PL"/>
        </w:rPr>
        <w:t>w</w:t>
      </w:r>
      <w:r w:rsidR="004F3DB8">
        <w:rPr>
          <w:rFonts w:cs="Verdana"/>
          <w:bCs/>
          <w:sz w:val="24"/>
          <w:szCs w:val="24"/>
          <w:lang w:val="pl-PL"/>
        </w:rPr>
        <w:t>ysuwanych</w:t>
      </w:r>
      <w:r w:rsidR="004F3DB8" w:rsidRPr="00677C9D">
        <w:rPr>
          <w:rFonts w:cs="Verdana"/>
          <w:bCs/>
          <w:sz w:val="24"/>
          <w:szCs w:val="24"/>
          <w:lang w:val="pl-PL"/>
        </w:rPr>
        <w:t xml:space="preserve"> </w:t>
      </w:r>
      <w:r w:rsidRPr="00677C9D">
        <w:rPr>
          <w:rFonts w:cs="Verdana"/>
          <w:bCs/>
          <w:sz w:val="24"/>
          <w:szCs w:val="24"/>
          <w:lang w:val="pl-PL"/>
        </w:rPr>
        <w:t xml:space="preserve">wobec funkcjonariuszy, jeśli samo państwo korzysta z immunitetu. Trybunał uznał w </w:t>
      </w:r>
      <w:r w:rsidRPr="00677C9D">
        <w:rPr>
          <w:rFonts w:cs="Verdana"/>
          <w:bCs/>
          <w:sz w:val="24"/>
          <w:szCs w:val="24"/>
          <w:lang w:val="pl-PL"/>
        </w:rPr>
        <w:lastRenderedPageBreak/>
        <w:t xml:space="preserve">oparciu o argumentację Izby Lordów, że przyznanie immunitetu funkcjonariuszom nastąpiło w oparciu o uznane zasady prawa międzynarodowego, i jako takie nie może być uznane za nieuzasadnione ograniczenie prawa do sądu. Jednocześnie Trybunał podkreślił, że państwa powinny stale badać tę kwestię, biorąc pod uwagę rozwój prawa międzynarodowego. </w:t>
      </w:r>
    </w:p>
    <w:p w14:paraId="1BFC8EA5" w14:textId="77777777" w:rsidR="005939C9" w:rsidRPr="00677C9D" w:rsidRDefault="00F02FBE" w:rsidP="00FF780D">
      <w:pPr>
        <w:autoSpaceDE w:val="0"/>
        <w:autoSpaceDN w:val="0"/>
        <w:adjustRightInd w:val="0"/>
        <w:spacing w:after="120" w:line="240" w:lineRule="auto"/>
        <w:jc w:val="both"/>
        <w:rPr>
          <w:rFonts w:cs="Verdana"/>
          <w:bCs/>
          <w:sz w:val="24"/>
          <w:szCs w:val="24"/>
          <w:lang w:val="pl-PL"/>
        </w:rPr>
      </w:pPr>
      <w:r w:rsidRPr="00677C9D">
        <w:rPr>
          <w:rFonts w:cs="Verdana"/>
          <w:bCs/>
          <w:sz w:val="24"/>
          <w:szCs w:val="24"/>
          <w:u w:val="single"/>
          <w:lang w:val="pl-PL"/>
        </w:rPr>
        <w:t>Znaczenie wyroku dla Polski</w:t>
      </w:r>
      <w:r w:rsidRPr="00677C9D">
        <w:rPr>
          <w:rFonts w:cs="Verdana"/>
          <w:bCs/>
          <w:sz w:val="24"/>
          <w:szCs w:val="24"/>
          <w:lang w:val="pl-PL"/>
        </w:rPr>
        <w:t xml:space="preserve"> </w:t>
      </w:r>
      <w:r w:rsidR="005939C9" w:rsidRPr="00677C9D">
        <w:rPr>
          <w:rFonts w:cs="Verdana"/>
          <w:bCs/>
          <w:sz w:val="24"/>
          <w:szCs w:val="24"/>
          <w:lang w:val="pl-PL"/>
        </w:rPr>
        <w:t>– wyrok zawiera istotne zasady dla oceny kwestii immunitetu państwa i immunitetu jego funkcjonariuszy w kontekście roszczeń z tytułu naruszenia Konwencji.</w:t>
      </w:r>
    </w:p>
    <w:p w14:paraId="42F90E5B" w14:textId="77777777" w:rsidR="00FF780D" w:rsidRPr="000C3591" w:rsidRDefault="00FF780D" w:rsidP="000C3591">
      <w:pPr>
        <w:pStyle w:val="Nagwek1"/>
        <w:numPr>
          <w:ilvl w:val="0"/>
          <w:numId w:val="34"/>
        </w:numPr>
        <w:rPr>
          <w:rFonts w:asciiTheme="minorHAnsi" w:hAnsiTheme="minorHAnsi"/>
          <w:color w:val="auto"/>
          <w:sz w:val="24"/>
          <w:szCs w:val="24"/>
          <w:lang w:val="pl-PL"/>
        </w:rPr>
      </w:pPr>
      <w:bookmarkStart w:id="25" w:name="_Toc415257922"/>
      <w:bookmarkStart w:id="26" w:name="_Toc415646193"/>
      <w:proofErr w:type="spellStart"/>
      <w:r w:rsidRPr="000C3591">
        <w:rPr>
          <w:rFonts w:asciiTheme="minorHAnsi" w:hAnsiTheme="minorHAnsi"/>
          <w:color w:val="auto"/>
          <w:sz w:val="24"/>
          <w:szCs w:val="24"/>
          <w:lang w:val="pl-PL"/>
        </w:rPr>
        <w:t>Kurić</w:t>
      </w:r>
      <w:proofErr w:type="spellEnd"/>
      <w:r w:rsidRPr="000C3591">
        <w:rPr>
          <w:rFonts w:asciiTheme="minorHAnsi" w:hAnsiTheme="minorHAnsi"/>
          <w:color w:val="auto"/>
          <w:sz w:val="24"/>
          <w:szCs w:val="24"/>
          <w:lang w:val="pl-PL"/>
        </w:rPr>
        <w:t xml:space="preserve"> i Inni przeciwko Słowenii (słuszne zadośćuczynienie), skarga nr 26828/06, wyrok Wielkiej Izby z 12.3.2014</w:t>
      </w:r>
      <w:bookmarkEnd w:id="25"/>
      <w:bookmarkEnd w:id="26"/>
    </w:p>
    <w:p w14:paraId="67A89EA9" w14:textId="77777777" w:rsidR="00FF780D" w:rsidRPr="00677C9D" w:rsidRDefault="00FF780D" w:rsidP="00C83635">
      <w:pPr>
        <w:pStyle w:val="Akapitzlist"/>
        <w:numPr>
          <w:ilvl w:val="0"/>
          <w:numId w:val="15"/>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art. 41 – przyznanie odszkodowania za szkodę majątkową poniesioną przez skarżących na skutek bezprawnego usunięcia ich z rejestru stałych mieszkańców</w:t>
      </w:r>
      <w:r w:rsidR="0012222F" w:rsidRPr="00677C9D">
        <w:rPr>
          <w:rFonts w:cs="Verdana"/>
          <w:bCs/>
          <w:sz w:val="24"/>
          <w:szCs w:val="24"/>
          <w:lang w:val="pl-PL"/>
        </w:rPr>
        <w:t>;</w:t>
      </w:r>
      <w:r w:rsidRPr="00677C9D">
        <w:rPr>
          <w:rFonts w:cs="Verdana"/>
          <w:bCs/>
          <w:sz w:val="24"/>
          <w:szCs w:val="24"/>
          <w:lang w:val="pl-PL"/>
        </w:rPr>
        <w:t xml:space="preserve"> </w:t>
      </w:r>
    </w:p>
    <w:p w14:paraId="4ADB9EEC" w14:textId="77777777" w:rsidR="00FF780D" w:rsidRPr="00677C9D" w:rsidRDefault="00FF780D" w:rsidP="00C83635">
      <w:pPr>
        <w:pStyle w:val="Akapitzlist"/>
        <w:numPr>
          <w:ilvl w:val="0"/>
          <w:numId w:val="15"/>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art. 46</w:t>
      </w:r>
      <w:r w:rsidR="00AD2867" w:rsidRPr="00677C9D">
        <w:rPr>
          <w:rFonts w:cs="Verdana"/>
          <w:bCs/>
          <w:sz w:val="24"/>
          <w:szCs w:val="24"/>
          <w:lang w:val="pl-PL"/>
        </w:rPr>
        <w:t xml:space="preserve"> (moc obowiązująca oraz wykonanie wyroku)</w:t>
      </w:r>
      <w:r w:rsidRPr="00677C9D">
        <w:rPr>
          <w:rFonts w:cs="Verdana"/>
          <w:bCs/>
          <w:sz w:val="24"/>
          <w:szCs w:val="24"/>
          <w:lang w:val="pl-PL"/>
        </w:rPr>
        <w:t xml:space="preserve"> – procedura wyroku pilotażowego, pozwane państwo zobowiązane do wprowadzenia i wdrożenia krajowego systemu odszkodowawczego o charakterze </w:t>
      </w:r>
      <w:r w:rsidRPr="00677C9D">
        <w:rPr>
          <w:rFonts w:cs="Verdana"/>
          <w:bCs/>
          <w:i/>
          <w:sz w:val="24"/>
          <w:szCs w:val="24"/>
          <w:lang w:val="pl-PL"/>
        </w:rPr>
        <w:t>ad hoc</w:t>
      </w:r>
      <w:r w:rsidR="0012222F" w:rsidRPr="00677C9D">
        <w:rPr>
          <w:rFonts w:cs="Verdana"/>
          <w:bCs/>
          <w:sz w:val="24"/>
          <w:szCs w:val="24"/>
          <w:lang w:val="pl-PL"/>
        </w:rPr>
        <w:t>;</w:t>
      </w:r>
    </w:p>
    <w:p w14:paraId="666CA24B" w14:textId="77777777" w:rsidR="0012222F" w:rsidRPr="00677C9D" w:rsidRDefault="0012222F" w:rsidP="00C83635">
      <w:pPr>
        <w:pStyle w:val="Akapitzlist"/>
        <w:numPr>
          <w:ilvl w:val="0"/>
          <w:numId w:val="15"/>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w</w:t>
      </w:r>
      <w:r w:rsidR="00FF780D" w:rsidRPr="00677C9D">
        <w:rPr>
          <w:rFonts w:cs="Verdana"/>
          <w:bCs/>
          <w:sz w:val="24"/>
          <w:szCs w:val="24"/>
          <w:lang w:val="pl-PL"/>
        </w:rPr>
        <w:t xml:space="preserve">yrokiem </w:t>
      </w:r>
      <w:r w:rsidR="00CC0C3D">
        <w:rPr>
          <w:rFonts w:cs="Verdana"/>
          <w:bCs/>
          <w:sz w:val="24"/>
          <w:szCs w:val="24"/>
          <w:lang w:val="pl-PL"/>
        </w:rPr>
        <w:t xml:space="preserve">co do meritum sprawy </w:t>
      </w:r>
      <w:r w:rsidR="00FF780D" w:rsidRPr="00677C9D">
        <w:rPr>
          <w:rFonts w:cs="Verdana"/>
          <w:bCs/>
          <w:sz w:val="24"/>
          <w:szCs w:val="24"/>
          <w:lang w:val="pl-PL"/>
        </w:rPr>
        <w:t xml:space="preserve">wydanym 26 czerwca 2012 r. Wielka Izba uznała, że doszło do naruszenia przez Słowenię art. 8 </w:t>
      </w:r>
      <w:r w:rsidR="007923F8" w:rsidRPr="00677C9D">
        <w:rPr>
          <w:rFonts w:cs="Verdana"/>
          <w:bCs/>
          <w:sz w:val="24"/>
          <w:szCs w:val="24"/>
          <w:lang w:val="pl-PL"/>
        </w:rPr>
        <w:t xml:space="preserve">(prawo do poszanowania życia prywatnego i rodzinnego) </w:t>
      </w:r>
      <w:r w:rsidR="00FF780D" w:rsidRPr="00677C9D">
        <w:rPr>
          <w:rFonts w:cs="Verdana"/>
          <w:bCs/>
          <w:sz w:val="24"/>
          <w:szCs w:val="24"/>
          <w:lang w:val="pl-PL"/>
        </w:rPr>
        <w:t xml:space="preserve">i </w:t>
      </w:r>
      <w:r w:rsidR="007923F8" w:rsidRPr="00677C9D">
        <w:rPr>
          <w:rFonts w:cs="Verdana"/>
          <w:bCs/>
          <w:sz w:val="24"/>
          <w:szCs w:val="24"/>
          <w:lang w:val="pl-PL"/>
        </w:rPr>
        <w:t xml:space="preserve">art. </w:t>
      </w:r>
      <w:r w:rsidR="00FF780D" w:rsidRPr="00677C9D">
        <w:rPr>
          <w:rFonts w:cs="Verdana"/>
          <w:bCs/>
          <w:sz w:val="24"/>
          <w:szCs w:val="24"/>
          <w:lang w:val="pl-PL"/>
        </w:rPr>
        <w:t>13 Konwencji z uwagi na przedłużający się brak uregulowania statusu skarżących w odniesieniu do ich prawa pobytu – po bezprawnym „usunięciu” ich z rejestru stałych mieszkańców, a także z uwagi na brak przyznania odpowiedniego zadośćuczynienia. Taką sytuacją dotknięci zostali nie tylko skarżący, ale też duża liczba innych osób. Trybunał postanowił zastosować procedurę wyroku pilotażowego na podstawie art. 46 Konwencji i nakazał pozwanemu państwu utworzenie systemu odszkodowań w ciągu jednego roku</w:t>
      </w:r>
      <w:r w:rsidR="005F7FDE" w:rsidRPr="00677C9D">
        <w:rPr>
          <w:rFonts w:cs="Verdana"/>
          <w:bCs/>
          <w:sz w:val="24"/>
          <w:szCs w:val="24"/>
          <w:lang w:val="pl-PL"/>
        </w:rPr>
        <w:t>;</w:t>
      </w:r>
      <w:r w:rsidR="00FF780D" w:rsidRPr="00677C9D">
        <w:rPr>
          <w:rFonts w:cs="Verdana"/>
          <w:bCs/>
          <w:sz w:val="24"/>
          <w:szCs w:val="24"/>
          <w:lang w:val="pl-PL"/>
        </w:rPr>
        <w:t xml:space="preserve"> </w:t>
      </w:r>
    </w:p>
    <w:p w14:paraId="709AF9ED" w14:textId="77777777" w:rsidR="00FF780D" w:rsidRPr="00677C9D" w:rsidRDefault="00D14AB6" w:rsidP="00C83635">
      <w:pPr>
        <w:pStyle w:val="Akapitzlist"/>
        <w:numPr>
          <w:ilvl w:val="0"/>
          <w:numId w:val="15"/>
        </w:numPr>
        <w:autoSpaceDE w:val="0"/>
        <w:autoSpaceDN w:val="0"/>
        <w:adjustRightInd w:val="0"/>
        <w:spacing w:after="120" w:line="240" w:lineRule="auto"/>
        <w:jc w:val="both"/>
        <w:rPr>
          <w:rFonts w:cs="Verdana"/>
          <w:bCs/>
          <w:sz w:val="24"/>
          <w:szCs w:val="24"/>
          <w:lang w:val="pl-PL"/>
        </w:rPr>
      </w:pPr>
      <w:r>
        <w:rPr>
          <w:rFonts w:cs="Verdana"/>
          <w:bCs/>
          <w:sz w:val="24"/>
          <w:szCs w:val="24"/>
          <w:lang w:val="pl-PL"/>
        </w:rPr>
        <w:t>w</w:t>
      </w:r>
      <w:r w:rsidR="00FF780D" w:rsidRPr="00677C9D">
        <w:rPr>
          <w:rFonts w:cs="Verdana"/>
          <w:bCs/>
          <w:sz w:val="24"/>
          <w:szCs w:val="24"/>
          <w:lang w:val="pl-PL"/>
        </w:rPr>
        <w:t xml:space="preserve">yrokiem wydanym 12 marca 2014 r. Wielka Izba przyznała </w:t>
      </w:r>
      <w:r w:rsidR="006B2BA0" w:rsidRPr="00677C9D">
        <w:rPr>
          <w:rFonts w:cs="Verdana"/>
          <w:bCs/>
          <w:sz w:val="24"/>
          <w:szCs w:val="24"/>
          <w:lang w:val="pl-PL"/>
        </w:rPr>
        <w:t xml:space="preserve">skarżącym </w:t>
      </w:r>
      <w:r w:rsidR="00FF780D" w:rsidRPr="00677C9D">
        <w:rPr>
          <w:rFonts w:cs="Verdana"/>
          <w:bCs/>
          <w:sz w:val="24"/>
          <w:szCs w:val="24"/>
          <w:lang w:val="pl-PL"/>
        </w:rPr>
        <w:t>zadośćuczynienie finansowe na podstawie art. 41 Konwencji. Jednocześnie Trybunał odnotował, że pozwany rząd nie utworzył w terminie roku (tj. do dnia 26 czerwca 2013 r.) systemu odszkodowawczego. Rząd jednak nie kwestionował potrzeby wdrożenia środków generalnych na poziomie krajowym, a ustawa ws. utworzenia systemu odszkodowań wejdzie w życie z dniem 18 czerwca 2014 r., przewidując ryczałtową kwotę za każdy miesiąc, w którym osoby poszkodowane były „wykreślone” z rejestru. Ustawa przewidziała też możliwość dochodzenia dodatkowego odszkodowania. W wyjątkowych okolicznościach sprawy, przyznanie ryczałtowej kwoty za szkodę majątkową i niemajątkową w opinii Trybunału jest odpowiednie. Trybunał jednocześnie podkreślił konieczność sprawnego wykonania wyroku w celu zapobieżenia napływowi dużej liczby podobnych spraw, a także przypomniał kompetencje Komitetu Ministrów w zakresie oceniania wdrażanych przez państwo środków generalnych.</w:t>
      </w:r>
    </w:p>
    <w:p w14:paraId="0472DB68" w14:textId="77777777" w:rsidR="00FF780D" w:rsidRPr="00677C9D" w:rsidRDefault="00F02FBE" w:rsidP="00FF780D">
      <w:pPr>
        <w:autoSpaceDE w:val="0"/>
        <w:autoSpaceDN w:val="0"/>
        <w:adjustRightInd w:val="0"/>
        <w:spacing w:after="120" w:line="240" w:lineRule="auto"/>
        <w:jc w:val="both"/>
        <w:rPr>
          <w:rFonts w:cs="Verdana"/>
          <w:bCs/>
          <w:sz w:val="24"/>
          <w:szCs w:val="24"/>
          <w:lang w:val="pl-PL"/>
        </w:rPr>
      </w:pPr>
      <w:r w:rsidRPr="00677C9D">
        <w:rPr>
          <w:rFonts w:cs="Verdana"/>
          <w:bCs/>
          <w:sz w:val="24"/>
          <w:szCs w:val="24"/>
          <w:u w:val="single"/>
          <w:lang w:val="pl-PL"/>
        </w:rPr>
        <w:t>Znaczenie wyroku dla Polski</w:t>
      </w:r>
      <w:r w:rsidRPr="00677C9D">
        <w:rPr>
          <w:rFonts w:cs="Verdana"/>
          <w:bCs/>
          <w:sz w:val="24"/>
          <w:szCs w:val="24"/>
          <w:lang w:val="pl-PL"/>
        </w:rPr>
        <w:t xml:space="preserve"> </w:t>
      </w:r>
      <w:r w:rsidR="00FF780D" w:rsidRPr="00677C9D">
        <w:rPr>
          <w:rFonts w:cs="Verdana"/>
          <w:bCs/>
          <w:sz w:val="24"/>
          <w:szCs w:val="24"/>
          <w:lang w:val="pl-PL"/>
        </w:rPr>
        <w:t>– pośrednie z uwagi na brak porównywalnej sytuacji prawnej i faktycznej – jako źródło informacji nt. procedury wykonywania wyroku pilotażowego i środków generalnych dotyczących odszkodowań dla dużej grupy osób będących ofiarą naruszeń o charakterze systemowym.</w:t>
      </w:r>
    </w:p>
    <w:p w14:paraId="4557E43F" w14:textId="77777777" w:rsidR="00FF780D" w:rsidRPr="000C3591" w:rsidRDefault="00FF780D" w:rsidP="000C3591">
      <w:pPr>
        <w:pStyle w:val="Nagwek1"/>
        <w:numPr>
          <w:ilvl w:val="0"/>
          <w:numId w:val="34"/>
        </w:numPr>
        <w:rPr>
          <w:rFonts w:asciiTheme="minorHAnsi" w:hAnsiTheme="minorHAnsi"/>
          <w:color w:val="auto"/>
          <w:sz w:val="24"/>
          <w:szCs w:val="24"/>
          <w:lang w:val="pl-PL"/>
        </w:rPr>
      </w:pPr>
      <w:bookmarkStart w:id="27" w:name="_Toc415257923"/>
      <w:bookmarkStart w:id="28" w:name="_Toc415646194"/>
      <w:proofErr w:type="spellStart"/>
      <w:r w:rsidRPr="000C3591">
        <w:rPr>
          <w:rFonts w:asciiTheme="minorHAnsi" w:hAnsiTheme="minorHAnsi"/>
          <w:color w:val="auto"/>
          <w:sz w:val="24"/>
          <w:szCs w:val="24"/>
          <w:lang w:val="pl-PL"/>
        </w:rPr>
        <w:lastRenderedPageBreak/>
        <w:t>Magyar</w:t>
      </w:r>
      <w:proofErr w:type="spellEnd"/>
      <w:r w:rsidRPr="000C3591">
        <w:rPr>
          <w:rFonts w:asciiTheme="minorHAnsi" w:hAnsiTheme="minorHAnsi"/>
          <w:color w:val="auto"/>
          <w:sz w:val="24"/>
          <w:szCs w:val="24"/>
          <w:lang w:val="pl-PL"/>
        </w:rPr>
        <w:t xml:space="preserve"> </w:t>
      </w:r>
      <w:proofErr w:type="spellStart"/>
      <w:r w:rsidRPr="000C3591">
        <w:rPr>
          <w:rFonts w:asciiTheme="minorHAnsi" w:hAnsiTheme="minorHAnsi"/>
          <w:color w:val="auto"/>
          <w:sz w:val="24"/>
          <w:szCs w:val="24"/>
          <w:lang w:val="pl-PL"/>
        </w:rPr>
        <w:t>Keresztény</w:t>
      </w:r>
      <w:proofErr w:type="spellEnd"/>
      <w:r w:rsidRPr="000C3591">
        <w:rPr>
          <w:rFonts w:asciiTheme="minorHAnsi" w:hAnsiTheme="minorHAnsi"/>
          <w:color w:val="auto"/>
          <w:sz w:val="24"/>
          <w:szCs w:val="24"/>
          <w:lang w:val="pl-PL"/>
        </w:rPr>
        <w:t xml:space="preserve"> </w:t>
      </w:r>
      <w:proofErr w:type="spellStart"/>
      <w:r w:rsidRPr="000C3591">
        <w:rPr>
          <w:rFonts w:asciiTheme="minorHAnsi" w:hAnsiTheme="minorHAnsi"/>
          <w:color w:val="auto"/>
          <w:sz w:val="24"/>
          <w:szCs w:val="24"/>
          <w:lang w:val="pl-PL"/>
        </w:rPr>
        <w:t>Mennonita</w:t>
      </w:r>
      <w:proofErr w:type="spellEnd"/>
      <w:r w:rsidRPr="000C3591">
        <w:rPr>
          <w:rFonts w:asciiTheme="minorHAnsi" w:hAnsiTheme="minorHAnsi"/>
          <w:color w:val="auto"/>
          <w:sz w:val="24"/>
          <w:szCs w:val="24"/>
          <w:lang w:val="pl-PL"/>
        </w:rPr>
        <w:t xml:space="preserve"> </w:t>
      </w:r>
      <w:proofErr w:type="spellStart"/>
      <w:r w:rsidRPr="000C3591">
        <w:rPr>
          <w:rFonts w:asciiTheme="minorHAnsi" w:hAnsiTheme="minorHAnsi"/>
          <w:color w:val="auto"/>
          <w:sz w:val="24"/>
          <w:szCs w:val="24"/>
          <w:lang w:val="pl-PL"/>
        </w:rPr>
        <w:t>Egyház</w:t>
      </w:r>
      <w:proofErr w:type="spellEnd"/>
      <w:r w:rsidRPr="000C3591">
        <w:rPr>
          <w:rFonts w:asciiTheme="minorHAnsi" w:hAnsiTheme="minorHAnsi"/>
          <w:color w:val="auto"/>
          <w:sz w:val="24"/>
          <w:szCs w:val="24"/>
          <w:lang w:val="pl-PL"/>
        </w:rPr>
        <w:t xml:space="preserve"> i Inni przeciwko Węgrom, skargi nr 70945/11, 23611/12, 26998/12, 41150/12, 41155/12, 41463/12, 41553/12, 54977/12 i 56581/12, wyrok z 8.4.2014</w:t>
      </w:r>
      <w:bookmarkEnd w:id="27"/>
      <w:bookmarkEnd w:id="28"/>
    </w:p>
    <w:p w14:paraId="57DC18F5" w14:textId="77777777" w:rsidR="00FF780D" w:rsidRPr="00677C9D" w:rsidRDefault="00840502" w:rsidP="00C83635">
      <w:pPr>
        <w:pStyle w:val="Akapitzlist"/>
        <w:numPr>
          <w:ilvl w:val="0"/>
          <w:numId w:val="16"/>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naruszenie </w:t>
      </w:r>
      <w:r w:rsidR="00FF780D" w:rsidRPr="00677C9D">
        <w:rPr>
          <w:rFonts w:cs="Verdana"/>
          <w:bCs/>
          <w:sz w:val="24"/>
          <w:szCs w:val="24"/>
          <w:lang w:val="pl-PL"/>
        </w:rPr>
        <w:t xml:space="preserve">art. 11 </w:t>
      </w:r>
      <w:r w:rsidR="007923F8" w:rsidRPr="00677C9D">
        <w:rPr>
          <w:rFonts w:cs="Verdana"/>
          <w:bCs/>
          <w:sz w:val="24"/>
          <w:szCs w:val="24"/>
          <w:lang w:val="pl-PL"/>
        </w:rPr>
        <w:t>(</w:t>
      </w:r>
      <w:r w:rsidR="00592CF0" w:rsidRPr="00677C9D">
        <w:rPr>
          <w:rFonts w:cs="Verdana"/>
          <w:bCs/>
          <w:sz w:val="24"/>
          <w:szCs w:val="24"/>
          <w:lang w:val="pl-PL"/>
        </w:rPr>
        <w:t xml:space="preserve">wolność zgromadzeń i stowarzyszania się) </w:t>
      </w:r>
      <w:r w:rsidR="00FF780D" w:rsidRPr="00677C9D">
        <w:rPr>
          <w:rFonts w:cs="Verdana"/>
          <w:bCs/>
          <w:sz w:val="24"/>
          <w:szCs w:val="24"/>
          <w:lang w:val="pl-PL"/>
        </w:rPr>
        <w:t xml:space="preserve">w świetle art. 9 </w:t>
      </w:r>
      <w:r w:rsidR="00592CF0" w:rsidRPr="00677C9D">
        <w:rPr>
          <w:rFonts w:cs="Verdana"/>
          <w:bCs/>
          <w:sz w:val="24"/>
          <w:szCs w:val="24"/>
          <w:lang w:val="pl-PL"/>
        </w:rPr>
        <w:t xml:space="preserve">(wolność myśli, sumienia i wyznania) </w:t>
      </w:r>
      <w:r w:rsidR="00FF780D" w:rsidRPr="00677C9D">
        <w:rPr>
          <w:rFonts w:cs="Verdana"/>
          <w:bCs/>
          <w:sz w:val="24"/>
          <w:szCs w:val="24"/>
          <w:lang w:val="pl-PL"/>
        </w:rPr>
        <w:t xml:space="preserve">– </w:t>
      </w:r>
      <w:r w:rsidR="006E457F" w:rsidRPr="00677C9D">
        <w:rPr>
          <w:rFonts w:cs="Verdana"/>
          <w:bCs/>
          <w:sz w:val="24"/>
          <w:szCs w:val="24"/>
          <w:lang w:val="pl-PL"/>
        </w:rPr>
        <w:t xml:space="preserve">poprzez wprowadzenie </w:t>
      </w:r>
      <w:r w:rsidR="00FF780D" w:rsidRPr="00677C9D">
        <w:rPr>
          <w:rFonts w:cs="Verdana"/>
          <w:bCs/>
          <w:sz w:val="24"/>
          <w:szCs w:val="24"/>
          <w:lang w:val="pl-PL"/>
        </w:rPr>
        <w:t>wym</w:t>
      </w:r>
      <w:r w:rsidR="006E457F" w:rsidRPr="00677C9D">
        <w:rPr>
          <w:rFonts w:cs="Verdana"/>
          <w:bCs/>
          <w:sz w:val="24"/>
          <w:szCs w:val="24"/>
          <w:lang w:val="pl-PL"/>
        </w:rPr>
        <w:t xml:space="preserve">ogu </w:t>
      </w:r>
      <w:r w:rsidR="00FF780D" w:rsidRPr="00677C9D">
        <w:rPr>
          <w:rFonts w:cs="Verdana"/>
          <w:bCs/>
          <w:sz w:val="24"/>
          <w:szCs w:val="24"/>
          <w:lang w:val="pl-PL"/>
        </w:rPr>
        <w:t>ponownej rejestracji przez niektóre tylko kościoły w celu odzyskania praw do pewnych korzyści majątkowych od państwa</w:t>
      </w:r>
      <w:r w:rsidRPr="00677C9D">
        <w:rPr>
          <w:rFonts w:cs="Verdana"/>
          <w:bCs/>
          <w:sz w:val="24"/>
          <w:szCs w:val="24"/>
          <w:lang w:val="pl-PL"/>
        </w:rPr>
        <w:t>;</w:t>
      </w:r>
      <w:r w:rsidR="00FF780D" w:rsidRPr="00677C9D">
        <w:rPr>
          <w:rFonts w:cs="Verdana"/>
          <w:bCs/>
          <w:sz w:val="24"/>
          <w:szCs w:val="24"/>
          <w:lang w:val="pl-PL"/>
        </w:rPr>
        <w:t xml:space="preserve">  </w:t>
      </w:r>
    </w:p>
    <w:p w14:paraId="31B64134" w14:textId="77777777" w:rsidR="00FF780D" w:rsidRPr="00677C9D" w:rsidRDefault="00FF780D" w:rsidP="00C83635">
      <w:pPr>
        <w:pStyle w:val="Akapitzlist"/>
        <w:numPr>
          <w:ilvl w:val="0"/>
          <w:numId w:val="16"/>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Trybunał uznał, że </w:t>
      </w:r>
      <w:r w:rsidR="006A27AF">
        <w:rPr>
          <w:rFonts w:cs="Verdana"/>
          <w:bCs/>
          <w:sz w:val="24"/>
          <w:szCs w:val="24"/>
          <w:lang w:val="pl-PL"/>
        </w:rPr>
        <w:t>wygaśnięcie s</w:t>
      </w:r>
      <w:r w:rsidRPr="00677C9D">
        <w:rPr>
          <w:rFonts w:cs="Verdana"/>
          <w:bCs/>
          <w:sz w:val="24"/>
          <w:szCs w:val="24"/>
          <w:lang w:val="pl-PL"/>
        </w:rPr>
        <w:t>kutków prawnych wcześniejszej rejestracji skarżącego kościoła stanowiła ingerencję w je</w:t>
      </w:r>
      <w:r w:rsidR="00840502" w:rsidRPr="00677C9D">
        <w:rPr>
          <w:rFonts w:cs="Verdana"/>
          <w:bCs/>
          <w:sz w:val="24"/>
          <w:szCs w:val="24"/>
          <w:lang w:val="pl-PL"/>
        </w:rPr>
        <w:t xml:space="preserve">go </w:t>
      </w:r>
      <w:r w:rsidRPr="00677C9D">
        <w:rPr>
          <w:rFonts w:cs="Verdana"/>
          <w:bCs/>
          <w:sz w:val="24"/>
          <w:szCs w:val="24"/>
          <w:lang w:val="pl-PL"/>
        </w:rPr>
        <w:t>prawa chronione na mocy art. 9 i 11 Konwencji. Choć ingerencja ta miała uprawniony cel (zapobieżenie uzyskiwaniu w sposób nieuczciwy korzyści finansowych od państwa przez niektóre podmioty pod p</w:t>
      </w:r>
      <w:r w:rsidR="00840502" w:rsidRPr="00677C9D">
        <w:rPr>
          <w:rFonts w:cs="Verdana"/>
          <w:bCs/>
          <w:sz w:val="24"/>
          <w:szCs w:val="24"/>
          <w:lang w:val="pl-PL"/>
        </w:rPr>
        <w:t xml:space="preserve">ozorem </w:t>
      </w:r>
      <w:r w:rsidRPr="00677C9D">
        <w:rPr>
          <w:rFonts w:cs="Verdana"/>
          <w:bCs/>
          <w:sz w:val="24"/>
          <w:szCs w:val="24"/>
          <w:lang w:val="pl-PL"/>
        </w:rPr>
        <w:t xml:space="preserve">prowadzenia działalności religijnej), to jednak ingerencja ta nie spełniła wymogów konieczności w społeczeństwie demokratycznym. W obecnej sprawie nie wykazano bowiem, by nie były dostępne mniej drastyczne rozwiązania niż pozbawienie statusu prawnego, takie jak kontrola sądowa lub rozwiązanie tych organizacji, co do których udowodniono dopuszczanie się nadużyć. Możliwość utworzenia dwutorowego systemu uznawania organizacji religijnych pozostaje w marginesie oceny państw i co do zasady kwestia ta jest elementem </w:t>
      </w:r>
      <w:r w:rsidR="00260325">
        <w:rPr>
          <w:rFonts w:cs="Verdana"/>
          <w:bCs/>
          <w:sz w:val="24"/>
          <w:szCs w:val="24"/>
          <w:lang w:val="pl-PL"/>
        </w:rPr>
        <w:t xml:space="preserve">ich </w:t>
      </w:r>
      <w:r w:rsidRPr="00677C9D">
        <w:rPr>
          <w:rFonts w:cs="Verdana"/>
          <w:bCs/>
          <w:sz w:val="24"/>
          <w:szCs w:val="24"/>
          <w:lang w:val="pl-PL"/>
        </w:rPr>
        <w:t xml:space="preserve">historycznych i konstytucyjnych tradycji. Także finansowanie kościołów lub przyznawanie im innych materialnych lub finansowych korzyści, choć samo w sobie nie jest niezgodne z Konwencją, nie może być dyskryminacyjne ani nadmierne, to jest w sposób oczywisty nieproporcjonalne do korzyści otrzymywanych za porównywalną działalność </w:t>
      </w:r>
      <w:r w:rsidR="00AC0372">
        <w:rPr>
          <w:rFonts w:cs="Verdana"/>
          <w:bCs/>
          <w:sz w:val="24"/>
          <w:szCs w:val="24"/>
          <w:lang w:val="pl-PL"/>
        </w:rPr>
        <w:t xml:space="preserve">prowadzoną </w:t>
      </w:r>
      <w:r w:rsidRPr="00677C9D">
        <w:rPr>
          <w:rFonts w:cs="Verdana"/>
          <w:bCs/>
          <w:sz w:val="24"/>
          <w:szCs w:val="24"/>
          <w:lang w:val="pl-PL"/>
        </w:rPr>
        <w:t xml:space="preserve">przez inne organizacje. Jednakże w obecnej sprawie nie zostały przedstawione dowody, iż lista organizacji religijnych automatycznie uznanych odpowiadała tradycji historycznej Węgier, ani też, by została wdrożona odpowiednia procedura (ponowna rejestracja uzależniona była od decyzji parlamentu). Wymóg ponownej rejestracji powinien zaś </w:t>
      </w:r>
      <w:r w:rsidR="006E457F" w:rsidRPr="00677C9D">
        <w:rPr>
          <w:rFonts w:cs="Verdana"/>
          <w:bCs/>
          <w:sz w:val="24"/>
          <w:szCs w:val="24"/>
          <w:lang w:val="pl-PL"/>
        </w:rPr>
        <w:t xml:space="preserve">wynikać ze </w:t>
      </w:r>
      <w:r w:rsidRPr="00677C9D">
        <w:rPr>
          <w:rFonts w:cs="Verdana"/>
          <w:bCs/>
          <w:sz w:val="24"/>
          <w:szCs w:val="24"/>
          <w:lang w:val="pl-PL"/>
        </w:rPr>
        <w:t>szczególnie ważki</w:t>
      </w:r>
      <w:r w:rsidR="006E457F" w:rsidRPr="00677C9D">
        <w:rPr>
          <w:rFonts w:cs="Verdana"/>
          <w:bCs/>
          <w:sz w:val="24"/>
          <w:szCs w:val="24"/>
          <w:lang w:val="pl-PL"/>
        </w:rPr>
        <w:t xml:space="preserve">ch </w:t>
      </w:r>
      <w:r w:rsidRPr="00677C9D">
        <w:rPr>
          <w:rFonts w:cs="Verdana"/>
          <w:bCs/>
          <w:sz w:val="24"/>
          <w:szCs w:val="24"/>
          <w:lang w:val="pl-PL"/>
        </w:rPr>
        <w:t>i istotn</w:t>
      </w:r>
      <w:r w:rsidR="006E457F" w:rsidRPr="00677C9D">
        <w:rPr>
          <w:rFonts w:cs="Verdana"/>
          <w:bCs/>
          <w:sz w:val="24"/>
          <w:szCs w:val="24"/>
          <w:lang w:val="pl-PL"/>
        </w:rPr>
        <w:t xml:space="preserve">ych </w:t>
      </w:r>
      <w:r w:rsidRPr="00677C9D">
        <w:rPr>
          <w:rFonts w:cs="Verdana"/>
          <w:bCs/>
          <w:sz w:val="24"/>
          <w:szCs w:val="24"/>
          <w:lang w:val="pl-PL"/>
        </w:rPr>
        <w:t>powod</w:t>
      </w:r>
      <w:r w:rsidR="006E457F" w:rsidRPr="00677C9D">
        <w:rPr>
          <w:rFonts w:cs="Verdana"/>
          <w:bCs/>
          <w:sz w:val="24"/>
          <w:szCs w:val="24"/>
          <w:lang w:val="pl-PL"/>
        </w:rPr>
        <w:t>ów</w:t>
      </w:r>
      <w:r w:rsidRPr="00677C9D">
        <w:rPr>
          <w:rFonts w:cs="Verdana"/>
          <w:bCs/>
          <w:sz w:val="24"/>
          <w:szCs w:val="24"/>
          <w:lang w:val="pl-PL"/>
        </w:rPr>
        <w:t xml:space="preserve">. Wolność uzewnętrzniania religii lub przekonań nie oznacza co prawda przyznania kościołom lub ich członkom prawa do dodatkowego finansowania z budżetu państwa, jednakże przywileje otrzymywanie przez stowarzyszenia religijne ułatwiają im realizację ich celów religijnych, a więc nakładają na państwo obowiązek zachowania neutralności przy ich przyznawaniu. Jeśli państwo dobrowolnie decyduje przyznać takie prawa organizacjom religijnym, nie może podejmować środków dyskryminacyjnych przy ich przyznawaniu, obniżaniu lub pozbawianiu. Państwo posiada znaczną swobodę w wybieraniu form współpracy z organizacjami religijnymi, w tym w zmienianiu przywilejów w drodze legislacyjnej. Jednak wymóg neutralności wymaga, by wybór w tym względzie opierał się na możliwych do ustalenia kryteriach zapobiegających sytuacji, w której członkowie określonej wspólnoty religijnej mogą czuć się </w:t>
      </w:r>
      <w:r w:rsidR="00F318C2">
        <w:rPr>
          <w:rFonts w:cs="Verdana"/>
          <w:bCs/>
          <w:sz w:val="24"/>
          <w:szCs w:val="24"/>
          <w:lang w:val="pl-PL"/>
        </w:rPr>
        <w:t xml:space="preserve">obywatelami </w:t>
      </w:r>
      <w:r w:rsidRPr="00677C9D">
        <w:rPr>
          <w:rFonts w:cs="Verdana"/>
          <w:bCs/>
          <w:sz w:val="24"/>
          <w:szCs w:val="24"/>
          <w:lang w:val="pl-PL"/>
        </w:rPr>
        <w:t xml:space="preserve">drugiej </w:t>
      </w:r>
      <w:r w:rsidR="00840502" w:rsidRPr="00677C9D">
        <w:rPr>
          <w:rFonts w:cs="Verdana"/>
          <w:bCs/>
          <w:sz w:val="24"/>
          <w:szCs w:val="24"/>
          <w:lang w:val="pl-PL"/>
        </w:rPr>
        <w:t>kategorii</w:t>
      </w:r>
      <w:r w:rsidRPr="00677C9D">
        <w:rPr>
          <w:rFonts w:cs="Verdana"/>
          <w:bCs/>
          <w:sz w:val="24"/>
          <w:szCs w:val="24"/>
          <w:lang w:val="pl-PL"/>
        </w:rPr>
        <w:t>. W obecnej sprawie pozbawienie korzyści finansowych dotknęło tylko niektór</w:t>
      </w:r>
      <w:r w:rsidR="00840502" w:rsidRPr="00677C9D">
        <w:rPr>
          <w:rFonts w:cs="Verdana"/>
          <w:bCs/>
          <w:sz w:val="24"/>
          <w:szCs w:val="24"/>
          <w:lang w:val="pl-PL"/>
        </w:rPr>
        <w:t xml:space="preserve">e </w:t>
      </w:r>
      <w:r w:rsidRPr="00677C9D">
        <w:rPr>
          <w:rFonts w:cs="Verdana"/>
          <w:bCs/>
          <w:sz w:val="24"/>
          <w:szCs w:val="24"/>
          <w:lang w:val="pl-PL"/>
        </w:rPr>
        <w:t>wyzna</w:t>
      </w:r>
      <w:r w:rsidR="00840502" w:rsidRPr="00677C9D">
        <w:rPr>
          <w:rFonts w:cs="Verdana"/>
          <w:bCs/>
          <w:sz w:val="24"/>
          <w:szCs w:val="24"/>
          <w:lang w:val="pl-PL"/>
        </w:rPr>
        <w:t>nia</w:t>
      </w:r>
      <w:r w:rsidRPr="00677C9D">
        <w:rPr>
          <w:rFonts w:cs="Verdana"/>
          <w:bCs/>
          <w:sz w:val="24"/>
          <w:szCs w:val="24"/>
          <w:lang w:val="pl-PL"/>
        </w:rPr>
        <w:t>, w tym skarżący</w:t>
      </w:r>
      <w:r w:rsidR="006E457F" w:rsidRPr="00677C9D">
        <w:rPr>
          <w:rFonts w:cs="Verdana"/>
          <w:bCs/>
          <w:sz w:val="24"/>
          <w:szCs w:val="24"/>
          <w:lang w:val="pl-PL"/>
        </w:rPr>
        <w:t xml:space="preserve"> kościół</w:t>
      </w:r>
      <w:r w:rsidRPr="00677C9D">
        <w:rPr>
          <w:rFonts w:cs="Verdana"/>
          <w:bCs/>
          <w:sz w:val="24"/>
          <w:szCs w:val="24"/>
          <w:lang w:val="pl-PL"/>
        </w:rPr>
        <w:t>. Wątpliwości Trybunału wzbudziło pozbawienie skarżącego kościoła jego dotychczasowego statusu zamiast zastosowania mniej surowych środków, a także ustanowienie politycznie motywowanej procedury ponownej rejestracji oraz odmienne potraktowanie skarżąc</w:t>
      </w:r>
      <w:r w:rsidR="006E457F" w:rsidRPr="00677C9D">
        <w:rPr>
          <w:rFonts w:cs="Verdana"/>
          <w:bCs/>
          <w:sz w:val="24"/>
          <w:szCs w:val="24"/>
          <w:lang w:val="pl-PL"/>
        </w:rPr>
        <w:t xml:space="preserve">ego kościoła </w:t>
      </w:r>
      <w:r w:rsidRPr="00677C9D">
        <w:rPr>
          <w:rFonts w:cs="Verdana"/>
          <w:bCs/>
          <w:sz w:val="24"/>
          <w:szCs w:val="24"/>
          <w:lang w:val="pl-PL"/>
        </w:rPr>
        <w:t xml:space="preserve">w porównaniu </w:t>
      </w:r>
      <w:r w:rsidR="00957C03">
        <w:rPr>
          <w:rFonts w:cs="Verdana"/>
          <w:bCs/>
          <w:sz w:val="24"/>
          <w:szCs w:val="24"/>
          <w:lang w:val="pl-PL"/>
        </w:rPr>
        <w:t xml:space="preserve">z innymi </w:t>
      </w:r>
      <w:r w:rsidRPr="00677C9D">
        <w:rPr>
          <w:rFonts w:cs="Verdana"/>
          <w:bCs/>
          <w:sz w:val="24"/>
          <w:szCs w:val="24"/>
          <w:lang w:val="pl-PL"/>
        </w:rPr>
        <w:t>organizacj</w:t>
      </w:r>
      <w:r w:rsidR="00957C03">
        <w:rPr>
          <w:rFonts w:cs="Verdana"/>
          <w:bCs/>
          <w:sz w:val="24"/>
          <w:szCs w:val="24"/>
          <w:lang w:val="pl-PL"/>
        </w:rPr>
        <w:t xml:space="preserve">ami </w:t>
      </w:r>
      <w:r w:rsidR="006E457F" w:rsidRPr="00677C9D">
        <w:rPr>
          <w:rFonts w:cs="Verdana"/>
          <w:bCs/>
          <w:sz w:val="24"/>
          <w:szCs w:val="24"/>
          <w:lang w:val="pl-PL"/>
        </w:rPr>
        <w:t>religijny</w:t>
      </w:r>
      <w:r w:rsidR="00957C03">
        <w:rPr>
          <w:rFonts w:cs="Verdana"/>
          <w:bCs/>
          <w:sz w:val="24"/>
          <w:szCs w:val="24"/>
          <w:lang w:val="pl-PL"/>
        </w:rPr>
        <w:t>mi</w:t>
      </w:r>
      <w:r w:rsidRPr="00677C9D">
        <w:rPr>
          <w:rFonts w:cs="Verdana"/>
          <w:bCs/>
          <w:sz w:val="24"/>
          <w:szCs w:val="24"/>
          <w:lang w:val="pl-PL"/>
        </w:rPr>
        <w:t xml:space="preserve">. W sumie, elementy te świadczą, iż zastosowany środek nie odpowiadał na „pilną potrzebę społeczną” i stanowił naruszenie art. 11 Konwencji. </w:t>
      </w:r>
    </w:p>
    <w:p w14:paraId="37F02555" w14:textId="77777777" w:rsidR="00FF780D" w:rsidRPr="00677C9D" w:rsidRDefault="00F02FBE" w:rsidP="00FF780D">
      <w:pPr>
        <w:autoSpaceDE w:val="0"/>
        <w:autoSpaceDN w:val="0"/>
        <w:adjustRightInd w:val="0"/>
        <w:spacing w:after="120" w:line="240" w:lineRule="auto"/>
        <w:jc w:val="both"/>
        <w:rPr>
          <w:rFonts w:cs="Verdana"/>
          <w:bCs/>
          <w:sz w:val="24"/>
          <w:szCs w:val="24"/>
          <w:lang w:val="pl-PL"/>
        </w:rPr>
      </w:pPr>
      <w:r w:rsidRPr="00677C9D">
        <w:rPr>
          <w:rFonts w:cs="Verdana"/>
          <w:bCs/>
          <w:sz w:val="24"/>
          <w:szCs w:val="24"/>
          <w:u w:val="single"/>
          <w:lang w:val="pl-PL"/>
        </w:rPr>
        <w:lastRenderedPageBreak/>
        <w:t>Znaczenie wyroku dla Polski</w:t>
      </w:r>
      <w:r w:rsidRPr="00677C9D">
        <w:rPr>
          <w:rFonts w:cs="Verdana"/>
          <w:bCs/>
          <w:sz w:val="24"/>
          <w:szCs w:val="24"/>
          <w:lang w:val="pl-PL"/>
        </w:rPr>
        <w:t xml:space="preserve"> </w:t>
      </w:r>
      <w:r w:rsidR="00FF780D" w:rsidRPr="00677C9D">
        <w:rPr>
          <w:rFonts w:cs="Verdana"/>
          <w:bCs/>
          <w:sz w:val="24"/>
          <w:szCs w:val="24"/>
          <w:lang w:val="pl-PL"/>
        </w:rPr>
        <w:t xml:space="preserve">– pośrednie, zważywszy na wyjątkowy charakter regulacji węgierskiej. Wyrok Trybunału wskazuje jednak na istotne elementy o znaczeniu ogólnym: z jednej strony margines oceny państwa w zakresie kształtowania relacji z organizacjami religijnymi, w tym w zakresie przyznawania przywilejów finansowych, a także przeciwdziałania nadużyciom, z drugiej zaś wskazuje na zasady dotyczące wymogu neutralności, niedyskryminacji, a także właściwego trybu rejestracji lub pozbawiania statusu.  </w:t>
      </w:r>
    </w:p>
    <w:p w14:paraId="12D5059F" w14:textId="77777777" w:rsidR="00F70C7C" w:rsidRPr="000C3591" w:rsidRDefault="00F03E34" w:rsidP="000C3591">
      <w:pPr>
        <w:pStyle w:val="Nagwek1"/>
        <w:numPr>
          <w:ilvl w:val="0"/>
          <w:numId w:val="34"/>
        </w:numPr>
        <w:rPr>
          <w:rFonts w:asciiTheme="minorHAnsi" w:hAnsiTheme="minorHAnsi"/>
          <w:color w:val="auto"/>
          <w:sz w:val="24"/>
          <w:szCs w:val="24"/>
          <w:lang w:val="pl-PL"/>
        </w:rPr>
      </w:pPr>
      <w:bookmarkStart w:id="29" w:name="_Toc415257924"/>
      <w:bookmarkStart w:id="30" w:name="_Toc415646195"/>
      <w:proofErr w:type="spellStart"/>
      <w:r w:rsidRPr="000C3591">
        <w:rPr>
          <w:rFonts w:asciiTheme="minorHAnsi" w:hAnsiTheme="minorHAnsi"/>
          <w:color w:val="auto"/>
          <w:sz w:val="24"/>
          <w:szCs w:val="24"/>
          <w:lang w:val="pl-PL"/>
        </w:rPr>
        <w:t>Marguš</w:t>
      </w:r>
      <w:proofErr w:type="spellEnd"/>
      <w:r w:rsidRPr="000C3591">
        <w:rPr>
          <w:rFonts w:asciiTheme="minorHAnsi" w:hAnsiTheme="minorHAnsi"/>
          <w:color w:val="auto"/>
          <w:sz w:val="24"/>
          <w:szCs w:val="24"/>
          <w:lang w:val="pl-PL"/>
        </w:rPr>
        <w:t xml:space="preserve"> </w:t>
      </w:r>
      <w:r w:rsidR="00F70C7C" w:rsidRPr="000C3591">
        <w:rPr>
          <w:rFonts w:asciiTheme="minorHAnsi" w:hAnsiTheme="minorHAnsi"/>
          <w:color w:val="auto"/>
          <w:sz w:val="24"/>
          <w:szCs w:val="24"/>
          <w:lang w:val="pl-PL"/>
        </w:rPr>
        <w:t>przeciwko</w:t>
      </w:r>
      <w:r w:rsidRPr="000C3591">
        <w:rPr>
          <w:rFonts w:asciiTheme="minorHAnsi" w:hAnsiTheme="minorHAnsi"/>
          <w:color w:val="auto"/>
          <w:sz w:val="24"/>
          <w:szCs w:val="24"/>
          <w:lang w:val="pl-PL"/>
        </w:rPr>
        <w:t xml:space="preserve"> C</w:t>
      </w:r>
      <w:r w:rsidR="005A2F9D" w:rsidRPr="000C3591">
        <w:rPr>
          <w:rFonts w:asciiTheme="minorHAnsi" w:hAnsiTheme="minorHAnsi"/>
          <w:color w:val="auto"/>
          <w:sz w:val="24"/>
          <w:szCs w:val="24"/>
          <w:lang w:val="pl-PL"/>
        </w:rPr>
        <w:t>horwacji</w:t>
      </w:r>
      <w:r w:rsidRPr="000C3591">
        <w:rPr>
          <w:rFonts w:asciiTheme="minorHAnsi" w:hAnsiTheme="minorHAnsi"/>
          <w:color w:val="auto"/>
          <w:sz w:val="24"/>
          <w:szCs w:val="24"/>
          <w:lang w:val="pl-PL"/>
        </w:rPr>
        <w:t xml:space="preserve">, </w:t>
      </w:r>
      <w:r w:rsidR="00F70C7C" w:rsidRPr="000C3591">
        <w:rPr>
          <w:rFonts w:asciiTheme="minorHAnsi" w:hAnsiTheme="minorHAnsi"/>
          <w:color w:val="auto"/>
          <w:sz w:val="24"/>
          <w:szCs w:val="24"/>
          <w:lang w:val="pl-PL"/>
        </w:rPr>
        <w:t>skarga nr</w:t>
      </w:r>
      <w:r w:rsidRPr="000C3591">
        <w:rPr>
          <w:rFonts w:asciiTheme="minorHAnsi" w:hAnsiTheme="minorHAnsi"/>
          <w:color w:val="auto"/>
          <w:sz w:val="24"/>
          <w:szCs w:val="24"/>
          <w:lang w:val="pl-PL"/>
        </w:rPr>
        <w:t xml:space="preserve"> 4455/10</w:t>
      </w:r>
      <w:r w:rsidR="00F70C7C" w:rsidRPr="000C3591">
        <w:rPr>
          <w:rFonts w:asciiTheme="minorHAnsi" w:hAnsiTheme="minorHAnsi"/>
          <w:color w:val="auto"/>
          <w:sz w:val="24"/>
          <w:szCs w:val="24"/>
          <w:lang w:val="pl-PL"/>
        </w:rPr>
        <w:t xml:space="preserve">, wyrok </w:t>
      </w:r>
      <w:r w:rsidR="005A2F9D" w:rsidRPr="000C3591">
        <w:rPr>
          <w:rFonts w:asciiTheme="minorHAnsi" w:hAnsiTheme="minorHAnsi"/>
          <w:color w:val="auto"/>
          <w:sz w:val="24"/>
          <w:szCs w:val="24"/>
          <w:lang w:val="pl-PL"/>
        </w:rPr>
        <w:t xml:space="preserve">Wielkiej Izby </w:t>
      </w:r>
      <w:r w:rsidR="00F70C7C" w:rsidRPr="000C3591">
        <w:rPr>
          <w:rFonts w:asciiTheme="minorHAnsi" w:hAnsiTheme="minorHAnsi"/>
          <w:color w:val="auto"/>
          <w:sz w:val="24"/>
          <w:szCs w:val="24"/>
          <w:lang w:val="pl-PL"/>
        </w:rPr>
        <w:t>z 27.5.2014</w:t>
      </w:r>
      <w:bookmarkEnd w:id="29"/>
      <w:bookmarkEnd w:id="30"/>
    </w:p>
    <w:p w14:paraId="11457324" w14:textId="77777777" w:rsidR="002F13A0" w:rsidRPr="00677C9D" w:rsidRDefault="002F13A0" w:rsidP="00C83635">
      <w:pPr>
        <w:pStyle w:val="Akapitzlist"/>
        <w:numPr>
          <w:ilvl w:val="0"/>
          <w:numId w:val="17"/>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niedopuszczalność skargi na podstawie </w:t>
      </w:r>
      <w:r w:rsidR="00DC3574" w:rsidRPr="00677C9D">
        <w:rPr>
          <w:rFonts w:cs="Verdana"/>
          <w:bCs/>
          <w:sz w:val="24"/>
          <w:szCs w:val="24"/>
          <w:lang w:val="pl-PL"/>
        </w:rPr>
        <w:t>art</w:t>
      </w:r>
      <w:r w:rsidR="00F70C7C" w:rsidRPr="00677C9D">
        <w:rPr>
          <w:rFonts w:cs="Verdana"/>
          <w:bCs/>
          <w:sz w:val="24"/>
          <w:szCs w:val="24"/>
          <w:lang w:val="pl-PL"/>
        </w:rPr>
        <w:t>.</w:t>
      </w:r>
      <w:r w:rsidR="00F03E34" w:rsidRPr="00677C9D">
        <w:rPr>
          <w:rFonts w:cs="Verdana"/>
          <w:bCs/>
          <w:sz w:val="24"/>
          <w:szCs w:val="24"/>
          <w:lang w:val="pl-PL"/>
        </w:rPr>
        <w:t xml:space="preserve"> 4 </w:t>
      </w:r>
      <w:r w:rsidR="00DC3574" w:rsidRPr="00677C9D">
        <w:rPr>
          <w:rFonts w:cs="Verdana"/>
          <w:bCs/>
          <w:sz w:val="24"/>
          <w:szCs w:val="24"/>
          <w:lang w:val="pl-PL"/>
        </w:rPr>
        <w:t>Protokołu</w:t>
      </w:r>
      <w:r w:rsidR="00F70C7C" w:rsidRPr="00677C9D">
        <w:rPr>
          <w:rFonts w:cs="Verdana"/>
          <w:bCs/>
          <w:sz w:val="24"/>
          <w:szCs w:val="24"/>
          <w:lang w:val="pl-PL"/>
        </w:rPr>
        <w:t xml:space="preserve"> nr</w:t>
      </w:r>
      <w:r w:rsidR="00F03E34" w:rsidRPr="00677C9D">
        <w:rPr>
          <w:rFonts w:cs="Verdana"/>
          <w:bCs/>
          <w:sz w:val="24"/>
          <w:szCs w:val="24"/>
          <w:lang w:val="pl-PL"/>
        </w:rPr>
        <w:t xml:space="preserve"> 7</w:t>
      </w:r>
      <w:r w:rsidR="00760365" w:rsidRPr="00677C9D">
        <w:rPr>
          <w:rFonts w:cs="Verdana"/>
          <w:bCs/>
          <w:sz w:val="24"/>
          <w:szCs w:val="24"/>
          <w:lang w:val="pl-PL"/>
        </w:rPr>
        <w:t xml:space="preserve"> (prawo do niebycia sądzonym lub karanym dwukrotnie za ten sam czyn)</w:t>
      </w:r>
      <w:r w:rsidR="005A2F9D" w:rsidRPr="00677C9D">
        <w:rPr>
          <w:rFonts w:cs="Verdana"/>
          <w:bCs/>
          <w:sz w:val="24"/>
          <w:szCs w:val="24"/>
          <w:lang w:val="pl-PL"/>
        </w:rPr>
        <w:t xml:space="preserve"> –</w:t>
      </w:r>
      <w:r w:rsidR="00CB0D5F" w:rsidRPr="00677C9D">
        <w:rPr>
          <w:rFonts w:cs="Verdana"/>
          <w:bCs/>
          <w:sz w:val="24"/>
          <w:szCs w:val="24"/>
          <w:lang w:val="pl-PL"/>
        </w:rPr>
        <w:t xml:space="preserve"> skarga dotyczyła</w:t>
      </w:r>
      <w:r w:rsidR="00760365" w:rsidRPr="00677C9D">
        <w:rPr>
          <w:rFonts w:cs="Verdana"/>
          <w:bCs/>
          <w:sz w:val="24"/>
          <w:szCs w:val="24"/>
          <w:lang w:val="pl-PL"/>
        </w:rPr>
        <w:t xml:space="preserve"> skazania</w:t>
      </w:r>
      <w:r w:rsidR="005A2F9D" w:rsidRPr="00677C9D">
        <w:rPr>
          <w:rFonts w:cs="Verdana"/>
          <w:bCs/>
          <w:sz w:val="24"/>
          <w:szCs w:val="24"/>
          <w:lang w:val="pl-PL"/>
        </w:rPr>
        <w:t xml:space="preserve"> za zbrodnie wojenne żołnierza, </w:t>
      </w:r>
      <w:r w:rsidR="00760365" w:rsidRPr="00677C9D">
        <w:rPr>
          <w:rFonts w:cs="Verdana"/>
          <w:bCs/>
          <w:sz w:val="24"/>
          <w:szCs w:val="24"/>
          <w:lang w:val="pl-PL"/>
        </w:rPr>
        <w:t xml:space="preserve">mimo że </w:t>
      </w:r>
      <w:r w:rsidR="005A2F9D" w:rsidRPr="00677C9D">
        <w:rPr>
          <w:rFonts w:cs="Verdana"/>
          <w:bCs/>
          <w:sz w:val="24"/>
          <w:szCs w:val="24"/>
          <w:lang w:val="pl-PL"/>
        </w:rPr>
        <w:t xml:space="preserve">wcześniej </w:t>
      </w:r>
      <w:r w:rsidR="00760365" w:rsidRPr="00677C9D">
        <w:rPr>
          <w:rFonts w:cs="Verdana"/>
          <w:bCs/>
          <w:sz w:val="24"/>
          <w:szCs w:val="24"/>
          <w:lang w:val="pl-PL"/>
        </w:rPr>
        <w:t xml:space="preserve">– błędnie – uznano, iż ma do niego zastosowanie amnestia. </w:t>
      </w:r>
    </w:p>
    <w:p w14:paraId="305EDF68" w14:textId="77777777" w:rsidR="00F03E34" w:rsidRPr="00677C9D" w:rsidRDefault="007F4F0F" w:rsidP="00C83635">
      <w:pPr>
        <w:pStyle w:val="Akapitzlist"/>
        <w:numPr>
          <w:ilvl w:val="0"/>
          <w:numId w:val="17"/>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Trybunał przypomniał</w:t>
      </w:r>
      <w:r w:rsidR="00650A7D" w:rsidRPr="00677C9D">
        <w:rPr>
          <w:rFonts w:cs="Verdana"/>
          <w:bCs/>
          <w:sz w:val="24"/>
          <w:szCs w:val="24"/>
          <w:lang w:val="pl-PL"/>
        </w:rPr>
        <w:t xml:space="preserve"> </w:t>
      </w:r>
      <w:r w:rsidRPr="00677C9D">
        <w:rPr>
          <w:rFonts w:cs="Verdana"/>
          <w:bCs/>
          <w:sz w:val="24"/>
          <w:szCs w:val="24"/>
          <w:lang w:val="pl-PL"/>
        </w:rPr>
        <w:t xml:space="preserve">m.in., że </w:t>
      </w:r>
      <w:r w:rsidR="00650A7D" w:rsidRPr="00677C9D">
        <w:rPr>
          <w:rFonts w:cs="Verdana"/>
          <w:bCs/>
          <w:sz w:val="24"/>
          <w:szCs w:val="24"/>
          <w:lang w:val="pl-PL"/>
        </w:rPr>
        <w:t>w prawie międzynarodowym rozwija się tendencja</w:t>
      </w:r>
      <w:r w:rsidR="00957C03">
        <w:rPr>
          <w:rFonts w:cs="Verdana"/>
          <w:bCs/>
          <w:sz w:val="24"/>
          <w:szCs w:val="24"/>
          <w:lang w:val="pl-PL"/>
        </w:rPr>
        <w:t>,</w:t>
      </w:r>
      <w:r w:rsidR="00650A7D" w:rsidRPr="00677C9D">
        <w:rPr>
          <w:rFonts w:cs="Verdana"/>
          <w:bCs/>
          <w:sz w:val="24"/>
          <w:szCs w:val="24"/>
          <w:lang w:val="pl-PL"/>
        </w:rPr>
        <w:t xml:space="preserve"> w świetle której</w:t>
      </w:r>
      <w:r w:rsidRPr="00677C9D">
        <w:rPr>
          <w:rFonts w:cs="Verdana"/>
          <w:bCs/>
          <w:sz w:val="24"/>
          <w:szCs w:val="24"/>
          <w:lang w:val="pl-PL"/>
        </w:rPr>
        <w:t xml:space="preserve"> udzielenie amnestii w odniesieniu do poważnych naruszeń praw człowieka jest nieakceptow</w:t>
      </w:r>
      <w:r w:rsidR="00CB0D5F" w:rsidRPr="00677C9D">
        <w:rPr>
          <w:rFonts w:cs="Verdana"/>
          <w:bCs/>
          <w:sz w:val="24"/>
          <w:szCs w:val="24"/>
          <w:lang w:val="pl-PL"/>
        </w:rPr>
        <w:t>alne</w:t>
      </w:r>
      <w:r w:rsidR="00650A7D" w:rsidRPr="00677C9D">
        <w:rPr>
          <w:rFonts w:cs="Verdana"/>
          <w:bCs/>
          <w:sz w:val="24"/>
          <w:szCs w:val="24"/>
          <w:lang w:val="pl-PL"/>
        </w:rPr>
        <w:t>. W sprawie skarżącego nic nie wskaz</w:t>
      </w:r>
      <w:r w:rsidR="002F13A0" w:rsidRPr="00677C9D">
        <w:rPr>
          <w:rFonts w:cs="Verdana"/>
          <w:bCs/>
          <w:sz w:val="24"/>
          <w:szCs w:val="24"/>
          <w:lang w:val="pl-PL"/>
        </w:rPr>
        <w:t>ywało</w:t>
      </w:r>
      <w:r w:rsidR="00650A7D" w:rsidRPr="00677C9D">
        <w:rPr>
          <w:rFonts w:cs="Verdana"/>
          <w:bCs/>
          <w:sz w:val="24"/>
          <w:szCs w:val="24"/>
          <w:lang w:val="pl-PL"/>
        </w:rPr>
        <w:t xml:space="preserve">, by amnestia została udzielona w związku </w:t>
      </w:r>
      <w:r w:rsidR="00814DD8" w:rsidRPr="00677C9D">
        <w:rPr>
          <w:rFonts w:cs="Verdana"/>
          <w:bCs/>
          <w:sz w:val="24"/>
          <w:szCs w:val="24"/>
          <w:lang w:val="pl-PL"/>
        </w:rPr>
        <w:t>z procesem pojednania czy też zadośćuczynienia dla ofiar</w:t>
      </w:r>
      <w:r w:rsidR="00CB0D5F" w:rsidRPr="00677C9D">
        <w:rPr>
          <w:rFonts w:cs="Verdana"/>
          <w:bCs/>
          <w:sz w:val="24"/>
          <w:szCs w:val="24"/>
          <w:lang w:val="pl-PL"/>
        </w:rPr>
        <w:t xml:space="preserve">. </w:t>
      </w:r>
      <w:r w:rsidR="00AD2867" w:rsidRPr="00677C9D">
        <w:rPr>
          <w:rFonts w:cs="Verdana"/>
          <w:bCs/>
          <w:sz w:val="24"/>
          <w:szCs w:val="24"/>
          <w:lang w:val="pl-PL"/>
        </w:rPr>
        <w:t>N</w:t>
      </w:r>
      <w:r w:rsidR="00650A7D" w:rsidRPr="00677C9D">
        <w:rPr>
          <w:rFonts w:cs="Verdana"/>
          <w:bCs/>
          <w:sz w:val="24"/>
          <w:szCs w:val="24"/>
          <w:lang w:val="pl-PL"/>
        </w:rPr>
        <w:t>a mocy art. 2</w:t>
      </w:r>
      <w:r w:rsidR="00AD2867" w:rsidRPr="00677C9D">
        <w:rPr>
          <w:rFonts w:cs="Verdana"/>
          <w:bCs/>
          <w:sz w:val="24"/>
          <w:szCs w:val="24"/>
          <w:lang w:val="pl-PL"/>
        </w:rPr>
        <w:t xml:space="preserve"> (prawo do życia)</w:t>
      </w:r>
      <w:r w:rsidR="00650A7D" w:rsidRPr="00677C9D">
        <w:rPr>
          <w:rFonts w:cs="Verdana"/>
          <w:bCs/>
          <w:sz w:val="24"/>
          <w:szCs w:val="24"/>
          <w:lang w:val="pl-PL"/>
        </w:rPr>
        <w:t xml:space="preserve"> i </w:t>
      </w:r>
      <w:r w:rsidR="00AD2867" w:rsidRPr="00677C9D">
        <w:rPr>
          <w:rFonts w:cs="Verdana"/>
          <w:bCs/>
          <w:sz w:val="24"/>
          <w:szCs w:val="24"/>
          <w:lang w:val="pl-PL"/>
        </w:rPr>
        <w:t xml:space="preserve">art. </w:t>
      </w:r>
      <w:r w:rsidR="00650A7D" w:rsidRPr="00677C9D">
        <w:rPr>
          <w:rFonts w:cs="Verdana"/>
          <w:bCs/>
          <w:sz w:val="24"/>
          <w:szCs w:val="24"/>
          <w:lang w:val="pl-PL"/>
        </w:rPr>
        <w:t xml:space="preserve">3 </w:t>
      </w:r>
      <w:r w:rsidR="00AD2867" w:rsidRPr="00677C9D">
        <w:rPr>
          <w:rFonts w:cs="Verdana"/>
          <w:bCs/>
          <w:sz w:val="24"/>
          <w:szCs w:val="24"/>
          <w:lang w:val="pl-PL"/>
        </w:rPr>
        <w:t xml:space="preserve">(zakaz tortur) </w:t>
      </w:r>
      <w:r w:rsidR="00650A7D" w:rsidRPr="00677C9D">
        <w:rPr>
          <w:rFonts w:cs="Verdana"/>
          <w:bCs/>
          <w:sz w:val="24"/>
          <w:szCs w:val="24"/>
          <w:lang w:val="pl-PL"/>
        </w:rPr>
        <w:t xml:space="preserve">Konwencji państwa mają obowiązek ścigania czynów stanowiących przypadki tortur lub umyślnego zabójstwa cywilów. </w:t>
      </w:r>
      <w:r w:rsidR="00664B88" w:rsidRPr="00677C9D">
        <w:rPr>
          <w:rFonts w:cs="Verdana"/>
          <w:bCs/>
          <w:sz w:val="24"/>
          <w:szCs w:val="24"/>
          <w:lang w:val="pl-PL"/>
        </w:rPr>
        <w:t xml:space="preserve">Ponowne oskarżenie skarżącego o te czyny stanowiło realizację przez państwo obowiązku skutecznego śledztwa na postawie art. 2 i 3 Konwencji. </w:t>
      </w:r>
      <w:r w:rsidR="00760365" w:rsidRPr="00677C9D">
        <w:rPr>
          <w:rFonts w:cs="Verdana"/>
          <w:bCs/>
          <w:sz w:val="24"/>
          <w:szCs w:val="24"/>
          <w:lang w:val="pl-PL"/>
        </w:rPr>
        <w:t>W rezultacie, art. 4 Protokołu nr 7 nie znajduje zastosowania</w:t>
      </w:r>
      <w:r w:rsidR="00CB0D5F" w:rsidRPr="00677C9D">
        <w:rPr>
          <w:rFonts w:cs="Verdana"/>
          <w:bCs/>
          <w:sz w:val="24"/>
          <w:szCs w:val="24"/>
          <w:lang w:val="pl-PL"/>
        </w:rPr>
        <w:t>, a skarga jest w tym zakresie niedopuszczalna.</w:t>
      </w:r>
    </w:p>
    <w:p w14:paraId="42AD5C84" w14:textId="77777777" w:rsidR="009970ED" w:rsidRPr="00677C9D" w:rsidRDefault="00F02FBE" w:rsidP="00AE0C12">
      <w:pPr>
        <w:autoSpaceDE w:val="0"/>
        <w:autoSpaceDN w:val="0"/>
        <w:adjustRightInd w:val="0"/>
        <w:spacing w:after="120" w:line="240" w:lineRule="auto"/>
        <w:jc w:val="both"/>
        <w:rPr>
          <w:rFonts w:cs="Verdana"/>
          <w:sz w:val="24"/>
          <w:szCs w:val="24"/>
          <w:lang w:val="pl-PL"/>
        </w:rPr>
      </w:pPr>
      <w:r w:rsidRPr="00677C9D">
        <w:rPr>
          <w:rFonts w:cs="Verdana"/>
          <w:bCs/>
          <w:sz w:val="24"/>
          <w:szCs w:val="24"/>
          <w:u w:val="single"/>
          <w:lang w:val="pl-PL"/>
        </w:rPr>
        <w:t>Znaczenie wyroku dla Polski</w:t>
      </w:r>
      <w:r w:rsidR="00664B88" w:rsidRPr="00677C9D">
        <w:rPr>
          <w:rFonts w:cs="Verdana"/>
          <w:bCs/>
          <w:sz w:val="24"/>
          <w:szCs w:val="24"/>
          <w:lang w:val="pl-PL"/>
        </w:rPr>
        <w:t>:</w:t>
      </w:r>
      <w:r w:rsidR="00692A45" w:rsidRPr="00677C9D">
        <w:rPr>
          <w:rFonts w:cs="Verdana"/>
          <w:bCs/>
          <w:sz w:val="24"/>
          <w:szCs w:val="24"/>
          <w:lang w:val="pl-PL"/>
        </w:rPr>
        <w:t xml:space="preserve"> </w:t>
      </w:r>
      <w:r w:rsidR="00237338" w:rsidRPr="00677C9D">
        <w:rPr>
          <w:rFonts w:cs="Verdana"/>
          <w:bCs/>
          <w:sz w:val="24"/>
          <w:szCs w:val="24"/>
          <w:lang w:val="pl-PL"/>
        </w:rPr>
        <w:t xml:space="preserve">warto </w:t>
      </w:r>
      <w:r w:rsidR="00692A45" w:rsidRPr="00677C9D">
        <w:rPr>
          <w:rFonts w:cs="Verdana"/>
          <w:bCs/>
          <w:sz w:val="24"/>
          <w:szCs w:val="24"/>
          <w:lang w:val="pl-PL"/>
        </w:rPr>
        <w:t xml:space="preserve">przeanalizować </w:t>
      </w:r>
      <w:r w:rsidRPr="00677C9D">
        <w:rPr>
          <w:rFonts w:cs="Verdana"/>
          <w:bCs/>
          <w:sz w:val="24"/>
          <w:szCs w:val="24"/>
          <w:lang w:val="pl-PL"/>
        </w:rPr>
        <w:t xml:space="preserve">(MS, PG, SN, TK i Kancelaria Prezydenta) orzeczenie </w:t>
      </w:r>
      <w:r w:rsidR="00664B88" w:rsidRPr="00677C9D">
        <w:rPr>
          <w:rFonts w:cs="Verdana"/>
          <w:bCs/>
          <w:sz w:val="24"/>
          <w:szCs w:val="24"/>
          <w:lang w:val="pl-PL"/>
        </w:rPr>
        <w:t xml:space="preserve">w odniesieniu do </w:t>
      </w:r>
      <w:r w:rsidR="00136B32" w:rsidRPr="00677C9D">
        <w:rPr>
          <w:rFonts w:cs="Verdana"/>
          <w:bCs/>
          <w:sz w:val="24"/>
          <w:szCs w:val="24"/>
          <w:lang w:val="pl-PL"/>
        </w:rPr>
        <w:t>zasad</w:t>
      </w:r>
      <w:r w:rsidR="004E6386" w:rsidRPr="00677C9D">
        <w:rPr>
          <w:rFonts w:cs="Verdana"/>
          <w:bCs/>
          <w:sz w:val="24"/>
          <w:szCs w:val="24"/>
          <w:lang w:val="pl-PL"/>
        </w:rPr>
        <w:t xml:space="preserve"> i praktyki</w:t>
      </w:r>
      <w:r w:rsidR="00136B32" w:rsidRPr="00677C9D">
        <w:rPr>
          <w:rFonts w:cs="Verdana"/>
          <w:bCs/>
          <w:sz w:val="24"/>
          <w:szCs w:val="24"/>
          <w:lang w:val="pl-PL"/>
        </w:rPr>
        <w:t xml:space="preserve"> </w:t>
      </w:r>
      <w:r w:rsidR="00664B88" w:rsidRPr="00677C9D">
        <w:rPr>
          <w:rFonts w:cs="Verdana"/>
          <w:bCs/>
          <w:sz w:val="24"/>
          <w:szCs w:val="24"/>
          <w:lang w:val="pl-PL"/>
        </w:rPr>
        <w:t>stosowania amnestii, prawa łaski</w:t>
      </w:r>
      <w:r w:rsidR="00723602" w:rsidRPr="00677C9D">
        <w:rPr>
          <w:rFonts w:cs="Verdana"/>
          <w:bCs/>
          <w:sz w:val="24"/>
          <w:szCs w:val="24"/>
          <w:lang w:val="pl-PL"/>
        </w:rPr>
        <w:t>, itp.</w:t>
      </w:r>
      <w:r w:rsidR="00136B32" w:rsidRPr="00677C9D">
        <w:rPr>
          <w:rFonts w:cs="Verdana"/>
          <w:bCs/>
          <w:sz w:val="24"/>
          <w:szCs w:val="24"/>
          <w:lang w:val="pl-PL"/>
        </w:rPr>
        <w:t xml:space="preserve"> w przypadkach dotyczących jednocześnie obowiązku przeprowadzenia </w:t>
      </w:r>
      <w:r w:rsidR="00957C03">
        <w:rPr>
          <w:rFonts w:cs="Verdana"/>
          <w:bCs/>
          <w:sz w:val="24"/>
          <w:szCs w:val="24"/>
          <w:lang w:val="pl-PL"/>
        </w:rPr>
        <w:t xml:space="preserve">przez państwo </w:t>
      </w:r>
      <w:r w:rsidR="00136B32" w:rsidRPr="00677C9D">
        <w:rPr>
          <w:rFonts w:cs="Verdana"/>
          <w:bCs/>
          <w:sz w:val="24"/>
          <w:szCs w:val="24"/>
          <w:lang w:val="pl-PL"/>
        </w:rPr>
        <w:t>skutecznego śledztwa na podstawie art. 2 i 3 Konwencji</w:t>
      </w:r>
      <w:r w:rsidR="00814DD8" w:rsidRPr="00677C9D">
        <w:rPr>
          <w:rFonts w:cs="Verdana"/>
          <w:bCs/>
          <w:sz w:val="24"/>
          <w:szCs w:val="24"/>
          <w:lang w:val="pl-PL"/>
        </w:rPr>
        <w:t xml:space="preserve"> </w:t>
      </w:r>
      <w:r w:rsidR="00967A31" w:rsidRPr="00677C9D">
        <w:rPr>
          <w:rFonts w:cs="Verdana"/>
          <w:bCs/>
          <w:sz w:val="24"/>
          <w:szCs w:val="24"/>
          <w:lang w:val="pl-PL"/>
        </w:rPr>
        <w:t xml:space="preserve">(w szczególności </w:t>
      </w:r>
      <w:r w:rsidR="00814DD8" w:rsidRPr="00677C9D">
        <w:rPr>
          <w:rFonts w:cs="Verdana"/>
          <w:bCs/>
          <w:sz w:val="24"/>
          <w:szCs w:val="24"/>
          <w:lang w:val="pl-PL"/>
        </w:rPr>
        <w:t>w odniesieniu do najpoważniejszych zbrodni na gruncie prawa międzynarodowego</w:t>
      </w:r>
      <w:r w:rsidR="00967A31" w:rsidRPr="00677C9D">
        <w:rPr>
          <w:rFonts w:cs="Verdana"/>
          <w:bCs/>
          <w:sz w:val="24"/>
          <w:szCs w:val="24"/>
          <w:lang w:val="pl-PL"/>
        </w:rPr>
        <w:t>)</w:t>
      </w:r>
      <w:r w:rsidR="00664B88" w:rsidRPr="00677C9D">
        <w:rPr>
          <w:rFonts w:cs="Verdana"/>
          <w:bCs/>
          <w:sz w:val="24"/>
          <w:szCs w:val="24"/>
          <w:lang w:val="pl-PL"/>
        </w:rPr>
        <w:t xml:space="preserve">. </w:t>
      </w:r>
      <w:r w:rsidR="00684387" w:rsidRPr="00677C9D">
        <w:rPr>
          <w:rFonts w:cs="Verdana"/>
          <w:bCs/>
          <w:sz w:val="24"/>
          <w:szCs w:val="24"/>
          <w:lang w:val="pl-PL"/>
        </w:rPr>
        <w:t xml:space="preserve"> </w:t>
      </w:r>
    </w:p>
    <w:p w14:paraId="0FC31597" w14:textId="77777777" w:rsidR="00F70C7C" w:rsidRPr="000C3591" w:rsidRDefault="00F03E34" w:rsidP="000C3591">
      <w:pPr>
        <w:pStyle w:val="Nagwek1"/>
        <w:numPr>
          <w:ilvl w:val="0"/>
          <w:numId w:val="34"/>
        </w:numPr>
        <w:rPr>
          <w:rFonts w:asciiTheme="minorHAnsi" w:hAnsiTheme="minorHAnsi"/>
          <w:color w:val="auto"/>
          <w:sz w:val="24"/>
          <w:szCs w:val="24"/>
          <w:lang w:val="pl-PL"/>
        </w:rPr>
      </w:pPr>
      <w:bookmarkStart w:id="31" w:name="_Toc415257925"/>
      <w:bookmarkStart w:id="32" w:name="_Toc415646196"/>
      <w:proofErr w:type="spellStart"/>
      <w:r w:rsidRPr="000C3591">
        <w:rPr>
          <w:rFonts w:asciiTheme="minorHAnsi" w:hAnsiTheme="minorHAnsi"/>
          <w:color w:val="auto"/>
          <w:sz w:val="24"/>
          <w:szCs w:val="24"/>
          <w:lang w:val="pl-PL"/>
        </w:rPr>
        <w:t>Mennesson</w:t>
      </w:r>
      <w:proofErr w:type="spellEnd"/>
      <w:r w:rsidRPr="000C3591">
        <w:rPr>
          <w:rFonts w:asciiTheme="minorHAnsi" w:hAnsiTheme="minorHAnsi"/>
          <w:color w:val="auto"/>
          <w:sz w:val="24"/>
          <w:szCs w:val="24"/>
          <w:lang w:val="pl-PL"/>
        </w:rPr>
        <w:t xml:space="preserve"> </w:t>
      </w:r>
      <w:r w:rsidR="00F70C7C" w:rsidRPr="000C3591">
        <w:rPr>
          <w:rFonts w:asciiTheme="minorHAnsi" w:hAnsiTheme="minorHAnsi"/>
          <w:color w:val="auto"/>
          <w:sz w:val="24"/>
          <w:szCs w:val="24"/>
          <w:lang w:val="pl-PL"/>
        </w:rPr>
        <w:t>przeciwko</w:t>
      </w:r>
      <w:r w:rsidR="001343DC" w:rsidRPr="000C3591">
        <w:rPr>
          <w:rFonts w:asciiTheme="minorHAnsi" w:hAnsiTheme="minorHAnsi"/>
          <w:color w:val="auto"/>
          <w:sz w:val="24"/>
          <w:szCs w:val="24"/>
          <w:lang w:val="pl-PL"/>
        </w:rPr>
        <w:t xml:space="preserve"> Francji</w:t>
      </w:r>
      <w:r w:rsidRPr="000C3591">
        <w:rPr>
          <w:rFonts w:asciiTheme="minorHAnsi" w:hAnsiTheme="minorHAnsi"/>
          <w:color w:val="auto"/>
          <w:sz w:val="24"/>
          <w:szCs w:val="24"/>
          <w:lang w:val="pl-PL"/>
        </w:rPr>
        <w:t xml:space="preserve">, </w:t>
      </w:r>
      <w:r w:rsidR="00F70C7C" w:rsidRPr="000C3591">
        <w:rPr>
          <w:rFonts w:asciiTheme="minorHAnsi" w:hAnsiTheme="minorHAnsi"/>
          <w:color w:val="auto"/>
          <w:sz w:val="24"/>
          <w:szCs w:val="24"/>
          <w:lang w:val="pl-PL"/>
        </w:rPr>
        <w:t>skarga nr</w:t>
      </w:r>
      <w:r w:rsidRPr="000C3591">
        <w:rPr>
          <w:rFonts w:asciiTheme="minorHAnsi" w:hAnsiTheme="minorHAnsi"/>
          <w:color w:val="auto"/>
          <w:sz w:val="24"/>
          <w:szCs w:val="24"/>
          <w:lang w:val="pl-PL"/>
        </w:rPr>
        <w:t xml:space="preserve"> 65192/11</w:t>
      </w:r>
      <w:r w:rsidR="00F70C7C" w:rsidRPr="000C3591">
        <w:rPr>
          <w:rFonts w:asciiTheme="minorHAnsi" w:hAnsiTheme="minorHAnsi"/>
          <w:color w:val="auto"/>
          <w:sz w:val="24"/>
          <w:szCs w:val="24"/>
          <w:lang w:val="pl-PL"/>
        </w:rPr>
        <w:t>, wyrok z 26.6.2014</w:t>
      </w:r>
      <w:bookmarkEnd w:id="31"/>
      <w:bookmarkEnd w:id="32"/>
    </w:p>
    <w:p w14:paraId="4A1FE8F8" w14:textId="77777777" w:rsidR="00164B9A" w:rsidRPr="002F13A0" w:rsidRDefault="00164B9A" w:rsidP="00164B9A">
      <w:pPr>
        <w:pStyle w:val="Akapitzlist"/>
        <w:numPr>
          <w:ilvl w:val="0"/>
          <w:numId w:val="18"/>
        </w:numPr>
        <w:autoSpaceDE w:val="0"/>
        <w:autoSpaceDN w:val="0"/>
        <w:adjustRightInd w:val="0"/>
        <w:spacing w:after="120" w:line="240" w:lineRule="auto"/>
        <w:jc w:val="both"/>
        <w:rPr>
          <w:rFonts w:cs="Verdana"/>
          <w:bCs/>
          <w:sz w:val="24"/>
          <w:szCs w:val="24"/>
          <w:lang w:val="pl-PL"/>
        </w:rPr>
      </w:pPr>
      <w:r w:rsidRPr="002F13A0">
        <w:rPr>
          <w:rFonts w:cs="Verdana"/>
          <w:bCs/>
          <w:sz w:val="24"/>
          <w:szCs w:val="24"/>
          <w:lang w:val="pl-PL"/>
        </w:rPr>
        <w:t>naruszenie art. 8 (prawo do poszanowania życia prywatnego i rodzinnego) poprzez odmowę  prawnego uznania relacji rodzic-dziecko, w stosunku do dzieci urodzonych w USA na podstawie umowy przez surogatkę</w:t>
      </w:r>
      <w:r>
        <w:rPr>
          <w:rFonts w:cs="Verdana"/>
          <w:bCs/>
          <w:sz w:val="24"/>
          <w:szCs w:val="24"/>
          <w:lang w:val="pl-PL"/>
        </w:rPr>
        <w:t>;</w:t>
      </w:r>
      <w:r w:rsidRPr="002F13A0">
        <w:rPr>
          <w:rFonts w:cs="Verdana"/>
          <w:bCs/>
          <w:sz w:val="24"/>
          <w:szCs w:val="24"/>
          <w:highlight w:val="yellow"/>
          <w:lang w:val="pl-PL"/>
        </w:rPr>
        <w:t xml:space="preserve"> </w:t>
      </w:r>
    </w:p>
    <w:p w14:paraId="453944E4" w14:textId="77777777" w:rsidR="00164B9A" w:rsidRPr="00677C9D" w:rsidRDefault="00164B9A" w:rsidP="00164B9A">
      <w:pPr>
        <w:pStyle w:val="Akapitzlist"/>
        <w:numPr>
          <w:ilvl w:val="0"/>
          <w:numId w:val="18"/>
        </w:numPr>
        <w:autoSpaceDE w:val="0"/>
        <w:autoSpaceDN w:val="0"/>
        <w:adjustRightInd w:val="0"/>
        <w:spacing w:after="120" w:line="240" w:lineRule="auto"/>
        <w:jc w:val="both"/>
        <w:rPr>
          <w:rFonts w:cs="Verdana"/>
          <w:bCs/>
          <w:sz w:val="24"/>
          <w:szCs w:val="24"/>
          <w:lang w:val="pl-PL"/>
        </w:rPr>
      </w:pPr>
      <w:r>
        <w:rPr>
          <w:rFonts w:cs="Verdana"/>
          <w:bCs/>
          <w:sz w:val="24"/>
          <w:szCs w:val="24"/>
          <w:lang w:val="pl-PL"/>
        </w:rPr>
        <w:t>sprawa dotyczyła odmowy uznania na gruncie prawa francuskiego praw dzieci urodzonych w wyniku surogacji na terenie Stanów Zjednoczonych, w tym odmowę uznania ich za obywateli francuskich. F</w:t>
      </w:r>
      <w:r w:rsidRPr="002F13A0">
        <w:rPr>
          <w:rFonts w:cs="Verdana"/>
          <w:bCs/>
          <w:sz w:val="24"/>
          <w:szCs w:val="24"/>
          <w:lang w:val="pl-PL"/>
        </w:rPr>
        <w:t xml:space="preserve">rancuski Sąd Kasacyjny uznał, że zarejestrowanie w aktach stanu cywilnego oznaczałoby przyznanie skutków porozumieniu ws. surogacji, które jest nieważne w świetle prawa francuskiego. </w:t>
      </w:r>
      <w:r w:rsidRPr="00677C9D">
        <w:rPr>
          <w:rFonts w:cs="Verdana"/>
          <w:bCs/>
          <w:sz w:val="24"/>
          <w:szCs w:val="24"/>
          <w:lang w:val="pl-PL"/>
        </w:rPr>
        <w:t>Sąd francuski podkreślił również, że decyzje władz francuskich nie podważają relacji dziecko-rodzic, która w dalszym ciągu istnieje w świetle regulacji obowiązujących w USA, nie pozbawia też rodziny możliwości zamieszkania we Francji.</w:t>
      </w:r>
    </w:p>
    <w:p w14:paraId="4114ADA7" w14:textId="77777777" w:rsidR="00164B9A" w:rsidRPr="00677C9D" w:rsidRDefault="00164B9A" w:rsidP="00164B9A">
      <w:pPr>
        <w:pStyle w:val="Akapitzlist"/>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Trybunał odnotował, iż zakaz surogacji obowiązuje w wielu państwach RE, ale jest to obszar, w którym państwa mają pewien margines oceny, podlegając równocześnie w tym względzie kontroli Trybunału. </w:t>
      </w:r>
      <w:r>
        <w:rPr>
          <w:rFonts w:cs="Verdana"/>
          <w:bCs/>
          <w:sz w:val="24"/>
          <w:szCs w:val="24"/>
          <w:lang w:val="pl-PL"/>
        </w:rPr>
        <w:t>W</w:t>
      </w:r>
      <w:r w:rsidRPr="00677C9D">
        <w:rPr>
          <w:rFonts w:cs="Verdana"/>
          <w:bCs/>
          <w:sz w:val="24"/>
          <w:szCs w:val="24"/>
          <w:lang w:val="pl-PL"/>
        </w:rPr>
        <w:t xml:space="preserve"> </w:t>
      </w:r>
      <w:r>
        <w:rPr>
          <w:rFonts w:cs="Verdana"/>
          <w:bCs/>
          <w:sz w:val="24"/>
          <w:szCs w:val="24"/>
          <w:lang w:val="pl-PL"/>
        </w:rPr>
        <w:t xml:space="preserve">omawianej </w:t>
      </w:r>
      <w:r w:rsidRPr="00677C9D">
        <w:rPr>
          <w:rFonts w:cs="Verdana"/>
          <w:bCs/>
          <w:sz w:val="24"/>
          <w:szCs w:val="24"/>
          <w:lang w:val="pl-PL"/>
        </w:rPr>
        <w:t xml:space="preserve">sprawie Trybunał odróżnił sytuację rodziców od sytuacji dzieci i stwierdził naruszenie w odniesieniu do prawa do poszanowania życia prywatnego przysługującego dzieciom na gruncie art. 8, </w:t>
      </w:r>
      <w:r w:rsidRPr="00677C9D">
        <w:rPr>
          <w:rFonts w:cs="Verdana"/>
          <w:bCs/>
          <w:sz w:val="24"/>
          <w:szCs w:val="24"/>
          <w:lang w:val="pl-PL"/>
        </w:rPr>
        <w:lastRenderedPageBreak/>
        <w:t>natomiast brak naruszenia w odniesieniu do prawa do życia rodzinnego rodziców. Choć dopatrzył się pewnych utrudnień w życiu codziennym przez skarżących rodziców z uwagi na brak uregulowania ich sytuacji prawnej w odniesieniu do dzieci, uznał mimo to, że trudności te nie były aż takie, by nie można było sobie z nimi poradzić</w:t>
      </w:r>
      <w:r>
        <w:rPr>
          <w:rFonts w:cs="Verdana"/>
          <w:bCs/>
          <w:sz w:val="24"/>
          <w:szCs w:val="24"/>
          <w:lang w:val="pl-PL"/>
        </w:rPr>
        <w:t>. W tym zakresie w</w:t>
      </w:r>
      <w:r w:rsidRPr="00677C9D">
        <w:rPr>
          <w:rFonts w:cs="Verdana"/>
          <w:bCs/>
          <w:sz w:val="24"/>
          <w:szCs w:val="24"/>
          <w:lang w:val="pl-PL"/>
        </w:rPr>
        <w:t xml:space="preserve">ładze francuskie nie przekroczyły przysługującego im marginesu uznania, a </w:t>
      </w:r>
      <w:r>
        <w:rPr>
          <w:rFonts w:cs="Verdana"/>
          <w:bCs/>
          <w:sz w:val="24"/>
          <w:szCs w:val="24"/>
          <w:lang w:val="pl-PL"/>
        </w:rPr>
        <w:t xml:space="preserve">ich </w:t>
      </w:r>
      <w:r w:rsidRPr="00677C9D">
        <w:rPr>
          <w:rFonts w:cs="Verdana"/>
          <w:bCs/>
          <w:sz w:val="24"/>
          <w:szCs w:val="24"/>
          <w:lang w:val="pl-PL"/>
        </w:rPr>
        <w:t xml:space="preserve">ingerencja nie była nieproporcjonalna. Trybunał stwierdził natomiast naruszenie art. 8 w odniesieniu do </w:t>
      </w:r>
      <w:r>
        <w:rPr>
          <w:rFonts w:cs="Verdana"/>
          <w:bCs/>
          <w:sz w:val="24"/>
          <w:szCs w:val="24"/>
          <w:lang w:val="pl-PL"/>
        </w:rPr>
        <w:t xml:space="preserve">praw </w:t>
      </w:r>
      <w:r w:rsidRPr="00677C9D">
        <w:rPr>
          <w:rFonts w:cs="Verdana"/>
          <w:bCs/>
          <w:sz w:val="24"/>
          <w:szCs w:val="24"/>
          <w:lang w:val="pl-PL"/>
        </w:rPr>
        <w:t xml:space="preserve">dzieci skarżących, z uwagi na niemożność uzyskania przez nie obywatelstwa francuskiego, mimo że obywatelstwo takie miał ich biologiczny ojciec, co może mieć negatywne skutki dla kształtowania się tożsamości dziecka. Sytuacja ta może też negatywnie wpływać na ich prawa spadkowe w stosunku do biologicznego ojca. Zważywszy na znaczenie pokrewieństwa biologicznego, trudno uznać, iż w interesie dziecka leży odmowa </w:t>
      </w:r>
      <w:r>
        <w:rPr>
          <w:rFonts w:cs="Verdana"/>
          <w:bCs/>
          <w:sz w:val="24"/>
          <w:szCs w:val="24"/>
          <w:lang w:val="pl-PL"/>
        </w:rPr>
        <w:t xml:space="preserve">prawnego </w:t>
      </w:r>
      <w:r w:rsidRPr="00677C9D">
        <w:rPr>
          <w:rFonts w:cs="Verdana"/>
          <w:bCs/>
          <w:sz w:val="24"/>
          <w:szCs w:val="24"/>
          <w:lang w:val="pl-PL"/>
        </w:rPr>
        <w:t xml:space="preserve">uznania potwierdzonych więzi biologicznych. Choć celem ograniczeń wprowadzonych przez władze francuskie było zniechęcenie jej obywateli do korzystania za granicą z niedozwolonych we Francji technik prokreacji, skutki tych ograniczeń dotknęły jednak nie tylko te osoby, ale też ich dzieci. W obecnej sytuacji odmawiano nie tylko uznania skutków zagranicznego aktu urodzenia, ale też innych form ustanowienia relacji między rodzicem a dzieckiem, np. w drodze oświadczenia. Sytuacja ta wykraczała poza margines uznania państwa, a z uwagi na brak odpowiedniego wyważenia interesu dzieci doszło do naruszenia art. 8 Konwencji. </w:t>
      </w:r>
    </w:p>
    <w:p w14:paraId="5156BCCE" w14:textId="77777777" w:rsidR="00164B9A" w:rsidRPr="00677C9D" w:rsidRDefault="00164B9A" w:rsidP="00164B9A">
      <w:pPr>
        <w:autoSpaceDE w:val="0"/>
        <w:autoSpaceDN w:val="0"/>
        <w:adjustRightInd w:val="0"/>
        <w:spacing w:after="120" w:line="240" w:lineRule="auto"/>
        <w:jc w:val="both"/>
        <w:rPr>
          <w:rFonts w:cs="Verdana"/>
          <w:bCs/>
          <w:sz w:val="24"/>
          <w:szCs w:val="24"/>
          <w:lang w:val="pl-PL"/>
        </w:rPr>
      </w:pPr>
      <w:r w:rsidRPr="00677C9D">
        <w:rPr>
          <w:rFonts w:cs="Verdana"/>
          <w:bCs/>
          <w:sz w:val="24"/>
          <w:szCs w:val="24"/>
          <w:u w:val="single"/>
          <w:lang w:val="pl-PL"/>
        </w:rPr>
        <w:t>Znaczenie dla Polski</w:t>
      </w:r>
      <w:r w:rsidRPr="00677C9D">
        <w:rPr>
          <w:rFonts w:cs="Verdana"/>
          <w:bCs/>
          <w:sz w:val="24"/>
          <w:szCs w:val="24"/>
          <w:lang w:val="pl-PL"/>
        </w:rPr>
        <w:t xml:space="preserve"> – konieczność </w:t>
      </w:r>
      <w:r>
        <w:rPr>
          <w:rFonts w:cs="Verdana"/>
          <w:bCs/>
          <w:sz w:val="24"/>
          <w:szCs w:val="24"/>
          <w:lang w:val="pl-PL"/>
        </w:rPr>
        <w:t xml:space="preserve">wyważenia </w:t>
      </w:r>
      <w:r w:rsidRPr="00677C9D">
        <w:rPr>
          <w:rFonts w:cs="Verdana"/>
          <w:bCs/>
          <w:sz w:val="24"/>
          <w:szCs w:val="24"/>
          <w:lang w:val="pl-PL"/>
        </w:rPr>
        <w:t>w praktyce administracyjnej możliwego ograniczenia sankcjonowania skutków prawnych działań podejmowanych legalnie za granicą</w:t>
      </w:r>
      <w:r>
        <w:rPr>
          <w:rFonts w:cs="Verdana"/>
          <w:bCs/>
          <w:sz w:val="24"/>
          <w:szCs w:val="24"/>
          <w:lang w:val="pl-PL"/>
        </w:rPr>
        <w:t xml:space="preserve"> oraz </w:t>
      </w:r>
      <w:r w:rsidRPr="00677C9D">
        <w:rPr>
          <w:rFonts w:cs="Verdana"/>
          <w:bCs/>
          <w:sz w:val="24"/>
          <w:szCs w:val="24"/>
          <w:lang w:val="pl-PL"/>
        </w:rPr>
        <w:t>potrzeby poszanowania interesów dziecka.</w:t>
      </w:r>
    </w:p>
    <w:p w14:paraId="0795FC36" w14:textId="77777777" w:rsidR="00FF780D" w:rsidRPr="000C3591" w:rsidRDefault="00FF780D" w:rsidP="000C3591">
      <w:pPr>
        <w:pStyle w:val="Nagwek1"/>
        <w:numPr>
          <w:ilvl w:val="0"/>
          <w:numId w:val="34"/>
        </w:numPr>
        <w:rPr>
          <w:rFonts w:asciiTheme="minorHAnsi" w:hAnsiTheme="minorHAnsi"/>
          <w:color w:val="auto"/>
          <w:sz w:val="24"/>
          <w:szCs w:val="24"/>
          <w:lang w:val="pl-PL"/>
        </w:rPr>
      </w:pPr>
      <w:bookmarkStart w:id="33" w:name="_Toc415257926"/>
      <w:bookmarkStart w:id="34" w:name="_Toc415646197"/>
      <w:proofErr w:type="spellStart"/>
      <w:r w:rsidRPr="000C3591">
        <w:rPr>
          <w:rFonts w:asciiTheme="minorHAnsi" w:hAnsiTheme="minorHAnsi"/>
          <w:color w:val="auto"/>
          <w:sz w:val="24"/>
          <w:szCs w:val="24"/>
          <w:lang w:val="pl-PL"/>
        </w:rPr>
        <w:t>Mocanu</w:t>
      </w:r>
      <w:proofErr w:type="spellEnd"/>
      <w:r w:rsidRPr="000C3591">
        <w:rPr>
          <w:rFonts w:asciiTheme="minorHAnsi" w:hAnsiTheme="minorHAnsi"/>
          <w:color w:val="auto"/>
          <w:sz w:val="24"/>
          <w:szCs w:val="24"/>
          <w:lang w:val="pl-PL"/>
        </w:rPr>
        <w:t xml:space="preserve"> </w:t>
      </w:r>
      <w:r w:rsidR="006A0DD7" w:rsidRPr="000C3591">
        <w:rPr>
          <w:rFonts w:asciiTheme="minorHAnsi" w:hAnsiTheme="minorHAnsi"/>
          <w:color w:val="auto"/>
          <w:sz w:val="24"/>
          <w:szCs w:val="24"/>
          <w:lang w:val="pl-PL"/>
        </w:rPr>
        <w:t>i Inni</w:t>
      </w:r>
      <w:r w:rsidRPr="000C3591">
        <w:rPr>
          <w:rFonts w:asciiTheme="minorHAnsi" w:hAnsiTheme="minorHAnsi"/>
          <w:color w:val="auto"/>
          <w:sz w:val="24"/>
          <w:szCs w:val="24"/>
          <w:lang w:val="pl-PL"/>
        </w:rPr>
        <w:t xml:space="preserve"> przeciwko Rumunii, skargi nr 10865/09, 45886/07 i 32431/08, wyrok Wielkiej Izby z 17.09.2014</w:t>
      </w:r>
      <w:bookmarkEnd w:id="33"/>
      <w:bookmarkEnd w:id="34"/>
    </w:p>
    <w:p w14:paraId="1FF96123" w14:textId="77777777" w:rsidR="002D34D7" w:rsidRPr="00677C9D" w:rsidRDefault="002D34D7" w:rsidP="002D34D7">
      <w:pPr>
        <w:pStyle w:val="Akapitzlist"/>
        <w:numPr>
          <w:ilvl w:val="0"/>
          <w:numId w:val="19"/>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naruszenie art. 2 (prawo do życia) z powodu braku śledztwa w odniesieniu do śmierci </w:t>
      </w:r>
      <w:r>
        <w:rPr>
          <w:rFonts w:cs="Verdana"/>
          <w:bCs/>
          <w:sz w:val="24"/>
          <w:szCs w:val="24"/>
          <w:lang w:val="pl-PL"/>
        </w:rPr>
        <w:t>męża pierwszej ze skarżących</w:t>
      </w:r>
      <w:r w:rsidRPr="00677C9D">
        <w:rPr>
          <w:rFonts w:cs="Verdana"/>
          <w:bCs/>
          <w:sz w:val="24"/>
          <w:szCs w:val="24"/>
          <w:lang w:val="pl-PL"/>
        </w:rPr>
        <w:t xml:space="preserve"> w czasie demonstracji przeciwko reżimowi komunistycznemu w Rumunii w czerwcu 1990 r.</w:t>
      </w:r>
      <w:r>
        <w:rPr>
          <w:rFonts w:cs="Verdana"/>
          <w:bCs/>
          <w:sz w:val="24"/>
          <w:szCs w:val="24"/>
          <w:lang w:val="pl-PL"/>
        </w:rPr>
        <w:t>;</w:t>
      </w:r>
    </w:p>
    <w:p w14:paraId="3D103410" w14:textId="77777777" w:rsidR="002D34D7" w:rsidRPr="00677C9D" w:rsidRDefault="002D34D7" w:rsidP="002D34D7">
      <w:pPr>
        <w:pStyle w:val="Akapitzlist"/>
        <w:numPr>
          <w:ilvl w:val="0"/>
          <w:numId w:val="19"/>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naruszenie art. 3 (zakaz tortur) z powodu braku skutecznego śledztwa w odniesieniu do zatrzymania oraz złego traktowania </w:t>
      </w:r>
      <w:r>
        <w:rPr>
          <w:rFonts w:cs="Verdana"/>
          <w:bCs/>
          <w:sz w:val="24"/>
          <w:szCs w:val="24"/>
          <w:lang w:val="pl-PL"/>
        </w:rPr>
        <w:t>drugiego ze skarżących</w:t>
      </w:r>
      <w:r w:rsidRPr="00677C9D">
        <w:rPr>
          <w:rFonts w:cs="Verdana"/>
          <w:bCs/>
          <w:sz w:val="24"/>
          <w:szCs w:val="24"/>
          <w:lang w:val="pl-PL"/>
        </w:rPr>
        <w:t xml:space="preserve"> w czasie demonstracji przeciwko reżimowi w Rumunii w czerwcu 1990 r.</w:t>
      </w:r>
      <w:r>
        <w:rPr>
          <w:rFonts w:cs="Verdana"/>
          <w:bCs/>
          <w:sz w:val="24"/>
          <w:szCs w:val="24"/>
          <w:lang w:val="pl-PL"/>
        </w:rPr>
        <w:t>;</w:t>
      </w:r>
    </w:p>
    <w:p w14:paraId="31AA1411" w14:textId="77777777" w:rsidR="002D34D7" w:rsidRPr="00677C9D" w:rsidRDefault="002D34D7" w:rsidP="002D34D7">
      <w:pPr>
        <w:pStyle w:val="Akapitzlist"/>
        <w:numPr>
          <w:ilvl w:val="0"/>
          <w:numId w:val="19"/>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Trybunał wziął pod uwagę fakt, że prokurator wojskowy prowadzący </w:t>
      </w:r>
      <w:r>
        <w:rPr>
          <w:rFonts w:cs="Verdana"/>
          <w:bCs/>
          <w:sz w:val="24"/>
          <w:szCs w:val="24"/>
          <w:lang w:val="pl-PL"/>
        </w:rPr>
        <w:t xml:space="preserve">ww. </w:t>
      </w:r>
      <w:r w:rsidRPr="00677C9D">
        <w:rPr>
          <w:rFonts w:cs="Verdana"/>
          <w:bCs/>
          <w:sz w:val="24"/>
          <w:szCs w:val="24"/>
          <w:lang w:val="pl-PL"/>
        </w:rPr>
        <w:t xml:space="preserve">postępowania, znajdował się w stanie zależności służbowej w </w:t>
      </w:r>
      <w:r w:rsidRPr="00BF62D6">
        <w:rPr>
          <w:rFonts w:cs="Verdana"/>
          <w:bCs/>
          <w:sz w:val="24"/>
          <w:szCs w:val="24"/>
          <w:lang w:val="pl-PL"/>
        </w:rPr>
        <w:t>ramach hierarchii wojskowej, podobnie jak oskarżeni. Śledztwo trwało też nadmiernie długo. Co więcej, śledztwo w odniesieniu do niewłaściwego traktowania drugiego skarżącego nie zakończyło się oskarżeniem i mimo długotrwałego prowadzenia tego śledztwa nie wyjaśniono okoliczności sprawy. Postępowanie zakończyło się z uwagi na przedawnienie, nie respektując wymogów skutecznego śledztwa nałożonych</w:t>
      </w:r>
      <w:r w:rsidRPr="00677C9D">
        <w:rPr>
          <w:rFonts w:cs="Verdana"/>
          <w:bCs/>
          <w:sz w:val="24"/>
          <w:szCs w:val="24"/>
          <w:lang w:val="pl-PL"/>
        </w:rPr>
        <w:t xml:space="preserve"> na pozwane państwo na mocy art. 2 i 3 Konwencji. W opinii Trybunału, władze nie podjęły wszystkich działań, których można było od nich rozsądnie oczekiwać. Nie została też odpowiednio zabezpieczona możliwość udziału skarżącego w postępowaniu krajowym</w:t>
      </w:r>
      <w:r>
        <w:rPr>
          <w:rFonts w:cs="Verdana"/>
          <w:bCs/>
          <w:sz w:val="24"/>
          <w:szCs w:val="24"/>
          <w:lang w:val="pl-PL"/>
        </w:rPr>
        <w:t>;</w:t>
      </w:r>
      <w:r w:rsidRPr="00677C9D">
        <w:rPr>
          <w:rFonts w:cs="Verdana"/>
          <w:bCs/>
          <w:sz w:val="24"/>
          <w:szCs w:val="24"/>
          <w:lang w:val="pl-PL"/>
        </w:rPr>
        <w:t xml:space="preserve"> </w:t>
      </w:r>
    </w:p>
    <w:p w14:paraId="64D0AA3D" w14:textId="77777777" w:rsidR="002D34D7" w:rsidRPr="00677C9D" w:rsidRDefault="002D34D7" w:rsidP="002D34D7">
      <w:pPr>
        <w:pStyle w:val="Akapitzlist"/>
        <w:numPr>
          <w:ilvl w:val="0"/>
          <w:numId w:val="19"/>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Trybunał rozpatrywał skargę w </w:t>
      </w:r>
      <w:r w:rsidRPr="00BD1208">
        <w:rPr>
          <w:rFonts w:cs="Verdana"/>
          <w:bCs/>
          <w:sz w:val="24"/>
          <w:szCs w:val="24"/>
          <w:lang w:val="pl-PL"/>
        </w:rPr>
        <w:t>świetle art. 35 ust. 1 (kryteria dopuszczalności) i oddalił zarzut rządu dotyczący niespełnienia przez drugiego ze skarżących wymogu wniesieni</w:t>
      </w:r>
      <w:r>
        <w:rPr>
          <w:rFonts w:cs="Verdana"/>
          <w:bCs/>
          <w:sz w:val="24"/>
          <w:szCs w:val="24"/>
          <w:lang w:val="pl-PL"/>
        </w:rPr>
        <w:t>a</w:t>
      </w:r>
      <w:r w:rsidRPr="00BD1208">
        <w:rPr>
          <w:rFonts w:cs="Verdana"/>
          <w:bCs/>
          <w:sz w:val="24"/>
          <w:szCs w:val="24"/>
          <w:lang w:val="pl-PL"/>
        </w:rPr>
        <w:t xml:space="preserve"> skargi </w:t>
      </w:r>
      <w:r>
        <w:rPr>
          <w:rFonts w:cs="Verdana"/>
          <w:bCs/>
          <w:sz w:val="24"/>
          <w:szCs w:val="24"/>
          <w:lang w:val="pl-PL"/>
        </w:rPr>
        <w:t xml:space="preserve">w terminie </w:t>
      </w:r>
      <w:r w:rsidRPr="00BD1208">
        <w:rPr>
          <w:rFonts w:cs="Verdana"/>
          <w:bCs/>
          <w:sz w:val="24"/>
          <w:szCs w:val="24"/>
          <w:lang w:val="pl-PL"/>
        </w:rPr>
        <w:t xml:space="preserve">6 miesięcy (brak działania skarżącego przez 11 lat zanim </w:t>
      </w:r>
      <w:r w:rsidRPr="00BD1208">
        <w:rPr>
          <w:rFonts w:cs="Verdana"/>
          <w:bCs/>
          <w:sz w:val="24"/>
          <w:szCs w:val="24"/>
          <w:lang w:val="pl-PL"/>
        </w:rPr>
        <w:lastRenderedPageBreak/>
        <w:t>złożył skargę do władz krajowych). Trybunał uwzględnił fakt bezsilności skarżącego, podobnie jak innych ofiar przez wiele lat nieskładających skarg. Ponadto wiele elementów wskazuje, że władze znały lub mogły łatwo się dowiedzieć, kim były ofiary przedmiotowych nadużyć, do których doszło w czerwcu 1990 r. Zwłoka skarżącego w działaniu nie mogła więc wpłynąć na brak skuteczności śledztwa, które władze miały obowiązek prowadzić. Trybunał oddalił również zarzut braku jurysdykcji temporalnej Trybunału (art. 35 ust. 3 (a) (kryteria dopuszczalności)), mimo iż główne zdarzenie miało miejsce 4 lata przed wejściem w życie Konwencji w odniesieniu do Rumunii</w:t>
      </w:r>
      <w:r w:rsidRPr="00677C9D">
        <w:rPr>
          <w:rFonts w:cs="Verdana"/>
          <w:bCs/>
          <w:sz w:val="24"/>
          <w:szCs w:val="24"/>
          <w:lang w:val="pl-PL"/>
        </w:rPr>
        <w:t xml:space="preserve">. Trybunał uznał, że czas jaki upłynął (4 lata) jest stosunkowo niewielki, a większość czynności proceduralnych w śledztwie została podjęta po wejściu w życie Konwencji wobec Rumunii. Trybunał zbadał sposób prowadzenia śledztwa od tego momentu. </w:t>
      </w:r>
      <w:r w:rsidRPr="00677C9D">
        <w:rPr>
          <w:rFonts w:cs="Verdana"/>
          <w:sz w:val="24"/>
          <w:szCs w:val="24"/>
          <w:lang w:val="pl-PL"/>
        </w:rPr>
        <w:t xml:space="preserve"> </w:t>
      </w:r>
    </w:p>
    <w:p w14:paraId="341FCCBD" w14:textId="77777777" w:rsidR="00FF780D" w:rsidRPr="004C740F" w:rsidRDefault="002D34D7" w:rsidP="004C740F">
      <w:pPr>
        <w:autoSpaceDE w:val="0"/>
        <w:autoSpaceDN w:val="0"/>
        <w:adjustRightInd w:val="0"/>
        <w:spacing w:after="120" w:line="240" w:lineRule="auto"/>
        <w:ind w:left="360"/>
        <w:jc w:val="both"/>
        <w:rPr>
          <w:rFonts w:cs="Verdana"/>
          <w:bCs/>
          <w:sz w:val="24"/>
          <w:szCs w:val="24"/>
          <w:lang w:val="pl-PL"/>
        </w:rPr>
      </w:pPr>
      <w:r w:rsidRPr="002D34D7">
        <w:rPr>
          <w:rFonts w:cs="Verdana"/>
          <w:bCs/>
          <w:sz w:val="24"/>
          <w:szCs w:val="24"/>
          <w:u w:val="single"/>
          <w:lang w:val="pl-PL"/>
        </w:rPr>
        <w:t>Znaczenie dla Polski</w:t>
      </w:r>
      <w:r w:rsidRPr="002D34D7">
        <w:rPr>
          <w:rFonts w:cs="Verdana"/>
          <w:bCs/>
          <w:sz w:val="24"/>
          <w:szCs w:val="24"/>
          <w:lang w:val="pl-PL"/>
        </w:rPr>
        <w:t xml:space="preserve"> – wskazówki Trybunału dotyczące wymogów skutecznego śledztwa na gruncie art. 2 i 3 Konwencji.</w:t>
      </w:r>
    </w:p>
    <w:p w14:paraId="42FE3BB0" w14:textId="77777777" w:rsidR="00C90E21" w:rsidRPr="00677C9D" w:rsidRDefault="00C90E21" w:rsidP="000C3591">
      <w:pPr>
        <w:pStyle w:val="Nagwek1"/>
        <w:numPr>
          <w:ilvl w:val="0"/>
          <w:numId w:val="34"/>
        </w:numPr>
        <w:rPr>
          <w:rFonts w:asciiTheme="minorHAnsi" w:hAnsiTheme="minorHAnsi"/>
          <w:color w:val="auto"/>
          <w:sz w:val="24"/>
          <w:szCs w:val="24"/>
          <w:lang w:val="en-US"/>
        </w:rPr>
      </w:pPr>
      <w:bookmarkStart w:id="35" w:name="_Toc415257927"/>
      <w:bookmarkStart w:id="36" w:name="_Toc415646198"/>
      <w:r w:rsidRPr="00677C9D">
        <w:rPr>
          <w:rFonts w:asciiTheme="minorHAnsi" w:hAnsiTheme="minorHAnsi"/>
          <w:color w:val="auto"/>
          <w:sz w:val="24"/>
          <w:szCs w:val="24"/>
          <w:lang w:val="en-US"/>
        </w:rPr>
        <w:t xml:space="preserve">National Union of Rail, Maritime and Transport Workers </w:t>
      </w:r>
      <w:proofErr w:type="spellStart"/>
      <w:r w:rsidRPr="00677C9D">
        <w:rPr>
          <w:rFonts w:asciiTheme="minorHAnsi" w:hAnsiTheme="minorHAnsi"/>
          <w:color w:val="auto"/>
          <w:sz w:val="24"/>
          <w:szCs w:val="24"/>
          <w:lang w:val="en-US"/>
        </w:rPr>
        <w:t>przeciwko</w:t>
      </w:r>
      <w:proofErr w:type="spellEnd"/>
      <w:r w:rsidRPr="00677C9D">
        <w:rPr>
          <w:rFonts w:asciiTheme="minorHAnsi" w:hAnsiTheme="minorHAnsi"/>
          <w:color w:val="auto"/>
          <w:sz w:val="24"/>
          <w:szCs w:val="24"/>
          <w:lang w:val="en-US"/>
        </w:rPr>
        <w:t xml:space="preserve"> </w:t>
      </w:r>
      <w:proofErr w:type="spellStart"/>
      <w:r w:rsidRPr="00677C9D">
        <w:rPr>
          <w:rFonts w:asciiTheme="minorHAnsi" w:hAnsiTheme="minorHAnsi"/>
          <w:color w:val="auto"/>
          <w:sz w:val="24"/>
          <w:szCs w:val="24"/>
          <w:lang w:val="en-US"/>
        </w:rPr>
        <w:t>Wielkiej</w:t>
      </w:r>
      <w:proofErr w:type="spellEnd"/>
      <w:r w:rsidRPr="00677C9D">
        <w:rPr>
          <w:rFonts w:asciiTheme="minorHAnsi" w:hAnsiTheme="minorHAnsi"/>
          <w:color w:val="auto"/>
          <w:sz w:val="24"/>
          <w:szCs w:val="24"/>
          <w:lang w:val="en-US"/>
        </w:rPr>
        <w:t xml:space="preserve"> </w:t>
      </w:r>
      <w:proofErr w:type="spellStart"/>
      <w:r w:rsidRPr="00677C9D">
        <w:rPr>
          <w:rFonts w:asciiTheme="minorHAnsi" w:hAnsiTheme="minorHAnsi"/>
          <w:color w:val="auto"/>
          <w:sz w:val="24"/>
          <w:szCs w:val="24"/>
          <w:lang w:val="en-US"/>
        </w:rPr>
        <w:t>Brytanii</w:t>
      </w:r>
      <w:proofErr w:type="spellEnd"/>
      <w:r w:rsidRPr="00677C9D">
        <w:rPr>
          <w:rFonts w:asciiTheme="minorHAnsi" w:hAnsiTheme="minorHAnsi"/>
          <w:color w:val="auto"/>
          <w:sz w:val="24"/>
          <w:szCs w:val="24"/>
          <w:lang w:val="en-US"/>
        </w:rPr>
        <w:t xml:space="preserve">, </w:t>
      </w:r>
      <w:proofErr w:type="spellStart"/>
      <w:r w:rsidRPr="00677C9D">
        <w:rPr>
          <w:rFonts w:asciiTheme="minorHAnsi" w:hAnsiTheme="minorHAnsi"/>
          <w:color w:val="auto"/>
          <w:sz w:val="24"/>
          <w:szCs w:val="24"/>
          <w:lang w:val="en-US"/>
        </w:rPr>
        <w:t>skarga</w:t>
      </w:r>
      <w:proofErr w:type="spellEnd"/>
      <w:r w:rsidRPr="00677C9D">
        <w:rPr>
          <w:rFonts w:asciiTheme="minorHAnsi" w:hAnsiTheme="minorHAnsi"/>
          <w:color w:val="auto"/>
          <w:sz w:val="24"/>
          <w:szCs w:val="24"/>
          <w:lang w:val="en-US"/>
        </w:rPr>
        <w:t xml:space="preserve"> nr 31045/10, </w:t>
      </w:r>
      <w:proofErr w:type="spellStart"/>
      <w:r w:rsidRPr="00677C9D">
        <w:rPr>
          <w:rFonts w:asciiTheme="minorHAnsi" w:hAnsiTheme="minorHAnsi"/>
          <w:color w:val="auto"/>
          <w:sz w:val="24"/>
          <w:szCs w:val="24"/>
          <w:lang w:val="en-US"/>
        </w:rPr>
        <w:t>wyrok</w:t>
      </w:r>
      <w:proofErr w:type="spellEnd"/>
      <w:r w:rsidRPr="00677C9D">
        <w:rPr>
          <w:rFonts w:asciiTheme="minorHAnsi" w:hAnsiTheme="minorHAnsi"/>
          <w:color w:val="auto"/>
          <w:sz w:val="24"/>
          <w:szCs w:val="24"/>
          <w:lang w:val="en-US"/>
        </w:rPr>
        <w:t xml:space="preserve"> z 8.4.2014</w:t>
      </w:r>
      <w:bookmarkEnd w:id="35"/>
      <w:bookmarkEnd w:id="36"/>
    </w:p>
    <w:p w14:paraId="2E449E4A" w14:textId="77777777" w:rsidR="00C90E21" w:rsidRPr="00677C9D" w:rsidRDefault="00334DA6" w:rsidP="00C83635">
      <w:pPr>
        <w:pStyle w:val="Akapitzlist"/>
        <w:numPr>
          <w:ilvl w:val="0"/>
          <w:numId w:val="20"/>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skarga niedopuszczalna na podstawie a</w:t>
      </w:r>
      <w:r w:rsidR="00C90E21" w:rsidRPr="00677C9D">
        <w:rPr>
          <w:rFonts w:cs="Verdana"/>
          <w:bCs/>
          <w:sz w:val="24"/>
          <w:szCs w:val="24"/>
          <w:lang w:val="pl-PL"/>
        </w:rPr>
        <w:t xml:space="preserve">rt. 11 </w:t>
      </w:r>
      <w:r w:rsidR="0089654E" w:rsidRPr="00677C9D">
        <w:rPr>
          <w:rFonts w:cs="Verdana"/>
          <w:bCs/>
          <w:sz w:val="24"/>
          <w:szCs w:val="24"/>
          <w:lang w:val="pl-PL"/>
        </w:rPr>
        <w:t>(wolność zgromadzeń i stowarzyszania się)</w:t>
      </w:r>
      <w:r w:rsidR="00E6407A" w:rsidRPr="00677C9D">
        <w:rPr>
          <w:rFonts w:cs="Verdana"/>
          <w:bCs/>
          <w:sz w:val="24"/>
          <w:szCs w:val="24"/>
          <w:lang w:val="pl-PL"/>
        </w:rPr>
        <w:t xml:space="preserve"> </w:t>
      </w:r>
      <w:r w:rsidRPr="00677C9D">
        <w:rPr>
          <w:rFonts w:cs="Verdana"/>
          <w:bCs/>
          <w:sz w:val="24"/>
          <w:szCs w:val="24"/>
          <w:lang w:val="pl-PL"/>
        </w:rPr>
        <w:t xml:space="preserve">w sytuacji </w:t>
      </w:r>
      <w:r w:rsidR="00C90E21" w:rsidRPr="00677C9D">
        <w:rPr>
          <w:rFonts w:cs="Verdana"/>
          <w:bCs/>
          <w:sz w:val="24"/>
          <w:szCs w:val="24"/>
          <w:lang w:val="pl-PL"/>
        </w:rPr>
        <w:t>stosowani</w:t>
      </w:r>
      <w:r w:rsidRPr="00677C9D">
        <w:rPr>
          <w:rFonts w:cs="Verdana"/>
          <w:bCs/>
          <w:sz w:val="24"/>
          <w:szCs w:val="24"/>
          <w:lang w:val="pl-PL"/>
        </w:rPr>
        <w:t>a</w:t>
      </w:r>
      <w:r w:rsidR="00C90E21" w:rsidRPr="00677C9D">
        <w:rPr>
          <w:rFonts w:cs="Verdana"/>
          <w:bCs/>
          <w:sz w:val="24"/>
          <w:szCs w:val="24"/>
          <w:lang w:val="pl-PL"/>
        </w:rPr>
        <w:t xml:space="preserve"> pewnych wymogów formalnych w odniesieniu do możliwości przeprowadzenia strajku</w:t>
      </w:r>
      <w:r w:rsidR="003F0CA1">
        <w:rPr>
          <w:rFonts w:cs="Verdana"/>
          <w:bCs/>
          <w:sz w:val="24"/>
          <w:szCs w:val="24"/>
          <w:lang w:val="pl-PL"/>
        </w:rPr>
        <w:t>;</w:t>
      </w:r>
    </w:p>
    <w:p w14:paraId="19793E13" w14:textId="77777777" w:rsidR="00C90E21" w:rsidRPr="00677C9D" w:rsidRDefault="00334DA6" w:rsidP="00C83635">
      <w:pPr>
        <w:pStyle w:val="Akapitzlist"/>
        <w:numPr>
          <w:ilvl w:val="0"/>
          <w:numId w:val="20"/>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brak naruszenia </w:t>
      </w:r>
      <w:r w:rsidR="00C90E21" w:rsidRPr="00677C9D">
        <w:rPr>
          <w:rFonts w:cs="Verdana"/>
          <w:bCs/>
          <w:sz w:val="24"/>
          <w:szCs w:val="24"/>
          <w:lang w:val="pl-PL"/>
        </w:rPr>
        <w:t xml:space="preserve">art. 11 </w:t>
      </w:r>
      <w:r w:rsidR="003F0CA1">
        <w:rPr>
          <w:rFonts w:cs="Verdana"/>
          <w:bCs/>
          <w:sz w:val="24"/>
          <w:szCs w:val="24"/>
          <w:lang w:val="pl-PL"/>
        </w:rPr>
        <w:t xml:space="preserve">w sytuacji </w:t>
      </w:r>
      <w:r w:rsidR="00C90E21" w:rsidRPr="00677C9D">
        <w:rPr>
          <w:rFonts w:cs="Verdana"/>
          <w:bCs/>
          <w:sz w:val="24"/>
          <w:szCs w:val="24"/>
          <w:lang w:val="pl-PL"/>
        </w:rPr>
        <w:t>zakaz</w:t>
      </w:r>
      <w:r w:rsidR="003F0CA1">
        <w:rPr>
          <w:rFonts w:cs="Verdana"/>
          <w:bCs/>
          <w:sz w:val="24"/>
          <w:szCs w:val="24"/>
          <w:lang w:val="pl-PL"/>
        </w:rPr>
        <w:t>u</w:t>
      </w:r>
      <w:r w:rsidR="00C90E21" w:rsidRPr="00677C9D">
        <w:rPr>
          <w:rFonts w:cs="Verdana"/>
          <w:bCs/>
          <w:sz w:val="24"/>
          <w:szCs w:val="24"/>
          <w:lang w:val="pl-PL"/>
        </w:rPr>
        <w:t xml:space="preserve"> podjęcia strajku solidarnościowego przeciwko pracodawcy niebędącemu stroną sporu pracowniczego</w:t>
      </w:r>
      <w:r w:rsidR="003F0CA1">
        <w:rPr>
          <w:rFonts w:cs="Verdana"/>
          <w:bCs/>
          <w:sz w:val="24"/>
          <w:szCs w:val="24"/>
          <w:lang w:val="pl-PL"/>
        </w:rPr>
        <w:t>;</w:t>
      </w:r>
    </w:p>
    <w:p w14:paraId="5B4F136D" w14:textId="77777777" w:rsidR="00C90E21" w:rsidRPr="00677C9D" w:rsidRDefault="00334DA6" w:rsidP="00C83635">
      <w:pPr>
        <w:pStyle w:val="Akapitzlist"/>
        <w:numPr>
          <w:ilvl w:val="0"/>
          <w:numId w:val="20"/>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skarga dotyczyła sytuacji, w której w </w:t>
      </w:r>
      <w:r w:rsidR="00C90E21" w:rsidRPr="00677C9D">
        <w:rPr>
          <w:rFonts w:cs="Verdana"/>
          <w:bCs/>
          <w:sz w:val="24"/>
          <w:szCs w:val="24"/>
          <w:lang w:val="pl-PL"/>
        </w:rPr>
        <w:t>2007 r. grupa 20 pracowników firmy J</w:t>
      </w:r>
      <w:r w:rsidRPr="00677C9D">
        <w:rPr>
          <w:rFonts w:cs="Verdana"/>
          <w:bCs/>
          <w:sz w:val="24"/>
          <w:szCs w:val="24"/>
          <w:lang w:val="pl-PL"/>
        </w:rPr>
        <w:t>.</w:t>
      </w:r>
      <w:r w:rsidR="00C90E21" w:rsidRPr="00677C9D">
        <w:rPr>
          <w:rFonts w:cs="Verdana"/>
          <w:bCs/>
          <w:sz w:val="24"/>
          <w:szCs w:val="24"/>
          <w:lang w:val="pl-PL"/>
        </w:rPr>
        <w:t>,</w:t>
      </w:r>
      <w:r w:rsidRPr="00677C9D">
        <w:rPr>
          <w:rFonts w:cs="Verdana"/>
          <w:bCs/>
          <w:sz w:val="24"/>
          <w:szCs w:val="24"/>
          <w:lang w:val="pl-PL"/>
        </w:rPr>
        <w:t xml:space="preserve"> będących </w:t>
      </w:r>
      <w:r w:rsidR="00C90E21" w:rsidRPr="00677C9D">
        <w:rPr>
          <w:rFonts w:cs="Verdana"/>
          <w:bCs/>
          <w:sz w:val="24"/>
          <w:szCs w:val="24"/>
          <w:lang w:val="pl-PL"/>
        </w:rPr>
        <w:t>członk</w:t>
      </w:r>
      <w:r w:rsidRPr="00677C9D">
        <w:rPr>
          <w:rFonts w:cs="Verdana"/>
          <w:bCs/>
          <w:sz w:val="24"/>
          <w:szCs w:val="24"/>
          <w:lang w:val="pl-PL"/>
        </w:rPr>
        <w:t xml:space="preserve">ami </w:t>
      </w:r>
      <w:r w:rsidR="00C90E21" w:rsidRPr="00677C9D">
        <w:rPr>
          <w:rFonts w:cs="Verdana"/>
          <w:bCs/>
          <w:sz w:val="24"/>
          <w:szCs w:val="24"/>
          <w:lang w:val="pl-PL"/>
        </w:rPr>
        <w:t>skarżącego związku zawodowego, zosta</w:t>
      </w:r>
      <w:r w:rsidRPr="00677C9D">
        <w:rPr>
          <w:rFonts w:cs="Verdana"/>
          <w:bCs/>
          <w:sz w:val="24"/>
          <w:szCs w:val="24"/>
          <w:lang w:val="pl-PL"/>
        </w:rPr>
        <w:t xml:space="preserve">ła </w:t>
      </w:r>
      <w:r w:rsidR="00C90E21" w:rsidRPr="00677C9D">
        <w:rPr>
          <w:rFonts w:cs="Verdana"/>
          <w:bCs/>
          <w:sz w:val="24"/>
          <w:szCs w:val="24"/>
          <w:lang w:val="pl-PL"/>
        </w:rPr>
        <w:t>przeniesi</w:t>
      </w:r>
      <w:r w:rsidRPr="00677C9D">
        <w:rPr>
          <w:rFonts w:cs="Verdana"/>
          <w:bCs/>
          <w:sz w:val="24"/>
          <w:szCs w:val="24"/>
          <w:lang w:val="pl-PL"/>
        </w:rPr>
        <w:t xml:space="preserve">ona </w:t>
      </w:r>
      <w:r w:rsidR="00C90E21" w:rsidRPr="00677C9D">
        <w:rPr>
          <w:rFonts w:cs="Verdana"/>
          <w:bCs/>
          <w:sz w:val="24"/>
          <w:szCs w:val="24"/>
          <w:lang w:val="pl-PL"/>
        </w:rPr>
        <w:t xml:space="preserve">do firmy H. Dwa lata później ogłosili </w:t>
      </w:r>
      <w:r w:rsidRPr="00677C9D">
        <w:rPr>
          <w:rFonts w:cs="Verdana"/>
          <w:bCs/>
          <w:sz w:val="24"/>
          <w:szCs w:val="24"/>
          <w:lang w:val="pl-PL"/>
        </w:rPr>
        <w:t xml:space="preserve">oni </w:t>
      </w:r>
      <w:r w:rsidR="00C90E21" w:rsidRPr="00677C9D">
        <w:rPr>
          <w:rFonts w:cs="Verdana"/>
          <w:bCs/>
          <w:sz w:val="24"/>
          <w:szCs w:val="24"/>
          <w:lang w:val="pl-PL"/>
        </w:rPr>
        <w:t xml:space="preserve">strajk z uwagi na zamiar obniżenia warunków </w:t>
      </w:r>
      <w:r w:rsidR="006E1197" w:rsidRPr="00677C9D">
        <w:rPr>
          <w:rFonts w:cs="Verdana"/>
          <w:bCs/>
          <w:sz w:val="24"/>
          <w:szCs w:val="24"/>
          <w:lang w:val="pl-PL"/>
        </w:rPr>
        <w:t xml:space="preserve">płacowych </w:t>
      </w:r>
      <w:r w:rsidR="00C90E21" w:rsidRPr="00677C9D">
        <w:rPr>
          <w:rFonts w:cs="Verdana"/>
          <w:bCs/>
          <w:sz w:val="24"/>
          <w:szCs w:val="24"/>
          <w:lang w:val="pl-PL"/>
        </w:rPr>
        <w:t>ich zatrudnienia do poziomu pozostałych pracowników firmy H. Firma H</w:t>
      </w:r>
      <w:r w:rsidR="006E1197" w:rsidRPr="00677C9D">
        <w:rPr>
          <w:rFonts w:cs="Verdana"/>
          <w:bCs/>
          <w:sz w:val="24"/>
          <w:szCs w:val="24"/>
          <w:lang w:val="pl-PL"/>
        </w:rPr>
        <w:t>.</w:t>
      </w:r>
      <w:r w:rsidR="00C90E21" w:rsidRPr="00677C9D">
        <w:rPr>
          <w:rFonts w:cs="Verdana"/>
          <w:bCs/>
          <w:sz w:val="24"/>
          <w:szCs w:val="24"/>
          <w:lang w:val="pl-PL"/>
        </w:rPr>
        <w:t xml:space="preserve"> w rezultacie przedstawiła zmienioną propozycję, którą początkowo pracownicy odrzucili, w końcu jednak, nie mając wyboru, zaakceptowali. Podnieśli w skardze do Trybunału, że ich strajk w firmie H</w:t>
      </w:r>
      <w:r w:rsidR="006E1197" w:rsidRPr="00677C9D">
        <w:rPr>
          <w:rFonts w:cs="Verdana"/>
          <w:bCs/>
          <w:sz w:val="24"/>
          <w:szCs w:val="24"/>
          <w:lang w:val="pl-PL"/>
        </w:rPr>
        <w:t>.</w:t>
      </w:r>
      <w:r w:rsidR="00C90E21" w:rsidRPr="00677C9D">
        <w:rPr>
          <w:rFonts w:cs="Verdana"/>
          <w:bCs/>
          <w:sz w:val="24"/>
          <w:szCs w:val="24"/>
          <w:lang w:val="pl-PL"/>
        </w:rPr>
        <w:t xml:space="preserve"> stał się nieskuteczny z uwagi na zakaz strajku solidarnościowego w większej firmie J. </w:t>
      </w:r>
    </w:p>
    <w:p w14:paraId="03A9231B" w14:textId="77777777" w:rsidR="00C90E21" w:rsidRPr="00677C9D" w:rsidRDefault="00C90E21" w:rsidP="006E1197">
      <w:pPr>
        <w:pStyle w:val="Akapitzlist"/>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Trybunał odnotował, że prawo do strajku solidarnościowego jest uznane w instrumentach prawa międzynarodowego (Konwencja MOP nr 87, Europejska Karta Społeczna). Zakaz przeprowadzania takich strajków może więc zostać uznany za ingerencj</w:t>
      </w:r>
      <w:r w:rsidR="006E1197" w:rsidRPr="00677C9D">
        <w:rPr>
          <w:rFonts w:cs="Verdana"/>
          <w:bCs/>
          <w:sz w:val="24"/>
          <w:szCs w:val="24"/>
          <w:lang w:val="pl-PL"/>
        </w:rPr>
        <w:t>ę</w:t>
      </w:r>
      <w:r w:rsidRPr="00677C9D">
        <w:rPr>
          <w:rFonts w:cs="Verdana"/>
          <w:bCs/>
          <w:sz w:val="24"/>
          <w:szCs w:val="24"/>
          <w:lang w:val="pl-PL"/>
        </w:rPr>
        <w:t xml:space="preserve"> w prawa chronione art. 11 Konwencji. Stwierdził jednak, że ingerencja w to prawo na mocy regulacji obowiązujących w Wielkiej Brytanii nie naruszała art. 11 Konwencji. Była bowiem zgodna z prawem i miała uprawniony cel. Trybunał uznał też pewien margines oceny państwa. Uwzględnił również, że zakaz w tej sprawie obowiązywał w Wielkiej Brytanii od 20 lat i był przedmiotem konsensusu sił politycznych w Wielkiej Brytanii, które polegały w tym względzie na właściwych i wystarczających (na potrzeby art. 11 Konwencji) argumentach. Natura i zakres ingerencji, która dotknęła przedmiotowy związek zawodowy, nie uderzyła natomiast w samą istotę prawa do wolności zrzeszania się (związek był w stanie przeprowadzić strajk, choć na ograniczoną skalę i z ograniczonymi rezultatami). Trybunał stwierdził, że ograniczenie nie było nieproporcjonalne. </w:t>
      </w:r>
    </w:p>
    <w:p w14:paraId="0AB46282" w14:textId="77777777" w:rsidR="00C90E21" w:rsidRPr="00677C9D" w:rsidRDefault="00B02FAD" w:rsidP="00C90E21">
      <w:pPr>
        <w:autoSpaceDE w:val="0"/>
        <w:autoSpaceDN w:val="0"/>
        <w:adjustRightInd w:val="0"/>
        <w:spacing w:after="120" w:line="240" w:lineRule="auto"/>
        <w:jc w:val="both"/>
        <w:rPr>
          <w:rFonts w:cs="Verdana"/>
          <w:bCs/>
          <w:sz w:val="24"/>
          <w:szCs w:val="24"/>
          <w:lang w:val="pl-PL"/>
        </w:rPr>
      </w:pPr>
      <w:r w:rsidRPr="00677C9D">
        <w:rPr>
          <w:rFonts w:cs="Verdana"/>
          <w:bCs/>
          <w:sz w:val="24"/>
          <w:szCs w:val="24"/>
          <w:u w:val="single"/>
          <w:lang w:val="pl-PL"/>
        </w:rPr>
        <w:t>Znaczenie dla Polski</w:t>
      </w:r>
      <w:r w:rsidRPr="00677C9D">
        <w:rPr>
          <w:rFonts w:cs="Verdana"/>
          <w:bCs/>
          <w:sz w:val="24"/>
          <w:szCs w:val="24"/>
          <w:lang w:val="pl-PL"/>
        </w:rPr>
        <w:t xml:space="preserve"> </w:t>
      </w:r>
      <w:r w:rsidR="00C90E21" w:rsidRPr="00677C9D">
        <w:rPr>
          <w:rFonts w:cs="Verdana"/>
          <w:bCs/>
          <w:sz w:val="24"/>
          <w:szCs w:val="24"/>
          <w:lang w:val="pl-PL"/>
        </w:rPr>
        <w:t xml:space="preserve">– potwierdzenie przez Trybunał uregulowań brytyjskich w oparciu o fakt, że uregulowania te zostały wypracowane w ramach demokratycznego procesu politycznego, </w:t>
      </w:r>
      <w:r w:rsidR="00C90E21" w:rsidRPr="00677C9D">
        <w:rPr>
          <w:rFonts w:cs="Verdana"/>
          <w:bCs/>
          <w:sz w:val="24"/>
          <w:szCs w:val="24"/>
          <w:lang w:val="pl-PL"/>
        </w:rPr>
        <w:lastRenderedPageBreak/>
        <w:t xml:space="preserve">w którym przywołano rozsądne i wystarczające argumenty na gruncie art. 11 Konwencji. Wyrok zawiera też istotne rozważania na temat zakresu wolności związkowej oraz marginesu oceny państwa, a także nt. statusu zobowiązań na gruncie konwencji MOP oraz Europejskiej Karty Społecznej.  </w:t>
      </w:r>
    </w:p>
    <w:p w14:paraId="4533C255" w14:textId="77777777" w:rsidR="00FF780D" w:rsidRPr="000C3591" w:rsidRDefault="00FF780D" w:rsidP="000C3591">
      <w:pPr>
        <w:pStyle w:val="Nagwek1"/>
        <w:numPr>
          <w:ilvl w:val="0"/>
          <w:numId w:val="34"/>
        </w:numPr>
        <w:rPr>
          <w:rFonts w:asciiTheme="minorHAnsi" w:hAnsiTheme="minorHAnsi"/>
          <w:color w:val="auto"/>
          <w:sz w:val="24"/>
          <w:szCs w:val="24"/>
          <w:lang w:val="pl-PL"/>
        </w:rPr>
      </w:pPr>
      <w:bookmarkStart w:id="37" w:name="_Toc415257928"/>
      <w:bookmarkStart w:id="38" w:name="_Toc415646199"/>
      <w:proofErr w:type="spellStart"/>
      <w:r w:rsidRPr="000C3591">
        <w:rPr>
          <w:rFonts w:asciiTheme="minorHAnsi" w:hAnsiTheme="minorHAnsi"/>
          <w:color w:val="auto"/>
          <w:sz w:val="24"/>
          <w:szCs w:val="24"/>
          <w:lang w:val="pl-PL"/>
        </w:rPr>
        <w:t>Natsvlishvili</w:t>
      </w:r>
      <w:proofErr w:type="spellEnd"/>
      <w:r w:rsidRPr="000C3591">
        <w:rPr>
          <w:rFonts w:asciiTheme="minorHAnsi" w:hAnsiTheme="minorHAnsi"/>
          <w:color w:val="auto"/>
          <w:sz w:val="24"/>
          <w:szCs w:val="24"/>
          <w:lang w:val="pl-PL"/>
        </w:rPr>
        <w:t xml:space="preserve"> </w:t>
      </w:r>
      <w:r w:rsidR="00A5737D" w:rsidRPr="000C3591">
        <w:rPr>
          <w:rFonts w:asciiTheme="minorHAnsi" w:hAnsiTheme="minorHAnsi"/>
          <w:color w:val="auto"/>
          <w:sz w:val="24"/>
          <w:szCs w:val="24"/>
          <w:lang w:val="pl-PL"/>
        </w:rPr>
        <w:t xml:space="preserve">i </w:t>
      </w:r>
      <w:proofErr w:type="spellStart"/>
      <w:r w:rsidRPr="000C3591">
        <w:rPr>
          <w:rFonts w:asciiTheme="minorHAnsi" w:hAnsiTheme="minorHAnsi"/>
          <w:color w:val="auto"/>
          <w:sz w:val="24"/>
          <w:szCs w:val="24"/>
          <w:lang w:val="pl-PL"/>
        </w:rPr>
        <w:t>Togonidze</w:t>
      </w:r>
      <w:proofErr w:type="spellEnd"/>
      <w:r w:rsidRPr="000C3591">
        <w:rPr>
          <w:rFonts w:asciiTheme="minorHAnsi" w:hAnsiTheme="minorHAnsi"/>
          <w:color w:val="auto"/>
          <w:sz w:val="24"/>
          <w:szCs w:val="24"/>
          <w:lang w:val="pl-PL"/>
        </w:rPr>
        <w:t xml:space="preserve"> przeciwko Gruzji, skarga nr 9043/05, wyrok z 29.4.2014</w:t>
      </w:r>
      <w:bookmarkEnd w:id="37"/>
      <w:bookmarkEnd w:id="38"/>
    </w:p>
    <w:p w14:paraId="6DB31E0D" w14:textId="77777777" w:rsidR="00FF780D" w:rsidRPr="00677C9D" w:rsidRDefault="00402CB2" w:rsidP="00C83635">
      <w:pPr>
        <w:pStyle w:val="Akapitzlist"/>
        <w:numPr>
          <w:ilvl w:val="0"/>
          <w:numId w:val="21"/>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b</w:t>
      </w:r>
      <w:r w:rsidR="006E1197" w:rsidRPr="00677C9D">
        <w:rPr>
          <w:rFonts w:cs="Verdana"/>
          <w:bCs/>
          <w:sz w:val="24"/>
          <w:szCs w:val="24"/>
          <w:lang w:val="pl-PL"/>
        </w:rPr>
        <w:t xml:space="preserve">rak naruszenia </w:t>
      </w:r>
      <w:r w:rsidR="00FF780D" w:rsidRPr="00677C9D">
        <w:rPr>
          <w:rFonts w:cs="Verdana"/>
          <w:bCs/>
          <w:sz w:val="24"/>
          <w:szCs w:val="24"/>
          <w:lang w:val="pl-PL"/>
        </w:rPr>
        <w:t xml:space="preserve">art. 6 ust. 1 </w:t>
      </w:r>
      <w:r w:rsidR="00E6407A" w:rsidRPr="00677C9D">
        <w:rPr>
          <w:rFonts w:cs="Verdana"/>
          <w:bCs/>
          <w:sz w:val="24"/>
          <w:szCs w:val="24"/>
          <w:lang w:val="pl-PL"/>
        </w:rPr>
        <w:t xml:space="preserve">(prawo do rzetelnego procesu sądowego) </w:t>
      </w:r>
      <w:r w:rsidR="006E1197" w:rsidRPr="00677C9D">
        <w:rPr>
          <w:rFonts w:cs="Verdana"/>
          <w:bCs/>
          <w:sz w:val="24"/>
          <w:szCs w:val="24"/>
          <w:lang w:val="pl-PL"/>
        </w:rPr>
        <w:t xml:space="preserve">w sytuacji </w:t>
      </w:r>
      <w:r w:rsidR="00FF780D" w:rsidRPr="00677C9D">
        <w:rPr>
          <w:rFonts w:cs="Verdana"/>
          <w:bCs/>
          <w:sz w:val="24"/>
          <w:szCs w:val="24"/>
          <w:lang w:val="pl-PL"/>
        </w:rPr>
        <w:t>skazani</w:t>
      </w:r>
      <w:r w:rsidR="006E1197" w:rsidRPr="00677C9D">
        <w:rPr>
          <w:rFonts w:cs="Verdana"/>
          <w:bCs/>
          <w:sz w:val="24"/>
          <w:szCs w:val="24"/>
          <w:lang w:val="pl-PL"/>
        </w:rPr>
        <w:t>a</w:t>
      </w:r>
      <w:r w:rsidR="00FF780D" w:rsidRPr="00677C9D">
        <w:rPr>
          <w:rFonts w:cs="Verdana"/>
          <w:bCs/>
          <w:sz w:val="24"/>
          <w:szCs w:val="24"/>
          <w:lang w:val="pl-PL"/>
        </w:rPr>
        <w:t xml:space="preserve"> bez badania przedmiotu sprawy</w:t>
      </w:r>
      <w:r w:rsidR="00A5707C">
        <w:rPr>
          <w:rFonts w:cs="Verdana"/>
          <w:bCs/>
          <w:sz w:val="24"/>
          <w:szCs w:val="24"/>
          <w:lang w:val="pl-PL"/>
        </w:rPr>
        <w:t>,</w:t>
      </w:r>
      <w:r w:rsidR="00FF780D" w:rsidRPr="00677C9D">
        <w:rPr>
          <w:rFonts w:cs="Verdana"/>
          <w:bCs/>
          <w:sz w:val="24"/>
          <w:szCs w:val="24"/>
          <w:lang w:val="pl-PL"/>
        </w:rPr>
        <w:t xml:space="preserve"> po uzgodnieniu kary między obroną a oskarżeniem</w:t>
      </w:r>
      <w:r w:rsidR="006E1197" w:rsidRPr="00677C9D">
        <w:rPr>
          <w:rFonts w:cs="Verdana"/>
          <w:bCs/>
          <w:sz w:val="24"/>
          <w:szCs w:val="24"/>
          <w:lang w:val="pl-PL"/>
        </w:rPr>
        <w:t>;</w:t>
      </w:r>
    </w:p>
    <w:p w14:paraId="0B94DD80" w14:textId="77777777" w:rsidR="00FF780D" w:rsidRPr="00677C9D" w:rsidRDefault="00402CB2" w:rsidP="00C83635">
      <w:pPr>
        <w:pStyle w:val="Akapitzlist"/>
        <w:numPr>
          <w:ilvl w:val="0"/>
          <w:numId w:val="21"/>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b</w:t>
      </w:r>
      <w:r w:rsidR="006E1197" w:rsidRPr="00677C9D">
        <w:rPr>
          <w:rFonts w:cs="Verdana"/>
          <w:bCs/>
          <w:sz w:val="24"/>
          <w:szCs w:val="24"/>
          <w:lang w:val="pl-PL"/>
        </w:rPr>
        <w:t xml:space="preserve">rak naruszenia </w:t>
      </w:r>
      <w:r w:rsidR="00FF780D" w:rsidRPr="00677C9D">
        <w:rPr>
          <w:rFonts w:cs="Verdana"/>
          <w:bCs/>
          <w:sz w:val="24"/>
          <w:szCs w:val="24"/>
          <w:lang w:val="pl-PL"/>
        </w:rPr>
        <w:t xml:space="preserve">art. 2 Protokołu nr 7 </w:t>
      </w:r>
      <w:r w:rsidR="00AD2867" w:rsidRPr="00677C9D">
        <w:rPr>
          <w:rFonts w:cs="Verdana"/>
          <w:bCs/>
          <w:sz w:val="24"/>
          <w:szCs w:val="24"/>
          <w:lang w:val="pl-PL"/>
        </w:rPr>
        <w:t xml:space="preserve">(prawo do odwołania w sprawach karnych) </w:t>
      </w:r>
      <w:r w:rsidR="006E1197" w:rsidRPr="00677C9D">
        <w:rPr>
          <w:rFonts w:cs="Verdana"/>
          <w:bCs/>
          <w:sz w:val="24"/>
          <w:szCs w:val="24"/>
          <w:lang w:val="pl-PL"/>
        </w:rPr>
        <w:t xml:space="preserve">w sytuacji braku </w:t>
      </w:r>
      <w:r w:rsidR="00FF780D" w:rsidRPr="00677C9D">
        <w:rPr>
          <w:rFonts w:cs="Verdana"/>
          <w:bCs/>
          <w:sz w:val="24"/>
          <w:szCs w:val="24"/>
          <w:lang w:val="pl-PL"/>
        </w:rPr>
        <w:t>możliwości odwołania od wyroku skazującego</w:t>
      </w:r>
      <w:r w:rsidR="00A5707C">
        <w:rPr>
          <w:rFonts w:cs="Verdana"/>
          <w:bCs/>
          <w:sz w:val="24"/>
          <w:szCs w:val="24"/>
          <w:lang w:val="pl-PL"/>
        </w:rPr>
        <w:t>,</w:t>
      </w:r>
      <w:r w:rsidR="00FF780D" w:rsidRPr="00677C9D">
        <w:rPr>
          <w:rFonts w:cs="Verdana"/>
          <w:bCs/>
          <w:sz w:val="24"/>
          <w:szCs w:val="24"/>
          <w:lang w:val="pl-PL"/>
        </w:rPr>
        <w:t xml:space="preserve"> wydanego po uzgodnieniu kary między obroną a oskarżeniem</w:t>
      </w:r>
      <w:r w:rsidR="006E1197" w:rsidRPr="00677C9D">
        <w:rPr>
          <w:rFonts w:cs="Verdana"/>
          <w:bCs/>
          <w:sz w:val="24"/>
          <w:szCs w:val="24"/>
          <w:lang w:val="pl-PL"/>
        </w:rPr>
        <w:t>;</w:t>
      </w:r>
      <w:r w:rsidR="00FF780D" w:rsidRPr="00677C9D">
        <w:rPr>
          <w:rFonts w:cs="Verdana"/>
          <w:bCs/>
          <w:sz w:val="24"/>
          <w:szCs w:val="24"/>
          <w:lang w:val="pl-PL"/>
        </w:rPr>
        <w:t xml:space="preserve"> </w:t>
      </w:r>
    </w:p>
    <w:p w14:paraId="690225E1" w14:textId="77777777" w:rsidR="00FF780D" w:rsidRPr="00677C9D" w:rsidRDefault="00402CB2" w:rsidP="00C83635">
      <w:pPr>
        <w:pStyle w:val="Akapitzlist"/>
        <w:numPr>
          <w:ilvl w:val="0"/>
          <w:numId w:val="21"/>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b</w:t>
      </w:r>
      <w:r w:rsidR="006E1197" w:rsidRPr="00677C9D">
        <w:rPr>
          <w:rFonts w:cs="Verdana"/>
          <w:bCs/>
          <w:sz w:val="24"/>
          <w:szCs w:val="24"/>
          <w:lang w:val="pl-PL"/>
        </w:rPr>
        <w:t xml:space="preserve">rak naruszenia </w:t>
      </w:r>
      <w:r w:rsidR="00FF780D" w:rsidRPr="00677C9D">
        <w:rPr>
          <w:rFonts w:cs="Verdana"/>
          <w:bCs/>
          <w:sz w:val="24"/>
          <w:szCs w:val="24"/>
          <w:lang w:val="pl-PL"/>
        </w:rPr>
        <w:t xml:space="preserve">art. 1 Protokołu nr 1 </w:t>
      </w:r>
      <w:r w:rsidR="00AD2867" w:rsidRPr="00677C9D">
        <w:rPr>
          <w:rFonts w:cs="Verdana"/>
          <w:bCs/>
          <w:sz w:val="24"/>
          <w:szCs w:val="24"/>
          <w:lang w:val="pl-PL"/>
        </w:rPr>
        <w:t xml:space="preserve">(ochrona własności) </w:t>
      </w:r>
      <w:r w:rsidR="006E1197" w:rsidRPr="00677C9D">
        <w:rPr>
          <w:rFonts w:cs="Verdana"/>
          <w:bCs/>
          <w:sz w:val="24"/>
          <w:szCs w:val="24"/>
          <w:lang w:val="pl-PL"/>
        </w:rPr>
        <w:t xml:space="preserve">w sytuacji </w:t>
      </w:r>
      <w:r w:rsidR="00FF780D" w:rsidRPr="00677C9D">
        <w:rPr>
          <w:rFonts w:cs="Verdana"/>
          <w:bCs/>
          <w:sz w:val="24"/>
          <w:szCs w:val="24"/>
          <w:lang w:val="pl-PL"/>
        </w:rPr>
        <w:t>konfiskat</w:t>
      </w:r>
      <w:r w:rsidR="006E1197" w:rsidRPr="00677C9D">
        <w:rPr>
          <w:rFonts w:cs="Verdana"/>
          <w:bCs/>
          <w:sz w:val="24"/>
          <w:szCs w:val="24"/>
          <w:lang w:val="pl-PL"/>
        </w:rPr>
        <w:t xml:space="preserve">y </w:t>
      </w:r>
      <w:r w:rsidR="00FF780D" w:rsidRPr="00677C9D">
        <w:rPr>
          <w:rFonts w:cs="Verdana"/>
          <w:bCs/>
          <w:sz w:val="24"/>
          <w:szCs w:val="24"/>
          <w:lang w:val="pl-PL"/>
        </w:rPr>
        <w:t>przeprowadzon</w:t>
      </w:r>
      <w:r w:rsidR="006E1197" w:rsidRPr="00677C9D">
        <w:rPr>
          <w:rFonts w:cs="Verdana"/>
          <w:bCs/>
          <w:sz w:val="24"/>
          <w:szCs w:val="24"/>
          <w:lang w:val="pl-PL"/>
        </w:rPr>
        <w:t xml:space="preserve">ej </w:t>
      </w:r>
      <w:r w:rsidR="00FF780D" w:rsidRPr="00677C9D">
        <w:rPr>
          <w:rFonts w:cs="Verdana"/>
          <w:bCs/>
          <w:sz w:val="24"/>
          <w:szCs w:val="24"/>
          <w:lang w:val="pl-PL"/>
        </w:rPr>
        <w:t>po wyroku skazującym</w:t>
      </w:r>
      <w:r w:rsidR="00A5707C">
        <w:rPr>
          <w:rFonts w:cs="Verdana"/>
          <w:bCs/>
          <w:sz w:val="24"/>
          <w:szCs w:val="24"/>
          <w:lang w:val="pl-PL"/>
        </w:rPr>
        <w:t>,</w:t>
      </w:r>
      <w:r w:rsidR="00FF780D" w:rsidRPr="00677C9D">
        <w:rPr>
          <w:rFonts w:cs="Verdana"/>
          <w:bCs/>
          <w:sz w:val="24"/>
          <w:szCs w:val="24"/>
          <w:lang w:val="pl-PL"/>
        </w:rPr>
        <w:t xml:space="preserve"> wydanym po uzgodnieniu kary między obroną a oskarżeniem</w:t>
      </w:r>
      <w:r w:rsidR="006E1197" w:rsidRPr="00677C9D">
        <w:rPr>
          <w:rFonts w:cs="Verdana"/>
          <w:bCs/>
          <w:sz w:val="24"/>
          <w:szCs w:val="24"/>
          <w:lang w:val="pl-PL"/>
        </w:rPr>
        <w:t>;</w:t>
      </w:r>
    </w:p>
    <w:p w14:paraId="1274134A" w14:textId="77777777" w:rsidR="00402CB2" w:rsidRPr="00677C9D" w:rsidRDefault="00402CB2" w:rsidP="00C83635">
      <w:pPr>
        <w:pStyle w:val="Akapitzlist"/>
        <w:numPr>
          <w:ilvl w:val="0"/>
          <w:numId w:val="21"/>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brak naruszenia art. 6 ust. 2 (domniemanie niewinności) w </w:t>
      </w:r>
      <w:r w:rsidR="009D505B">
        <w:rPr>
          <w:rFonts w:cs="Verdana"/>
          <w:bCs/>
          <w:sz w:val="24"/>
          <w:szCs w:val="24"/>
          <w:lang w:val="pl-PL"/>
        </w:rPr>
        <w:t xml:space="preserve">kontekście </w:t>
      </w:r>
      <w:r w:rsidRPr="00677C9D">
        <w:rPr>
          <w:rFonts w:cs="Verdana"/>
          <w:bCs/>
          <w:sz w:val="24"/>
          <w:szCs w:val="24"/>
          <w:lang w:val="pl-PL"/>
        </w:rPr>
        <w:t>ogólnych wypowiedzi gubernatora o walce z korupcją wśród funkcjonariuszy (bez odniesienia do sprawy skarżącego) oraz zainteresowani</w:t>
      </w:r>
      <w:r w:rsidR="00C01950">
        <w:rPr>
          <w:rFonts w:cs="Verdana"/>
          <w:bCs/>
          <w:sz w:val="24"/>
          <w:szCs w:val="24"/>
          <w:lang w:val="pl-PL"/>
        </w:rPr>
        <w:t>a</w:t>
      </w:r>
      <w:r w:rsidRPr="00677C9D">
        <w:rPr>
          <w:rFonts w:cs="Verdana"/>
          <w:bCs/>
          <w:sz w:val="24"/>
          <w:szCs w:val="24"/>
          <w:lang w:val="pl-PL"/>
        </w:rPr>
        <w:t xml:space="preserve"> ze strony mediów aresztowaniem skarżącego. Filmowanie aresztowania przez prywatną stację telewizyjną, które nie zostało zainicjowane przez prokuratora, ani nie przybierało formy kampanii medialnej mającej na celu wpłynięcie na przebieg procesu, nie wykraczało poza informowanie społeczeństwa nt. aresztowania jednego z dyrektorów zarządzających jednej z większych fabryk w kraju;</w:t>
      </w:r>
    </w:p>
    <w:p w14:paraId="0A14BC9A" w14:textId="77777777" w:rsidR="00402CB2" w:rsidRPr="00677C9D" w:rsidRDefault="006E1197" w:rsidP="00C83635">
      <w:pPr>
        <w:pStyle w:val="Akapitzlist"/>
        <w:numPr>
          <w:ilvl w:val="0"/>
          <w:numId w:val="21"/>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m</w:t>
      </w:r>
      <w:r w:rsidR="00FF780D" w:rsidRPr="00677C9D">
        <w:rPr>
          <w:rFonts w:cs="Verdana"/>
          <w:bCs/>
          <w:sz w:val="24"/>
          <w:szCs w:val="24"/>
          <w:lang w:val="pl-PL"/>
        </w:rPr>
        <w:t xml:space="preserve">ożliwość osiągnięcia porozumienia ws. kary oraz zrzeczenia się niektórych uprawnień procesowych nie jest niezgodna z Konwencją, jednak </w:t>
      </w:r>
      <w:r w:rsidRPr="00677C9D">
        <w:rPr>
          <w:rFonts w:cs="Verdana"/>
          <w:bCs/>
          <w:sz w:val="24"/>
          <w:szCs w:val="24"/>
          <w:lang w:val="pl-PL"/>
        </w:rPr>
        <w:t xml:space="preserve">w sytuacji stosowania takich procedur zastosowanie </w:t>
      </w:r>
      <w:r w:rsidR="00FF780D" w:rsidRPr="00677C9D">
        <w:rPr>
          <w:rFonts w:cs="Verdana"/>
          <w:bCs/>
          <w:sz w:val="24"/>
          <w:szCs w:val="24"/>
          <w:lang w:val="pl-PL"/>
        </w:rPr>
        <w:t xml:space="preserve">powinny mieć pewne minimalne gwarancje. W świetle porozumienia między obroną a oskarżeniem, prokurator wystąpił do sądu o skazanie skarżącego bez badania przedmiotu sprawy i wnioskował o zmniejszoną karę (grzywnę). Trybunał uznał, że osiągając porozumienie z prokuratorem odnośnie wysokości kary, skarżący zrzekł się prawa do badania sprawy co do meritum. Rolą Trybunału jest sprawdzenie, czy porozumienie to zostało osiągnięte przez skarżącego całkowicie dobrowolnie i z pełną świadomością skutków prawnych, a także, czy miało miejsce wystarczające zbadanie przez sąd treści ugody i rzetelności procesu, w którym </w:t>
      </w:r>
      <w:r w:rsidR="000C4826">
        <w:rPr>
          <w:rFonts w:cs="Verdana"/>
          <w:bCs/>
          <w:sz w:val="24"/>
          <w:szCs w:val="24"/>
          <w:lang w:val="pl-PL"/>
        </w:rPr>
        <w:t>d</w:t>
      </w:r>
      <w:r w:rsidR="00FF780D" w:rsidRPr="00677C9D">
        <w:rPr>
          <w:rFonts w:cs="Verdana"/>
          <w:bCs/>
          <w:sz w:val="24"/>
          <w:szCs w:val="24"/>
          <w:lang w:val="pl-PL"/>
        </w:rPr>
        <w:t>o niej doszło. Trybunał odnotował, że ugoda została osiągnięta z inicjatywy skarżącego, a nie została narzucona przez prokuratora. Sąd upewnił się, czy nie miała miejsce niewłaściwa presja, a skarżący kilkakrotnie potwierdził, że rozumie treść ugody, a także, że poinformowano go o jego prawach procesowych i konsekwencjach prawnych. Ugoda była dostępna na piśmie i podpisana. Sąd mógł zbadać, czy wniosek prokuratora był prawidłowy, a także zmniejszyć wysokość kary, a nawet odrzucić porozumienie</w:t>
      </w:r>
      <w:r w:rsidR="00DA2C7D">
        <w:rPr>
          <w:rFonts w:cs="Verdana"/>
          <w:bCs/>
          <w:sz w:val="24"/>
          <w:szCs w:val="24"/>
          <w:lang w:val="pl-PL"/>
        </w:rPr>
        <w:t>,</w:t>
      </w:r>
      <w:r w:rsidR="00FF780D" w:rsidRPr="00677C9D">
        <w:rPr>
          <w:rFonts w:cs="Verdana"/>
          <w:bCs/>
          <w:sz w:val="24"/>
          <w:szCs w:val="24"/>
          <w:lang w:val="pl-PL"/>
        </w:rPr>
        <w:t xml:space="preserve"> w zależności od swej oceny</w:t>
      </w:r>
      <w:r w:rsidRPr="00677C9D">
        <w:rPr>
          <w:rFonts w:cs="Verdana"/>
          <w:bCs/>
          <w:sz w:val="24"/>
          <w:szCs w:val="24"/>
          <w:lang w:val="pl-PL"/>
        </w:rPr>
        <w:t xml:space="preserve"> w zakresie tego</w:t>
      </w:r>
      <w:r w:rsidR="00FF780D" w:rsidRPr="00677C9D">
        <w:rPr>
          <w:rFonts w:cs="Verdana"/>
          <w:bCs/>
          <w:sz w:val="24"/>
          <w:szCs w:val="24"/>
          <w:lang w:val="pl-PL"/>
        </w:rPr>
        <w:t>, czy do jego zawarcia doszło w sprawiedliwy sposób.  Sąd zbadał również, czy oskarżenia były dobrze umotywowane i oparte na dowodach. Trybunał uznał również za normalną sytuację, że prawo do odwołania jest bardziej ograniczone w odniesieniu do skazania opartego na umowie</w:t>
      </w:r>
      <w:r w:rsidRPr="00677C9D">
        <w:rPr>
          <w:rFonts w:cs="Verdana"/>
          <w:bCs/>
          <w:sz w:val="24"/>
          <w:szCs w:val="24"/>
          <w:lang w:val="pl-PL"/>
        </w:rPr>
        <w:t xml:space="preserve">, w której określona jest wysokość </w:t>
      </w:r>
      <w:r w:rsidR="00FF780D" w:rsidRPr="00677C9D">
        <w:rPr>
          <w:rFonts w:cs="Verdana"/>
          <w:bCs/>
          <w:sz w:val="24"/>
          <w:szCs w:val="24"/>
          <w:lang w:val="pl-PL"/>
        </w:rPr>
        <w:t xml:space="preserve">kary. Akceptując to porozumienie, skarżący zrzekł się prawa do zwykłego odwołania, a kwestię tę powinni byli mu wyjaśnić jego prawnicy. Trybunał nie uznał, </w:t>
      </w:r>
      <w:r w:rsidR="00FF780D" w:rsidRPr="00677C9D">
        <w:rPr>
          <w:rFonts w:cs="Verdana"/>
          <w:bCs/>
          <w:sz w:val="24"/>
          <w:szCs w:val="24"/>
          <w:lang w:val="pl-PL"/>
        </w:rPr>
        <w:lastRenderedPageBreak/>
        <w:t xml:space="preserve">by ograniczenie prawa do odwołania w takiej sytuacji </w:t>
      </w:r>
      <w:r w:rsidR="00402CB2" w:rsidRPr="00677C9D">
        <w:rPr>
          <w:rFonts w:cs="Verdana"/>
          <w:bCs/>
          <w:sz w:val="24"/>
          <w:szCs w:val="24"/>
          <w:lang w:val="pl-PL"/>
        </w:rPr>
        <w:t xml:space="preserve">miało charakter </w:t>
      </w:r>
      <w:r w:rsidR="00FF780D" w:rsidRPr="00677C9D">
        <w:rPr>
          <w:rFonts w:cs="Verdana"/>
          <w:bCs/>
          <w:sz w:val="24"/>
          <w:szCs w:val="24"/>
          <w:lang w:val="pl-PL"/>
        </w:rPr>
        <w:t>arbitraln</w:t>
      </w:r>
      <w:r w:rsidR="00402CB2" w:rsidRPr="00677C9D">
        <w:rPr>
          <w:rFonts w:cs="Verdana"/>
          <w:bCs/>
          <w:sz w:val="24"/>
          <w:szCs w:val="24"/>
          <w:lang w:val="pl-PL"/>
        </w:rPr>
        <w:t>y</w:t>
      </w:r>
      <w:r w:rsidR="00FF780D" w:rsidRPr="00677C9D">
        <w:rPr>
          <w:rFonts w:cs="Verdana"/>
          <w:bCs/>
          <w:sz w:val="24"/>
          <w:szCs w:val="24"/>
          <w:lang w:val="pl-PL"/>
        </w:rPr>
        <w:t xml:space="preserve">. W odniesieniu zaś do konfiskaty </w:t>
      </w:r>
      <w:r w:rsidR="00402CB2" w:rsidRPr="00677C9D">
        <w:rPr>
          <w:rFonts w:cs="Verdana"/>
          <w:bCs/>
          <w:sz w:val="24"/>
          <w:szCs w:val="24"/>
          <w:lang w:val="pl-PL"/>
        </w:rPr>
        <w:t xml:space="preserve">majątku, </w:t>
      </w:r>
      <w:r w:rsidR="00FF780D" w:rsidRPr="00677C9D">
        <w:rPr>
          <w:rFonts w:cs="Verdana"/>
          <w:bCs/>
          <w:sz w:val="24"/>
          <w:szCs w:val="24"/>
          <w:lang w:val="pl-PL"/>
        </w:rPr>
        <w:t>Trybunał uznał ją za naturalną konsekwencję faktu wydania wyroku skazującego</w:t>
      </w:r>
      <w:r w:rsidR="00255A28">
        <w:rPr>
          <w:rFonts w:cs="Verdana"/>
          <w:bCs/>
          <w:sz w:val="24"/>
          <w:szCs w:val="24"/>
          <w:lang w:val="pl-PL"/>
        </w:rPr>
        <w:t>,</w:t>
      </w:r>
      <w:r w:rsidR="00FF780D" w:rsidRPr="00677C9D">
        <w:rPr>
          <w:rFonts w:cs="Verdana"/>
          <w:bCs/>
          <w:sz w:val="24"/>
          <w:szCs w:val="24"/>
          <w:lang w:val="pl-PL"/>
        </w:rPr>
        <w:t xml:space="preserve"> uznającego odpowiedzialność karną skarżącego.</w:t>
      </w:r>
    </w:p>
    <w:p w14:paraId="589414B2" w14:textId="77777777" w:rsidR="00402CB2" w:rsidRPr="00677C9D" w:rsidRDefault="00402CB2" w:rsidP="00402CB2">
      <w:pPr>
        <w:pStyle w:val="Akapitzlist"/>
        <w:autoSpaceDE w:val="0"/>
        <w:autoSpaceDN w:val="0"/>
        <w:adjustRightInd w:val="0"/>
        <w:spacing w:after="120" w:line="240" w:lineRule="auto"/>
        <w:jc w:val="both"/>
        <w:rPr>
          <w:rFonts w:cs="Verdana"/>
          <w:bCs/>
          <w:sz w:val="24"/>
          <w:szCs w:val="24"/>
          <w:lang w:val="pl-PL"/>
        </w:rPr>
      </w:pPr>
    </w:p>
    <w:p w14:paraId="43EAC5B5" w14:textId="77777777" w:rsidR="00FF780D" w:rsidRPr="00677C9D" w:rsidRDefault="00B02FAD" w:rsidP="00FF780D">
      <w:pPr>
        <w:autoSpaceDE w:val="0"/>
        <w:autoSpaceDN w:val="0"/>
        <w:adjustRightInd w:val="0"/>
        <w:spacing w:after="120" w:line="240" w:lineRule="auto"/>
        <w:jc w:val="both"/>
        <w:rPr>
          <w:rFonts w:cs="Verdana"/>
          <w:bCs/>
          <w:sz w:val="24"/>
          <w:szCs w:val="24"/>
          <w:lang w:val="pl-PL"/>
        </w:rPr>
      </w:pPr>
      <w:r w:rsidRPr="00677C9D">
        <w:rPr>
          <w:rFonts w:cs="Verdana"/>
          <w:bCs/>
          <w:sz w:val="24"/>
          <w:szCs w:val="24"/>
          <w:u w:val="single"/>
          <w:lang w:val="pl-PL"/>
        </w:rPr>
        <w:t>Znaczenie dla Polski</w:t>
      </w:r>
      <w:r w:rsidRPr="00677C9D">
        <w:rPr>
          <w:rFonts w:cs="Verdana"/>
          <w:bCs/>
          <w:sz w:val="24"/>
          <w:szCs w:val="24"/>
          <w:lang w:val="pl-PL"/>
        </w:rPr>
        <w:t xml:space="preserve"> </w:t>
      </w:r>
      <w:r w:rsidR="00FF780D" w:rsidRPr="00677C9D">
        <w:rPr>
          <w:rFonts w:cs="Verdana"/>
          <w:bCs/>
          <w:sz w:val="24"/>
          <w:szCs w:val="24"/>
          <w:lang w:val="pl-PL"/>
        </w:rPr>
        <w:t xml:space="preserve">– należy przeanalizować prawo i praktykę w kontekście gwarancji </w:t>
      </w:r>
      <w:r w:rsidR="00107D55">
        <w:rPr>
          <w:rFonts w:cs="Verdana"/>
          <w:bCs/>
          <w:sz w:val="24"/>
          <w:szCs w:val="24"/>
          <w:lang w:val="pl-PL"/>
        </w:rPr>
        <w:t xml:space="preserve">procesowych </w:t>
      </w:r>
      <w:r w:rsidR="00FF780D" w:rsidRPr="00677C9D">
        <w:rPr>
          <w:rFonts w:cs="Verdana"/>
          <w:bCs/>
          <w:sz w:val="24"/>
          <w:szCs w:val="24"/>
          <w:lang w:val="pl-PL"/>
        </w:rPr>
        <w:t>i badania</w:t>
      </w:r>
      <w:r w:rsidR="006F54CF" w:rsidRPr="00677C9D">
        <w:rPr>
          <w:rFonts w:cs="Verdana"/>
          <w:bCs/>
          <w:sz w:val="24"/>
          <w:szCs w:val="24"/>
          <w:lang w:val="pl-PL"/>
        </w:rPr>
        <w:t xml:space="preserve"> istotnych</w:t>
      </w:r>
      <w:r w:rsidR="00FF780D" w:rsidRPr="00677C9D">
        <w:rPr>
          <w:rFonts w:cs="Verdana"/>
          <w:bCs/>
          <w:sz w:val="24"/>
          <w:szCs w:val="24"/>
          <w:lang w:val="pl-PL"/>
        </w:rPr>
        <w:t xml:space="preserve"> okoliczności</w:t>
      </w:r>
      <w:r w:rsidR="006F54CF" w:rsidRPr="00677C9D">
        <w:rPr>
          <w:rFonts w:cs="Verdana"/>
          <w:bCs/>
          <w:sz w:val="24"/>
          <w:szCs w:val="24"/>
          <w:lang w:val="pl-PL"/>
        </w:rPr>
        <w:t xml:space="preserve"> </w:t>
      </w:r>
      <w:r w:rsidR="00107D55">
        <w:rPr>
          <w:rFonts w:cs="Verdana"/>
          <w:bCs/>
          <w:sz w:val="24"/>
          <w:szCs w:val="24"/>
          <w:lang w:val="pl-PL"/>
        </w:rPr>
        <w:t xml:space="preserve">faktycznych </w:t>
      </w:r>
      <w:r w:rsidR="006F54CF" w:rsidRPr="00677C9D">
        <w:rPr>
          <w:rFonts w:cs="Verdana"/>
          <w:bCs/>
          <w:sz w:val="24"/>
          <w:szCs w:val="24"/>
          <w:lang w:val="pl-PL"/>
        </w:rPr>
        <w:t>w sytuacji dobrowolnego poddania się karze</w:t>
      </w:r>
      <w:r w:rsidR="00FF780D" w:rsidRPr="00677C9D">
        <w:rPr>
          <w:rFonts w:cs="Verdana"/>
          <w:bCs/>
          <w:sz w:val="24"/>
          <w:szCs w:val="24"/>
          <w:lang w:val="pl-PL"/>
        </w:rPr>
        <w:t>.</w:t>
      </w:r>
    </w:p>
    <w:p w14:paraId="20AF90D0" w14:textId="77777777" w:rsidR="005939C9" w:rsidRPr="000C3591" w:rsidRDefault="005939C9" w:rsidP="000C3591">
      <w:pPr>
        <w:pStyle w:val="Nagwek1"/>
        <w:numPr>
          <w:ilvl w:val="0"/>
          <w:numId w:val="34"/>
        </w:numPr>
        <w:rPr>
          <w:rFonts w:asciiTheme="minorHAnsi" w:hAnsiTheme="minorHAnsi"/>
          <w:color w:val="auto"/>
          <w:sz w:val="24"/>
          <w:szCs w:val="24"/>
          <w:lang w:val="pl-PL"/>
        </w:rPr>
      </w:pPr>
      <w:bookmarkStart w:id="39" w:name="_Toc415257929"/>
      <w:bookmarkStart w:id="40" w:name="_Toc415646200"/>
      <w:proofErr w:type="spellStart"/>
      <w:r w:rsidRPr="000C3591">
        <w:rPr>
          <w:rFonts w:asciiTheme="minorHAnsi" w:hAnsiTheme="minorHAnsi"/>
          <w:color w:val="auto"/>
          <w:sz w:val="24"/>
          <w:szCs w:val="24"/>
          <w:lang w:val="pl-PL"/>
        </w:rPr>
        <w:t>Nusret</w:t>
      </w:r>
      <w:proofErr w:type="spellEnd"/>
      <w:r w:rsidRPr="000C3591">
        <w:rPr>
          <w:rFonts w:asciiTheme="minorHAnsi" w:hAnsiTheme="minorHAnsi"/>
          <w:color w:val="auto"/>
          <w:sz w:val="24"/>
          <w:szCs w:val="24"/>
          <w:lang w:val="pl-PL"/>
        </w:rPr>
        <w:t xml:space="preserve"> </w:t>
      </w:r>
      <w:proofErr w:type="spellStart"/>
      <w:r w:rsidRPr="000C3591">
        <w:rPr>
          <w:rFonts w:asciiTheme="minorHAnsi" w:hAnsiTheme="minorHAnsi"/>
          <w:color w:val="auto"/>
          <w:sz w:val="24"/>
          <w:szCs w:val="24"/>
          <w:lang w:val="pl-PL"/>
        </w:rPr>
        <w:t>Kaya</w:t>
      </w:r>
      <w:proofErr w:type="spellEnd"/>
      <w:r w:rsidRPr="000C3591">
        <w:rPr>
          <w:rFonts w:asciiTheme="minorHAnsi" w:hAnsiTheme="minorHAnsi"/>
          <w:color w:val="auto"/>
          <w:sz w:val="24"/>
          <w:szCs w:val="24"/>
          <w:lang w:val="pl-PL"/>
        </w:rPr>
        <w:t xml:space="preserve"> i Inni przeciwko Turcji, skargi nr 43750/06, 43752/06, 32054/08, 37753/08 i 60915/08, wyrok z 22.4.2014</w:t>
      </w:r>
      <w:bookmarkEnd w:id="39"/>
      <w:bookmarkEnd w:id="40"/>
    </w:p>
    <w:p w14:paraId="0A535029" w14:textId="77777777" w:rsidR="005939C9" w:rsidRPr="00677C9D" w:rsidRDefault="00402CB2" w:rsidP="00C83635">
      <w:pPr>
        <w:pStyle w:val="Akapitzlist"/>
        <w:numPr>
          <w:ilvl w:val="0"/>
          <w:numId w:val="22"/>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naruszenie </w:t>
      </w:r>
      <w:r w:rsidR="005939C9" w:rsidRPr="00677C9D">
        <w:rPr>
          <w:rFonts w:cs="Verdana"/>
          <w:bCs/>
          <w:sz w:val="24"/>
          <w:szCs w:val="24"/>
          <w:lang w:val="pl-PL"/>
        </w:rPr>
        <w:t>art. 8</w:t>
      </w:r>
      <w:r w:rsidR="007923F8" w:rsidRPr="00677C9D">
        <w:rPr>
          <w:rFonts w:cs="Verdana"/>
          <w:bCs/>
          <w:sz w:val="24"/>
          <w:szCs w:val="24"/>
          <w:lang w:val="pl-PL"/>
        </w:rPr>
        <w:t xml:space="preserve"> (prawo do poszanowania życia prywatnego i rodzinnego) </w:t>
      </w:r>
      <w:r w:rsidRPr="00677C9D">
        <w:rPr>
          <w:rFonts w:cs="Verdana"/>
          <w:bCs/>
          <w:sz w:val="24"/>
          <w:szCs w:val="24"/>
          <w:lang w:val="pl-PL"/>
        </w:rPr>
        <w:t xml:space="preserve">w konsekwencji </w:t>
      </w:r>
      <w:r w:rsidR="005939C9" w:rsidRPr="00677C9D">
        <w:rPr>
          <w:rFonts w:cs="Verdana"/>
          <w:bCs/>
          <w:sz w:val="24"/>
          <w:szCs w:val="24"/>
          <w:lang w:val="pl-PL"/>
        </w:rPr>
        <w:t>ogranicze</w:t>
      </w:r>
      <w:r w:rsidRPr="00677C9D">
        <w:rPr>
          <w:rFonts w:cs="Verdana"/>
          <w:bCs/>
          <w:sz w:val="24"/>
          <w:szCs w:val="24"/>
          <w:lang w:val="pl-PL"/>
        </w:rPr>
        <w:t xml:space="preserve">ń </w:t>
      </w:r>
      <w:r w:rsidR="005939C9" w:rsidRPr="00677C9D">
        <w:rPr>
          <w:rFonts w:cs="Verdana"/>
          <w:bCs/>
          <w:sz w:val="24"/>
          <w:szCs w:val="24"/>
          <w:lang w:val="pl-PL"/>
        </w:rPr>
        <w:t>nałożon</w:t>
      </w:r>
      <w:r w:rsidRPr="00677C9D">
        <w:rPr>
          <w:rFonts w:cs="Verdana"/>
          <w:bCs/>
          <w:sz w:val="24"/>
          <w:szCs w:val="24"/>
          <w:lang w:val="pl-PL"/>
        </w:rPr>
        <w:t xml:space="preserve">ych </w:t>
      </w:r>
      <w:r w:rsidR="005939C9" w:rsidRPr="00677C9D">
        <w:rPr>
          <w:rFonts w:cs="Verdana"/>
          <w:bCs/>
          <w:sz w:val="24"/>
          <w:szCs w:val="24"/>
          <w:lang w:val="pl-PL"/>
        </w:rPr>
        <w:t>na więźniów tureckich posługujących się językiem kurdyjskim w czasie rozmów telefonicznych</w:t>
      </w:r>
      <w:r w:rsidRPr="00677C9D">
        <w:rPr>
          <w:rFonts w:cs="Verdana"/>
          <w:bCs/>
          <w:sz w:val="24"/>
          <w:szCs w:val="24"/>
          <w:lang w:val="pl-PL"/>
        </w:rPr>
        <w:t>;</w:t>
      </w:r>
    </w:p>
    <w:p w14:paraId="3936EB25" w14:textId="77777777" w:rsidR="005939C9" w:rsidRPr="00677C9D" w:rsidRDefault="00402CB2" w:rsidP="00C83635">
      <w:pPr>
        <w:pStyle w:val="Akapitzlist"/>
        <w:numPr>
          <w:ilvl w:val="0"/>
          <w:numId w:val="22"/>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s</w:t>
      </w:r>
      <w:r w:rsidR="005939C9" w:rsidRPr="00677C9D">
        <w:rPr>
          <w:rFonts w:cs="Verdana"/>
          <w:bCs/>
          <w:sz w:val="24"/>
          <w:szCs w:val="24"/>
          <w:lang w:val="pl-PL"/>
        </w:rPr>
        <w:t xml:space="preserve">prawa dotyczyła praktyki, zgodnie z którą w </w:t>
      </w:r>
      <w:r w:rsidRPr="00677C9D">
        <w:rPr>
          <w:rFonts w:cs="Verdana"/>
          <w:bCs/>
          <w:sz w:val="24"/>
          <w:szCs w:val="24"/>
          <w:lang w:val="pl-PL"/>
        </w:rPr>
        <w:t xml:space="preserve">sytuacji, gdy </w:t>
      </w:r>
      <w:r w:rsidR="005939C9" w:rsidRPr="00677C9D">
        <w:rPr>
          <w:rFonts w:cs="Verdana"/>
          <w:bCs/>
          <w:sz w:val="24"/>
          <w:szCs w:val="24"/>
          <w:lang w:val="pl-PL"/>
        </w:rPr>
        <w:t>osoby pozbawione wolności wyraziły chęć posługiwania się językiem kurdyjskim w czasie rozmów telefonicznych z rodziną, niezbędne było przeprowadzenie uprzedniej weryfikacji, czy osoby te są w stanie porozumiewać się w języku tureckim. Trybunał uznał, że tego typu ograniczenie nałożone na skarżących w kontaktach z ich rodzinami nie było konieczne w społeczeństwie demokratycznym i naruszało art. 8 Konwencji w zakresie chroniącym prawo do życia prywatnego i rodzinnego (Trybunał nie badał sprawy z punktu widzenia wolności posługiwania się określonym językiem). W świetle prawa tureckiego, rozmowy telefoniczne osadzonych podlegały kontroli. Nie było co do zasady wykluczone prowadzenie rozmów w języku innym niż turecki, jeśli osoba, z którą osadzony chciał się porozumiewać, nie była w stanie zrozumieć języka tureckiego. Skarżący twierdzili, że tylko w języku kurdyjskim mogą swobodnie porozumiewać się z rodzinami. Procedury wymagały jednak weryfikacji, czy osoba, z którą chce się porozumiewać osadzony, rzeczywiście nie jest w stanie zrozumieć języka tureckiego. Koszt tej weryfikacji obciążał osadzonego. Trybunał uznał, że choć szczególne okoliczności sprawy, w tym względy bezpieczeństwa, mogą uzasadnić pewne ograniczenia swobod</w:t>
      </w:r>
      <w:r w:rsidR="001A66E3" w:rsidRPr="00677C9D">
        <w:rPr>
          <w:rFonts w:cs="Verdana"/>
          <w:bCs/>
          <w:sz w:val="24"/>
          <w:szCs w:val="24"/>
          <w:lang w:val="pl-PL"/>
        </w:rPr>
        <w:t xml:space="preserve">y </w:t>
      </w:r>
      <w:r w:rsidR="005939C9" w:rsidRPr="00677C9D">
        <w:rPr>
          <w:rFonts w:cs="Verdana"/>
          <w:bCs/>
          <w:sz w:val="24"/>
          <w:szCs w:val="24"/>
          <w:lang w:val="pl-PL"/>
        </w:rPr>
        <w:t xml:space="preserve">posługiwania się określonym językiem (jeśli nie wykazano, że nie jest w stanie porozumieć się w innym języku), jednak w obecnej sprawie regulacje miały zastosowanie generalnie do wszystkich osadzonych, bez indywidualnej oceny kwestii bezpieczeństwa. Co więcej, choć władze były świadome, że język kurdyjski jest używany przez niektórych skarżących do kontaktów z rodzinami, nie zapewniły systemu tłumaczenia. Natomiast w odniesieniu do kwestii poszanowania prawa do życia rodzinnego, kluczowe jest, by władze pomogły osadzonym w utrzymywaniu kontaktów z ich rodzinami.  </w:t>
      </w:r>
    </w:p>
    <w:p w14:paraId="0AE7B167" w14:textId="77777777" w:rsidR="005939C9" w:rsidRPr="00677C9D" w:rsidRDefault="00B02FAD" w:rsidP="005939C9">
      <w:pPr>
        <w:autoSpaceDE w:val="0"/>
        <w:autoSpaceDN w:val="0"/>
        <w:adjustRightInd w:val="0"/>
        <w:spacing w:after="120" w:line="240" w:lineRule="auto"/>
        <w:jc w:val="both"/>
        <w:rPr>
          <w:rFonts w:cs="Verdana"/>
          <w:bCs/>
          <w:sz w:val="24"/>
          <w:szCs w:val="24"/>
          <w:lang w:val="pl-PL"/>
        </w:rPr>
      </w:pPr>
      <w:r w:rsidRPr="00677C9D">
        <w:rPr>
          <w:rFonts w:cs="Verdana"/>
          <w:bCs/>
          <w:sz w:val="24"/>
          <w:szCs w:val="24"/>
          <w:u w:val="single"/>
          <w:lang w:val="pl-PL"/>
        </w:rPr>
        <w:t>Znaczenie dla Polski</w:t>
      </w:r>
      <w:r w:rsidRPr="00677C9D">
        <w:rPr>
          <w:rFonts w:cs="Verdana"/>
          <w:bCs/>
          <w:sz w:val="24"/>
          <w:szCs w:val="24"/>
          <w:lang w:val="pl-PL"/>
        </w:rPr>
        <w:t xml:space="preserve"> </w:t>
      </w:r>
      <w:r w:rsidR="005939C9" w:rsidRPr="00677C9D">
        <w:rPr>
          <w:rFonts w:cs="Verdana"/>
          <w:bCs/>
          <w:sz w:val="24"/>
          <w:szCs w:val="24"/>
          <w:lang w:val="pl-PL"/>
        </w:rPr>
        <w:t xml:space="preserve">– należy przeanalizować, czy praktyka stosowana w zakładach penitencjarnych jest zgodna ze standardami określonymi przez Trybunał w zakresie umożliwiania osadzonym utrzymywania kontaktów z rodziną w wybranym języku. </w:t>
      </w:r>
    </w:p>
    <w:p w14:paraId="758D706A" w14:textId="77777777" w:rsidR="005939C9" w:rsidRPr="00677C9D" w:rsidRDefault="005939C9" w:rsidP="00FF780D">
      <w:pPr>
        <w:autoSpaceDE w:val="0"/>
        <w:autoSpaceDN w:val="0"/>
        <w:adjustRightInd w:val="0"/>
        <w:spacing w:after="120" w:line="240" w:lineRule="auto"/>
        <w:jc w:val="both"/>
        <w:rPr>
          <w:rFonts w:cs="Verdana"/>
          <w:bCs/>
          <w:sz w:val="24"/>
          <w:szCs w:val="24"/>
          <w:lang w:val="pl-PL"/>
        </w:rPr>
      </w:pPr>
    </w:p>
    <w:p w14:paraId="4E1E94F5" w14:textId="77777777" w:rsidR="00FF780D" w:rsidRPr="000C3591" w:rsidRDefault="00FF780D" w:rsidP="000C3591">
      <w:pPr>
        <w:pStyle w:val="Nagwek1"/>
        <w:numPr>
          <w:ilvl w:val="0"/>
          <w:numId w:val="34"/>
        </w:numPr>
        <w:rPr>
          <w:rFonts w:asciiTheme="minorHAnsi" w:hAnsiTheme="minorHAnsi"/>
          <w:color w:val="auto"/>
          <w:sz w:val="24"/>
          <w:szCs w:val="24"/>
          <w:lang w:val="pl-PL"/>
        </w:rPr>
      </w:pPr>
      <w:bookmarkStart w:id="41" w:name="_Toc415257930"/>
      <w:bookmarkStart w:id="42" w:name="_Toc415646201"/>
      <w:proofErr w:type="spellStart"/>
      <w:r w:rsidRPr="000C3591">
        <w:rPr>
          <w:rFonts w:asciiTheme="minorHAnsi" w:hAnsiTheme="minorHAnsi"/>
          <w:color w:val="auto"/>
          <w:sz w:val="24"/>
          <w:szCs w:val="24"/>
          <w:lang w:val="pl-PL"/>
        </w:rPr>
        <w:lastRenderedPageBreak/>
        <w:t>O’Keeffe</w:t>
      </w:r>
      <w:proofErr w:type="spellEnd"/>
      <w:r w:rsidRPr="000C3591">
        <w:rPr>
          <w:rFonts w:asciiTheme="minorHAnsi" w:hAnsiTheme="minorHAnsi"/>
          <w:color w:val="auto"/>
          <w:sz w:val="24"/>
          <w:szCs w:val="24"/>
          <w:lang w:val="pl-PL"/>
        </w:rPr>
        <w:t xml:space="preserve"> przeciwko Irlandii, skarga nr 35810/09, wyrok Wielkiej Izby z 28.1.2014</w:t>
      </w:r>
      <w:bookmarkEnd w:id="41"/>
      <w:bookmarkEnd w:id="42"/>
    </w:p>
    <w:p w14:paraId="06455DFD" w14:textId="77777777" w:rsidR="00FF780D" w:rsidRPr="00677C9D" w:rsidRDefault="001A66E3" w:rsidP="00C83635">
      <w:pPr>
        <w:pStyle w:val="Akapitzlist"/>
        <w:numPr>
          <w:ilvl w:val="0"/>
          <w:numId w:val="23"/>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naruszenie </w:t>
      </w:r>
      <w:r w:rsidR="00FF780D" w:rsidRPr="00677C9D">
        <w:rPr>
          <w:rFonts w:cs="Verdana"/>
          <w:bCs/>
          <w:sz w:val="24"/>
          <w:szCs w:val="24"/>
          <w:lang w:val="pl-PL"/>
        </w:rPr>
        <w:t xml:space="preserve">art. 3 </w:t>
      </w:r>
      <w:r w:rsidR="00E6407A" w:rsidRPr="00677C9D">
        <w:rPr>
          <w:rFonts w:cs="Verdana"/>
          <w:bCs/>
          <w:sz w:val="24"/>
          <w:szCs w:val="24"/>
          <w:lang w:val="pl-PL"/>
        </w:rPr>
        <w:t xml:space="preserve">(zakaz tortur) </w:t>
      </w:r>
      <w:r w:rsidRPr="00677C9D">
        <w:rPr>
          <w:rFonts w:cs="Verdana"/>
          <w:bCs/>
          <w:sz w:val="24"/>
          <w:szCs w:val="24"/>
          <w:lang w:val="pl-PL"/>
        </w:rPr>
        <w:t xml:space="preserve">poprzez </w:t>
      </w:r>
      <w:r w:rsidR="00FF780D" w:rsidRPr="00677C9D">
        <w:rPr>
          <w:rFonts w:cs="Verdana"/>
          <w:bCs/>
          <w:sz w:val="24"/>
          <w:szCs w:val="24"/>
          <w:lang w:val="pl-PL"/>
        </w:rPr>
        <w:t>brak zapewnienia przez państwo odpowiednich mechanizmów dla ochrony uczniów szkoły państwowej przed wykorzystaniem seksualnym ze strony nauczyciela</w:t>
      </w:r>
      <w:r w:rsidRPr="00677C9D">
        <w:rPr>
          <w:rFonts w:cs="Verdana"/>
          <w:bCs/>
          <w:sz w:val="24"/>
          <w:szCs w:val="24"/>
          <w:lang w:val="pl-PL"/>
        </w:rPr>
        <w:t>;</w:t>
      </w:r>
      <w:r w:rsidR="00FF780D" w:rsidRPr="00677C9D">
        <w:rPr>
          <w:rFonts w:cs="Verdana"/>
          <w:bCs/>
          <w:sz w:val="24"/>
          <w:szCs w:val="24"/>
          <w:lang w:val="pl-PL"/>
        </w:rPr>
        <w:t xml:space="preserve"> </w:t>
      </w:r>
    </w:p>
    <w:p w14:paraId="2E33645D" w14:textId="77777777" w:rsidR="00FF780D" w:rsidRPr="00677C9D" w:rsidRDefault="001A66E3" w:rsidP="00C83635">
      <w:pPr>
        <w:pStyle w:val="Akapitzlist"/>
        <w:numPr>
          <w:ilvl w:val="0"/>
          <w:numId w:val="23"/>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naruszenie </w:t>
      </w:r>
      <w:r w:rsidR="00FF780D" w:rsidRPr="00677C9D">
        <w:rPr>
          <w:rFonts w:cs="Verdana"/>
          <w:bCs/>
          <w:sz w:val="24"/>
          <w:szCs w:val="24"/>
          <w:lang w:val="pl-PL"/>
        </w:rPr>
        <w:t xml:space="preserve">art. 13 </w:t>
      </w:r>
      <w:r w:rsidR="00E6407A" w:rsidRPr="00677C9D">
        <w:rPr>
          <w:rFonts w:cs="Verdana"/>
          <w:bCs/>
          <w:sz w:val="24"/>
          <w:szCs w:val="24"/>
          <w:lang w:val="pl-PL"/>
        </w:rPr>
        <w:t xml:space="preserve">(prawo do skutecznego środka odwoławczego) </w:t>
      </w:r>
      <w:r w:rsidR="00FF780D" w:rsidRPr="00677C9D">
        <w:rPr>
          <w:rFonts w:cs="Verdana"/>
          <w:bCs/>
          <w:sz w:val="24"/>
          <w:szCs w:val="24"/>
          <w:lang w:val="pl-PL"/>
        </w:rPr>
        <w:t xml:space="preserve">w zw. z art. 3 </w:t>
      </w:r>
      <w:r w:rsidR="00E6407A" w:rsidRPr="00677C9D">
        <w:rPr>
          <w:rFonts w:cs="Verdana"/>
          <w:bCs/>
          <w:sz w:val="24"/>
          <w:szCs w:val="24"/>
          <w:lang w:val="pl-PL"/>
        </w:rPr>
        <w:t xml:space="preserve">(zakaz tortur) </w:t>
      </w:r>
      <w:r w:rsidRPr="00677C9D">
        <w:rPr>
          <w:rFonts w:cs="Verdana"/>
          <w:bCs/>
          <w:sz w:val="24"/>
          <w:szCs w:val="24"/>
          <w:lang w:val="pl-PL"/>
        </w:rPr>
        <w:t xml:space="preserve">w konsekwencji </w:t>
      </w:r>
      <w:r w:rsidR="00FF780D" w:rsidRPr="00677C9D">
        <w:rPr>
          <w:rFonts w:cs="Verdana"/>
          <w:bCs/>
          <w:sz w:val="24"/>
          <w:szCs w:val="24"/>
          <w:lang w:val="pl-PL"/>
        </w:rPr>
        <w:t>braku skutecznych krajowych środków odwoławczych</w:t>
      </w:r>
      <w:r w:rsidRPr="00677C9D">
        <w:rPr>
          <w:rFonts w:cs="Verdana"/>
          <w:bCs/>
          <w:sz w:val="24"/>
          <w:szCs w:val="24"/>
          <w:lang w:val="pl-PL"/>
        </w:rPr>
        <w:t>;</w:t>
      </w:r>
    </w:p>
    <w:p w14:paraId="049E1922" w14:textId="77777777" w:rsidR="00FF780D" w:rsidRPr="00677C9D" w:rsidRDefault="001A66E3" w:rsidP="00C83635">
      <w:pPr>
        <w:pStyle w:val="Akapitzlist"/>
        <w:numPr>
          <w:ilvl w:val="0"/>
          <w:numId w:val="23"/>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s</w:t>
      </w:r>
      <w:r w:rsidR="00FF780D" w:rsidRPr="00677C9D">
        <w:rPr>
          <w:rFonts w:cs="Verdana"/>
          <w:bCs/>
          <w:sz w:val="24"/>
          <w:szCs w:val="24"/>
          <w:lang w:val="pl-PL"/>
        </w:rPr>
        <w:t xml:space="preserve">karżąca padła ofiarą nadużyć seksualnych ze strony nauczyciela w latach 70-tych. Szkoła była własnością i podlegała zarządzaniu przez </w:t>
      </w:r>
      <w:r w:rsidRPr="00677C9D">
        <w:rPr>
          <w:rFonts w:cs="Verdana"/>
          <w:bCs/>
          <w:sz w:val="24"/>
          <w:szCs w:val="24"/>
          <w:lang w:val="pl-PL"/>
        </w:rPr>
        <w:t>K</w:t>
      </w:r>
      <w:r w:rsidR="00FF780D" w:rsidRPr="00677C9D">
        <w:rPr>
          <w:rFonts w:cs="Verdana"/>
          <w:bCs/>
          <w:sz w:val="24"/>
          <w:szCs w:val="24"/>
          <w:lang w:val="pl-PL"/>
        </w:rPr>
        <w:t xml:space="preserve">ościół </w:t>
      </w:r>
      <w:r w:rsidRPr="00677C9D">
        <w:rPr>
          <w:rFonts w:cs="Verdana"/>
          <w:bCs/>
          <w:sz w:val="24"/>
          <w:szCs w:val="24"/>
          <w:lang w:val="pl-PL"/>
        </w:rPr>
        <w:t>K</w:t>
      </w:r>
      <w:r w:rsidR="00FF780D" w:rsidRPr="00677C9D">
        <w:rPr>
          <w:rFonts w:cs="Verdana"/>
          <w:bCs/>
          <w:sz w:val="24"/>
          <w:szCs w:val="24"/>
          <w:lang w:val="pl-PL"/>
        </w:rPr>
        <w:t>atolicki. Nauczyciel odszedł ze szkoły po skargach innych uczniów, jednak ani państwo (ministerstwo edukacji)</w:t>
      </w:r>
      <w:r w:rsidRPr="00677C9D">
        <w:rPr>
          <w:rFonts w:cs="Verdana"/>
          <w:bCs/>
          <w:sz w:val="24"/>
          <w:szCs w:val="24"/>
          <w:lang w:val="pl-PL"/>
        </w:rPr>
        <w:t>,</w:t>
      </w:r>
      <w:r w:rsidR="00FF780D" w:rsidRPr="00677C9D">
        <w:rPr>
          <w:rFonts w:cs="Verdana"/>
          <w:bCs/>
          <w:sz w:val="24"/>
          <w:szCs w:val="24"/>
          <w:lang w:val="pl-PL"/>
        </w:rPr>
        <w:t xml:space="preserve"> ani policja nie były poinformowane o skargach. Skarżąca złożyła zawiadomienie na policję w 1997 r., a nauczyciel został ostatecznie skazany za przestępstwa seksualne wobec 21 uczniów. Skarżąca otrzymała odszkodowanie przyznane przez sąd karny i odszkodowanie z powództwa przeciwko nauczycielowi. Jednakże powództwo przeciwko władzom z tytułu niezapewnienia jej ochrony przed nadużyciem zostało przez sądy oddalone</w:t>
      </w:r>
      <w:r w:rsidRPr="00677C9D">
        <w:rPr>
          <w:rFonts w:cs="Verdana"/>
          <w:bCs/>
          <w:sz w:val="24"/>
          <w:szCs w:val="24"/>
          <w:lang w:val="pl-PL"/>
        </w:rPr>
        <w:t>. Uznały one</w:t>
      </w:r>
      <w:r w:rsidR="00FF780D" w:rsidRPr="00677C9D">
        <w:rPr>
          <w:rFonts w:cs="Verdana"/>
          <w:bCs/>
          <w:sz w:val="24"/>
          <w:szCs w:val="24"/>
          <w:lang w:val="pl-PL"/>
        </w:rPr>
        <w:t xml:space="preserve">, że na mocy Konstytucji państwo przekazało bieżące zarządzanie szkołami patronowi i zarządcy, którzy działali jako przedstawiciele </w:t>
      </w:r>
      <w:r w:rsidR="00107D55">
        <w:rPr>
          <w:rFonts w:cs="Verdana"/>
          <w:bCs/>
          <w:sz w:val="24"/>
          <w:szCs w:val="24"/>
          <w:lang w:val="pl-PL"/>
        </w:rPr>
        <w:t>K</w:t>
      </w:r>
      <w:r w:rsidR="00FF780D" w:rsidRPr="00677C9D">
        <w:rPr>
          <w:rFonts w:cs="Verdana"/>
          <w:bCs/>
          <w:sz w:val="24"/>
          <w:szCs w:val="24"/>
          <w:lang w:val="pl-PL"/>
        </w:rPr>
        <w:t xml:space="preserve">ościoła, a nie państwa. </w:t>
      </w:r>
    </w:p>
    <w:p w14:paraId="4036DC8F" w14:textId="77777777" w:rsidR="001A66E3" w:rsidRPr="00677C9D" w:rsidRDefault="00FF780D" w:rsidP="001A66E3">
      <w:pPr>
        <w:pStyle w:val="Akapitzlist"/>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Trybunał podkreślił obowiązek zapewnienia </w:t>
      </w:r>
      <w:r w:rsidR="00107D55">
        <w:rPr>
          <w:rFonts w:cs="Verdana"/>
          <w:bCs/>
          <w:sz w:val="24"/>
          <w:szCs w:val="24"/>
          <w:lang w:val="pl-PL"/>
        </w:rPr>
        <w:t xml:space="preserve">przez rząd </w:t>
      </w:r>
      <w:r w:rsidRPr="00677C9D">
        <w:rPr>
          <w:rFonts w:cs="Verdana"/>
          <w:bCs/>
          <w:sz w:val="24"/>
          <w:szCs w:val="24"/>
          <w:lang w:val="pl-PL"/>
        </w:rPr>
        <w:t>ochrony dzieci przed niewłaściwym traktowaniem, w szczególności w kontekście edukacji szkolnej, poprzez przyjęcie w razie potrzeby specjalnych środków i gwarancji. Istnienie mechanizmów wykrywania i raportowania nt. nadużyć jest fundamentalne. Państwo nie może się zwolnić z tych obowiązków poprzez delegowanie zadań w zakresie zarządzania szkołami na podmioty prywatne. Ani też, gdy dziecko wybrało jedną z opcji edukacji zatwierdzonych przez państwo, państwo nie może być zwolnione ze swych zobowiązań jedynie z uwagi na fakt dokonania wyboru szkoły przez dziecko. Trybunał zbadał, czy w okolicznościach sprawy i wiedzy, jaka była dostępna w latach 70-ych</w:t>
      </w:r>
      <w:r w:rsidR="007E44F2">
        <w:rPr>
          <w:rFonts w:cs="Verdana"/>
          <w:bCs/>
          <w:sz w:val="24"/>
          <w:szCs w:val="24"/>
          <w:lang w:val="pl-PL"/>
        </w:rPr>
        <w:t>,</w:t>
      </w:r>
      <w:r w:rsidRPr="00677C9D">
        <w:rPr>
          <w:rFonts w:cs="Verdana"/>
          <w:bCs/>
          <w:sz w:val="24"/>
          <w:szCs w:val="24"/>
          <w:lang w:val="pl-PL"/>
        </w:rPr>
        <w:t xml:space="preserve"> można mówić o odpowiedzialności państwa w </w:t>
      </w:r>
      <w:r w:rsidR="007E44F2">
        <w:rPr>
          <w:rFonts w:cs="Verdana"/>
          <w:bCs/>
          <w:sz w:val="24"/>
          <w:szCs w:val="24"/>
          <w:lang w:val="pl-PL"/>
        </w:rPr>
        <w:t xml:space="preserve">przedmiotowej </w:t>
      </w:r>
      <w:r w:rsidRPr="00677C9D">
        <w:rPr>
          <w:rFonts w:cs="Verdana"/>
          <w:bCs/>
          <w:sz w:val="24"/>
          <w:szCs w:val="24"/>
          <w:lang w:val="pl-PL"/>
        </w:rPr>
        <w:t xml:space="preserve">sprawie. Bezsporne było, że traktowanie skarżącej przez nauczyciela było sprzeczne z art. 3. W Irlandii miał zastosowanie wyjątkowy system oświaty, w którym państwo było odpowiedzialne za zapewnienie edukacji (określanie programów szkolenia, udzielanie licencji nauczycielom i finansowanie szkół), natomiast </w:t>
      </w:r>
      <w:r w:rsidR="001A66E3" w:rsidRPr="00677C9D">
        <w:rPr>
          <w:rFonts w:cs="Verdana"/>
          <w:bCs/>
          <w:sz w:val="24"/>
          <w:szCs w:val="24"/>
          <w:lang w:val="pl-PL"/>
        </w:rPr>
        <w:t xml:space="preserve">administracja szkół leżała w gestii samych szkół. </w:t>
      </w:r>
      <w:r w:rsidRPr="00677C9D">
        <w:rPr>
          <w:rFonts w:cs="Verdana"/>
          <w:bCs/>
          <w:sz w:val="24"/>
          <w:szCs w:val="24"/>
          <w:lang w:val="pl-PL"/>
        </w:rPr>
        <w:t>Oceniając odpowiedzialność państwa, Trybunał zbadał, czy powinno ono było być świadome ryzyka nadużyć seksualnych wobec nieletnich. Oparł się na raportach dotyczących dużej liczby przestępstw tego typu ściganych w latach 70</w:t>
      </w:r>
      <w:r w:rsidR="00FE2EE9">
        <w:rPr>
          <w:rFonts w:cs="Verdana"/>
          <w:bCs/>
          <w:sz w:val="24"/>
          <w:szCs w:val="24"/>
          <w:lang w:val="pl-PL"/>
        </w:rPr>
        <w:t>-</w:t>
      </w:r>
      <w:r w:rsidRPr="00677C9D">
        <w:rPr>
          <w:rFonts w:cs="Verdana"/>
          <w:bCs/>
          <w:sz w:val="24"/>
          <w:szCs w:val="24"/>
          <w:lang w:val="pl-PL"/>
        </w:rPr>
        <w:t xml:space="preserve">ych, </w:t>
      </w:r>
      <w:r w:rsidR="007429FF">
        <w:rPr>
          <w:rFonts w:cs="Verdana"/>
          <w:bCs/>
          <w:sz w:val="24"/>
          <w:szCs w:val="24"/>
          <w:lang w:val="pl-PL"/>
        </w:rPr>
        <w:t xml:space="preserve">popełnionych także </w:t>
      </w:r>
      <w:r w:rsidRPr="00677C9D">
        <w:rPr>
          <w:rFonts w:cs="Verdana"/>
          <w:bCs/>
          <w:sz w:val="24"/>
          <w:szCs w:val="24"/>
          <w:lang w:val="pl-PL"/>
        </w:rPr>
        <w:t>w szkołach. W tej sytuacji, przekazując podmiotom niepaństwowym odpowiedzialność za edukację znacznej większości dzieci, państwo powinno było p</w:t>
      </w:r>
      <w:r w:rsidR="001A66E3" w:rsidRPr="00677C9D">
        <w:rPr>
          <w:rFonts w:cs="Verdana"/>
          <w:bCs/>
          <w:sz w:val="24"/>
          <w:szCs w:val="24"/>
          <w:lang w:val="pl-PL"/>
        </w:rPr>
        <w:t xml:space="preserve">rzyjąć </w:t>
      </w:r>
      <w:r w:rsidRPr="00677C9D">
        <w:rPr>
          <w:rFonts w:cs="Verdana"/>
          <w:bCs/>
          <w:sz w:val="24"/>
          <w:szCs w:val="24"/>
          <w:lang w:val="pl-PL"/>
        </w:rPr>
        <w:t>odpowiednie środki, by zapewnić ich ochronę przed potencjalnymi zagrożeniami dla ich bezpieczeństwa, poprzez przynajmniej skuteczny mechanizm wykrywania i raportowania nt. niewłaściwego traktowania dzieci. Mechanizmy, które istniały, nie były jednak skuteczne. Żaden organ państwowy nie był zobowiązany monitorować traktowani</w:t>
      </w:r>
      <w:r w:rsidR="001A66E3" w:rsidRPr="00677C9D">
        <w:rPr>
          <w:rFonts w:cs="Verdana"/>
          <w:bCs/>
          <w:sz w:val="24"/>
          <w:szCs w:val="24"/>
          <w:lang w:val="pl-PL"/>
        </w:rPr>
        <w:t>a</w:t>
      </w:r>
      <w:r w:rsidRPr="00677C9D">
        <w:rPr>
          <w:rFonts w:cs="Verdana"/>
          <w:bCs/>
          <w:sz w:val="24"/>
          <w:szCs w:val="24"/>
          <w:lang w:val="pl-PL"/>
        </w:rPr>
        <w:t xml:space="preserve"> dzieci przez nauczycieli, nie było też procedury skłaniającej dzieci lub rodziców do skarżenia się bezpośrednio do organu państwa. Wytyczne mówiły o możliwości </w:t>
      </w:r>
      <w:r w:rsidR="001A66E3" w:rsidRPr="00677C9D">
        <w:rPr>
          <w:rFonts w:cs="Verdana"/>
          <w:bCs/>
          <w:sz w:val="24"/>
          <w:szCs w:val="24"/>
          <w:lang w:val="pl-PL"/>
        </w:rPr>
        <w:t xml:space="preserve">złożenia </w:t>
      </w:r>
      <w:r w:rsidRPr="00677C9D">
        <w:rPr>
          <w:rFonts w:cs="Verdana"/>
          <w:bCs/>
          <w:sz w:val="24"/>
          <w:szCs w:val="24"/>
          <w:lang w:val="pl-PL"/>
        </w:rPr>
        <w:t xml:space="preserve">skargi do zarządcy szkoły, którym z reguły był lokalny duchowny. W przedmiotowej sprawie skargi na nauczyciela były składane do zarządcy już w 1971 i 1973, </w:t>
      </w:r>
      <w:r w:rsidR="00DF665A" w:rsidRPr="00677C9D">
        <w:rPr>
          <w:rFonts w:cs="Verdana"/>
          <w:bCs/>
          <w:sz w:val="24"/>
          <w:szCs w:val="24"/>
          <w:lang w:val="pl-PL"/>
        </w:rPr>
        <w:t xml:space="preserve">jednak </w:t>
      </w:r>
      <w:r w:rsidRPr="00677C9D">
        <w:rPr>
          <w:rFonts w:cs="Verdana"/>
          <w:bCs/>
          <w:sz w:val="24"/>
          <w:szCs w:val="24"/>
          <w:lang w:val="pl-PL"/>
        </w:rPr>
        <w:t xml:space="preserve">nie powiadomił on o tym władz. Także inspektorzy szkolni koncentrowali się na jakości edukacji, a żaden przepis nie nakładał na nich obowiązku badania lub monitorowania traktowania dzieci przez </w:t>
      </w:r>
      <w:r w:rsidRPr="00677C9D">
        <w:rPr>
          <w:rFonts w:cs="Verdana"/>
          <w:bCs/>
          <w:sz w:val="24"/>
          <w:szCs w:val="24"/>
          <w:lang w:val="pl-PL"/>
        </w:rPr>
        <w:lastRenderedPageBreak/>
        <w:t xml:space="preserve">nauczycieli. Żadna skarga na nauczyciela nie została złożona do organu państwa </w:t>
      </w:r>
      <w:r w:rsidR="001A66E3" w:rsidRPr="00677C9D">
        <w:rPr>
          <w:rFonts w:cs="Verdana"/>
          <w:bCs/>
          <w:sz w:val="24"/>
          <w:szCs w:val="24"/>
          <w:lang w:val="pl-PL"/>
        </w:rPr>
        <w:t xml:space="preserve">aż </w:t>
      </w:r>
      <w:r w:rsidRPr="00677C9D">
        <w:rPr>
          <w:rFonts w:cs="Verdana"/>
          <w:bCs/>
          <w:sz w:val="24"/>
          <w:szCs w:val="24"/>
          <w:lang w:val="pl-PL"/>
        </w:rPr>
        <w:t xml:space="preserve">do 1995 r., </w:t>
      </w:r>
      <w:r w:rsidR="001A66E3" w:rsidRPr="00677C9D">
        <w:rPr>
          <w:rFonts w:cs="Verdana"/>
          <w:bCs/>
          <w:sz w:val="24"/>
          <w:szCs w:val="24"/>
          <w:lang w:val="pl-PL"/>
        </w:rPr>
        <w:t xml:space="preserve">co miało miejsce już </w:t>
      </w:r>
      <w:r w:rsidRPr="00677C9D">
        <w:rPr>
          <w:rFonts w:cs="Verdana"/>
          <w:bCs/>
          <w:sz w:val="24"/>
          <w:szCs w:val="24"/>
          <w:lang w:val="pl-PL"/>
        </w:rPr>
        <w:t xml:space="preserve">po jego przejściu na emeryturę. System wykrywania takich przypadków, który </w:t>
      </w:r>
      <w:r w:rsidR="001A66E3" w:rsidRPr="00677C9D">
        <w:rPr>
          <w:rFonts w:cs="Verdana"/>
          <w:bCs/>
          <w:sz w:val="24"/>
          <w:szCs w:val="24"/>
          <w:lang w:val="pl-PL"/>
        </w:rPr>
        <w:t>umożliwił dopuszczenie się p</w:t>
      </w:r>
      <w:r w:rsidRPr="00677C9D">
        <w:rPr>
          <w:rFonts w:cs="Verdana"/>
          <w:bCs/>
          <w:sz w:val="24"/>
          <w:szCs w:val="24"/>
          <w:lang w:val="pl-PL"/>
        </w:rPr>
        <w:t>onad 400 przypadków nadużyć przez jednego nauczyciela przez dłuższy okres czasu, okazał się nieskuteczny. Tymczasem, gdyby podjęto stosowne działania już w 1971 r.</w:t>
      </w:r>
      <w:r w:rsidR="007C1A38">
        <w:rPr>
          <w:rFonts w:cs="Verdana"/>
          <w:bCs/>
          <w:sz w:val="24"/>
          <w:szCs w:val="24"/>
          <w:lang w:val="pl-PL"/>
        </w:rPr>
        <w:t>, to</w:t>
      </w:r>
      <w:r w:rsidRPr="00677C9D">
        <w:rPr>
          <w:rFonts w:cs="Verdana"/>
          <w:bCs/>
          <w:sz w:val="24"/>
          <w:szCs w:val="24"/>
          <w:lang w:val="pl-PL"/>
        </w:rPr>
        <w:t xml:space="preserve"> skarżąca mogła zostać uchroniona przed </w:t>
      </w:r>
      <w:r w:rsidR="001A66E3" w:rsidRPr="00677C9D">
        <w:rPr>
          <w:rFonts w:cs="Verdana"/>
          <w:bCs/>
          <w:sz w:val="24"/>
          <w:szCs w:val="24"/>
          <w:lang w:val="pl-PL"/>
        </w:rPr>
        <w:t xml:space="preserve">kolejnym </w:t>
      </w:r>
      <w:r w:rsidRPr="00677C9D">
        <w:rPr>
          <w:rFonts w:cs="Verdana"/>
          <w:bCs/>
          <w:sz w:val="24"/>
          <w:szCs w:val="24"/>
          <w:lang w:val="pl-PL"/>
        </w:rPr>
        <w:t>nadużyciem</w:t>
      </w:r>
      <w:r w:rsidR="001A66E3" w:rsidRPr="00677C9D">
        <w:rPr>
          <w:rFonts w:cs="Verdana"/>
          <w:bCs/>
          <w:sz w:val="24"/>
          <w:szCs w:val="24"/>
          <w:lang w:val="pl-PL"/>
        </w:rPr>
        <w:t>, które miało miejsce</w:t>
      </w:r>
      <w:r w:rsidRPr="00677C9D">
        <w:rPr>
          <w:rFonts w:cs="Verdana"/>
          <w:bCs/>
          <w:sz w:val="24"/>
          <w:szCs w:val="24"/>
          <w:lang w:val="pl-PL"/>
        </w:rPr>
        <w:t xml:space="preserve"> 2 lata później. Brak mechanizmu efektywnej kontroli państwa w odniesieniu do znanych państwu ryzyk nadużycia seksualnego skutkował brakiem działań niepaństwowego zarządcy, co doprowadziło do nadużycia wobec skarżącej</w:t>
      </w:r>
      <w:r w:rsidR="001A66E3" w:rsidRPr="00677C9D">
        <w:rPr>
          <w:rFonts w:cs="Verdana"/>
          <w:bCs/>
          <w:sz w:val="24"/>
          <w:szCs w:val="24"/>
          <w:lang w:val="pl-PL"/>
        </w:rPr>
        <w:t xml:space="preserve">, a także do </w:t>
      </w:r>
      <w:r w:rsidRPr="00677C9D">
        <w:rPr>
          <w:rFonts w:cs="Verdana"/>
          <w:bCs/>
          <w:sz w:val="24"/>
          <w:szCs w:val="24"/>
          <w:lang w:val="pl-PL"/>
        </w:rPr>
        <w:t xml:space="preserve">długotrwałego </w:t>
      </w:r>
      <w:r w:rsidR="001A66E3" w:rsidRPr="00677C9D">
        <w:rPr>
          <w:rFonts w:cs="Verdana"/>
          <w:bCs/>
          <w:sz w:val="24"/>
          <w:szCs w:val="24"/>
          <w:lang w:val="pl-PL"/>
        </w:rPr>
        <w:t xml:space="preserve">i </w:t>
      </w:r>
      <w:r w:rsidRPr="00677C9D">
        <w:rPr>
          <w:rFonts w:cs="Verdana"/>
          <w:bCs/>
          <w:sz w:val="24"/>
          <w:szCs w:val="24"/>
          <w:lang w:val="pl-PL"/>
        </w:rPr>
        <w:t>poważnego niewłaściwego działania nauczyciela wobec wielu uczniów tej szkoły. Państwo nie wypełniło swych obowiązków pozytywnych, doszło do naruszenia art. 3 w aspekcie materia</w:t>
      </w:r>
      <w:r w:rsidR="001A66E3" w:rsidRPr="00677C9D">
        <w:rPr>
          <w:rFonts w:cs="Verdana"/>
          <w:bCs/>
          <w:sz w:val="24"/>
          <w:szCs w:val="24"/>
          <w:lang w:val="pl-PL"/>
        </w:rPr>
        <w:t xml:space="preserve">lnym. </w:t>
      </w:r>
    </w:p>
    <w:p w14:paraId="13B81E10" w14:textId="77777777" w:rsidR="00FF780D" w:rsidRPr="00677C9D" w:rsidRDefault="00FF780D" w:rsidP="001A66E3">
      <w:pPr>
        <w:pStyle w:val="Akapitzlist"/>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Naruszenie art. 13 w związku z art. 3: możliwość kierowania roszczeń cywilnych przeciwko innym osobom i podmiotom niepaństwowym nie była skutecznym środkiem w obecnej sprawie, nawet jeśliby takie powództwa miały szanse powodzenia. Skazanie nauczyciela również nie stanowiło skutecznego środka dla skarżącej w rozumieniu art. 13. Skuteczność domniemanych środków przeciwko państwu w dochodzeniu roszczenia skarżącej z tytułu brak</w:t>
      </w:r>
      <w:r w:rsidR="00A1405C">
        <w:rPr>
          <w:rFonts w:cs="Verdana"/>
          <w:bCs/>
          <w:sz w:val="24"/>
          <w:szCs w:val="24"/>
          <w:lang w:val="pl-PL"/>
        </w:rPr>
        <w:t>u</w:t>
      </w:r>
      <w:r w:rsidRPr="00677C9D">
        <w:rPr>
          <w:rFonts w:cs="Verdana"/>
          <w:bCs/>
          <w:sz w:val="24"/>
          <w:szCs w:val="24"/>
          <w:lang w:val="pl-PL"/>
        </w:rPr>
        <w:t xml:space="preserve"> zapewnienia jej przez państwo ochrony nie została wykazana.</w:t>
      </w:r>
      <w:r w:rsidRPr="00677C9D">
        <w:rPr>
          <w:rFonts w:cs="AGaramondPro-Regular"/>
          <w:sz w:val="24"/>
          <w:szCs w:val="24"/>
          <w:lang w:val="pl-PL"/>
        </w:rPr>
        <w:t xml:space="preserve"> </w:t>
      </w:r>
    </w:p>
    <w:p w14:paraId="19660390" w14:textId="77777777" w:rsidR="00FF780D" w:rsidRPr="00677C9D" w:rsidRDefault="00B02FAD" w:rsidP="00AE0C12">
      <w:pPr>
        <w:autoSpaceDE w:val="0"/>
        <w:autoSpaceDN w:val="0"/>
        <w:adjustRightInd w:val="0"/>
        <w:spacing w:after="120" w:line="240" w:lineRule="auto"/>
        <w:jc w:val="both"/>
        <w:rPr>
          <w:rFonts w:cs="Verdana"/>
          <w:b/>
          <w:bCs/>
          <w:sz w:val="24"/>
          <w:szCs w:val="24"/>
          <w:lang w:val="pl-PL"/>
        </w:rPr>
      </w:pPr>
      <w:r w:rsidRPr="00677C9D">
        <w:rPr>
          <w:rFonts w:cs="Verdana"/>
          <w:bCs/>
          <w:sz w:val="24"/>
          <w:szCs w:val="24"/>
          <w:u w:val="single"/>
          <w:lang w:val="pl-PL"/>
        </w:rPr>
        <w:t>Znaczenie dla Polski</w:t>
      </w:r>
      <w:r w:rsidRPr="00677C9D">
        <w:rPr>
          <w:rFonts w:cs="Verdana"/>
          <w:bCs/>
          <w:sz w:val="24"/>
          <w:szCs w:val="24"/>
          <w:lang w:val="pl-PL"/>
        </w:rPr>
        <w:t xml:space="preserve"> </w:t>
      </w:r>
      <w:r w:rsidR="00FF780D" w:rsidRPr="00677C9D">
        <w:rPr>
          <w:rFonts w:cs="Verdana"/>
          <w:bCs/>
          <w:sz w:val="24"/>
          <w:szCs w:val="24"/>
          <w:lang w:val="pl-PL"/>
        </w:rPr>
        <w:t xml:space="preserve">– </w:t>
      </w:r>
      <w:r w:rsidR="000509BF" w:rsidRPr="00677C9D">
        <w:rPr>
          <w:rFonts w:cs="Verdana"/>
          <w:bCs/>
          <w:sz w:val="24"/>
          <w:szCs w:val="24"/>
          <w:lang w:val="pl-PL"/>
        </w:rPr>
        <w:t xml:space="preserve">należy przeanalizować prawo i praktykę w kontekście </w:t>
      </w:r>
      <w:r w:rsidR="000509BF">
        <w:rPr>
          <w:rFonts w:cs="Verdana"/>
          <w:bCs/>
          <w:sz w:val="24"/>
          <w:szCs w:val="24"/>
          <w:lang w:val="pl-PL"/>
        </w:rPr>
        <w:t xml:space="preserve">oceny, czy zrealizowane są </w:t>
      </w:r>
      <w:r w:rsidR="00FF780D" w:rsidRPr="00677C9D">
        <w:rPr>
          <w:rFonts w:cs="Verdana"/>
          <w:bCs/>
          <w:sz w:val="24"/>
          <w:szCs w:val="24"/>
          <w:lang w:val="pl-PL"/>
        </w:rPr>
        <w:t xml:space="preserve">obowiązki pozytywne państwa </w:t>
      </w:r>
      <w:r w:rsidR="00737E0E">
        <w:rPr>
          <w:rFonts w:cs="Verdana"/>
          <w:bCs/>
          <w:sz w:val="24"/>
          <w:szCs w:val="24"/>
          <w:lang w:val="pl-PL"/>
        </w:rPr>
        <w:t xml:space="preserve">służące </w:t>
      </w:r>
      <w:r w:rsidR="00FF780D" w:rsidRPr="00677C9D">
        <w:rPr>
          <w:rFonts w:cs="Verdana"/>
          <w:bCs/>
          <w:sz w:val="24"/>
          <w:szCs w:val="24"/>
          <w:lang w:val="pl-PL"/>
        </w:rPr>
        <w:t>zapewnieni</w:t>
      </w:r>
      <w:r w:rsidR="00737E0E">
        <w:rPr>
          <w:rFonts w:cs="Verdana"/>
          <w:bCs/>
          <w:sz w:val="24"/>
          <w:szCs w:val="24"/>
          <w:lang w:val="pl-PL"/>
        </w:rPr>
        <w:t>u</w:t>
      </w:r>
      <w:r w:rsidR="00FF780D" w:rsidRPr="00677C9D">
        <w:rPr>
          <w:rFonts w:cs="Verdana"/>
          <w:bCs/>
          <w:sz w:val="24"/>
          <w:szCs w:val="24"/>
          <w:lang w:val="pl-PL"/>
        </w:rPr>
        <w:t xml:space="preserve"> ochrony osób przebywających w różnego rodzaju placówkach, a także zbadani</w:t>
      </w:r>
      <w:r w:rsidR="00737E0E">
        <w:rPr>
          <w:rFonts w:cs="Verdana"/>
          <w:bCs/>
          <w:sz w:val="24"/>
          <w:szCs w:val="24"/>
          <w:lang w:val="pl-PL"/>
        </w:rPr>
        <w:t>u</w:t>
      </w:r>
      <w:r w:rsidR="00FF780D" w:rsidRPr="00677C9D">
        <w:rPr>
          <w:rFonts w:cs="Verdana"/>
          <w:bCs/>
          <w:sz w:val="24"/>
          <w:szCs w:val="24"/>
          <w:lang w:val="pl-PL"/>
        </w:rPr>
        <w:t xml:space="preserve"> ewentualnych zarzutów złego traktowania. </w:t>
      </w:r>
    </w:p>
    <w:p w14:paraId="79A3642E" w14:textId="77777777" w:rsidR="00F70C7C" w:rsidRPr="000C3591" w:rsidRDefault="00F03E34" w:rsidP="000C3591">
      <w:pPr>
        <w:pStyle w:val="Nagwek1"/>
        <w:numPr>
          <w:ilvl w:val="0"/>
          <w:numId w:val="34"/>
        </w:numPr>
        <w:rPr>
          <w:rFonts w:asciiTheme="minorHAnsi" w:hAnsiTheme="minorHAnsi"/>
          <w:color w:val="auto"/>
          <w:sz w:val="24"/>
          <w:szCs w:val="24"/>
          <w:lang w:val="pl-PL"/>
        </w:rPr>
      </w:pPr>
      <w:bookmarkStart w:id="43" w:name="_Toc415257931"/>
      <w:bookmarkStart w:id="44" w:name="_Toc415646202"/>
      <w:r w:rsidRPr="000C3591">
        <w:rPr>
          <w:rFonts w:asciiTheme="minorHAnsi" w:hAnsiTheme="minorHAnsi"/>
          <w:color w:val="auto"/>
          <w:sz w:val="24"/>
          <w:szCs w:val="24"/>
          <w:lang w:val="pl-PL"/>
        </w:rPr>
        <w:t xml:space="preserve">S.A.S. </w:t>
      </w:r>
      <w:r w:rsidR="00F70C7C" w:rsidRPr="000C3591">
        <w:rPr>
          <w:rFonts w:asciiTheme="minorHAnsi" w:hAnsiTheme="minorHAnsi"/>
          <w:color w:val="auto"/>
          <w:sz w:val="24"/>
          <w:szCs w:val="24"/>
          <w:lang w:val="pl-PL"/>
        </w:rPr>
        <w:t>przeciwko</w:t>
      </w:r>
      <w:r w:rsidRPr="000C3591">
        <w:rPr>
          <w:rFonts w:asciiTheme="minorHAnsi" w:hAnsiTheme="minorHAnsi"/>
          <w:color w:val="auto"/>
          <w:sz w:val="24"/>
          <w:szCs w:val="24"/>
          <w:lang w:val="pl-PL"/>
        </w:rPr>
        <w:t xml:space="preserve"> Franc</w:t>
      </w:r>
      <w:r w:rsidR="001343DC" w:rsidRPr="000C3591">
        <w:rPr>
          <w:rFonts w:asciiTheme="minorHAnsi" w:hAnsiTheme="minorHAnsi"/>
          <w:color w:val="auto"/>
          <w:sz w:val="24"/>
          <w:szCs w:val="24"/>
          <w:lang w:val="pl-PL"/>
        </w:rPr>
        <w:t>ji</w:t>
      </w:r>
      <w:r w:rsidRPr="000C3591">
        <w:rPr>
          <w:rFonts w:asciiTheme="minorHAnsi" w:hAnsiTheme="minorHAnsi"/>
          <w:color w:val="auto"/>
          <w:sz w:val="24"/>
          <w:szCs w:val="24"/>
          <w:lang w:val="pl-PL"/>
        </w:rPr>
        <w:t xml:space="preserve">, </w:t>
      </w:r>
      <w:r w:rsidR="00F70C7C" w:rsidRPr="000C3591">
        <w:rPr>
          <w:rFonts w:asciiTheme="minorHAnsi" w:hAnsiTheme="minorHAnsi"/>
          <w:color w:val="auto"/>
          <w:sz w:val="24"/>
          <w:szCs w:val="24"/>
          <w:lang w:val="pl-PL"/>
        </w:rPr>
        <w:t>skarga nr</w:t>
      </w:r>
      <w:r w:rsidRPr="000C3591">
        <w:rPr>
          <w:rFonts w:asciiTheme="minorHAnsi" w:hAnsiTheme="minorHAnsi"/>
          <w:color w:val="auto"/>
          <w:sz w:val="24"/>
          <w:szCs w:val="24"/>
          <w:lang w:val="pl-PL"/>
        </w:rPr>
        <w:t xml:space="preserve"> 43835/11</w:t>
      </w:r>
      <w:r w:rsidR="00F70C7C" w:rsidRPr="000C3591">
        <w:rPr>
          <w:rFonts w:asciiTheme="minorHAnsi" w:hAnsiTheme="minorHAnsi"/>
          <w:color w:val="auto"/>
          <w:sz w:val="24"/>
          <w:szCs w:val="24"/>
          <w:lang w:val="pl-PL"/>
        </w:rPr>
        <w:t xml:space="preserve">, wyrok </w:t>
      </w:r>
      <w:r w:rsidR="001343DC" w:rsidRPr="000C3591">
        <w:rPr>
          <w:rFonts w:asciiTheme="minorHAnsi" w:hAnsiTheme="minorHAnsi"/>
          <w:color w:val="auto"/>
          <w:sz w:val="24"/>
          <w:szCs w:val="24"/>
          <w:lang w:val="pl-PL"/>
        </w:rPr>
        <w:t xml:space="preserve">Wielkiej Izby </w:t>
      </w:r>
      <w:r w:rsidR="00F70C7C" w:rsidRPr="000C3591">
        <w:rPr>
          <w:rFonts w:asciiTheme="minorHAnsi" w:hAnsiTheme="minorHAnsi"/>
          <w:color w:val="auto"/>
          <w:sz w:val="24"/>
          <w:szCs w:val="24"/>
          <w:lang w:val="pl-PL"/>
        </w:rPr>
        <w:t>z 01.07.2014</w:t>
      </w:r>
      <w:bookmarkEnd w:id="43"/>
      <w:bookmarkEnd w:id="44"/>
    </w:p>
    <w:p w14:paraId="0C4733BF" w14:textId="77777777" w:rsidR="00F03E34" w:rsidRPr="00677C9D" w:rsidRDefault="00CC2ED9" w:rsidP="00C83635">
      <w:pPr>
        <w:pStyle w:val="Akapitzlist"/>
        <w:numPr>
          <w:ilvl w:val="0"/>
          <w:numId w:val="24"/>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brak naruszenia </w:t>
      </w:r>
      <w:r w:rsidR="00DC3574" w:rsidRPr="00677C9D">
        <w:rPr>
          <w:rFonts w:cs="Verdana"/>
          <w:bCs/>
          <w:sz w:val="24"/>
          <w:szCs w:val="24"/>
          <w:lang w:val="pl-PL"/>
        </w:rPr>
        <w:t>art</w:t>
      </w:r>
      <w:r w:rsidR="00F70C7C" w:rsidRPr="00677C9D">
        <w:rPr>
          <w:rFonts w:cs="Verdana"/>
          <w:bCs/>
          <w:sz w:val="24"/>
          <w:szCs w:val="24"/>
          <w:lang w:val="pl-PL"/>
        </w:rPr>
        <w:t>.</w:t>
      </w:r>
      <w:r w:rsidR="00F03E34" w:rsidRPr="00677C9D">
        <w:rPr>
          <w:rFonts w:cs="Verdana"/>
          <w:bCs/>
          <w:sz w:val="24"/>
          <w:szCs w:val="24"/>
          <w:lang w:val="pl-PL"/>
        </w:rPr>
        <w:t xml:space="preserve"> 8</w:t>
      </w:r>
      <w:r w:rsidR="00860B43" w:rsidRPr="00677C9D">
        <w:rPr>
          <w:rFonts w:cs="Verdana"/>
          <w:bCs/>
          <w:sz w:val="24"/>
          <w:szCs w:val="24"/>
          <w:lang w:val="pl-PL"/>
        </w:rPr>
        <w:t xml:space="preserve"> </w:t>
      </w:r>
      <w:r w:rsidR="007923F8" w:rsidRPr="00677C9D">
        <w:rPr>
          <w:rFonts w:cs="Verdana"/>
          <w:bCs/>
          <w:sz w:val="24"/>
          <w:szCs w:val="24"/>
          <w:lang w:val="pl-PL"/>
        </w:rPr>
        <w:t xml:space="preserve">(prawo do poszanowania życia prywatnego i rodzinnego) </w:t>
      </w:r>
      <w:r w:rsidR="00860B43" w:rsidRPr="00677C9D">
        <w:rPr>
          <w:rFonts w:cs="Verdana"/>
          <w:bCs/>
          <w:sz w:val="24"/>
          <w:szCs w:val="24"/>
          <w:lang w:val="pl-PL"/>
        </w:rPr>
        <w:t>i</w:t>
      </w:r>
      <w:r w:rsidR="007923F8" w:rsidRPr="00677C9D">
        <w:rPr>
          <w:rFonts w:cs="Verdana"/>
          <w:bCs/>
          <w:sz w:val="24"/>
          <w:szCs w:val="24"/>
          <w:lang w:val="pl-PL"/>
        </w:rPr>
        <w:t xml:space="preserve"> art.</w:t>
      </w:r>
      <w:r w:rsidR="00860B43" w:rsidRPr="00677C9D">
        <w:rPr>
          <w:rFonts w:cs="Verdana"/>
          <w:bCs/>
          <w:sz w:val="24"/>
          <w:szCs w:val="24"/>
          <w:lang w:val="pl-PL"/>
        </w:rPr>
        <w:t xml:space="preserve"> 9 </w:t>
      </w:r>
      <w:r w:rsidR="006A66BD" w:rsidRPr="00677C9D">
        <w:rPr>
          <w:rFonts w:cs="Verdana"/>
          <w:bCs/>
          <w:sz w:val="24"/>
          <w:szCs w:val="24"/>
          <w:lang w:val="pl-PL"/>
        </w:rPr>
        <w:t xml:space="preserve">w konsekwencji obowiązywania </w:t>
      </w:r>
      <w:r w:rsidR="00860B43" w:rsidRPr="00677C9D">
        <w:rPr>
          <w:rFonts w:cs="Verdana"/>
          <w:bCs/>
          <w:sz w:val="24"/>
          <w:szCs w:val="24"/>
          <w:lang w:val="pl-PL"/>
        </w:rPr>
        <w:t>zakaz</w:t>
      </w:r>
      <w:r w:rsidR="006A66BD" w:rsidRPr="00677C9D">
        <w:rPr>
          <w:rFonts w:cs="Verdana"/>
          <w:bCs/>
          <w:sz w:val="24"/>
          <w:szCs w:val="24"/>
          <w:lang w:val="pl-PL"/>
        </w:rPr>
        <w:t>u</w:t>
      </w:r>
      <w:r w:rsidR="00860B43" w:rsidRPr="00677C9D">
        <w:rPr>
          <w:rFonts w:cs="Verdana"/>
          <w:bCs/>
          <w:sz w:val="24"/>
          <w:szCs w:val="24"/>
          <w:lang w:val="pl-PL"/>
        </w:rPr>
        <w:t xml:space="preserve"> </w:t>
      </w:r>
      <w:r w:rsidR="00256E8C" w:rsidRPr="00677C9D">
        <w:rPr>
          <w:rFonts w:cs="Verdana"/>
          <w:bCs/>
          <w:sz w:val="24"/>
          <w:szCs w:val="24"/>
          <w:lang w:val="pl-PL"/>
        </w:rPr>
        <w:t xml:space="preserve">motywowanego religią </w:t>
      </w:r>
      <w:r w:rsidR="00860B43" w:rsidRPr="00677C9D">
        <w:rPr>
          <w:rFonts w:cs="Verdana"/>
          <w:bCs/>
          <w:sz w:val="24"/>
          <w:szCs w:val="24"/>
          <w:lang w:val="pl-PL"/>
        </w:rPr>
        <w:t>zasłaniania twarzy w miejscach publicznych</w:t>
      </w:r>
      <w:r w:rsidR="006A66BD" w:rsidRPr="00677C9D">
        <w:rPr>
          <w:rFonts w:cs="Verdana"/>
          <w:bCs/>
          <w:sz w:val="24"/>
          <w:szCs w:val="24"/>
          <w:lang w:val="pl-PL"/>
        </w:rPr>
        <w:t>;</w:t>
      </w:r>
      <w:r w:rsidR="00860B43" w:rsidRPr="00677C9D">
        <w:rPr>
          <w:rFonts w:cs="Verdana"/>
          <w:bCs/>
          <w:sz w:val="24"/>
          <w:szCs w:val="24"/>
          <w:lang w:val="pl-PL"/>
        </w:rPr>
        <w:t xml:space="preserve"> </w:t>
      </w:r>
    </w:p>
    <w:p w14:paraId="2298E3C1" w14:textId="77777777" w:rsidR="00F03E34" w:rsidRPr="00677C9D" w:rsidRDefault="006A66BD" w:rsidP="00C83635">
      <w:pPr>
        <w:pStyle w:val="Akapitzlist"/>
        <w:numPr>
          <w:ilvl w:val="0"/>
          <w:numId w:val="24"/>
        </w:numPr>
        <w:autoSpaceDE w:val="0"/>
        <w:autoSpaceDN w:val="0"/>
        <w:adjustRightInd w:val="0"/>
        <w:spacing w:after="120" w:line="240" w:lineRule="auto"/>
        <w:jc w:val="both"/>
        <w:rPr>
          <w:rFonts w:cs="Verdana"/>
          <w:sz w:val="24"/>
          <w:szCs w:val="24"/>
          <w:lang w:val="pl-PL"/>
        </w:rPr>
      </w:pPr>
      <w:r w:rsidRPr="00677C9D">
        <w:rPr>
          <w:rFonts w:cs="Verdana"/>
          <w:bCs/>
          <w:sz w:val="24"/>
          <w:szCs w:val="24"/>
          <w:lang w:val="pl-PL"/>
        </w:rPr>
        <w:t xml:space="preserve">brak naruszenia </w:t>
      </w:r>
      <w:r w:rsidR="00DC3574" w:rsidRPr="00677C9D">
        <w:rPr>
          <w:rFonts w:cs="Verdana"/>
          <w:bCs/>
          <w:sz w:val="24"/>
          <w:szCs w:val="24"/>
          <w:lang w:val="pl-PL"/>
        </w:rPr>
        <w:t>art</w:t>
      </w:r>
      <w:r w:rsidR="00F70C7C" w:rsidRPr="00677C9D">
        <w:rPr>
          <w:rFonts w:cs="Verdana"/>
          <w:bCs/>
          <w:sz w:val="24"/>
          <w:szCs w:val="24"/>
          <w:lang w:val="pl-PL"/>
        </w:rPr>
        <w:t>.</w:t>
      </w:r>
      <w:r w:rsidR="00F03E34" w:rsidRPr="00677C9D">
        <w:rPr>
          <w:rFonts w:cs="Verdana"/>
          <w:bCs/>
          <w:sz w:val="24"/>
          <w:szCs w:val="24"/>
          <w:lang w:val="pl-PL"/>
        </w:rPr>
        <w:t xml:space="preserve"> 14</w:t>
      </w:r>
      <w:r w:rsidR="00860B43" w:rsidRPr="00677C9D">
        <w:rPr>
          <w:rFonts w:cs="Verdana"/>
          <w:bCs/>
          <w:sz w:val="24"/>
          <w:szCs w:val="24"/>
          <w:lang w:val="pl-PL"/>
        </w:rPr>
        <w:t xml:space="preserve"> </w:t>
      </w:r>
      <w:r w:rsidR="00E6407A" w:rsidRPr="00677C9D">
        <w:rPr>
          <w:rFonts w:cs="Verdana"/>
          <w:bCs/>
          <w:sz w:val="24"/>
          <w:szCs w:val="24"/>
          <w:lang w:val="pl-PL"/>
        </w:rPr>
        <w:t xml:space="preserve">(zakaz dyskryminacji) </w:t>
      </w:r>
      <w:r w:rsidR="00860B43" w:rsidRPr="00677C9D">
        <w:rPr>
          <w:rFonts w:cs="Verdana"/>
          <w:bCs/>
          <w:sz w:val="24"/>
          <w:szCs w:val="24"/>
          <w:lang w:val="pl-PL"/>
        </w:rPr>
        <w:t>w związku z zakazem zasłaniania twarzy motywowanym religijnie w miejsca</w:t>
      </w:r>
      <w:r w:rsidR="00510269" w:rsidRPr="00677C9D">
        <w:rPr>
          <w:rFonts w:cs="Verdana"/>
          <w:bCs/>
          <w:sz w:val="24"/>
          <w:szCs w:val="24"/>
          <w:lang w:val="pl-PL"/>
        </w:rPr>
        <w:t>ch publicznych</w:t>
      </w:r>
      <w:r w:rsidRPr="00677C9D">
        <w:rPr>
          <w:rFonts w:cs="Verdana"/>
          <w:bCs/>
          <w:sz w:val="24"/>
          <w:szCs w:val="24"/>
          <w:lang w:val="pl-PL"/>
        </w:rPr>
        <w:t>;</w:t>
      </w:r>
      <w:r w:rsidR="002222B2" w:rsidRPr="00677C9D">
        <w:rPr>
          <w:rFonts w:cs="Verdana"/>
          <w:sz w:val="24"/>
          <w:szCs w:val="24"/>
          <w:lang w:val="pl-PL"/>
        </w:rPr>
        <w:t xml:space="preserve"> </w:t>
      </w:r>
    </w:p>
    <w:p w14:paraId="5E6633E2" w14:textId="77777777" w:rsidR="000B77FB" w:rsidRPr="00677C9D" w:rsidRDefault="000B77FB" w:rsidP="00C83635">
      <w:pPr>
        <w:pStyle w:val="Akapitzlist"/>
        <w:numPr>
          <w:ilvl w:val="0"/>
          <w:numId w:val="24"/>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Trybunał stwierdził, że zakaz zakrywania twarzy w miejscach publicznych stanowi ingerencję w prawo do ochrony życia prywatnego oraz wolność myśli, sumienia i wyznania skarżącej (art. 8 i 9 Konwencji). Stwierdził jednak, że ingerencja ta nie naruszała tych praw. </w:t>
      </w:r>
      <w:r w:rsidR="0033238D" w:rsidRPr="00677C9D">
        <w:rPr>
          <w:rFonts w:cs="Verdana"/>
          <w:bCs/>
          <w:sz w:val="24"/>
          <w:szCs w:val="24"/>
          <w:lang w:val="pl-PL"/>
        </w:rPr>
        <w:t>C</w:t>
      </w:r>
      <w:r w:rsidRPr="00677C9D">
        <w:rPr>
          <w:rFonts w:cs="Verdana"/>
          <w:bCs/>
          <w:sz w:val="24"/>
          <w:szCs w:val="24"/>
          <w:lang w:val="pl-PL"/>
        </w:rPr>
        <w:t>o prawda</w:t>
      </w:r>
      <w:r w:rsidR="0033238D" w:rsidRPr="00677C9D">
        <w:rPr>
          <w:rFonts w:cs="Verdana"/>
          <w:bCs/>
          <w:sz w:val="24"/>
          <w:szCs w:val="24"/>
          <w:lang w:val="pl-PL"/>
        </w:rPr>
        <w:t xml:space="preserve"> </w:t>
      </w:r>
      <w:r w:rsidRPr="00677C9D">
        <w:rPr>
          <w:rFonts w:cs="Verdana"/>
          <w:bCs/>
          <w:sz w:val="24"/>
          <w:szCs w:val="24"/>
          <w:lang w:val="pl-PL"/>
        </w:rPr>
        <w:t xml:space="preserve">ochrona bezpieczeństwa publicznego, na którą powoływały się władze francuskie, nie stanowiła w obecnej sytuacji wystarczającego uzasadnienia dla wprowadzonych ograniczeń, jako że </w:t>
      </w:r>
      <w:r w:rsidR="0033238D" w:rsidRPr="00677C9D">
        <w:rPr>
          <w:rFonts w:cs="Verdana"/>
          <w:bCs/>
          <w:sz w:val="24"/>
          <w:szCs w:val="24"/>
          <w:lang w:val="pl-PL"/>
        </w:rPr>
        <w:t xml:space="preserve">aktualna </w:t>
      </w:r>
      <w:r w:rsidRPr="00677C9D">
        <w:rPr>
          <w:rFonts w:cs="Verdana"/>
          <w:bCs/>
          <w:sz w:val="24"/>
          <w:szCs w:val="24"/>
          <w:lang w:val="pl-PL"/>
        </w:rPr>
        <w:t xml:space="preserve">sytuacja bezpieczeństwa we Francji nie uzasadnia wprowadzenia tego typu blankietowego zakazu, a dla celów bezpieczeństwa wystarczająca jest możliwość legitymowania poszczególnych osób zakrywających twarz. </w:t>
      </w:r>
      <w:r w:rsidR="0033238D" w:rsidRPr="00677C9D">
        <w:rPr>
          <w:rFonts w:cs="Verdana"/>
          <w:bCs/>
          <w:sz w:val="24"/>
          <w:szCs w:val="24"/>
          <w:lang w:val="pl-PL"/>
        </w:rPr>
        <w:t>Ochrona zasady</w:t>
      </w:r>
      <w:r w:rsidRPr="00677C9D">
        <w:rPr>
          <w:rFonts w:cs="Verdana"/>
          <w:bCs/>
          <w:sz w:val="24"/>
          <w:szCs w:val="24"/>
          <w:lang w:val="pl-PL"/>
        </w:rPr>
        <w:t xml:space="preserve"> równości </w:t>
      </w:r>
      <w:r w:rsidR="0033238D" w:rsidRPr="00677C9D">
        <w:rPr>
          <w:rFonts w:cs="Verdana"/>
          <w:bCs/>
          <w:sz w:val="24"/>
          <w:szCs w:val="24"/>
          <w:lang w:val="pl-PL"/>
        </w:rPr>
        <w:t xml:space="preserve">również nie jest wystarczającym argumentem, </w:t>
      </w:r>
      <w:r w:rsidRPr="00677C9D">
        <w:rPr>
          <w:rFonts w:cs="Verdana"/>
          <w:bCs/>
          <w:sz w:val="24"/>
          <w:szCs w:val="24"/>
          <w:lang w:val="pl-PL"/>
        </w:rPr>
        <w:t xml:space="preserve">nie może być </w:t>
      </w:r>
      <w:r w:rsidR="0033238D" w:rsidRPr="00677C9D">
        <w:rPr>
          <w:rFonts w:cs="Verdana"/>
          <w:bCs/>
          <w:sz w:val="24"/>
          <w:szCs w:val="24"/>
          <w:lang w:val="pl-PL"/>
        </w:rPr>
        <w:t xml:space="preserve">on </w:t>
      </w:r>
      <w:r w:rsidRPr="00677C9D">
        <w:rPr>
          <w:rFonts w:cs="Verdana"/>
          <w:bCs/>
          <w:sz w:val="24"/>
          <w:szCs w:val="24"/>
          <w:lang w:val="pl-PL"/>
        </w:rPr>
        <w:t>powoływany w celu zakazywania praktyki, której bronią same kobiety wykonujące prawa przysługujące im na mocy Konwencji (w przeciwnym razie oznaczałoby to, że możliwe jest chronienie jednostek przed wykonywaniem ich praw i wolności). Także argument o potrzebie ochrony godności ludzkiej nie został zaakceptowany przez Trybunał, który uznał, że tego typu</w:t>
      </w:r>
      <w:r w:rsidR="0033238D" w:rsidRPr="00677C9D">
        <w:rPr>
          <w:rFonts w:cs="Verdana"/>
          <w:bCs/>
          <w:sz w:val="24"/>
          <w:szCs w:val="24"/>
          <w:lang w:val="pl-PL"/>
        </w:rPr>
        <w:t xml:space="preserve"> praktyki</w:t>
      </w:r>
      <w:r w:rsidRPr="00677C9D">
        <w:rPr>
          <w:rFonts w:cs="Verdana"/>
          <w:bCs/>
          <w:sz w:val="24"/>
          <w:szCs w:val="24"/>
          <w:lang w:val="pl-PL"/>
        </w:rPr>
        <w:t xml:space="preserve"> stanowi</w:t>
      </w:r>
      <w:r w:rsidR="0033238D" w:rsidRPr="00677C9D">
        <w:rPr>
          <w:rFonts w:cs="Verdana"/>
          <w:bCs/>
          <w:sz w:val="24"/>
          <w:szCs w:val="24"/>
          <w:lang w:val="pl-PL"/>
        </w:rPr>
        <w:t>ą</w:t>
      </w:r>
      <w:r w:rsidRPr="00677C9D">
        <w:rPr>
          <w:rFonts w:cs="Verdana"/>
          <w:bCs/>
          <w:sz w:val="24"/>
          <w:szCs w:val="24"/>
          <w:lang w:val="pl-PL"/>
        </w:rPr>
        <w:t xml:space="preserve"> wyraz tożsamości kulturowej i przyczynia</w:t>
      </w:r>
      <w:r w:rsidR="0033238D" w:rsidRPr="00677C9D">
        <w:rPr>
          <w:rFonts w:cs="Verdana"/>
          <w:bCs/>
          <w:sz w:val="24"/>
          <w:szCs w:val="24"/>
          <w:lang w:val="pl-PL"/>
        </w:rPr>
        <w:t>ją</w:t>
      </w:r>
      <w:r w:rsidRPr="00677C9D">
        <w:rPr>
          <w:rFonts w:cs="Verdana"/>
          <w:bCs/>
          <w:sz w:val="24"/>
          <w:szCs w:val="24"/>
          <w:lang w:val="pl-PL"/>
        </w:rPr>
        <w:t xml:space="preserve"> się do pluralizmu. Trybunał </w:t>
      </w:r>
      <w:r w:rsidR="0033238D" w:rsidRPr="00677C9D">
        <w:rPr>
          <w:rFonts w:cs="Verdana"/>
          <w:bCs/>
          <w:sz w:val="24"/>
          <w:szCs w:val="24"/>
          <w:lang w:val="pl-PL"/>
        </w:rPr>
        <w:t xml:space="preserve">uznał jednak za uprawnione </w:t>
      </w:r>
      <w:r w:rsidR="004C4A6F" w:rsidRPr="00677C9D">
        <w:rPr>
          <w:rFonts w:cs="Verdana"/>
          <w:bCs/>
          <w:sz w:val="24"/>
          <w:szCs w:val="24"/>
          <w:lang w:val="pl-PL"/>
        </w:rPr>
        <w:t>powołanie się władz francuskich na fakt</w:t>
      </w:r>
      <w:r w:rsidRPr="00677C9D">
        <w:rPr>
          <w:rFonts w:cs="Verdana"/>
          <w:bCs/>
          <w:sz w:val="24"/>
          <w:szCs w:val="24"/>
          <w:lang w:val="pl-PL"/>
        </w:rPr>
        <w:t xml:space="preserve">, iż </w:t>
      </w:r>
      <w:r w:rsidRPr="00677C9D">
        <w:rPr>
          <w:rFonts w:cs="Verdana"/>
          <w:bCs/>
          <w:sz w:val="24"/>
          <w:szCs w:val="24"/>
          <w:lang w:val="pl-PL"/>
        </w:rPr>
        <w:lastRenderedPageBreak/>
        <w:t>zakaz ma na celu zapewnienie poszanowania minimalnych wymogów życia w społeczeństwa lub „życia razem”, stanowiących aspekt poszanowania praw i wolności innych osób. Przy okazji Trybunał skrytykował jednak fakt, iż w trakcie uchwalania ustawy padały głosy o charakterze islamofobicznym i wymierzonym w niektóre mniejszości religijne lub etniczne, co jest niezgodne z zasadami tolerancji, pokoju społecznego i niedyskryminacji, na których opiera się Konwencja. Tym</w:t>
      </w:r>
      <w:r w:rsidR="00712FE1">
        <w:rPr>
          <w:rFonts w:cs="Verdana"/>
          <w:bCs/>
          <w:sz w:val="24"/>
          <w:szCs w:val="24"/>
          <w:lang w:val="pl-PL"/>
        </w:rPr>
        <w:t xml:space="preserve"> </w:t>
      </w:r>
      <w:r w:rsidRPr="00677C9D">
        <w:rPr>
          <w:rFonts w:cs="Verdana"/>
          <w:bCs/>
          <w:sz w:val="24"/>
          <w:szCs w:val="24"/>
          <w:lang w:val="pl-PL"/>
        </w:rPr>
        <w:t xml:space="preserve">niemniej, ustawa sama w sobie nie posługuje się kryteriami religijnymi, a zakaz dotyczy wszelkich przypadków zakrywania twarzy. Przewidziane kary należą zaś do najniższych możliwych. Choć ustawa ogranicza do pewnego stopnia pluralizm, uniemożliwiając niektórym kobietom manifestowanie ich wierzeń poprzez zakrycie twarzy w przestrzeni publicznej, Trybunał zaakceptował wybór społeczeństwa francuskiego motywowany potrzebą ochrony zasady interakcji między jednostkami. W tym względzie podkreślił, że </w:t>
      </w:r>
      <w:r w:rsidR="0033238D" w:rsidRPr="00677C9D">
        <w:rPr>
          <w:rFonts w:cs="Verdana"/>
          <w:bCs/>
          <w:sz w:val="24"/>
          <w:szCs w:val="24"/>
          <w:lang w:val="pl-PL"/>
        </w:rPr>
        <w:t xml:space="preserve">w odniesieniu do </w:t>
      </w:r>
      <w:r w:rsidRPr="00677C9D">
        <w:rPr>
          <w:rFonts w:cs="Verdana"/>
          <w:bCs/>
          <w:sz w:val="24"/>
          <w:szCs w:val="24"/>
          <w:lang w:val="pl-PL"/>
        </w:rPr>
        <w:t xml:space="preserve">tego typu wyborów, </w:t>
      </w:r>
      <w:r w:rsidR="0033238D" w:rsidRPr="00677C9D">
        <w:rPr>
          <w:rFonts w:cs="Verdana"/>
          <w:bCs/>
          <w:sz w:val="24"/>
          <w:szCs w:val="24"/>
          <w:lang w:val="pl-PL"/>
        </w:rPr>
        <w:t xml:space="preserve">Trybunał </w:t>
      </w:r>
      <w:r w:rsidRPr="00677C9D">
        <w:rPr>
          <w:rFonts w:cs="Verdana"/>
          <w:bCs/>
          <w:sz w:val="24"/>
          <w:szCs w:val="24"/>
          <w:lang w:val="pl-PL"/>
        </w:rPr>
        <w:t>ma obowiązek zachować umiar przy badaniu, czy w ramach procesu demokratycznego zachodzącego w dany</w:t>
      </w:r>
      <w:r w:rsidR="000A7025" w:rsidRPr="00677C9D">
        <w:rPr>
          <w:rFonts w:cs="Verdana"/>
          <w:bCs/>
          <w:sz w:val="24"/>
          <w:szCs w:val="24"/>
          <w:lang w:val="pl-PL"/>
        </w:rPr>
        <w:t>m</w:t>
      </w:r>
      <w:r w:rsidRPr="00677C9D">
        <w:rPr>
          <w:rFonts w:cs="Verdana"/>
          <w:bCs/>
          <w:sz w:val="24"/>
          <w:szCs w:val="24"/>
          <w:lang w:val="pl-PL"/>
        </w:rPr>
        <w:t xml:space="preserve"> społeczeństwie został osiągnięty stan równowagi. W sprawach dotyczących polityki ogólnej, w sprawie których opinie w społeczeństwie demokratycznym mogą się w sposób rozsądny różnić, szczególne znaczenie należy przyznać roli krajowego decydenta. W tym względzie, władze francuskie posiadały szeroki margines oceny, który nie został przez nie przekroczony. Choć Francja pod względem wprowadzonych uregulowań należy do mniejszości w Europie, </w:t>
      </w:r>
      <w:r w:rsidR="004C4A6F" w:rsidRPr="00677C9D">
        <w:rPr>
          <w:rFonts w:cs="Verdana"/>
          <w:bCs/>
          <w:sz w:val="24"/>
          <w:szCs w:val="24"/>
          <w:lang w:val="pl-PL"/>
        </w:rPr>
        <w:t xml:space="preserve">brak jest europejskiego konsensusu odnośnie tego, czy zakaz tego typu powinien lub nie powinien obowiązywać. </w:t>
      </w:r>
      <w:r w:rsidRPr="00677C9D">
        <w:rPr>
          <w:rFonts w:cs="Verdana"/>
          <w:bCs/>
          <w:sz w:val="24"/>
          <w:szCs w:val="24"/>
          <w:lang w:val="pl-PL"/>
        </w:rPr>
        <w:t>Trybunał uznał, że zakaz wprowadzony ustawą może być uznany za proporcjonalny w stosunku do celu, jakim było zapewnienie „życia razem”</w:t>
      </w:r>
      <w:r w:rsidR="00C11CFC">
        <w:rPr>
          <w:rFonts w:cs="Verdana"/>
          <w:bCs/>
          <w:sz w:val="24"/>
          <w:szCs w:val="24"/>
          <w:lang w:val="pl-PL"/>
        </w:rPr>
        <w:t>,</w:t>
      </w:r>
      <w:r w:rsidRPr="00677C9D">
        <w:rPr>
          <w:rFonts w:cs="Verdana"/>
          <w:bCs/>
          <w:sz w:val="24"/>
          <w:szCs w:val="24"/>
          <w:lang w:val="pl-PL"/>
        </w:rPr>
        <w:t xml:space="preserve"> rozumianego </w:t>
      </w:r>
      <w:r w:rsidR="0033238D" w:rsidRPr="00677C9D">
        <w:rPr>
          <w:rFonts w:cs="Verdana"/>
          <w:bCs/>
          <w:sz w:val="24"/>
          <w:szCs w:val="24"/>
          <w:lang w:val="pl-PL"/>
        </w:rPr>
        <w:t xml:space="preserve">jako aspekt </w:t>
      </w:r>
      <w:r w:rsidRPr="00677C9D">
        <w:rPr>
          <w:rFonts w:cs="Verdana"/>
          <w:bCs/>
          <w:sz w:val="24"/>
          <w:szCs w:val="24"/>
          <w:lang w:val="pl-PL"/>
        </w:rPr>
        <w:t xml:space="preserve">„ochrony praw i wolności innych osób”. Nałożone ograniczenie nie naruszyło art. 8 Konwencji. </w:t>
      </w:r>
    </w:p>
    <w:p w14:paraId="11E15DF7" w14:textId="77777777" w:rsidR="000B77FB" w:rsidRPr="00677C9D" w:rsidRDefault="00B02FAD" w:rsidP="00AE0C12">
      <w:pPr>
        <w:autoSpaceDE w:val="0"/>
        <w:autoSpaceDN w:val="0"/>
        <w:adjustRightInd w:val="0"/>
        <w:spacing w:after="120" w:line="240" w:lineRule="auto"/>
        <w:jc w:val="both"/>
        <w:rPr>
          <w:rFonts w:cs="Verdana"/>
          <w:bCs/>
          <w:sz w:val="24"/>
          <w:szCs w:val="24"/>
          <w:lang w:val="pl-PL"/>
        </w:rPr>
      </w:pPr>
      <w:r w:rsidRPr="00677C9D">
        <w:rPr>
          <w:rFonts w:cs="Verdana"/>
          <w:bCs/>
          <w:sz w:val="24"/>
          <w:szCs w:val="24"/>
          <w:u w:val="single"/>
          <w:lang w:val="pl-PL"/>
        </w:rPr>
        <w:t>Znaczenie dla Polski</w:t>
      </w:r>
      <w:r w:rsidRPr="00677C9D">
        <w:rPr>
          <w:rFonts w:cs="Verdana"/>
          <w:bCs/>
          <w:sz w:val="24"/>
          <w:szCs w:val="24"/>
          <w:lang w:val="pl-PL"/>
        </w:rPr>
        <w:t xml:space="preserve"> </w:t>
      </w:r>
      <w:r w:rsidR="005B6D8F" w:rsidRPr="00677C9D">
        <w:rPr>
          <w:rFonts w:cs="Verdana"/>
          <w:bCs/>
          <w:sz w:val="24"/>
          <w:szCs w:val="24"/>
          <w:lang w:val="pl-PL"/>
        </w:rPr>
        <w:t xml:space="preserve">– pośrednie, potwierdzenie przez Trybunał roli ustawodawcy krajowego i marginesu oceny władz w odniesieniu do podejmowanych wyborów wiążących się z problematyką ochrony wolności myśli, sumienia i wyznania. </w:t>
      </w:r>
      <w:r w:rsidR="0074168D" w:rsidRPr="00677C9D">
        <w:rPr>
          <w:rFonts w:cs="Verdana"/>
          <w:bCs/>
          <w:sz w:val="24"/>
          <w:szCs w:val="24"/>
          <w:lang w:val="pl-PL"/>
        </w:rPr>
        <w:t xml:space="preserve">Cel ogólny w postaci zapewnienia „życia razem” został uznany przez Trybunał za uprawniony cel (jako element „ochrony praw i wolności innych osób”) w rozumieniu art. 8 ust. 2. </w:t>
      </w:r>
    </w:p>
    <w:p w14:paraId="0DDE7FAF" w14:textId="77777777" w:rsidR="00FF780D" w:rsidRPr="000C3591" w:rsidRDefault="00FF780D" w:rsidP="000C3591">
      <w:pPr>
        <w:pStyle w:val="Nagwek1"/>
        <w:numPr>
          <w:ilvl w:val="0"/>
          <w:numId w:val="34"/>
        </w:numPr>
        <w:rPr>
          <w:rFonts w:asciiTheme="minorHAnsi" w:hAnsiTheme="minorHAnsi"/>
          <w:color w:val="auto"/>
          <w:sz w:val="24"/>
          <w:szCs w:val="24"/>
          <w:lang w:val="pl-PL"/>
        </w:rPr>
      </w:pPr>
      <w:bookmarkStart w:id="45" w:name="_Toc415257932"/>
      <w:bookmarkStart w:id="46" w:name="_Toc415646203"/>
      <w:proofErr w:type="spellStart"/>
      <w:r w:rsidRPr="000C3591">
        <w:rPr>
          <w:rFonts w:asciiTheme="minorHAnsi" w:hAnsiTheme="minorHAnsi"/>
          <w:color w:val="auto"/>
          <w:sz w:val="24"/>
          <w:szCs w:val="24"/>
          <w:lang w:val="pl-PL"/>
        </w:rPr>
        <w:t>Svinarenko</w:t>
      </w:r>
      <w:proofErr w:type="spellEnd"/>
      <w:r w:rsidRPr="000C3591">
        <w:rPr>
          <w:rFonts w:asciiTheme="minorHAnsi" w:hAnsiTheme="minorHAnsi"/>
          <w:color w:val="auto"/>
          <w:sz w:val="24"/>
          <w:szCs w:val="24"/>
          <w:lang w:val="pl-PL"/>
        </w:rPr>
        <w:t xml:space="preserve"> i </w:t>
      </w:r>
      <w:proofErr w:type="spellStart"/>
      <w:r w:rsidRPr="000C3591">
        <w:rPr>
          <w:rFonts w:asciiTheme="minorHAnsi" w:hAnsiTheme="minorHAnsi"/>
          <w:color w:val="auto"/>
          <w:sz w:val="24"/>
          <w:szCs w:val="24"/>
          <w:lang w:val="pl-PL"/>
        </w:rPr>
        <w:t>Slyadnev</w:t>
      </w:r>
      <w:proofErr w:type="spellEnd"/>
      <w:r w:rsidRPr="000C3591">
        <w:rPr>
          <w:rFonts w:asciiTheme="minorHAnsi" w:hAnsiTheme="minorHAnsi"/>
          <w:color w:val="auto"/>
          <w:sz w:val="24"/>
          <w:szCs w:val="24"/>
          <w:lang w:val="pl-PL"/>
        </w:rPr>
        <w:t xml:space="preserve"> przeciwko Rosji, skargi nr 32541/08 i 43441/08, wyrok Wielkiej Izby z 17.07.2014</w:t>
      </w:r>
      <w:bookmarkEnd w:id="45"/>
      <w:bookmarkEnd w:id="46"/>
    </w:p>
    <w:p w14:paraId="2BD523D5" w14:textId="77777777" w:rsidR="00FF780D" w:rsidRPr="00677C9D" w:rsidRDefault="000A7025" w:rsidP="00C83635">
      <w:pPr>
        <w:pStyle w:val="Akapitzlist"/>
        <w:numPr>
          <w:ilvl w:val="0"/>
          <w:numId w:val="25"/>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naruszenie </w:t>
      </w:r>
      <w:r w:rsidR="00FF780D" w:rsidRPr="00677C9D">
        <w:rPr>
          <w:rFonts w:cs="Verdana"/>
          <w:bCs/>
          <w:sz w:val="24"/>
          <w:szCs w:val="24"/>
          <w:lang w:val="pl-PL"/>
        </w:rPr>
        <w:t>art. 3</w:t>
      </w:r>
      <w:r w:rsidR="00E6407A" w:rsidRPr="00677C9D">
        <w:rPr>
          <w:rFonts w:cs="Verdana"/>
          <w:bCs/>
          <w:sz w:val="24"/>
          <w:szCs w:val="24"/>
          <w:lang w:val="pl-PL"/>
        </w:rPr>
        <w:t xml:space="preserve"> (zakaz tortur)</w:t>
      </w:r>
      <w:r w:rsidR="00FF780D" w:rsidRPr="00677C9D">
        <w:rPr>
          <w:rFonts w:cs="Verdana"/>
          <w:bCs/>
          <w:sz w:val="24"/>
          <w:szCs w:val="24"/>
          <w:lang w:val="pl-PL"/>
        </w:rPr>
        <w:t xml:space="preserve"> </w:t>
      </w:r>
      <w:r w:rsidRPr="00677C9D">
        <w:rPr>
          <w:rFonts w:cs="Verdana"/>
          <w:bCs/>
          <w:sz w:val="24"/>
          <w:szCs w:val="24"/>
          <w:lang w:val="pl-PL"/>
        </w:rPr>
        <w:t xml:space="preserve">na skutek </w:t>
      </w:r>
      <w:r w:rsidR="00FF780D" w:rsidRPr="00677C9D">
        <w:rPr>
          <w:rFonts w:cs="Verdana"/>
          <w:bCs/>
          <w:sz w:val="24"/>
          <w:szCs w:val="24"/>
          <w:lang w:val="pl-PL"/>
        </w:rPr>
        <w:t>stosowani</w:t>
      </w:r>
      <w:r w:rsidRPr="00677C9D">
        <w:rPr>
          <w:rFonts w:cs="Verdana"/>
          <w:bCs/>
          <w:sz w:val="24"/>
          <w:szCs w:val="24"/>
          <w:lang w:val="pl-PL"/>
        </w:rPr>
        <w:t>a</w:t>
      </w:r>
      <w:r w:rsidR="00FF780D" w:rsidRPr="00677C9D">
        <w:rPr>
          <w:rFonts w:cs="Verdana"/>
          <w:bCs/>
          <w:sz w:val="24"/>
          <w:szCs w:val="24"/>
          <w:lang w:val="pl-PL"/>
        </w:rPr>
        <w:t xml:space="preserve"> metalowej klatki do przetrzymywania oskarżonych o rozbój</w:t>
      </w:r>
      <w:r w:rsidR="00107180">
        <w:rPr>
          <w:rFonts w:cs="Verdana"/>
          <w:bCs/>
          <w:sz w:val="24"/>
          <w:szCs w:val="24"/>
          <w:lang w:val="pl-PL"/>
        </w:rPr>
        <w:t>,</w:t>
      </w:r>
      <w:r w:rsidR="00FF780D" w:rsidRPr="00677C9D">
        <w:rPr>
          <w:rFonts w:cs="Verdana"/>
          <w:bCs/>
          <w:sz w:val="24"/>
          <w:szCs w:val="24"/>
          <w:lang w:val="pl-PL"/>
        </w:rPr>
        <w:t xml:space="preserve"> w trakcie procesu karnego</w:t>
      </w:r>
      <w:r w:rsidRPr="00677C9D">
        <w:rPr>
          <w:rFonts w:cs="Verdana"/>
          <w:bCs/>
          <w:sz w:val="24"/>
          <w:szCs w:val="24"/>
          <w:lang w:val="pl-PL"/>
        </w:rPr>
        <w:t>;</w:t>
      </w:r>
    </w:p>
    <w:p w14:paraId="2ACC7241" w14:textId="77777777" w:rsidR="00FF780D" w:rsidRPr="00677C9D" w:rsidRDefault="000A7025" w:rsidP="00C83635">
      <w:pPr>
        <w:pStyle w:val="Akapitzlist"/>
        <w:numPr>
          <w:ilvl w:val="0"/>
          <w:numId w:val="25"/>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w</w:t>
      </w:r>
      <w:r w:rsidR="00FF780D" w:rsidRPr="00677C9D">
        <w:rPr>
          <w:rFonts w:cs="Verdana"/>
          <w:bCs/>
          <w:sz w:val="24"/>
          <w:szCs w:val="24"/>
          <w:lang w:val="pl-PL"/>
        </w:rPr>
        <w:t xml:space="preserve"> opinii Trybunału, choć porządek i bezpieczeństwo na sali sądowej są niezbędne dla zapewnienia prawidłowego wymiaru sprawiedliwości, środki ich zapewnienia nie mogą przybierać formy, która wchodzi w zakres art. 3 zakazującego w sposób bezwzględny stosowania tortur oraz nieludzkiego i poniżającego traktowania i karania. Skarżący </w:t>
      </w:r>
      <w:r w:rsidR="00107180" w:rsidRPr="00677C9D">
        <w:rPr>
          <w:rFonts w:cs="Verdana"/>
          <w:bCs/>
          <w:sz w:val="24"/>
          <w:szCs w:val="24"/>
          <w:lang w:val="pl-PL"/>
        </w:rPr>
        <w:t xml:space="preserve">przebywając w klatce </w:t>
      </w:r>
      <w:r w:rsidR="00FF780D" w:rsidRPr="00677C9D">
        <w:rPr>
          <w:rFonts w:cs="Verdana"/>
          <w:bCs/>
          <w:sz w:val="24"/>
          <w:szCs w:val="24"/>
          <w:lang w:val="pl-PL"/>
        </w:rPr>
        <w:t>przez długi czas trwania procesu narażeni byli na widok publiczny, co mogło podważyć ich poczucie własnej wartości i wzbudzić odczucia poniżenia, bezsilności, l</w:t>
      </w:r>
      <w:r w:rsidR="00107180">
        <w:rPr>
          <w:rFonts w:cs="Verdana"/>
          <w:bCs/>
          <w:sz w:val="24"/>
          <w:szCs w:val="24"/>
          <w:lang w:val="pl-PL"/>
        </w:rPr>
        <w:t>ę</w:t>
      </w:r>
      <w:r w:rsidR="00FF780D" w:rsidRPr="00677C9D">
        <w:rPr>
          <w:rFonts w:cs="Verdana"/>
          <w:bCs/>
          <w:sz w:val="24"/>
          <w:szCs w:val="24"/>
          <w:lang w:val="pl-PL"/>
        </w:rPr>
        <w:t xml:space="preserve">ku. Sytuacja ta mogła także podważać zasadę domniemania niewinności, sprawiając </w:t>
      </w:r>
      <w:r w:rsidR="00107180" w:rsidRPr="00677C9D">
        <w:rPr>
          <w:rFonts w:cs="Verdana"/>
          <w:bCs/>
          <w:sz w:val="24"/>
          <w:szCs w:val="24"/>
          <w:lang w:val="pl-PL"/>
        </w:rPr>
        <w:t xml:space="preserve">w oczach sędziów </w:t>
      </w:r>
      <w:r w:rsidR="00FF780D" w:rsidRPr="00677C9D">
        <w:rPr>
          <w:rFonts w:cs="Verdana"/>
          <w:bCs/>
          <w:sz w:val="24"/>
          <w:szCs w:val="24"/>
          <w:lang w:val="pl-PL"/>
        </w:rPr>
        <w:t xml:space="preserve">wrażenie, iż oskarżeni są niebezpieczni. Trybunał uznał, że w dzisiejszych </w:t>
      </w:r>
      <w:r w:rsidRPr="00677C9D">
        <w:rPr>
          <w:rFonts w:cs="Verdana"/>
          <w:bCs/>
          <w:sz w:val="24"/>
          <w:szCs w:val="24"/>
          <w:lang w:val="pl-PL"/>
        </w:rPr>
        <w:t xml:space="preserve">czasach </w:t>
      </w:r>
      <w:r w:rsidR="00FF780D" w:rsidRPr="00677C9D">
        <w:rPr>
          <w:rFonts w:cs="Verdana"/>
          <w:bCs/>
          <w:sz w:val="24"/>
          <w:szCs w:val="24"/>
          <w:lang w:val="pl-PL"/>
        </w:rPr>
        <w:t xml:space="preserve">tego typu forma powstrzymywania ewentualnego zagrożenia ze strony oskarżonych nie jest konieczna. Trybunał zakwestionował stosowanie takiego środkach w jakichkolwiek </w:t>
      </w:r>
      <w:r w:rsidR="00FF780D" w:rsidRPr="00677C9D">
        <w:rPr>
          <w:rFonts w:cs="Verdana"/>
          <w:bCs/>
          <w:sz w:val="24"/>
          <w:szCs w:val="24"/>
          <w:lang w:val="pl-PL"/>
        </w:rPr>
        <w:lastRenderedPageBreak/>
        <w:t xml:space="preserve">sytuacjach, podkreślił jednak, że w sprawie skarżących zagrożenie, na które powoływały się władze, nie zostało udokumentowane. Jednakże sama istota i cele Konwencji zakładają poszanowanie dla ludzkiej godności. W opinii Trybunału przetrzymywanie osoby w klatce w czasie procesu z uwagi na poniżającą naturę tego środka samo w sobie jest niezgodne ze standardami cywilizowanego postępowania i stanowi </w:t>
      </w:r>
      <w:r w:rsidRPr="00677C9D">
        <w:rPr>
          <w:rFonts w:cs="Verdana"/>
          <w:bCs/>
          <w:sz w:val="24"/>
          <w:szCs w:val="24"/>
          <w:lang w:val="pl-PL"/>
        </w:rPr>
        <w:t xml:space="preserve">naruszenie </w:t>
      </w:r>
      <w:r w:rsidR="00FF780D" w:rsidRPr="00677C9D">
        <w:rPr>
          <w:rFonts w:cs="Verdana"/>
          <w:bCs/>
          <w:sz w:val="24"/>
          <w:szCs w:val="24"/>
          <w:lang w:val="pl-PL"/>
        </w:rPr>
        <w:t xml:space="preserve">godności człowieka. </w:t>
      </w:r>
    </w:p>
    <w:p w14:paraId="0047F338" w14:textId="77777777" w:rsidR="00FF780D" w:rsidRPr="00677C9D" w:rsidRDefault="00B02FAD" w:rsidP="00FF780D">
      <w:pPr>
        <w:autoSpaceDE w:val="0"/>
        <w:autoSpaceDN w:val="0"/>
        <w:adjustRightInd w:val="0"/>
        <w:spacing w:after="120" w:line="240" w:lineRule="auto"/>
        <w:jc w:val="both"/>
        <w:rPr>
          <w:rFonts w:cs="Verdana"/>
          <w:sz w:val="24"/>
          <w:szCs w:val="24"/>
          <w:lang w:val="pl-PL"/>
        </w:rPr>
      </w:pPr>
      <w:r w:rsidRPr="00677C9D">
        <w:rPr>
          <w:rFonts w:cs="Verdana"/>
          <w:bCs/>
          <w:sz w:val="24"/>
          <w:szCs w:val="24"/>
          <w:u w:val="single"/>
          <w:lang w:val="pl-PL"/>
        </w:rPr>
        <w:t>Znaczenie dla Polski</w:t>
      </w:r>
      <w:r w:rsidRPr="00677C9D">
        <w:rPr>
          <w:rFonts w:cs="Verdana"/>
          <w:bCs/>
          <w:sz w:val="24"/>
          <w:szCs w:val="24"/>
          <w:lang w:val="pl-PL"/>
        </w:rPr>
        <w:t xml:space="preserve"> </w:t>
      </w:r>
      <w:r w:rsidR="00FF780D" w:rsidRPr="00677C9D">
        <w:rPr>
          <w:rFonts w:cs="Verdana"/>
          <w:bCs/>
          <w:sz w:val="24"/>
          <w:szCs w:val="24"/>
          <w:lang w:val="pl-PL"/>
        </w:rPr>
        <w:t>– pośrednie z uwagi na brak porównywalnych praktyk, jako źródło informacji nt. zasad ogólnych dotyczących traktowania oskarżonych.</w:t>
      </w:r>
    </w:p>
    <w:p w14:paraId="634A6962" w14:textId="77777777" w:rsidR="007D48C7" w:rsidRPr="000C3591" w:rsidRDefault="00F03E34" w:rsidP="000C3591">
      <w:pPr>
        <w:pStyle w:val="Nagwek1"/>
        <w:numPr>
          <w:ilvl w:val="0"/>
          <w:numId w:val="34"/>
        </w:numPr>
        <w:rPr>
          <w:rFonts w:asciiTheme="minorHAnsi" w:hAnsiTheme="minorHAnsi"/>
          <w:color w:val="auto"/>
          <w:sz w:val="24"/>
          <w:szCs w:val="24"/>
          <w:lang w:val="pl-PL"/>
        </w:rPr>
      </w:pPr>
      <w:bookmarkStart w:id="47" w:name="_Toc415257933"/>
      <w:bookmarkStart w:id="48" w:name="_Toc415646204"/>
      <w:proofErr w:type="spellStart"/>
      <w:r w:rsidRPr="000C3591">
        <w:rPr>
          <w:rFonts w:asciiTheme="minorHAnsi" w:hAnsiTheme="minorHAnsi"/>
          <w:color w:val="auto"/>
          <w:sz w:val="24"/>
          <w:szCs w:val="24"/>
          <w:lang w:val="pl-PL"/>
        </w:rPr>
        <w:t>Tarakhel</w:t>
      </w:r>
      <w:proofErr w:type="spellEnd"/>
      <w:r w:rsidRPr="000C3591">
        <w:rPr>
          <w:rFonts w:asciiTheme="minorHAnsi" w:hAnsiTheme="minorHAnsi"/>
          <w:color w:val="auto"/>
          <w:sz w:val="24"/>
          <w:szCs w:val="24"/>
          <w:lang w:val="pl-PL"/>
        </w:rPr>
        <w:t xml:space="preserve"> </w:t>
      </w:r>
      <w:r w:rsidR="00F70C7C" w:rsidRPr="000C3591">
        <w:rPr>
          <w:rFonts w:asciiTheme="minorHAnsi" w:hAnsiTheme="minorHAnsi"/>
          <w:color w:val="auto"/>
          <w:sz w:val="24"/>
          <w:szCs w:val="24"/>
          <w:lang w:val="pl-PL"/>
        </w:rPr>
        <w:t>przeciwko</w:t>
      </w:r>
      <w:r w:rsidRPr="000C3591">
        <w:rPr>
          <w:rFonts w:asciiTheme="minorHAnsi" w:hAnsiTheme="minorHAnsi"/>
          <w:color w:val="auto"/>
          <w:sz w:val="24"/>
          <w:szCs w:val="24"/>
          <w:lang w:val="pl-PL"/>
        </w:rPr>
        <w:t xml:space="preserve"> S</w:t>
      </w:r>
      <w:r w:rsidR="00911A54" w:rsidRPr="000C3591">
        <w:rPr>
          <w:rFonts w:asciiTheme="minorHAnsi" w:hAnsiTheme="minorHAnsi"/>
          <w:color w:val="auto"/>
          <w:sz w:val="24"/>
          <w:szCs w:val="24"/>
          <w:lang w:val="pl-PL"/>
        </w:rPr>
        <w:t>zwajcarii</w:t>
      </w:r>
      <w:r w:rsidR="00677C9D" w:rsidRPr="000C3591">
        <w:rPr>
          <w:rFonts w:asciiTheme="minorHAnsi" w:hAnsiTheme="minorHAnsi"/>
          <w:color w:val="auto"/>
          <w:sz w:val="24"/>
          <w:szCs w:val="24"/>
          <w:lang w:val="pl-PL"/>
        </w:rPr>
        <w:t>,</w:t>
      </w:r>
      <w:r w:rsidRPr="000C3591">
        <w:rPr>
          <w:rFonts w:asciiTheme="minorHAnsi" w:hAnsiTheme="minorHAnsi"/>
          <w:color w:val="auto"/>
          <w:sz w:val="24"/>
          <w:szCs w:val="24"/>
          <w:lang w:val="pl-PL"/>
        </w:rPr>
        <w:t xml:space="preserve"> </w:t>
      </w:r>
      <w:r w:rsidR="00F70C7C" w:rsidRPr="000C3591">
        <w:rPr>
          <w:rFonts w:asciiTheme="minorHAnsi" w:hAnsiTheme="minorHAnsi"/>
          <w:color w:val="auto"/>
          <w:sz w:val="24"/>
          <w:szCs w:val="24"/>
          <w:lang w:val="pl-PL"/>
        </w:rPr>
        <w:t>skarga nr</w:t>
      </w:r>
      <w:r w:rsidRPr="000C3591">
        <w:rPr>
          <w:rFonts w:asciiTheme="minorHAnsi" w:hAnsiTheme="minorHAnsi"/>
          <w:color w:val="auto"/>
          <w:sz w:val="24"/>
          <w:szCs w:val="24"/>
          <w:lang w:val="pl-PL"/>
        </w:rPr>
        <w:t xml:space="preserve"> 29217/12</w:t>
      </w:r>
      <w:r w:rsidR="007D48C7" w:rsidRPr="000C3591">
        <w:rPr>
          <w:rFonts w:asciiTheme="minorHAnsi" w:hAnsiTheme="minorHAnsi"/>
          <w:color w:val="auto"/>
          <w:sz w:val="24"/>
          <w:szCs w:val="24"/>
          <w:lang w:val="pl-PL"/>
        </w:rPr>
        <w:t xml:space="preserve">, wyrok </w:t>
      </w:r>
      <w:r w:rsidR="00911A54" w:rsidRPr="000C3591">
        <w:rPr>
          <w:rFonts w:asciiTheme="minorHAnsi" w:hAnsiTheme="minorHAnsi"/>
          <w:color w:val="auto"/>
          <w:sz w:val="24"/>
          <w:szCs w:val="24"/>
          <w:lang w:val="pl-PL"/>
        </w:rPr>
        <w:t xml:space="preserve">Wielkiej Izby </w:t>
      </w:r>
      <w:r w:rsidR="007D48C7" w:rsidRPr="000C3591">
        <w:rPr>
          <w:rFonts w:asciiTheme="minorHAnsi" w:hAnsiTheme="minorHAnsi"/>
          <w:color w:val="auto"/>
          <w:sz w:val="24"/>
          <w:szCs w:val="24"/>
          <w:lang w:val="pl-PL"/>
        </w:rPr>
        <w:t>z 04.11.2014</w:t>
      </w:r>
      <w:bookmarkEnd w:id="47"/>
      <w:bookmarkEnd w:id="48"/>
    </w:p>
    <w:p w14:paraId="38B9BDBA" w14:textId="77777777" w:rsidR="00F03E34" w:rsidRPr="00677C9D" w:rsidRDefault="000A214F" w:rsidP="00C83635">
      <w:pPr>
        <w:pStyle w:val="Akapitzlist"/>
        <w:numPr>
          <w:ilvl w:val="0"/>
          <w:numId w:val="26"/>
        </w:numPr>
        <w:autoSpaceDE w:val="0"/>
        <w:autoSpaceDN w:val="0"/>
        <w:adjustRightInd w:val="0"/>
        <w:spacing w:after="120" w:line="240" w:lineRule="auto"/>
        <w:jc w:val="both"/>
        <w:rPr>
          <w:rFonts w:cs="Verdana"/>
          <w:sz w:val="24"/>
          <w:szCs w:val="24"/>
          <w:lang w:val="pl-PL"/>
        </w:rPr>
      </w:pPr>
      <w:r w:rsidRPr="00677C9D">
        <w:rPr>
          <w:rFonts w:cs="Verdana"/>
          <w:bCs/>
          <w:sz w:val="24"/>
          <w:szCs w:val="24"/>
          <w:lang w:val="pl-PL"/>
        </w:rPr>
        <w:t xml:space="preserve">potencjalne naruszenie </w:t>
      </w:r>
      <w:r w:rsidR="00DC3574" w:rsidRPr="00677C9D">
        <w:rPr>
          <w:rFonts w:cs="Verdana"/>
          <w:bCs/>
          <w:sz w:val="24"/>
          <w:szCs w:val="24"/>
          <w:lang w:val="pl-PL"/>
        </w:rPr>
        <w:t>art</w:t>
      </w:r>
      <w:r w:rsidR="00F70C7C" w:rsidRPr="00677C9D">
        <w:rPr>
          <w:rFonts w:cs="Verdana"/>
          <w:bCs/>
          <w:sz w:val="24"/>
          <w:szCs w:val="24"/>
          <w:lang w:val="pl-PL"/>
        </w:rPr>
        <w:t>.</w:t>
      </w:r>
      <w:r w:rsidR="00F03E34" w:rsidRPr="00677C9D">
        <w:rPr>
          <w:rFonts w:cs="Verdana"/>
          <w:bCs/>
          <w:sz w:val="24"/>
          <w:szCs w:val="24"/>
          <w:lang w:val="pl-PL"/>
        </w:rPr>
        <w:t xml:space="preserve"> 3</w:t>
      </w:r>
      <w:r w:rsidR="00911A54" w:rsidRPr="00677C9D">
        <w:rPr>
          <w:rFonts w:cs="Verdana"/>
          <w:bCs/>
          <w:sz w:val="24"/>
          <w:szCs w:val="24"/>
          <w:lang w:val="pl-PL"/>
        </w:rPr>
        <w:t xml:space="preserve"> </w:t>
      </w:r>
      <w:r w:rsidR="00E6407A" w:rsidRPr="00677C9D">
        <w:rPr>
          <w:rFonts w:cs="Verdana"/>
          <w:bCs/>
          <w:sz w:val="24"/>
          <w:szCs w:val="24"/>
          <w:lang w:val="pl-PL"/>
        </w:rPr>
        <w:t xml:space="preserve">(zakaz tortur) </w:t>
      </w:r>
      <w:r w:rsidR="00911A54" w:rsidRPr="00677C9D">
        <w:rPr>
          <w:rFonts w:cs="Verdana"/>
          <w:bCs/>
          <w:sz w:val="24"/>
          <w:szCs w:val="24"/>
          <w:lang w:val="pl-PL"/>
        </w:rPr>
        <w:t xml:space="preserve">w </w:t>
      </w:r>
      <w:r w:rsidR="00107180">
        <w:rPr>
          <w:rFonts w:cs="Verdana"/>
          <w:bCs/>
          <w:sz w:val="24"/>
          <w:szCs w:val="24"/>
          <w:lang w:val="pl-PL"/>
        </w:rPr>
        <w:t xml:space="preserve">przypadku </w:t>
      </w:r>
      <w:r w:rsidR="00911A54" w:rsidRPr="00677C9D">
        <w:rPr>
          <w:rFonts w:cs="Verdana"/>
          <w:bCs/>
          <w:sz w:val="24"/>
          <w:szCs w:val="24"/>
          <w:lang w:val="pl-PL"/>
        </w:rPr>
        <w:t xml:space="preserve">wydalenia do Włoch w oparciu o </w:t>
      </w:r>
      <w:r w:rsidR="007E1F67" w:rsidRPr="00677C9D">
        <w:rPr>
          <w:rFonts w:cs="Verdana"/>
          <w:bCs/>
          <w:sz w:val="24"/>
          <w:szCs w:val="24"/>
          <w:lang w:val="pl-PL"/>
        </w:rPr>
        <w:t xml:space="preserve">rozporządzenie Dublin II </w:t>
      </w:r>
      <w:r w:rsidR="00911A54" w:rsidRPr="00677C9D">
        <w:rPr>
          <w:rFonts w:cs="Verdana"/>
          <w:bCs/>
          <w:sz w:val="24"/>
          <w:szCs w:val="24"/>
          <w:lang w:val="pl-PL"/>
        </w:rPr>
        <w:t>afgańskiej rodziny ubiegającej się o azyl</w:t>
      </w:r>
      <w:r w:rsidRPr="00677C9D">
        <w:rPr>
          <w:rFonts w:cs="Verdana"/>
          <w:bCs/>
          <w:sz w:val="24"/>
          <w:szCs w:val="24"/>
          <w:lang w:val="pl-PL"/>
        </w:rPr>
        <w:t>;</w:t>
      </w:r>
      <w:r w:rsidR="00911A54" w:rsidRPr="00677C9D">
        <w:rPr>
          <w:rFonts w:cs="Verdana"/>
          <w:sz w:val="24"/>
          <w:szCs w:val="24"/>
          <w:lang w:val="pl-PL"/>
        </w:rPr>
        <w:t xml:space="preserve"> </w:t>
      </w:r>
    </w:p>
    <w:p w14:paraId="48B06ABA" w14:textId="77777777" w:rsidR="00CA2219" w:rsidRPr="00677C9D" w:rsidRDefault="00CA2219" w:rsidP="00C83635">
      <w:pPr>
        <w:pStyle w:val="Akapitzlist"/>
        <w:numPr>
          <w:ilvl w:val="0"/>
          <w:numId w:val="26"/>
        </w:numPr>
        <w:autoSpaceDE w:val="0"/>
        <w:autoSpaceDN w:val="0"/>
        <w:adjustRightInd w:val="0"/>
        <w:spacing w:after="120" w:line="240" w:lineRule="auto"/>
        <w:jc w:val="both"/>
        <w:rPr>
          <w:rFonts w:cs="Verdana"/>
          <w:sz w:val="24"/>
          <w:szCs w:val="24"/>
          <w:lang w:val="pl-PL"/>
        </w:rPr>
      </w:pPr>
      <w:r w:rsidRPr="00677C9D">
        <w:rPr>
          <w:rFonts w:cs="Verdana"/>
          <w:bCs/>
          <w:iCs/>
          <w:sz w:val="24"/>
          <w:szCs w:val="24"/>
          <w:lang w:val="pl-PL"/>
        </w:rPr>
        <w:t>brak naruszenia art. 13 w odniesieniu do zarzutu braku skutecznego krajowego środka odwoławczego;</w:t>
      </w:r>
    </w:p>
    <w:p w14:paraId="32FB3976" w14:textId="77777777" w:rsidR="004F19D2" w:rsidRPr="00677C9D" w:rsidRDefault="000A214F" w:rsidP="00C83635">
      <w:pPr>
        <w:pStyle w:val="Akapitzlist"/>
        <w:numPr>
          <w:ilvl w:val="0"/>
          <w:numId w:val="26"/>
        </w:numPr>
        <w:spacing w:line="240" w:lineRule="auto"/>
        <w:jc w:val="both"/>
        <w:rPr>
          <w:rFonts w:cs="Verdana"/>
          <w:bCs/>
          <w:iCs/>
          <w:sz w:val="24"/>
          <w:szCs w:val="24"/>
          <w:lang w:val="pl-PL"/>
        </w:rPr>
      </w:pPr>
      <w:r w:rsidRPr="00677C9D">
        <w:rPr>
          <w:rFonts w:cs="Verdana"/>
          <w:bCs/>
          <w:iCs/>
          <w:sz w:val="24"/>
          <w:szCs w:val="24"/>
          <w:lang w:val="pl-PL"/>
        </w:rPr>
        <w:t>s</w:t>
      </w:r>
      <w:r w:rsidR="004F19D2" w:rsidRPr="00677C9D">
        <w:rPr>
          <w:rFonts w:cs="Verdana"/>
          <w:bCs/>
          <w:iCs/>
          <w:sz w:val="24"/>
          <w:szCs w:val="24"/>
          <w:lang w:val="pl-PL"/>
        </w:rPr>
        <w:t>prawa dotyczyła afgańskiej rodziny z szóstką dzieci, która miała być deportowana do Włoch zgodnie z uregulowan</w:t>
      </w:r>
      <w:r w:rsidR="00EB7046" w:rsidRPr="00677C9D">
        <w:rPr>
          <w:rFonts w:cs="Verdana"/>
          <w:bCs/>
          <w:iCs/>
          <w:sz w:val="24"/>
          <w:szCs w:val="24"/>
          <w:lang w:val="pl-PL"/>
        </w:rPr>
        <w:t xml:space="preserve">iami </w:t>
      </w:r>
      <w:r w:rsidRPr="00677C9D">
        <w:rPr>
          <w:rFonts w:cs="Verdana"/>
          <w:bCs/>
          <w:iCs/>
          <w:sz w:val="24"/>
          <w:szCs w:val="24"/>
          <w:lang w:val="pl-PL"/>
        </w:rPr>
        <w:t xml:space="preserve">Rozporządzenia </w:t>
      </w:r>
      <w:r w:rsidR="00EB7046" w:rsidRPr="00677C9D">
        <w:rPr>
          <w:rFonts w:cs="Verdana"/>
          <w:bCs/>
          <w:iCs/>
          <w:sz w:val="24"/>
          <w:szCs w:val="24"/>
          <w:lang w:val="pl-PL"/>
        </w:rPr>
        <w:t>Dubli</w:t>
      </w:r>
      <w:r w:rsidR="0091756F" w:rsidRPr="00677C9D">
        <w:rPr>
          <w:rFonts w:cs="Verdana"/>
          <w:bCs/>
          <w:iCs/>
          <w:sz w:val="24"/>
          <w:szCs w:val="24"/>
          <w:lang w:val="pl-PL"/>
        </w:rPr>
        <w:t>n II</w:t>
      </w:r>
      <w:r w:rsidR="00EB7046" w:rsidRPr="00677C9D">
        <w:rPr>
          <w:rFonts w:cs="Verdana"/>
          <w:bCs/>
          <w:iCs/>
          <w:sz w:val="24"/>
          <w:szCs w:val="24"/>
          <w:lang w:val="pl-PL"/>
        </w:rPr>
        <w:t>.</w:t>
      </w:r>
      <w:r w:rsidR="004F19D2" w:rsidRPr="00677C9D">
        <w:rPr>
          <w:rFonts w:cs="Verdana"/>
          <w:bCs/>
          <w:iCs/>
          <w:sz w:val="24"/>
          <w:szCs w:val="24"/>
          <w:lang w:val="pl-PL"/>
        </w:rPr>
        <w:t xml:space="preserve"> Trybunał zbadał skargę, w której zarzucano, że deportacja </w:t>
      </w:r>
      <w:r w:rsidR="0059342B" w:rsidRPr="00677C9D">
        <w:rPr>
          <w:rFonts w:cs="Verdana"/>
          <w:bCs/>
          <w:iCs/>
          <w:sz w:val="24"/>
          <w:szCs w:val="24"/>
          <w:lang w:val="pl-PL"/>
        </w:rPr>
        <w:t xml:space="preserve">do Włoch </w:t>
      </w:r>
      <w:r w:rsidR="004F19D2" w:rsidRPr="00677C9D">
        <w:rPr>
          <w:rFonts w:cs="Verdana"/>
          <w:bCs/>
          <w:iCs/>
          <w:sz w:val="24"/>
          <w:szCs w:val="24"/>
          <w:lang w:val="pl-PL"/>
        </w:rPr>
        <w:t xml:space="preserve">może narazić skarżących na traktowanie sprzeczne z art. 3 Konwencji z uwagi na warunki zatrzymania uchodźców. Trybunał zbadał sprawę z uwzględnieniem wcześniejszego orzeczenia ws. </w:t>
      </w:r>
      <w:r w:rsidR="004F19D2" w:rsidRPr="00677C9D">
        <w:rPr>
          <w:rFonts w:cs="Verdana"/>
          <w:bCs/>
          <w:i/>
          <w:iCs/>
          <w:sz w:val="24"/>
          <w:szCs w:val="24"/>
          <w:lang w:val="pl-PL"/>
        </w:rPr>
        <w:t>M.S.S. przeciwko Belgii i Grecji</w:t>
      </w:r>
      <w:r w:rsidR="004F19D2" w:rsidRPr="00677C9D">
        <w:rPr>
          <w:rFonts w:cs="Verdana"/>
          <w:bCs/>
          <w:iCs/>
          <w:sz w:val="24"/>
          <w:szCs w:val="24"/>
          <w:lang w:val="pl-PL"/>
        </w:rPr>
        <w:t>. Stwierdził, że liczba miejsc w ośrodkach dla uchodźców we Włoszech była niższa niż liczba uchodźców, jednak sytuacja ta nie była porównywalna z sytuacją w Grecji</w:t>
      </w:r>
      <w:r w:rsidR="00EB7046" w:rsidRPr="00677C9D">
        <w:rPr>
          <w:rFonts w:cs="Verdana"/>
          <w:bCs/>
          <w:iCs/>
          <w:sz w:val="24"/>
          <w:szCs w:val="24"/>
          <w:lang w:val="pl-PL"/>
        </w:rPr>
        <w:t>.</w:t>
      </w:r>
      <w:r w:rsidR="004F19D2" w:rsidRPr="00677C9D">
        <w:rPr>
          <w:rFonts w:cs="Verdana"/>
          <w:bCs/>
          <w:iCs/>
          <w:sz w:val="24"/>
          <w:szCs w:val="24"/>
          <w:lang w:val="pl-PL"/>
        </w:rPr>
        <w:t xml:space="preserve"> </w:t>
      </w:r>
      <w:r w:rsidR="00EB7046" w:rsidRPr="00677C9D">
        <w:rPr>
          <w:rFonts w:cs="Verdana"/>
          <w:bCs/>
          <w:iCs/>
          <w:sz w:val="24"/>
          <w:szCs w:val="24"/>
          <w:lang w:val="pl-PL"/>
        </w:rPr>
        <w:t>W</w:t>
      </w:r>
      <w:r w:rsidR="004F19D2" w:rsidRPr="00677C9D">
        <w:rPr>
          <w:rFonts w:cs="Verdana"/>
          <w:bCs/>
          <w:iCs/>
          <w:sz w:val="24"/>
          <w:szCs w:val="24"/>
          <w:lang w:val="pl-PL"/>
        </w:rPr>
        <w:t>arunki zatrzymania</w:t>
      </w:r>
      <w:r w:rsidR="0007570A" w:rsidRPr="00677C9D">
        <w:rPr>
          <w:rFonts w:cs="Verdana"/>
          <w:bCs/>
          <w:iCs/>
          <w:sz w:val="24"/>
          <w:szCs w:val="24"/>
          <w:lang w:val="pl-PL"/>
        </w:rPr>
        <w:t xml:space="preserve"> nie były aż tak </w:t>
      </w:r>
      <w:r w:rsidR="004F19D2" w:rsidRPr="00677C9D">
        <w:rPr>
          <w:rFonts w:cs="Verdana"/>
          <w:bCs/>
          <w:iCs/>
          <w:sz w:val="24"/>
          <w:szCs w:val="24"/>
          <w:lang w:val="pl-PL"/>
        </w:rPr>
        <w:t xml:space="preserve">niewłaściwe, by </w:t>
      </w:r>
      <w:r w:rsidR="0007570A" w:rsidRPr="00677C9D">
        <w:rPr>
          <w:rFonts w:cs="Verdana"/>
          <w:bCs/>
          <w:iCs/>
          <w:sz w:val="24"/>
          <w:szCs w:val="24"/>
          <w:lang w:val="pl-PL"/>
        </w:rPr>
        <w:t xml:space="preserve">całkowicie </w:t>
      </w:r>
      <w:r w:rsidR="004F19D2" w:rsidRPr="00677C9D">
        <w:rPr>
          <w:rFonts w:cs="Verdana"/>
          <w:bCs/>
          <w:iCs/>
          <w:sz w:val="24"/>
          <w:szCs w:val="24"/>
          <w:lang w:val="pl-PL"/>
        </w:rPr>
        <w:t>wykluczyć możliwoś</w:t>
      </w:r>
      <w:r w:rsidR="00EB7046" w:rsidRPr="00677C9D">
        <w:rPr>
          <w:rFonts w:cs="Verdana"/>
          <w:bCs/>
          <w:iCs/>
          <w:sz w:val="24"/>
          <w:szCs w:val="24"/>
          <w:lang w:val="pl-PL"/>
        </w:rPr>
        <w:t>ć deportacji uchodźców do Włoch,</w:t>
      </w:r>
      <w:r w:rsidR="004F19D2" w:rsidRPr="00677C9D">
        <w:rPr>
          <w:rFonts w:cs="Verdana"/>
          <w:bCs/>
          <w:iCs/>
          <w:sz w:val="24"/>
          <w:szCs w:val="24"/>
          <w:lang w:val="pl-PL"/>
        </w:rPr>
        <w:t xml:space="preserve"> </w:t>
      </w:r>
      <w:r w:rsidR="00EB7046" w:rsidRPr="00677C9D">
        <w:rPr>
          <w:rFonts w:cs="Verdana"/>
          <w:bCs/>
          <w:iCs/>
          <w:sz w:val="24"/>
          <w:szCs w:val="24"/>
          <w:lang w:val="pl-PL"/>
        </w:rPr>
        <w:t>j</w:t>
      </w:r>
      <w:r w:rsidR="004F19D2" w:rsidRPr="00677C9D">
        <w:rPr>
          <w:rFonts w:cs="Verdana"/>
          <w:bCs/>
          <w:iCs/>
          <w:sz w:val="24"/>
          <w:szCs w:val="24"/>
          <w:lang w:val="pl-PL"/>
        </w:rPr>
        <w:t>ednak nie można też uznać</w:t>
      </w:r>
      <w:r w:rsidR="00EB7046" w:rsidRPr="00677C9D">
        <w:rPr>
          <w:rFonts w:cs="Verdana"/>
          <w:bCs/>
          <w:iCs/>
          <w:sz w:val="24"/>
          <w:szCs w:val="24"/>
          <w:lang w:val="pl-PL"/>
        </w:rPr>
        <w:t>, że</w:t>
      </w:r>
      <w:r w:rsidR="004F19D2" w:rsidRPr="00677C9D">
        <w:rPr>
          <w:rFonts w:cs="Verdana"/>
          <w:bCs/>
          <w:iCs/>
          <w:sz w:val="24"/>
          <w:szCs w:val="24"/>
          <w:lang w:val="pl-PL"/>
        </w:rPr>
        <w:t xml:space="preserve"> obaw</w:t>
      </w:r>
      <w:r w:rsidR="00EB7046" w:rsidRPr="00677C9D">
        <w:rPr>
          <w:rFonts w:cs="Verdana"/>
          <w:bCs/>
          <w:iCs/>
          <w:sz w:val="24"/>
          <w:szCs w:val="24"/>
          <w:lang w:val="pl-PL"/>
        </w:rPr>
        <w:t>y</w:t>
      </w:r>
      <w:r w:rsidR="004F19D2" w:rsidRPr="00677C9D">
        <w:rPr>
          <w:rFonts w:cs="Verdana"/>
          <w:bCs/>
          <w:iCs/>
          <w:sz w:val="24"/>
          <w:szCs w:val="24"/>
          <w:lang w:val="pl-PL"/>
        </w:rPr>
        <w:t>, iż część uchodźców może zostać pozbawiona zakwaterowania lub zostać zakwaterowana w nieodpowiednich warunkach</w:t>
      </w:r>
      <w:r w:rsidR="00EB7046" w:rsidRPr="00677C9D">
        <w:rPr>
          <w:rFonts w:cs="Verdana"/>
          <w:bCs/>
          <w:iCs/>
          <w:sz w:val="24"/>
          <w:szCs w:val="24"/>
          <w:lang w:val="pl-PL"/>
        </w:rPr>
        <w:t>, są pozbawione podstaw</w:t>
      </w:r>
      <w:r w:rsidR="004F19D2" w:rsidRPr="00677C9D">
        <w:rPr>
          <w:rFonts w:cs="Verdana"/>
          <w:bCs/>
          <w:iCs/>
          <w:sz w:val="24"/>
          <w:szCs w:val="24"/>
          <w:lang w:val="pl-PL"/>
        </w:rPr>
        <w:t xml:space="preserve">. Włochy </w:t>
      </w:r>
      <w:r w:rsidR="00EB7046" w:rsidRPr="00677C9D">
        <w:rPr>
          <w:rFonts w:cs="Verdana"/>
          <w:bCs/>
          <w:iCs/>
          <w:sz w:val="24"/>
          <w:szCs w:val="24"/>
          <w:lang w:val="pl-PL"/>
        </w:rPr>
        <w:t xml:space="preserve">co prawda </w:t>
      </w:r>
      <w:r w:rsidR="004F19D2" w:rsidRPr="00677C9D">
        <w:rPr>
          <w:rFonts w:cs="Verdana"/>
          <w:bCs/>
          <w:iCs/>
          <w:sz w:val="24"/>
          <w:szCs w:val="24"/>
          <w:lang w:val="pl-PL"/>
        </w:rPr>
        <w:t>potwierdziły</w:t>
      </w:r>
      <w:r w:rsidR="00CD4689" w:rsidRPr="00677C9D">
        <w:rPr>
          <w:rFonts w:cs="Verdana"/>
          <w:bCs/>
          <w:iCs/>
          <w:sz w:val="24"/>
          <w:szCs w:val="24"/>
          <w:lang w:val="pl-PL"/>
        </w:rPr>
        <w:t xml:space="preserve"> w postępowaniu przed Trybunałem</w:t>
      </w:r>
      <w:r w:rsidR="004F19D2" w:rsidRPr="00677C9D">
        <w:rPr>
          <w:rFonts w:cs="Verdana"/>
          <w:bCs/>
          <w:iCs/>
          <w:sz w:val="24"/>
          <w:szCs w:val="24"/>
          <w:lang w:val="pl-PL"/>
        </w:rPr>
        <w:t xml:space="preserve">, iż rodziny z dziećmi są traktowane jako szczególnie wrażliwa kategoria osób i co do zasady otrzymują zakwaterowanie, wyżywienie, dostęp do nauki dla dzieci i inne świadczenia. Jednakże, w swych oświadczeniach rząd włoski nie przestawił żadnych szczegółowych </w:t>
      </w:r>
      <w:r w:rsidR="00CA2219" w:rsidRPr="00677C9D">
        <w:rPr>
          <w:rFonts w:cs="Verdana"/>
          <w:bCs/>
          <w:iCs/>
          <w:sz w:val="24"/>
          <w:szCs w:val="24"/>
          <w:lang w:val="pl-PL"/>
        </w:rPr>
        <w:t>informacji co do warunków, w jakich mieliby przebywać skarżący.</w:t>
      </w:r>
      <w:r w:rsidR="004F19D2" w:rsidRPr="00677C9D">
        <w:rPr>
          <w:rFonts w:cs="Verdana"/>
          <w:bCs/>
          <w:iCs/>
          <w:sz w:val="24"/>
          <w:szCs w:val="24"/>
          <w:lang w:val="pl-PL"/>
        </w:rPr>
        <w:t xml:space="preserve"> W tej sytuacji Trybunał uznał, że władze szwajcarskie nie posiadały wystarczających gwarancji, że skarżący, po powrocie do Włoch, zostaną potraktowani w sposób odpowiedni do wieku ich dzieci, a rodzina nie zostanie rozdzielona. Dlatego też powrót skarżących do Włoch bez uzyskania </w:t>
      </w:r>
      <w:r w:rsidR="008965A2" w:rsidRPr="00677C9D">
        <w:rPr>
          <w:rFonts w:cs="Verdana"/>
          <w:bCs/>
          <w:iCs/>
          <w:sz w:val="24"/>
          <w:szCs w:val="24"/>
          <w:lang w:val="pl-PL"/>
        </w:rPr>
        <w:t>stosownych</w:t>
      </w:r>
      <w:r w:rsidR="004F19D2" w:rsidRPr="00677C9D">
        <w:rPr>
          <w:rFonts w:cs="Verdana"/>
          <w:bCs/>
          <w:iCs/>
          <w:sz w:val="24"/>
          <w:szCs w:val="24"/>
          <w:lang w:val="pl-PL"/>
        </w:rPr>
        <w:t xml:space="preserve"> gwarancji ze strony Włoch stanowiłby naruszenie art. 3 Konwencji. </w:t>
      </w:r>
    </w:p>
    <w:p w14:paraId="6AD8402D" w14:textId="77777777" w:rsidR="004F19D2" w:rsidRPr="00677C9D" w:rsidRDefault="00B02FAD" w:rsidP="0006295A">
      <w:pPr>
        <w:spacing w:line="240" w:lineRule="auto"/>
        <w:jc w:val="both"/>
        <w:rPr>
          <w:rFonts w:cs="Verdana"/>
          <w:i/>
          <w:iCs/>
          <w:sz w:val="24"/>
          <w:szCs w:val="24"/>
          <w:lang w:val="pl-PL"/>
        </w:rPr>
      </w:pPr>
      <w:r w:rsidRPr="00677C9D">
        <w:rPr>
          <w:rFonts w:cs="Verdana"/>
          <w:bCs/>
          <w:sz w:val="24"/>
          <w:szCs w:val="24"/>
          <w:u w:val="single"/>
          <w:lang w:val="pl-PL"/>
        </w:rPr>
        <w:t>Znaczenie dla Polski</w:t>
      </w:r>
      <w:r w:rsidRPr="00677C9D">
        <w:rPr>
          <w:rFonts w:cs="Verdana"/>
          <w:bCs/>
          <w:sz w:val="24"/>
          <w:szCs w:val="24"/>
          <w:lang w:val="pl-PL"/>
        </w:rPr>
        <w:t xml:space="preserve"> </w:t>
      </w:r>
      <w:r w:rsidR="004F19D2" w:rsidRPr="00677C9D">
        <w:rPr>
          <w:rFonts w:cs="Verdana"/>
          <w:bCs/>
          <w:iCs/>
          <w:sz w:val="24"/>
          <w:szCs w:val="24"/>
          <w:lang w:val="pl-PL"/>
        </w:rPr>
        <w:t>– wyrok ma znaczenie dla praktyki organów prowadzących postępowania ws. statusu uchodźcy i ws. nakazu powrotu.</w:t>
      </w:r>
      <w:r w:rsidR="005C165C" w:rsidRPr="00677C9D">
        <w:rPr>
          <w:rFonts w:cs="Verdana"/>
          <w:bCs/>
          <w:iCs/>
          <w:sz w:val="24"/>
          <w:szCs w:val="24"/>
          <w:lang w:val="pl-PL"/>
        </w:rPr>
        <w:t xml:space="preserve"> Odnosi się do konieczności uzyskania w niektórych przypadkach gwarancji odpowiedniego traktowania osób przekazywanych w oparciu o regulacje dublińskie. </w:t>
      </w:r>
      <w:r w:rsidR="004F19D2" w:rsidRPr="00677C9D">
        <w:rPr>
          <w:rFonts w:cs="Verdana"/>
          <w:bCs/>
          <w:iCs/>
          <w:sz w:val="24"/>
          <w:szCs w:val="24"/>
          <w:lang w:val="pl-PL"/>
        </w:rPr>
        <w:t xml:space="preserve">Stanowi rozwinięcie zasad wypracowanych w wyroku ws. </w:t>
      </w:r>
      <w:r w:rsidR="004F19D2" w:rsidRPr="00677C9D">
        <w:rPr>
          <w:rFonts w:cs="Verdana"/>
          <w:bCs/>
          <w:i/>
          <w:iCs/>
          <w:sz w:val="24"/>
          <w:szCs w:val="24"/>
          <w:lang w:val="pl-PL"/>
        </w:rPr>
        <w:t>M.S.S. przeciwko Belgii i Grecji</w:t>
      </w:r>
      <w:r w:rsidR="00D003E3" w:rsidRPr="00677C9D">
        <w:rPr>
          <w:rFonts w:cs="Verdana"/>
          <w:bCs/>
          <w:iCs/>
          <w:sz w:val="24"/>
          <w:szCs w:val="24"/>
          <w:lang w:val="pl-PL"/>
        </w:rPr>
        <w:t>.</w:t>
      </w:r>
    </w:p>
    <w:p w14:paraId="0522F629" w14:textId="77777777" w:rsidR="00FF780D" w:rsidRPr="000C3591" w:rsidRDefault="00FF780D" w:rsidP="000C3591">
      <w:pPr>
        <w:pStyle w:val="Nagwek1"/>
        <w:numPr>
          <w:ilvl w:val="0"/>
          <w:numId w:val="34"/>
        </w:numPr>
        <w:rPr>
          <w:rFonts w:asciiTheme="minorHAnsi" w:hAnsiTheme="minorHAnsi"/>
          <w:color w:val="auto"/>
          <w:sz w:val="24"/>
          <w:szCs w:val="24"/>
          <w:lang w:val="pl-PL"/>
        </w:rPr>
      </w:pPr>
      <w:bookmarkStart w:id="49" w:name="_Toc415257934"/>
      <w:bookmarkStart w:id="50" w:name="_Toc415646205"/>
      <w:proofErr w:type="spellStart"/>
      <w:r w:rsidRPr="000C3591">
        <w:rPr>
          <w:rFonts w:asciiTheme="minorHAnsi" w:hAnsiTheme="minorHAnsi"/>
          <w:color w:val="auto"/>
          <w:sz w:val="24"/>
          <w:szCs w:val="24"/>
          <w:lang w:val="pl-PL"/>
        </w:rPr>
        <w:lastRenderedPageBreak/>
        <w:t>Trabelsi</w:t>
      </w:r>
      <w:proofErr w:type="spellEnd"/>
      <w:r w:rsidRPr="000C3591">
        <w:rPr>
          <w:rFonts w:asciiTheme="minorHAnsi" w:hAnsiTheme="minorHAnsi"/>
          <w:color w:val="auto"/>
          <w:sz w:val="24"/>
          <w:szCs w:val="24"/>
          <w:lang w:val="pl-PL"/>
        </w:rPr>
        <w:t xml:space="preserve"> przeciwko Belgii, skarga nr 140/10, wyrok z 04.09.2014</w:t>
      </w:r>
      <w:bookmarkEnd w:id="49"/>
      <w:bookmarkEnd w:id="50"/>
    </w:p>
    <w:p w14:paraId="294A4775" w14:textId="77777777" w:rsidR="00FF780D" w:rsidRPr="00677C9D" w:rsidRDefault="00CA2219" w:rsidP="00C83635">
      <w:pPr>
        <w:pStyle w:val="Akapitzlist"/>
        <w:numPr>
          <w:ilvl w:val="0"/>
          <w:numId w:val="27"/>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naruszenie </w:t>
      </w:r>
      <w:r w:rsidR="00FF780D" w:rsidRPr="00677C9D">
        <w:rPr>
          <w:rFonts w:cs="Verdana"/>
          <w:bCs/>
          <w:sz w:val="24"/>
          <w:szCs w:val="24"/>
          <w:lang w:val="pl-PL"/>
        </w:rPr>
        <w:t xml:space="preserve">art. 3 </w:t>
      </w:r>
      <w:r w:rsidR="00E6407A" w:rsidRPr="00677C9D">
        <w:rPr>
          <w:rFonts w:cs="Verdana"/>
          <w:bCs/>
          <w:sz w:val="24"/>
          <w:szCs w:val="24"/>
          <w:lang w:val="pl-PL"/>
        </w:rPr>
        <w:t xml:space="preserve">(zakaz tortur) </w:t>
      </w:r>
      <w:r w:rsidR="00FF780D" w:rsidRPr="00677C9D">
        <w:rPr>
          <w:rFonts w:cs="Verdana"/>
          <w:bCs/>
          <w:sz w:val="24"/>
          <w:szCs w:val="24"/>
          <w:lang w:val="pl-PL"/>
        </w:rPr>
        <w:t xml:space="preserve">z uwagi na ekstradycję do państwa nie będącego stroną Konwencji, gdzie w razie skazania skarżący jest zagrożony karą dożywotniego pozbawienia wolności bez możliwości zmniejszenia kary (zważywszy, że prawo krajowe nie przewiduje procedury zbadania według określonych kryteriów, czy </w:t>
      </w:r>
      <w:r w:rsidRPr="00677C9D">
        <w:rPr>
          <w:rFonts w:cs="Verdana"/>
          <w:bCs/>
          <w:sz w:val="24"/>
          <w:szCs w:val="24"/>
          <w:lang w:val="pl-PL"/>
        </w:rPr>
        <w:t>wystąpiły okoliczności uzasadniające weryfikację założonej kary)</w:t>
      </w:r>
      <w:r w:rsidR="00FF780D" w:rsidRPr="00677C9D">
        <w:rPr>
          <w:rFonts w:cs="Verdana"/>
          <w:bCs/>
          <w:sz w:val="24"/>
          <w:szCs w:val="24"/>
          <w:lang w:val="pl-PL"/>
        </w:rPr>
        <w:t>;</w:t>
      </w:r>
    </w:p>
    <w:p w14:paraId="21A40EB3" w14:textId="77777777" w:rsidR="00FF780D" w:rsidRPr="00677C9D" w:rsidRDefault="00CA2219" w:rsidP="00C83635">
      <w:pPr>
        <w:pStyle w:val="Akapitzlist"/>
        <w:numPr>
          <w:ilvl w:val="0"/>
          <w:numId w:val="27"/>
        </w:numPr>
        <w:autoSpaceDE w:val="0"/>
        <w:autoSpaceDN w:val="0"/>
        <w:adjustRightInd w:val="0"/>
        <w:spacing w:after="120" w:line="240" w:lineRule="auto"/>
        <w:jc w:val="both"/>
        <w:rPr>
          <w:rFonts w:cs="Verdana"/>
          <w:sz w:val="24"/>
          <w:szCs w:val="24"/>
          <w:lang w:val="pl-PL"/>
        </w:rPr>
      </w:pPr>
      <w:r w:rsidRPr="00677C9D">
        <w:rPr>
          <w:rFonts w:cs="Verdana"/>
          <w:bCs/>
          <w:sz w:val="24"/>
          <w:szCs w:val="24"/>
          <w:lang w:val="pl-PL"/>
        </w:rPr>
        <w:t xml:space="preserve">naruszenie </w:t>
      </w:r>
      <w:r w:rsidR="00FF780D" w:rsidRPr="00677C9D">
        <w:rPr>
          <w:rFonts w:cs="Verdana"/>
          <w:bCs/>
          <w:sz w:val="24"/>
          <w:szCs w:val="24"/>
          <w:lang w:val="pl-PL"/>
        </w:rPr>
        <w:t xml:space="preserve">art. 34 </w:t>
      </w:r>
      <w:r w:rsidR="00E6407A" w:rsidRPr="00677C9D">
        <w:rPr>
          <w:rFonts w:cs="Verdana"/>
          <w:bCs/>
          <w:sz w:val="24"/>
          <w:szCs w:val="24"/>
          <w:lang w:val="pl-PL"/>
        </w:rPr>
        <w:t xml:space="preserve">(prawo do skargi indywidualnej) </w:t>
      </w:r>
      <w:r w:rsidRPr="00677C9D">
        <w:rPr>
          <w:rFonts w:cs="Verdana"/>
          <w:bCs/>
          <w:sz w:val="24"/>
          <w:szCs w:val="24"/>
          <w:lang w:val="pl-PL"/>
        </w:rPr>
        <w:t xml:space="preserve">poprzez naruszenie przez </w:t>
      </w:r>
      <w:r w:rsidR="00FF780D" w:rsidRPr="00677C9D">
        <w:rPr>
          <w:rFonts w:cs="Verdana"/>
          <w:bCs/>
          <w:sz w:val="24"/>
          <w:szCs w:val="24"/>
          <w:lang w:val="pl-PL"/>
        </w:rPr>
        <w:t>państwo obowiązków w zakresie poszanowania prawa do skargi indywidualnej z uwagi na ekstradycję skarżącego do USA mimo ryzyka wymierzenia mu kary dożywotniego pozbawienia wolności bez możliwości jej zmniejszenia i z naruszeniem przez pozwane państwo środka tymczasowego zarządzonego przez Trybunał na podstawie art. 39 Regulaminu Trybunału.</w:t>
      </w:r>
      <w:r w:rsidR="00FF780D" w:rsidRPr="00677C9D">
        <w:rPr>
          <w:rFonts w:cs="Verdana"/>
          <w:sz w:val="24"/>
          <w:szCs w:val="24"/>
          <w:lang w:val="pl-PL"/>
        </w:rPr>
        <w:t xml:space="preserve"> </w:t>
      </w:r>
    </w:p>
    <w:p w14:paraId="2DD4AF89" w14:textId="77777777" w:rsidR="00FF780D" w:rsidRPr="00677C9D" w:rsidRDefault="00B02FAD" w:rsidP="00FF780D">
      <w:pPr>
        <w:autoSpaceDE w:val="0"/>
        <w:autoSpaceDN w:val="0"/>
        <w:adjustRightInd w:val="0"/>
        <w:spacing w:after="120" w:line="240" w:lineRule="auto"/>
        <w:jc w:val="both"/>
        <w:rPr>
          <w:rFonts w:cs="Verdana"/>
          <w:bCs/>
          <w:sz w:val="24"/>
          <w:szCs w:val="24"/>
          <w:lang w:val="pl-PL"/>
        </w:rPr>
      </w:pPr>
      <w:r w:rsidRPr="00677C9D">
        <w:rPr>
          <w:rFonts w:cs="Verdana"/>
          <w:bCs/>
          <w:sz w:val="24"/>
          <w:szCs w:val="24"/>
          <w:u w:val="single"/>
          <w:lang w:val="pl-PL"/>
        </w:rPr>
        <w:t>Znaczenie dla Polski</w:t>
      </w:r>
      <w:r w:rsidR="00FF780D" w:rsidRPr="00677C9D">
        <w:rPr>
          <w:rFonts w:cs="Verdana"/>
          <w:bCs/>
          <w:sz w:val="24"/>
          <w:szCs w:val="24"/>
          <w:lang w:val="pl-PL"/>
        </w:rPr>
        <w:t xml:space="preserve">: sądy powszechne i SN oraz MS: kwestia dotycząca ekstradycji do państwa, w którym osoba może być skazana na niepodlegającą skróceniu karę dożywotniego pozbawienia wolności, może się pojawić w praktyce orzeczniczej, niezbędne jest upowszechnienie wiedzy nt. konieczności przeanalizowania tej kwestii w ramach badania zgodności ekstradycji z art. 3 Konwencji; pośrednio inne organy (SG, UDSC, NSA) w kontekście wydalenia i statusu uchodźcy. </w:t>
      </w:r>
    </w:p>
    <w:p w14:paraId="535EF1AF" w14:textId="77777777" w:rsidR="00FF780D" w:rsidRPr="000C3591" w:rsidRDefault="00FF780D" w:rsidP="000C3591">
      <w:pPr>
        <w:pStyle w:val="Nagwek1"/>
        <w:numPr>
          <w:ilvl w:val="0"/>
          <w:numId w:val="34"/>
        </w:numPr>
        <w:rPr>
          <w:rFonts w:asciiTheme="minorHAnsi" w:hAnsiTheme="minorHAnsi"/>
          <w:color w:val="auto"/>
          <w:sz w:val="24"/>
          <w:szCs w:val="24"/>
          <w:lang w:val="pl-PL"/>
        </w:rPr>
      </w:pPr>
      <w:bookmarkStart w:id="51" w:name="_Toc415257935"/>
      <w:bookmarkStart w:id="52" w:name="_Toc415646206"/>
      <w:proofErr w:type="spellStart"/>
      <w:r w:rsidRPr="000C3591">
        <w:rPr>
          <w:rFonts w:asciiTheme="minorHAnsi" w:hAnsiTheme="minorHAnsi"/>
          <w:color w:val="auto"/>
          <w:sz w:val="24"/>
          <w:szCs w:val="24"/>
          <w:lang w:val="pl-PL"/>
        </w:rPr>
        <w:t>Velyo</w:t>
      </w:r>
      <w:proofErr w:type="spellEnd"/>
      <w:r w:rsidRPr="000C3591">
        <w:rPr>
          <w:rFonts w:asciiTheme="minorHAnsi" w:hAnsiTheme="minorHAnsi"/>
          <w:color w:val="auto"/>
          <w:sz w:val="24"/>
          <w:szCs w:val="24"/>
          <w:lang w:val="pl-PL"/>
        </w:rPr>
        <w:t xml:space="preserve"> </w:t>
      </w:r>
      <w:proofErr w:type="spellStart"/>
      <w:r w:rsidRPr="000C3591">
        <w:rPr>
          <w:rFonts w:asciiTheme="minorHAnsi" w:hAnsiTheme="minorHAnsi"/>
          <w:color w:val="auto"/>
          <w:sz w:val="24"/>
          <w:szCs w:val="24"/>
          <w:lang w:val="pl-PL"/>
        </w:rPr>
        <w:t>Velev</w:t>
      </w:r>
      <w:proofErr w:type="spellEnd"/>
      <w:r w:rsidRPr="000C3591">
        <w:rPr>
          <w:rFonts w:asciiTheme="minorHAnsi" w:hAnsiTheme="minorHAnsi"/>
          <w:color w:val="auto"/>
          <w:sz w:val="24"/>
          <w:szCs w:val="24"/>
          <w:lang w:val="pl-PL"/>
        </w:rPr>
        <w:t xml:space="preserve"> przeciwko Bułgarii, skarga nr 16032/07, wyrok z 27.05.2014</w:t>
      </w:r>
      <w:bookmarkEnd w:id="51"/>
      <w:bookmarkEnd w:id="52"/>
    </w:p>
    <w:p w14:paraId="7C6ABB62" w14:textId="77777777" w:rsidR="00CA2219" w:rsidRPr="00677C9D" w:rsidRDefault="00CA2219" w:rsidP="00C83635">
      <w:pPr>
        <w:pStyle w:val="Akapitzlist"/>
        <w:numPr>
          <w:ilvl w:val="0"/>
          <w:numId w:val="28"/>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 xml:space="preserve">naruszenie </w:t>
      </w:r>
      <w:r w:rsidR="00FF780D" w:rsidRPr="00677C9D">
        <w:rPr>
          <w:rFonts w:cs="Verdana"/>
          <w:bCs/>
          <w:sz w:val="24"/>
          <w:szCs w:val="24"/>
          <w:lang w:val="pl-PL"/>
        </w:rPr>
        <w:t xml:space="preserve">art. 2 Protokołu nr 1 </w:t>
      </w:r>
      <w:r w:rsidR="00AD2867" w:rsidRPr="00677C9D">
        <w:rPr>
          <w:rFonts w:cs="Verdana"/>
          <w:bCs/>
          <w:sz w:val="24"/>
          <w:szCs w:val="24"/>
          <w:lang w:val="pl-PL"/>
        </w:rPr>
        <w:t xml:space="preserve">(prawo do nauki) </w:t>
      </w:r>
      <w:r w:rsidRPr="00677C9D">
        <w:rPr>
          <w:rFonts w:cs="Verdana"/>
          <w:bCs/>
          <w:sz w:val="24"/>
          <w:szCs w:val="24"/>
          <w:lang w:val="pl-PL"/>
        </w:rPr>
        <w:t xml:space="preserve">w stosunku do </w:t>
      </w:r>
      <w:r w:rsidR="00FF780D" w:rsidRPr="00677C9D">
        <w:rPr>
          <w:rFonts w:cs="Verdana"/>
          <w:bCs/>
          <w:sz w:val="24"/>
          <w:szCs w:val="24"/>
          <w:lang w:val="pl-PL"/>
        </w:rPr>
        <w:t>tymczasowo aresztowanego więźnia, któremu odmówiono zapisania do szkoły w więzieniu</w:t>
      </w:r>
      <w:r w:rsidRPr="00677C9D">
        <w:rPr>
          <w:rFonts w:cs="Verdana"/>
          <w:bCs/>
          <w:sz w:val="24"/>
          <w:szCs w:val="24"/>
          <w:lang w:val="pl-PL"/>
        </w:rPr>
        <w:t>;</w:t>
      </w:r>
      <w:r w:rsidR="00FF780D" w:rsidRPr="00677C9D">
        <w:rPr>
          <w:rFonts w:cs="Verdana"/>
          <w:bCs/>
          <w:sz w:val="24"/>
          <w:szCs w:val="24"/>
          <w:lang w:val="pl-PL"/>
        </w:rPr>
        <w:t xml:space="preserve"> </w:t>
      </w:r>
    </w:p>
    <w:p w14:paraId="25A3A5A0" w14:textId="77777777" w:rsidR="00FF780D" w:rsidRPr="00677C9D" w:rsidRDefault="00CA2219" w:rsidP="00C83635">
      <w:pPr>
        <w:pStyle w:val="Akapitzlist"/>
        <w:numPr>
          <w:ilvl w:val="0"/>
          <w:numId w:val="28"/>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w</w:t>
      </w:r>
      <w:r w:rsidR="00FF780D" w:rsidRPr="00677C9D">
        <w:rPr>
          <w:rFonts w:cs="Verdana"/>
          <w:bCs/>
          <w:sz w:val="24"/>
          <w:szCs w:val="24"/>
          <w:lang w:val="pl-PL"/>
        </w:rPr>
        <w:t xml:space="preserve"> opinii Trybunału prawo do edukacji ma zastosowanie do wszystkich osób, </w:t>
      </w:r>
      <w:r w:rsidRPr="00677C9D">
        <w:rPr>
          <w:rFonts w:cs="Verdana"/>
          <w:bCs/>
          <w:sz w:val="24"/>
          <w:szCs w:val="24"/>
          <w:lang w:val="pl-PL"/>
        </w:rPr>
        <w:t xml:space="preserve">w ocenianej sprawie </w:t>
      </w:r>
      <w:r w:rsidR="00FF780D" w:rsidRPr="00677C9D">
        <w:rPr>
          <w:rFonts w:cs="Verdana"/>
          <w:bCs/>
          <w:sz w:val="24"/>
          <w:szCs w:val="24"/>
          <w:lang w:val="pl-PL"/>
        </w:rPr>
        <w:t xml:space="preserve">uregulowania prawne były niejasne, a powody wskazane przez władze dla uzasadnienia ograniczenia prawa skarżącego do edukacji </w:t>
      </w:r>
      <w:r w:rsidR="005810CD">
        <w:rPr>
          <w:rFonts w:cs="Verdana"/>
          <w:bCs/>
          <w:sz w:val="24"/>
          <w:szCs w:val="24"/>
          <w:lang w:val="pl-PL"/>
        </w:rPr>
        <w:t>(m.in.</w:t>
      </w:r>
      <w:r w:rsidR="00FF780D" w:rsidRPr="00677C9D">
        <w:rPr>
          <w:rFonts w:cs="Verdana"/>
          <w:bCs/>
          <w:sz w:val="24"/>
          <w:szCs w:val="24"/>
          <w:lang w:val="pl-PL"/>
        </w:rPr>
        <w:t xml:space="preserve"> brak pewności co do długości tymczasowego aresztowania, możliwość, iż skarżący będzie uznany za recydywistę) nie zostały przez Trybunał uznane za uprawnione, a ograniczenie możliwości ukończenia przez niego szkoły średniej nie było proporcjonalne ani zgodne z wymogiem przewidywalności.</w:t>
      </w:r>
    </w:p>
    <w:p w14:paraId="1215AAE4" w14:textId="77777777" w:rsidR="00FF780D" w:rsidRPr="00677C9D" w:rsidRDefault="00B02FAD" w:rsidP="00FF780D">
      <w:pPr>
        <w:autoSpaceDE w:val="0"/>
        <w:autoSpaceDN w:val="0"/>
        <w:adjustRightInd w:val="0"/>
        <w:spacing w:after="120" w:line="240" w:lineRule="auto"/>
        <w:jc w:val="both"/>
        <w:rPr>
          <w:rFonts w:cs="Verdana"/>
          <w:bCs/>
          <w:sz w:val="24"/>
          <w:szCs w:val="24"/>
          <w:lang w:val="pl-PL"/>
        </w:rPr>
      </w:pPr>
      <w:r w:rsidRPr="00677C9D">
        <w:rPr>
          <w:rFonts w:cs="Verdana"/>
          <w:bCs/>
          <w:sz w:val="24"/>
          <w:szCs w:val="24"/>
          <w:u w:val="single"/>
          <w:lang w:val="pl-PL"/>
        </w:rPr>
        <w:t>Znaczenie dla Polski</w:t>
      </w:r>
      <w:r w:rsidR="00FF780D" w:rsidRPr="00677C9D">
        <w:rPr>
          <w:rFonts w:cs="Verdana"/>
          <w:bCs/>
          <w:sz w:val="24"/>
          <w:szCs w:val="24"/>
          <w:lang w:val="pl-PL"/>
        </w:rPr>
        <w:t xml:space="preserve">: </w:t>
      </w:r>
      <w:r w:rsidR="000A48DE" w:rsidRPr="000A48DE">
        <w:rPr>
          <w:rFonts w:cs="Verdana"/>
          <w:bCs/>
          <w:sz w:val="24"/>
          <w:szCs w:val="24"/>
          <w:lang w:val="pl-PL"/>
        </w:rPr>
        <w:t>zwłaszcza dla Ministerstwa Edukacji Narodowej, Ministerstwa Sprawiedliwości i Centralnego Zarządu Służby Więziennej</w:t>
      </w:r>
      <w:r w:rsidR="00FF780D" w:rsidRPr="00677C9D">
        <w:rPr>
          <w:rFonts w:cs="Verdana"/>
          <w:bCs/>
          <w:sz w:val="24"/>
          <w:szCs w:val="24"/>
          <w:lang w:val="pl-PL"/>
        </w:rPr>
        <w:t>: należy przeanalizować uregulowania ustawowe dotyczące statusu osób tymczasowo aresztowanych w odniesieniu do kwestii dostępu do edukacji (zweryfikowanie, czy prawo jest zapewnione w sposób jasny, a ewentualne ograniczenia u</w:t>
      </w:r>
      <w:r w:rsidR="00CA2219" w:rsidRPr="00677C9D">
        <w:rPr>
          <w:rFonts w:cs="Verdana"/>
          <w:bCs/>
          <w:sz w:val="24"/>
          <w:szCs w:val="24"/>
          <w:lang w:val="pl-PL"/>
        </w:rPr>
        <w:t xml:space="preserve">zasadnione </w:t>
      </w:r>
      <w:r w:rsidR="00FF780D" w:rsidRPr="00677C9D">
        <w:rPr>
          <w:rFonts w:cs="Verdana"/>
          <w:bCs/>
          <w:sz w:val="24"/>
          <w:szCs w:val="24"/>
          <w:lang w:val="pl-PL"/>
        </w:rPr>
        <w:t xml:space="preserve">i przewidywalne, a także </w:t>
      </w:r>
      <w:r w:rsidR="00CA2219" w:rsidRPr="00677C9D">
        <w:rPr>
          <w:rFonts w:cs="Verdana"/>
          <w:bCs/>
          <w:sz w:val="24"/>
          <w:szCs w:val="24"/>
          <w:lang w:val="pl-PL"/>
        </w:rPr>
        <w:t xml:space="preserve">zbadanie </w:t>
      </w:r>
      <w:r w:rsidR="00FF780D" w:rsidRPr="00677C9D">
        <w:rPr>
          <w:rFonts w:cs="Verdana"/>
          <w:bCs/>
          <w:sz w:val="24"/>
          <w:szCs w:val="24"/>
          <w:lang w:val="pl-PL"/>
        </w:rPr>
        <w:t>stosowan</w:t>
      </w:r>
      <w:r w:rsidR="00CA2219" w:rsidRPr="00677C9D">
        <w:rPr>
          <w:rFonts w:cs="Verdana"/>
          <w:bCs/>
          <w:sz w:val="24"/>
          <w:szCs w:val="24"/>
          <w:lang w:val="pl-PL"/>
        </w:rPr>
        <w:t xml:space="preserve">ej </w:t>
      </w:r>
      <w:r w:rsidR="00FF780D" w:rsidRPr="00677C9D">
        <w:rPr>
          <w:rFonts w:cs="Verdana"/>
          <w:bCs/>
          <w:sz w:val="24"/>
          <w:szCs w:val="24"/>
          <w:lang w:val="pl-PL"/>
        </w:rPr>
        <w:t>praktyk</w:t>
      </w:r>
      <w:r w:rsidR="00D81087">
        <w:rPr>
          <w:rFonts w:cs="Verdana"/>
          <w:bCs/>
          <w:sz w:val="24"/>
          <w:szCs w:val="24"/>
          <w:lang w:val="pl-PL"/>
        </w:rPr>
        <w:t xml:space="preserve">i, </w:t>
      </w:r>
      <w:r w:rsidR="00FF780D" w:rsidRPr="00677C9D">
        <w:rPr>
          <w:rFonts w:cs="Verdana"/>
          <w:bCs/>
          <w:sz w:val="24"/>
          <w:szCs w:val="24"/>
          <w:lang w:val="pl-PL"/>
        </w:rPr>
        <w:t>w tym ewentualn</w:t>
      </w:r>
      <w:r w:rsidR="00CA2219" w:rsidRPr="00677C9D">
        <w:rPr>
          <w:rFonts w:cs="Verdana"/>
          <w:bCs/>
          <w:sz w:val="24"/>
          <w:szCs w:val="24"/>
          <w:lang w:val="pl-PL"/>
        </w:rPr>
        <w:t xml:space="preserve">ych </w:t>
      </w:r>
      <w:r w:rsidR="00FF780D" w:rsidRPr="00677C9D">
        <w:rPr>
          <w:rFonts w:cs="Verdana"/>
          <w:bCs/>
          <w:sz w:val="24"/>
          <w:szCs w:val="24"/>
          <w:lang w:val="pl-PL"/>
        </w:rPr>
        <w:t>powod</w:t>
      </w:r>
      <w:r w:rsidR="00CA2219" w:rsidRPr="00677C9D">
        <w:rPr>
          <w:rFonts w:cs="Verdana"/>
          <w:bCs/>
          <w:sz w:val="24"/>
          <w:szCs w:val="24"/>
          <w:lang w:val="pl-PL"/>
        </w:rPr>
        <w:t>ów</w:t>
      </w:r>
      <w:r w:rsidR="00FF780D" w:rsidRPr="00677C9D">
        <w:rPr>
          <w:rFonts w:cs="Verdana"/>
          <w:bCs/>
          <w:sz w:val="24"/>
          <w:szCs w:val="24"/>
          <w:lang w:val="pl-PL"/>
        </w:rPr>
        <w:t xml:space="preserve"> powoływan</w:t>
      </w:r>
      <w:r w:rsidR="00CA2219" w:rsidRPr="00677C9D">
        <w:rPr>
          <w:rFonts w:cs="Verdana"/>
          <w:bCs/>
          <w:sz w:val="24"/>
          <w:szCs w:val="24"/>
          <w:lang w:val="pl-PL"/>
        </w:rPr>
        <w:t xml:space="preserve">ych </w:t>
      </w:r>
      <w:r w:rsidR="00FF780D" w:rsidRPr="00677C9D">
        <w:rPr>
          <w:rFonts w:cs="Verdana"/>
          <w:bCs/>
          <w:sz w:val="24"/>
          <w:szCs w:val="24"/>
          <w:lang w:val="pl-PL"/>
        </w:rPr>
        <w:t xml:space="preserve">przez organy lub sądy dla ograniczania dostępu do edukacji).  </w:t>
      </w:r>
    </w:p>
    <w:p w14:paraId="6449B668" w14:textId="77777777" w:rsidR="00FF780D" w:rsidRPr="000C3591" w:rsidRDefault="00FF780D" w:rsidP="000C3591">
      <w:pPr>
        <w:pStyle w:val="Nagwek1"/>
        <w:numPr>
          <w:ilvl w:val="0"/>
          <w:numId w:val="34"/>
        </w:numPr>
        <w:rPr>
          <w:rFonts w:asciiTheme="minorHAnsi" w:hAnsiTheme="minorHAnsi"/>
          <w:color w:val="auto"/>
          <w:sz w:val="24"/>
          <w:szCs w:val="24"/>
          <w:lang w:val="pl-PL"/>
        </w:rPr>
      </w:pPr>
      <w:bookmarkStart w:id="53" w:name="_Toc415257936"/>
      <w:bookmarkStart w:id="54" w:name="_Toc415646207"/>
      <w:proofErr w:type="spellStart"/>
      <w:r w:rsidRPr="000C3591">
        <w:rPr>
          <w:rFonts w:asciiTheme="minorHAnsi" w:hAnsiTheme="minorHAnsi"/>
          <w:color w:val="auto"/>
          <w:sz w:val="24"/>
          <w:szCs w:val="24"/>
          <w:lang w:val="pl-PL"/>
        </w:rPr>
        <w:t>Vistiņš</w:t>
      </w:r>
      <w:proofErr w:type="spellEnd"/>
      <w:r w:rsidRPr="000C3591">
        <w:rPr>
          <w:rFonts w:asciiTheme="minorHAnsi" w:hAnsiTheme="minorHAnsi"/>
          <w:color w:val="auto"/>
          <w:sz w:val="24"/>
          <w:szCs w:val="24"/>
          <w:lang w:val="pl-PL"/>
        </w:rPr>
        <w:t xml:space="preserve"> i </w:t>
      </w:r>
      <w:proofErr w:type="spellStart"/>
      <w:r w:rsidRPr="000C3591">
        <w:rPr>
          <w:rFonts w:asciiTheme="minorHAnsi" w:hAnsiTheme="minorHAnsi"/>
          <w:color w:val="auto"/>
          <w:sz w:val="24"/>
          <w:szCs w:val="24"/>
          <w:lang w:val="pl-PL"/>
        </w:rPr>
        <w:t>Perepjolkins</w:t>
      </w:r>
      <w:proofErr w:type="spellEnd"/>
      <w:r w:rsidRPr="000C3591">
        <w:rPr>
          <w:rFonts w:asciiTheme="minorHAnsi" w:hAnsiTheme="minorHAnsi"/>
          <w:color w:val="auto"/>
          <w:sz w:val="24"/>
          <w:szCs w:val="24"/>
          <w:lang w:val="pl-PL"/>
        </w:rPr>
        <w:t xml:space="preserve"> przeciwko Łotwie (słuszne zadośćuczynienie), skarga nr 71243/01, wyrok Wielkiej Izby z 25.03.2014</w:t>
      </w:r>
      <w:bookmarkEnd w:id="53"/>
      <w:bookmarkEnd w:id="54"/>
    </w:p>
    <w:p w14:paraId="7AE79BDA" w14:textId="77777777" w:rsidR="00FF780D" w:rsidRPr="00677C9D" w:rsidRDefault="00FF780D" w:rsidP="00C83635">
      <w:pPr>
        <w:pStyle w:val="Akapitzlist"/>
        <w:numPr>
          <w:ilvl w:val="0"/>
          <w:numId w:val="29"/>
        </w:numPr>
        <w:autoSpaceDE w:val="0"/>
        <w:autoSpaceDN w:val="0"/>
        <w:adjustRightInd w:val="0"/>
        <w:spacing w:after="120" w:line="240" w:lineRule="auto"/>
        <w:jc w:val="both"/>
        <w:rPr>
          <w:rFonts w:cs="Verdana"/>
          <w:bCs/>
          <w:sz w:val="24"/>
          <w:szCs w:val="24"/>
          <w:lang w:val="pl-PL"/>
        </w:rPr>
      </w:pPr>
      <w:r w:rsidRPr="00677C9D">
        <w:rPr>
          <w:rFonts w:cs="Verdana"/>
          <w:bCs/>
          <w:sz w:val="24"/>
          <w:szCs w:val="24"/>
          <w:lang w:val="pl-PL"/>
        </w:rPr>
        <w:t>art. 41 – odszkodowanie za wywłaszczenie przyznane przez Trybunał w oparciu o względy słuszności</w:t>
      </w:r>
      <w:r w:rsidR="00CA2219" w:rsidRPr="00677C9D">
        <w:rPr>
          <w:rFonts w:cs="Verdana"/>
          <w:bCs/>
          <w:sz w:val="24"/>
          <w:szCs w:val="24"/>
          <w:lang w:val="pl-PL"/>
        </w:rPr>
        <w:t>;</w:t>
      </w:r>
      <w:r w:rsidRPr="00677C9D">
        <w:rPr>
          <w:rFonts w:cs="Verdana"/>
          <w:bCs/>
          <w:sz w:val="24"/>
          <w:szCs w:val="24"/>
          <w:lang w:val="pl-PL"/>
        </w:rPr>
        <w:t xml:space="preserve"> </w:t>
      </w:r>
    </w:p>
    <w:p w14:paraId="225305DD" w14:textId="77777777" w:rsidR="00FF780D" w:rsidRPr="00677C9D" w:rsidRDefault="00CA2219" w:rsidP="00C83635">
      <w:pPr>
        <w:pStyle w:val="Akapitzlist"/>
        <w:numPr>
          <w:ilvl w:val="0"/>
          <w:numId w:val="29"/>
        </w:numPr>
        <w:spacing w:line="240" w:lineRule="auto"/>
        <w:jc w:val="both"/>
        <w:rPr>
          <w:rFonts w:cs="Verdana"/>
          <w:bCs/>
          <w:sz w:val="24"/>
          <w:szCs w:val="24"/>
          <w:lang w:val="pl-PL"/>
        </w:rPr>
      </w:pPr>
      <w:r w:rsidRPr="00677C9D">
        <w:rPr>
          <w:rFonts w:cs="Verdana"/>
          <w:bCs/>
          <w:sz w:val="24"/>
          <w:szCs w:val="24"/>
          <w:lang w:val="pl-PL"/>
        </w:rPr>
        <w:t>s</w:t>
      </w:r>
      <w:r w:rsidR="00FF780D" w:rsidRPr="00677C9D">
        <w:rPr>
          <w:rFonts w:cs="Verdana"/>
          <w:bCs/>
          <w:sz w:val="24"/>
          <w:szCs w:val="24"/>
          <w:lang w:val="pl-PL"/>
        </w:rPr>
        <w:t xml:space="preserve">karżący na mocy darowizny nabyli w 1994 r. 5 działek na wyspie zajętej głównie przez urządzenia portowe Rygi. W związku z poszerzeniem portu działki skarżących zostały wywłaszczone w oparciu o specjalną ustawę, która derogowała zwykłe reguły </w:t>
      </w:r>
      <w:r w:rsidR="00FF780D" w:rsidRPr="00677C9D">
        <w:rPr>
          <w:rFonts w:cs="Verdana"/>
          <w:bCs/>
          <w:sz w:val="24"/>
          <w:szCs w:val="24"/>
          <w:lang w:val="pl-PL"/>
        </w:rPr>
        <w:lastRenderedPageBreak/>
        <w:t>wywłaszczenia. Skarżący otrzymali odszkodowani</w:t>
      </w:r>
      <w:r w:rsidRPr="00677C9D">
        <w:rPr>
          <w:rFonts w:cs="Verdana"/>
          <w:bCs/>
          <w:sz w:val="24"/>
          <w:szCs w:val="24"/>
          <w:lang w:val="pl-PL"/>
        </w:rPr>
        <w:t>e</w:t>
      </w:r>
      <w:r w:rsidR="00FF780D" w:rsidRPr="00677C9D">
        <w:rPr>
          <w:rFonts w:cs="Verdana"/>
          <w:bCs/>
          <w:sz w:val="24"/>
          <w:szCs w:val="24"/>
          <w:lang w:val="pl-PL"/>
        </w:rPr>
        <w:t>. Po przyłączeniu gruntu do portu, wartość działek wzrosła. W pierwszym wyroku (odnośnie meritum) Wielka Izba stwierdziła naruszenie art. 1 Prot. 1 z uwagi na nieuzasadnioną dysproporcję między oficjalną katastralną wartością nieruchomości a przyznanym odszkodowaniem (naruszenie nie było natomiast spowodowane bezprawnością działania władz łotewskich). Wielka Izba uznała natomiast za usprawiedliwioną decyzję władz o nieprzyznawaniu odszkodowania w wysokości 100% wartości nieruchomości. Wielka Izba uwzględniła trzy okoliczności za tym przemawiające: rynkowej wartości nieruchomości nie można było ustalić z uwagi na wyłączne prawo pierwokupu na rzecz państwa i władz lokalnych, na gruncie była ustanowiona ustawowa służebność na rzecz portu, a  skarżący nie inwestowali w zagospodarowanie nieruchomości ani nie opłacali podatk</w:t>
      </w:r>
      <w:r w:rsidRPr="00677C9D">
        <w:rPr>
          <w:rFonts w:cs="Verdana"/>
          <w:bCs/>
          <w:sz w:val="24"/>
          <w:szCs w:val="24"/>
          <w:lang w:val="pl-PL"/>
        </w:rPr>
        <w:t>ów</w:t>
      </w:r>
      <w:r w:rsidR="00FF780D" w:rsidRPr="00677C9D">
        <w:rPr>
          <w:rFonts w:cs="Verdana"/>
          <w:bCs/>
          <w:sz w:val="24"/>
          <w:szCs w:val="24"/>
          <w:lang w:val="pl-PL"/>
        </w:rPr>
        <w:t xml:space="preserve"> od nieruchomości. </w:t>
      </w:r>
    </w:p>
    <w:p w14:paraId="6614B8F0" w14:textId="77777777" w:rsidR="00FF780D" w:rsidRPr="00677C9D" w:rsidRDefault="00FF780D" w:rsidP="00CA2219">
      <w:pPr>
        <w:pStyle w:val="Akapitzlist"/>
        <w:spacing w:line="240" w:lineRule="auto"/>
        <w:jc w:val="both"/>
        <w:rPr>
          <w:rFonts w:cs="Verdana"/>
          <w:bCs/>
          <w:sz w:val="24"/>
          <w:szCs w:val="24"/>
          <w:lang w:val="pl-PL"/>
        </w:rPr>
      </w:pPr>
      <w:r w:rsidRPr="00677C9D">
        <w:rPr>
          <w:rFonts w:cs="Verdana"/>
          <w:bCs/>
          <w:sz w:val="24"/>
          <w:szCs w:val="24"/>
          <w:lang w:val="pl-PL"/>
        </w:rPr>
        <w:t xml:space="preserve">Określając wartość odszkodowania w drugim wyroku, Wielka Izba odnotowała, że skoro wywłaszczenie nie było bezprawne, </w:t>
      </w:r>
      <w:r w:rsidR="0051344D">
        <w:rPr>
          <w:rFonts w:cs="Verdana"/>
          <w:bCs/>
          <w:sz w:val="24"/>
          <w:szCs w:val="24"/>
          <w:lang w:val="pl-PL"/>
        </w:rPr>
        <w:t xml:space="preserve">to </w:t>
      </w:r>
      <w:r w:rsidRPr="00677C9D">
        <w:rPr>
          <w:rFonts w:cs="Verdana"/>
          <w:bCs/>
          <w:sz w:val="24"/>
          <w:szCs w:val="24"/>
          <w:lang w:val="pl-PL"/>
        </w:rPr>
        <w:t xml:space="preserve">nie mają </w:t>
      </w:r>
      <w:r w:rsidR="00CA2219" w:rsidRPr="00677C9D">
        <w:rPr>
          <w:rFonts w:cs="Verdana"/>
          <w:bCs/>
          <w:sz w:val="24"/>
          <w:szCs w:val="24"/>
          <w:lang w:val="pl-PL"/>
        </w:rPr>
        <w:t xml:space="preserve">zastosowania </w:t>
      </w:r>
      <w:r w:rsidRPr="00677C9D">
        <w:rPr>
          <w:rFonts w:cs="Verdana"/>
          <w:bCs/>
          <w:sz w:val="24"/>
          <w:szCs w:val="24"/>
          <w:lang w:val="pl-PL"/>
        </w:rPr>
        <w:t xml:space="preserve">reguły wynikające z wyroku  </w:t>
      </w:r>
      <w:proofErr w:type="spellStart"/>
      <w:r w:rsidRPr="00677C9D">
        <w:rPr>
          <w:rFonts w:cs="Verdana"/>
          <w:bCs/>
          <w:i/>
          <w:sz w:val="24"/>
          <w:szCs w:val="24"/>
          <w:lang w:val="pl-PL"/>
        </w:rPr>
        <w:t>Guiso-Gallisay</w:t>
      </w:r>
      <w:proofErr w:type="spellEnd"/>
      <w:r w:rsidRPr="00677C9D">
        <w:rPr>
          <w:rFonts w:cs="Verdana"/>
          <w:bCs/>
          <w:i/>
          <w:sz w:val="24"/>
          <w:szCs w:val="24"/>
          <w:lang w:val="pl-PL"/>
        </w:rPr>
        <w:t xml:space="preserve"> p. Włochom</w:t>
      </w:r>
      <w:r w:rsidRPr="00677C9D">
        <w:rPr>
          <w:rFonts w:cs="Verdana"/>
          <w:bCs/>
          <w:sz w:val="24"/>
          <w:szCs w:val="24"/>
          <w:lang w:val="pl-PL"/>
        </w:rPr>
        <w:t xml:space="preserve"> (skarga nr 58858/00, wyrok z 22 grudnia 2009 r.). Obowiązek państwa sprowadza się do obowiązku zapłaty odpowiedniego odszkodowania, które powinno było być przyznane w momencie wywłaszczenia. Nie ma natomiast podstawy, by skarżący dochodził utraty dochodu (</w:t>
      </w:r>
      <w:proofErr w:type="spellStart"/>
      <w:r w:rsidRPr="00677C9D">
        <w:rPr>
          <w:rFonts w:cs="Verdana"/>
          <w:bCs/>
          <w:i/>
          <w:sz w:val="24"/>
          <w:szCs w:val="24"/>
          <w:lang w:val="pl-PL"/>
        </w:rPr>
        <w:t>lucrum</w:t>
      </w:r>
      <w:proofErr w:type="spellEnd"/>
      <w:r w:rsidRPr="00677C9D">
        <w:rPr>
          <w:rFonts w:cs="Verdana"/>
          <w:bCs/>
          <w:i/>
          <w:sz w:val="24"/>
          <w:szCs w:val="24"/>
          <w:lang w:val="pl-PL"/>
        </w:rPr>
        <w:t xml:space="preserve"> </w:t>
      </w:r>
      <w:proofErr w:type="spellStart"/>
      <w:r w:rsidRPr="00677C9D">
        <w:rPr>
          <w:rFonts w:cs="Verdana"/>
          <w:bCs/>
          <w:i/>
          <w:sz w:val="24"/>
          <w:szCs w:val="24"/>
          <w:lang w:val="pl-PL"/>
        </w:rPr>
        <w:t>cessans</w:t>
      </w:r>
      <w:proofErr w:type="spellEnd"/>
      <w:r w:rsidRPr="00677C9D">
        <w:rPr>
          <w:rFonts w:cs="Verdana"/>
          <w:bCs/>
          <w:sz w:val="24"/>
          <w:szCs w:val="24"/>
          <w:lang w:val="pl-PL"/>
        </w:rPr>
        <w:t xml:space="preserve">) za czas po wywłaszczeniu. Odszkodowanie, które należało określić, nie musiało opierać się na idei całkowitego wyeliminowania konsekwencji zaskarżonej ingerencji, ani też pełnej wartości nieruchomości. Trybunał uznał za właściwe określić odszkodowanie w wysokości, która byłaby możliwie najbardziej „rozsądnie powiązana” z wartością rynkową działek. Wziął też pod uwagę stwierdzenie zawarte w pierwszym wyroku, że z uwagi na szczególne okoliczności sprawy usprawiedliwiona była decyzja władz łotewskich, by nie rekompensować skarżącym pełnej wartości rynkowej działek. </w:t>
      </w:r>
      <w:r w:rsidR="00CA2219" w:rsidRPr="00677C9D">
        <w:rPr>
          <w:rFonts w:cs="Verdana"/>
          <w:bCs/>
          <w:sz w:val="24"/>
          <w:szCs w:val="24"/>
          <w:lang w:val="pl-PL"/>
        </w:rPr>
        <w:t xml:space="preserve">Wyliczając wysokość odszkodowania </w:t>
      </w:r>
      <w:r w:rsidRPr="00677C9D">
        <w:rPr>
          <w:rFonts w:cs="Verdana"/>
          <w:bCs/>
          <w:sz w:val="24"/>
          <w:szCs w:val="24"/>
          <w:lang w:val="pl-PL"/>
        </w:rPr>
        <w:t xml:space="preserve">Trybunał obniżył o 75% gospodarczo uzasadnioną średnią wartość katastralną wynikającą z opinii biegłego. Odliczył też kwoty przyznane skarżącym tytułem odszkodowania (ale nie kwoty wypłacone tytułem korzystania z działek, gdyż te przypadały na innej podstawie prawnej), </w:t>
      </w:r>
      <w:r w:rsidR="00CA2219" w:rsidRPr="00677C9D">
        <w:rPr>
          <w:rFonts w:cs="Verdana"/>
          <w:bCs/>
          <w:sz w:val="24"/>
          <w:szCs w:val="24"/>
          <w:lang w:val="pl-PL"/>
        </w:rPr>
        <w:t xml:space="preserve">a ponadto </w:t>
      </w:r>
      <w:r w:rsidRPr="00677C9D">
        <w:rPr>
          <w:rFonts w:cs="Verdana"/>
          <w:bCs/>
          <w:sz w:val="24"/>
          <w:szCs w:val="24"/>
          <w:lang w:val="pl-PL"/>
        </w:rPr>
        <w:t>dodane zostały odsetki.</w:t>
      </w:r>
    </w:p>
    <w:p w14:paraId="4407BE3B" w14:textId="77777777" w:rsidR="00FF780D" w:rsidRPr="00677C9D" w:rsidRDefault="00B02FAD" w:rsidP="00FF780D">
      <w:pPr>
        <w:autoSpaceDE w:val="0"/>
        <w:autoSpaceDN w:val="0"/>
        <w:adjustRightInd w:val="0"/>
        <w:spacing w:after="120" w:line="240" w:lineRule="auto"/>
        <w:jc w:val="both"/>
        <w:rPr>
          <w:rFonts w:cs="Verdana"/>
          <w:bCs/>
          <w:sz w:val="24"/>
          <w:szCs w:val="24"/>
          <w:lang w:val="pl-PL"/>
        </w:rPr>
      </w:pPr>
      <w:r w:rsidRPr="00677C9D">
        <w:rPr>
          <w:rFonts w:cs="Verdana"/>
          <w:bCs/>
          <w:sz w:val="24"/>
          <w:szCs w:val="24"/>
          <w:u w:val="single"/>
          <w:lang w:val="pl-PL"/>
        </w:rPr>
        <w:t>Znaczenie dla Polski</w:t>
      </w:r>
      <w:r w:rsidRPr="00677C9D">
        <w:rPr>
          <w:rFonts w:cs="Verdana"/>
          <w:bCs/>
          <w:sz w:val="24"/>
          <w:szCs w:val="24"/>
          <w:lang w:val="pl-PL"/>
        </w:rPr>
        <w:t xml:space="preserve"> </w:t>
      </w:r>
      <w:r w:rsidR="00FF780D" w:rsidRPr="00677C9D">
        <w:rPr>
          <w:rFonts w:cs="Verdana"/>
          <w:bCs/>
          <w:sz w:val="24"/>
          <w:szCs w:val="24"/>
          <w:lang w:val="pl-PL"/>
        </w:rPr>
        <w:t xml:space="preserve">– pośrednie z uwagi na szczególne okoliczności sprawy. Źródłem naruszenia było nieproporcjonalnie niskie odszkodowanie, a nie bezprawność wywłaszczenia. Wyrok sam w sobie nie zastępuje zasad określania wysokości odszkodowania </w:t>
      </w:r>
      <w:r w:rsidR="0051344D">
        <w:rPr>
          <w:rFonts w:cs="Verdana"/>
          <w:bCs/>
          <w:sz w:val="24"/>
          <w:szCs w:val="24"/>
          <w:lang w:val="pl-PL"/>
        </w:rPr>
        <w:t xml:space="preserve">według reguł </w:t>
      </w:r>
      <w:r w:rsidR="006057F5">
        <w:rPr>
          <w:rFonts w:cs="Verdana"/>
          <w:bCs/>
          <w:sz w:val="24"/>
          <w:szCs w:val="24"/>
          <w:lang w:val="pl-PL"/>
        </w:rPr>
        <w:t xml:space="preserve">ustalonych </w:t>
      </w:r>
      <w:r w:rsidR="00FF780D" w:rsidRPr="00677C9D">
        <w:rPr>
          <w:rFonts w:cs="Verdana"/>
          <w:bCs/>
          <w:sz w:val="24"/>
          <w:szCs w:val="24"/>
          <w:lang w:val="pl-PL"/>
        </w:rPr>
        <w:t xml:space="preserve">w prawie polskim. </w:t>
      </w:r>
    </w:p>
    <w:p w14:paraId="7819BE9D" w14:textId="77777777" w:rsidR="006D5C91" w:rsidRPr="00677C9D" w:rsidRDefault="006849A1" w:rsidP="000C3591">
      <w:pPr>
        <w:pStyle w:val="Nagwek1"/>
        <w:numPr>
          <w:ilvl w:val="0"/>
          <w:numId w:val="34"/>
        </w:numPr>
        <w:rPr>
          <w:rFonts w:asciiTheme="minorHAnsi" w:hAnsiTheme="minorHAnsi"/>
          <w:color w:val="auto"/>
          <w:sz w:val="24"/>
          <w:szCs w:val="24"/>
        </w:rPr>
      </w:pPr>
      <w:bookmarkStart w:id="55" w:name="_Toc415257937"/>
      <w:bookmarkStart w:id="56" w:name="_Toc415646208"/>
      <w:proofErr w:type="spellStart"/>
      <w:r w:rsidRPr="00677C9D">
        <w:rPr>
          <w:rFonts w:asciiTheme="minorHAnsi" w:hAnsiTheme="minorHAnsi"/>
          <w:color w:val="auto"/>
          <w:sz w:val="24"/>
          <w:szCs w:val="24"/>
        </w:rPr>
        <w:t>Wyroki</w:t>
      </w:r>
      <w:proofErr w:type="spellEnd"/>
      <w:r w:rsidRPr="00677C9D">
        <w:rPr>
          <w:rFonts w:asciiTheme="minorHAnsi" w:hAnsiTheme="minorHAnsi"/>
          <w:color w:val="auto"/>
          <w:sz w:val="24"/>
          <w:szCs w:val="24"/>
        </w:rPr>
        <w:t xml:space="preserve"> </w:t>
      </w:r>
      <w:proofErr w:type="spellStart"/>
      <w:r w:rsidRPr="00677C9D">
        <w:rPr>
          <w:rFonts w:asciiTheme="minorHAnsi" w:hAnsiTheme="minorHAnsi"/>
          <w:color w:val="auto"/>
          <w:sz w:val="24"/>
          <w:szCs w:val="24"/>
        </w:rPr>
        <w:t>nieprawomocne</w:t>
      </w:r>
      <w:bookmarkEnd w:id="55"/>
      <w:bookmarkEnd w:id="56"/>
      <w:proofErr w:type="spellEnd"/>
    </w:p>
    <w:p w14:paraId="0EB27D6E" w14:textId="77777777" w:rsidR="006D5C91" w:rsidRPr="00677C9D" w:rsidRDefault="006D5C91" w:rsidP="00C83635">
      <w:pPr>
        <w:pStyle w:val="Nagwek2"/>
        <w:numPr>
          <w:ilvl w:val="0"/>
          <w:numId w:val="1"/>
        </w:numPr>
        <w:rPr>
          <w:rFonts w:asciiTheme="minorHAnsi" w:hAnsiTheme="minorHAnsi"/>
          <w:color w:val="auto"/>
          <w:sz w:val="24"/>
          <w:szCs w:val="24"/>
        </w:rPr>
      </w:pPr>
      <w:bookmarkStart w:id="57" w:name="_Toc415257938"/>
      <w:proofErr w:type="spellStart"/>
      <w:r w:rsidRPr="00677C9D">
        <w:rPr>
          <w:rFonts w:asciiTheme="minorHAnsi" w:hAnsiTheme="minorHAnsi"/>
          <w:color w:val="auto"/>
          <w:sz w:val="24"/>
          <w:szCs w:val="24"/>
        </w:rPr>
        <w:t>Dubská</w:t>
      </w:r>
      <w:proofErr w:type="spellEnd"/>
      <w:r w:rsidRPr="00677C9D">
        <w:rPr>
          <w:rFonts w:asciiTheme="minorHAnsi" w:hAnsiTheme="minorHAnsi"/>
          <w:color w:val="auto"/>
          <w:sz w:val="24"/>
          <w:szCs w:val="24"/>
        </w:rPr>
        <w:t xml:space="preserve"> i </w:t>
      </w:r>
      <w:proofErr w:type="spellStart"/>
      <w:r w:rsidRPr="00677C9D">
        <w:rPr>
          <w:rFonts w:asciiTheme="minorHAnsi" w:hAnsiTheme="minorHAnsi"/>
          <w:color w:val="auto"/>
          <w:sz w:val="24"/>
          <w:szCs w:val="24"/>
        </w:rPr>
        <w:t>Krejzová</w:t>
      </w:r>
      <w:proofErr w:type="spellEnd"/>
      <w:r w:rsidRPr="00677C9D">
        <w:rPr>
          <w:rFonts w:asciiTheme="minorHAnsi" w:hAnsiTheme="minorHAnsi"/>
          <w:color w:val="auto"/>
          <w:sz w:val="24"/>
          <w:szCs w:val="24"/>
        </w:rPr>
        <w:t xml:space="preserve"> przeciwko Czechom, skargi nr 28859/11 </w:t>
      </w:r>
      <w:r w:rsidR="006A0DD7" w:rsidRPr="00677C9D">
        <w:rPr>
          <w:rFonts w:asciiTheme="minorHAnsi" w:hAnsiTheme="minorHAnsi"/>
          <w:color w:val="auto"/>
          <w:sz w:val="24"/>
          <w:szCs w:val="24"/>
        </w:rPr>
        <w:t xml:space="preserve">i </w:t>
      </w:r>
      <w:r w:rsidRPr="00677C9D">
        <w:rPr>
          <w:rFonts w:asciiTheme="minorHAnsi" w:hAnsiTheme="minorHAnsi"/>
          <w:color w:val="auto"/>
          <w:sz w:val="24"/>
          <w:szCs w:val="24"/>
        </w:rPr>
        <w:t>28473/12, wyrok z 11.12.2014</w:t>
      </w:r>
      <w:bookmarkEnd w:id="57"/>
    </w:p>
    <w:p w14:paraId="7082AA1E" w14:textId="77777777" w:rsidR="006D5C91" w:rsidRPr="00E57617" w:rsidRDefault="00E57617" w:rsidP="00E57617">
      <w:pPr>
        <w:pStyle w:val="Akapitzlist"/>
        <w:numPr>
          <w:ilvl w:val="0"/>
          <w:numId w:val="30"/>
        </w:numPr>
        <w:autoSpaceDE w:val="0"/>
        <w:autoSpaceDN w:val="0"/>
        <w:adjustRightInd w:val="0"/>
        <w:spacing w:after="120" w:line="240" w:lineRule="auto"/>
        <w:jc w:val="both"/>
        <w:rPr>
          <w:rFonts w:cs="Verdana"/>
          <w:bCs/>
          <w:sz w:val="24"/>
          <w:szCs w:val="24"/>
          <w:lang w:val="pl-PL"/>
        </w:rPr>
      </w:pPr>
      <w:r w:rsidRPr="00E57617">
        <w:rPr>
          <w:rFonts w:cs="Verdana"/>
          <w:bCs/>
          <w:sz w:val="24"/>
          <w:szCs w:val="24"/>
          <w:lang w:val="pl-PL"/>
        </w:rPr>
        <w:t xml:space="preserve">brak naruszenia </w:t>
      </w:r>
      <w:r w:rsidR="006D5C91" w:rsidRPr="00E57617">
        <w:rPr>
          <w:rFonts w:cs="Verdana"/>
          <w:bCs/>
          <w:sz w:val="24"/>
          <w:szCs w:val="24"/>
          <w:lang w:val="pl-PL"/>
        </w:rPr>
        <w:t xml:space="preserve">art. 8 </w:t>
      </w:r>
      <w:r w:rsidR="007923F8" w:rsidRPr="00E57617">
        <w:rPr>
          <w:rFonts w:cs="Verdana"/>
          <w:bCs/>
          <w:sz w:val="24"/>
          <w:szCs w:val="24"/>
          <w:lang w:val="pl-PL"/>
        </w:rPr>
        <w:t>(prawo do poszanowania</w:t>
      </w:r>
      <w:r w:rsidRPr="00E57617">
        <w:rPr>
          <w:rFonts w:cs="Verdana"/>
          <w:bCs/>
          <w:sz w:val="24"/>
          <w:szCs w:val="24"/>
          <w:lang w:val="pl-PL"/>
        </w:rPr>
        <w:t xml:space="preserve"> życia prywatnego i rodzinnego) w sytuacji obowiązywania </w:t>
      </w:r>
      <w:r w:rsidR="006D5C91" w:rsidRPr="00E57617">
        <w:rPr>
          <w:rFonts w:cs="Verdana"/>
          <w:bCs/>
          <w:sz w:val="24"/>
          <w:szCs w:val="24"/>
          <w:lang w:val="pl-PL"/>
        </w:rPr>
        <w:t>ustawodawstw</w:t>
      </w:r>
      <w:r w:rsidRPr="00E57617">
        <w:rPr>
          <w:rFonts w:cs="Verdana"/>
          <w:bCs/>
          <w:sz w:val="24"/>
          <w:szCs w:val="24"/>
          <w:lang w:val="pl-PL"/>
        </w:rPr>
        <w:t>a</w:t>
      </w:r>
      <w:r w:rsidR="006D5C91" w:rsidRPr="00E57617">
        <w:rPr>
          <w:rFonts w:cs="Verdana"/>
          <w:bCs/>
          <w:sz w:val="24"/>
          <w:szCs w:val="24"/>
          <w:lang w:val="pl-PL"/>
        </w:rPr>
        <w:t xml:space="preserve"> uniemożliwiające personelowi medycznemu asystowanie przy porodzie w domu</w:t>
      </w:r>
      <w:r w:rsidRPr="00E57617">
        <w:rPr>
          <w:rFonts w:cs="Verdana"/>
          <w:bCs/>
          <w:sz w:val="24"/>
          <w:szCs w:val="24"/>
          <w:lang w:val="pl-PL"/>
        </w:rPr>
        <w:t>.</w:t>
      </w:r>
      <w:r w:rsidR="006D5C91" w:rsidRPr="00E57617">
        <w:rPr>
          <w:rFonts w:cs="Verdana"/>
          <w:bCs/>
          <w:sz w:val="24"/>
          <w:szCs w:val="24"/>
          <w:lang w:val="pl-PL"/>
        </w:rPr>
        <w:t xml:space="preserve">  </w:t>
      </w:r>
    </w:p>
    <w:p w14:paraId="5FC533D6" w14:textId="77777777" w:rsidR="006D5C91" w:rsidRPr="00677C9D" w:rsidRDefault="006D5C91" w:rsidP="00C83635">
      <w:pPr>
        <w:pStyle w:val="Nagwek2"/>
        <w:numPr>
          <w:ilvl w:val="0"/>
          <w:numId w:val="1"/>
        </w:numPr>
        <w:rPr>
          <w:rFonts w:asciiTheme="minorHAnsi" w:hAnsiTheme="minorHAnsi"/>
          <w:color w:val="auto"/>
          <w:sz w:val="24"/>
          <w:szCs w:val="24"/>
        </w:rPr>
      </w:pPr>
      <w:bookmarkStart w:id="58" w:name="_Toc415257939"/>
      <w:proofErr w:type="spellStart"/>
      <w:r w:rsidRPr="00677C9D">
        <w:rPr>
          <w:rFonts w:asciiTheme="minorHAnsi" w:hAnsiTheme="minorHAnsi"/>
          <w:color w:val="auto"/>
          <w:sz w:val="24"/>
          <w:szCs w:val="24"/>
        </w:rPr>
        <w:lastRenderedPageBreak/>
        <w:t>Harakchiev</w:t>
      </w:r>
      <w:proofErr w:type="spellEnd"/>
      <w:r w:rsidRPr="00677C9D">
        <w:rPr>
          <w:rFonts w:asciiTheme="minorHAnsi" w:hAnsiTheme="minorHAnsi"/>
          <w:color w:val="auto"/>
          <w:sz w:val="24"/>
          <w:szCs w:val="24"/>
        </w:rPr>
        <w:t xml:space="preserve"> i </w:t>
      </w:r>
      <w:proofErr w:type="spellStart"/>
      <w:r w:rsidRPr="00677C9D">
        <w:rPr>
          <w:rFonts w:asciiTheme="minorHAnsi" w:hAnsiTheme="minorHAnsi"/>
          <w:color w:val="auto"/>
          <w:sz w:val="24"/>
          <w:szCs w:val="24"/>
        </w:rPr>
        <w:t>Tolumov</w:t>
      </w:r>
      <w:proofErr w:type="spellEnd"/>
      <w:r w:rsidRPr="00677C9D">
        <w:rPr>
          <w:rFonts w:asciiTheme="minorHAnsi" w:hAnsiTheme="minorHAnsi"/>
          <w:color w:val="auto"/>
          <w:sz w:val="24"/>
          <w:szCs w:val="24"/>
        </w:rPr>
        <w:t xml:space="preserve"> przeciwko Bułgarii, skargi nr 15018/11 i 61199/12, wyrok z 08.07.2014</w:t>
      </w:r>
      <w:bookmarkEnd w:id="58"/>
    </w:p>
    <w:p w14:paraId="2B628B29" w14:textId="77777777" w:rsidR="006D5C91" w:rsidRPr="00E57617" w:rsidRDefault="00E57617" w:rsidP="00E57617">
      <w:pPr>
        <w:pStyle w:val="Akapitzlist"/>
        <w:numPr>
          <w:ilvl w:val="0"/>
          <w:numId w:val="31"/>
        </w:numPr>
        <w:autoSpaceDE w:val="0"/>
        <w:autoSpaceDN w:val="0"/>
        <w:adjustRightInd w:val="0"/>
        <w:spacing w:after="120" w:line="240" w:lineRule="auto"/>
        <w:jc w:val="both"/>
        <w:rPr>
          <w:rFonts w:cs="Verdana"/>
          <w:bCs/>
          <w:sz w:val="24"/>
          <w:szCs w:val="24"/>
          <w:lang w:val="pl-PL"/>
        </w:rPr>
      </w:pPr>
      <w:r>
        <w:rPr>
          <w:rFonts w:cs="Verdana"/>
          <w:bCs/>
          <w:sz w:val="24"/>
          <w:szCs w:val="24"/>
          <w:lang w:val="pl-PL"/>
        </w:rPr>
        <w:t xml:space="preserve">naruszenie </w:t>
      </w:r>
      <w:r w:rsidR="006D5C91" w:rsidRPr="00E57617">
        <w:rPr>
          <w:rFonts w:cs="Verdana"/>
          <w:bCs/>
          <w:sz w:val="24"/>
          <w:szCs w:val="24"/>
          <w:lang w:val="pl-PL"/>
        </w:rPr>
        <w:t>art. 3</w:t>
      </w:r>
      <w:r w:rsidR="00E6407A" w:rsidRPr="00E57617">
        <w:rPr>
          <w:rFonts w:cs="Verdana"/>
          <w:bCs/>
          <w:sz w:val="24"/>
          <w:szCs w:val="24"/>
          <w:lang w:val="pl-PL"/>
        </w:rPr>
        <w:t xml:space="preserve"> (zakaz tortur) </w:t>
      </w:r>
      <w:r>
        <w:rPr>
          <w:rFonts w:cs="Verdana"/>
          <w:bCs/>
          <w:sz w:val="24"/>
          <w:szCs w:val="24"/>
          <w:lang w:val="pl-PL"/>
        </w:rPr>
        <w:t xml:space="preserve">na skutek obowiązywania </w:t>
      </w:r>
      <w:r w:rsidR="006D5C91" w:rsidRPr="00E57617">
        <w:rPr>
          <w:rFonts w:cs="Verdana"/>
          <w:bCs/>
          <w:sz w:val="24"/>
          <w:szCs w:val="24"/>
          <w:lang w:val="pl-PL"/>
        </w:rPr>
        <w:t>reżim</w:t>
      </w:r>
      <w:r>
        <w:rPr>
          <w:rFonts w:cs="Verdana"/>
          <w:bCs/>
          <w:sz w:val="24"/>
          <w:szCs w:val="24"/>
          <w:lang w:val="pl-PL"/>
        </w:rPr>
        <w:t>u</w:t>
      </w:r>
      <w:r w:rsidR="006D5C91" w:rsidRPr="00E57617">
        <w:rPr>
          <w:rFonts w:cs="Verdana"/>
          <w:bCs/>
          <w:sz w:val="24"/>
          <w:szCs w:val="24"/>
          <w:lang w:val="pl-PL"/>
        </w:rPr>
        <w:t xml:space="preserve"> odbywania kary dożywotniego pozbawienia wolności nie zapewniając</w:t>
      </w:r>
      <w:r>
        <w:rPr>
          <w:rFonts w:cs="Verdana"/>
          <w:bCs/>
          <w:sz w:val="24"/>
          <w:szCs w:val="24"/>
          <w:lang w:val="pl-PL"/>
        </w:rPr>
        <w:t xml:space="preserve">ego </w:t>
      </w:r>
      <w:r w:rsidR="006D5C91" w:rsidRPr="00E57617">
        <w:rPr>
          <w:rFonts w:cs="Verdana"/>
          <w:bCs/>
          <w:sz w:val="24"/>
          <w:szCs w:val="24"/>
          <w:lang w:val="pl-PL"/>
        </w:rPr>
        <w:t>odpowiednich możliwości resocjalizacji w celu uzyskania zmniejszenia kary</w:t>
      </w:r>
      <w:r>
        <w:rPr>
          <w:rFonts w:cs="Verdana"/>
          <w:bCs/>
          <w:sz w:val="24"/>
          <w:szCs w:val="24"/>
          <w:lang w:val="pl-PL"/>
        </w:rPr>
        <w:t>.</w:t>
      </w:r>
      <w:r w:rsidR="006D5C91" w:rsidRPr="00E57617">
        <w:rPr>
          <w:rFonts w:cs="Verdana"/>
          <w:bCs/>
          <w:sz w:val="24"/>
          <w:szCs w:val="24"/>
          <w:lang w:val="pl-PL"/>
        </w:rPr>
        <w:t xml:space="preserve"> </w:t>
      </w:r>
    </w:p>
    <w:p w14:paraId="7E816561" w14:textId="77777777" w:rsidR="006D5C91" w:rsidRPr="00677C9D" w:rsidRDefault="006D5C91" w:rsidP="00C83635">
      <w:pPr>
        <w:pStyle w:val="Nagwek2"/>
        <w:numPr>
          <w:ilvl w:val="0"/>
          <w:numId w:val="1"/>
        </w:numPr>
        <w:rPr>
          <w:rFonts w:asciiTheme="minorHAnsi" w:hAnsiTheme="minorHAnsi"/>
          <w:color w:val="auto"/>
          <w:sz w:val="24"/>
          <w:szCs w:val="24"/>
        </w:rPr>
      </w:pPr>
      <w:bookmarkStart w:id="59" w:name="_Toc415257940"/>
      <w:r w:rsidRPr="00677C9D">
        <w:rPr>
          <w:rFonts w:asciiTheme="minorHAnsi" w:hAnsiTheme="minorHAnsi"/>
          <w:color w:val="auto"/>
          <w:sz w:val="24"/>
          <w:szCs w:val="24"/>
        </w:rPr>
        <w:t xml:space="preserve">Ibrahim </w:t>
      </w:r>
      <w:r w:rsidR="006A0DD7" w:rsidRPr="00677C9D">
        <w:rPr>
          <w:rFonts w:asciiTheme="minorHAnsi" w:hAnsiTheme="minorHAnsi"/>
          <w:color w:val="auto"/>
          <w:sz w:val="24"/>
          <w:szCs w:val="24"/>
        </w:rPr>
        <w:t xml:space="preserve">i Inni </w:t>
      </w:r>
      <w:r w:rsidRPr="00677C9D">
        <w:rPr>
          <w:rFonts w:asciiTheme="minorHAnsi" w:hAnsiTheme="minorHAnsi"/>
          <w:color w:val="auto"/>
          <w:sz w:val="24"/>
          <w:szCs w:val="24"/>
        </w:rPr>
        <w:t>przeciwko Wielkiej Brytanii, skargi nr 50541/08, 50571/08, 50573/08 i 40351/09, wyrok z 16.12.2014</w:t>
      </w:r>
      <w:bookmarkEnd w:id="59"/>
    </w:p>
    <w:p w14:paraId="451B3100" w14:textId="77777777" w:rsidR="006D5C91" w:rsidRPr="00E57617" w:rsidRDefault="00E57617" w:rsidP="00E57617">
      <w:pPr>
        <w:pStyle w:val="Akapitzlist"/>
        <w:numPr>
          <w:ilvl w:val="0"/>
          <w:numId w:val="31"/>
        </w:numPr>
        <w:autoSpaceDE w:val="0"/>
        <w:autoSpaceDN w:val="0"/>
        <w:adjustRightInd w:val="0"/>
        <w:spacing w:after="120" w:line="240" w:lineRule="auto"/>
        <w:jc w:val="both"/>
        <w:rPr>
          <w:rFonts w:cs="Verdana"/>
          <w:bCs/>
          <w:sz w:val="24"/>
          <w:szCs w:val="24"/>
          <w:lang w:val="pl-PL"/>
        </w:rPr>
      </w:pPr>
      <w:r>
        <w:rPr>
          <w:rFonts w:cs="Verdana"/>
          <w:bCs/>
          <w:sz w:val="24"/>
          <w:szCs w:val="24"/>
          <w:lang w:val="pl-PL"/>
        </w:rPr>
        <w:t xml:space="preserve">brak naruszenia </w:t>
      </w:r>
      <w:r w:rsidR="006D5C91" w:rsidRPr="00E57617">
        <w:rPr>
          <w:rFonts w:cs="Verdana"/>
          <w:bCs/>
          <w:sz w:val="24"/>
          <w:szCs w:val="24"/>
          <w:lang w:val="pl-PL"/>
        </w:rPr>
        <w:t xml:space="preserve">art. 6 ust. 3 (c) </w:t>
      </w:r>
      <w:r w:rsidR="00E6407A" w:rsidRPr="00E57617">
        <w:rPr>
          <w:rFonts w:cs="Verdana"/>
          <w:bCs/>
          <w:sz w:val="24"/>
          <w:szCs w:val="24"/>
          <w:lang w:val="pl-PL"/>
        </w:rPr>
        <w:t xml:space="preserve">(prawo do rzetelnego procesu sądowego) </w:t>
      </w:r>
      <w:r>
        <w:rPr>
          <w:rFonts w:cs="Verdana"/>
          <w:bCs/>
          <w:sz w:val="24"/>
          <w:szCs w:val="24"/>
          <w:lang w:val="pl-PL"/>
        </w:rPr>
        <w:t>w sytuacji o</w:t>
      </w:r>
      <w:r w:rsidR="006D5C91" w:rsidRPr="00E57617">
        <w:rPr>
          <w:rFonts w:cs="Verdana"/>
          <w:bCs/>
          <w:sz w:val="24"/>
          <w:szCs w:val="24"/>
          <w:lang w:val="pl-PL"/>
        </w:rPr>
        <w:t>późnion</w:t>
      </w:r>
      <w:r>
        <w:rPr>
          <w:rFonts w:cs="Verdana"/>
          <w:bCs/>
          <w:sz w:val="24"/>
          <w:szCs w:val="24"/>
          <w:lang w:val="pl-PL"/>
        </w:rPr>
        <w:t xml:space="preserve">ego </w:t>
      </w:r>
      <w:r w:rsidR="006D5C91" w:rsidRPr="00E57617">
        <w:rPr>
          <w:rFonts w:cs="Verdana"/>
          <w:bCs/>
          <w:sz w:val="24"/>
          <w:szCs w:val="24"/>
          <w:lang w:val="pl-PL"/>
        </w:rPr>
        <w:t>dostęp</w:t>
      </w:r>
      <w:r>
        <w:rPr>
          <w:rFonts w:cs="Verdana"/>
          <w:bCs/>
          <w:sz w:val="24"/>
          <w:szCs w:val="24"/>
          <w:lang w:val="pl-PL"/>
        </w:rPr>
        <w:t>u</w:t>
      </w:r>
      <w:r w:rsidR="006D5C91" w:rsidRPr="00E57617">
        <w:rPr>
          <w:rFonts w:cs="Verdana"/>
          <w:bCs/>
          <w:sz w:val="24"/>
          <w:szCs w:val="24"/>
          <w:lang w:val="pl-PL"/>
        </w:rPr>
        <w:t xml:space="preserve"> do adwokata podczas przesłuchania przez policję z uwagi na wyjątkowo poważne i bezpośrednie zagrożenie dla bezpieczeństwa publicznego</w:t>
      </w:r>
      <w:r>
        <w:rPr>
          <w:rFonts w:cs="Verdana"/>
          <w:bCs/>
          <w:sz w:val="24"/>
          <w:szCs w:val="24"/>
          <w:lang w:val="pl-PL"/>
        </w:rPr>
        <w:t>.</w:t>
      </w:r>
      <w:r w:rsidR="006D5C91" w:rsidRPr="00E57617">
        <w:rPr>
          <w:rFonts w:cs="Verdana"/>
          <w:bCs/>
          <w:sz w:val="24"/>
          <w:szCs w:val="24"/>
          <w:lang w:val="pl-PL"/>
        </w:rPr>
        <w:t xml:space="preserve">  </w:t>
      </w:r>
    </w:p>
    <w:p w14:paraId="3F33A318" w14:textId="77777777" w:rsidR="006D5C91" w:rsidRPr="00677C9D" w:rsidRDefault="006D5C91" w:rsidP="00AE0C12">
      <w:pPr>
        <w:autoSpaceDE w:val="0"/>
        <w:autoSpaceDN w:val="0"/>
        <w:adjustRightInd w:val="0"/>
        <w:spacing w:after="120" w:line="240" w:lineRule="auto"/>
        <w:jc w:val="both"/>
        <w:rPr>
          <w:rFonts w:cs="Verdana"/>
          <w:bCs/>
          <w:sz w:val="24"/>
          <w:szCs w:val="24"/>
          <w:lang w:val="pl-PL"/>
        </w:rPr>
      </w:pPr>
    </w:p>
    <w:p w14:paraId="3B049E3F" w14:textId="77777777" w:rsidR="00423905" w:rsidRPr="00677C9D" w:rsidRDefault="00423905" w:rsidP="00AE0C12">
      <w:pPr>
        <w:autoSpaceDE w:val="0"/>
        <w:autoSpaceDN w:val="0"/>
        <w:adjustRightInd w:val="0"/>
        <w:spacing w:after="120" w:line="240" w:lineRule="auto"/>
        <w:jc w:val="both"/>
        <w:rPr>
          <w:rFonts w:cs="Verdana"/>
          <w:bCs/>
          <w:sz w:val="24"/>
          <w:szCs w:val="24"/>
          <w:lang w:val="pl-PL"/>
        </w:rPr>
      </w:pPr>
    </w:p>
    <w:sectPr w:rsidR="00423905" w:rsidRPr="00677C9D" w:rsidSect="00E96AE0">
      <w:footerReference w:type="default" r:id="rId9"/>
      <w:headerReference w:type="first" r:id="rId10"/>
      <w:footerReference w:type="first" r:id="rId11"/>
      <w:pgSz w:w="11906" w:h="16838"/>
      <w:pgMar w:top="1417" w:right="1417" w:bottom="1417" w:left="1417"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5A3B6" w14:textId="77777777" w:rsidR="00BE6125" w:rsidRDefault="00BE6125" w:rsidP="00327846">
      <w:pPr>
        <w:spacing w:after="0" w:line="240" w:lineRule="auto"/>
      </w:pPr>
      <w:r>
        <w:separator/>
      </w:r>
    </w:p>
  </w:endnote>
  <w:endnote w:type="continuationSeparator" w:id="0">
    <w:p w14:paraId="177875DE" w14:textId="77777777" w:rsidR="00BE6125" w:rsidRDefault="00BE6125" w:rsidP="00327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GaramondPro-Regular">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1484216"/>
      <w:docPartObj>
        <w:docPartGallery w:val="Page Numbers (Bottom of Page)"/>
        <w:docPartUnique/>
      </w:docPartObj>
    </w:sdtPr>
    <w:sdtContent>
      <w:p w14:paraId="2EFEAEE9" w14:textId="77777777" w:rsidR="002C1CBB" w:rsidRDefault="002C1CBB">
        <w:pPr>
          <w:pStyle w:val="Stopka"/>
          <w:jc w:val="right"/>
        </w:pPr>
        <w:r>
          <w:fldChar w:fldCharType="begin"/>
        </w:r>
        <w:r>
          <w:instrText>PAGE   \* MERGEFORMAT</w:instrText>
        </w:r>
        <w:r>
          <w:fldChar w:fldCharType="separate"/>
        </w:r>
        <w:r w:rsidR="000A48DE" w:rsidRPr="000A48DE">
          <w:rPr>
            <w:noProof/>
            <w:lang w:val="pl-PL"/>
          </w:rPr>
          <w:t>28</w:t>
        </w:r>
        <w:r>
          <w:fldChar w:fldCharType="end"/>
        </w:r>
      </w:p>
    </w:sdtContent>
  </w:sdt>
  <w:p w14:paraId="7B88F10A" w14:textId="77777777" w:rsidR="000C3591" w:rsidRDefault="000C359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4CAD" w14:textId="77777777" w:rsidR="00E96AE0" w:rsidRPr="00E45FD7" w:rsidRDefault="00E96AE0" w:rsidP="00E96AE0">
    <w:pPr>
      <w:pStyle w:val="Stopka"/>
      <w:rPr>
        <w:rFonts w:cstheme="minorHAnsi"/>
      </w:rPr>
    </w:pPr>
    <w:proofErr w:type="spellStart"/>
    <w:r w:rsidRPr="00E45FD7">
      <w:rPr>
        <w:rFonts w:cstheme="minorHAnsi"/>
        <w:i/>
      </w:rPr>
      <w:t>Dokument</w:t>
    </w:r>
    <w:proofErr w:type="spellEnd"/>
    <w:r w:rsidRPr="00E45FD7">
      <w:rPr>
        <w:rFonts w:cstheme="minorHAnsi"/>
        <w:i/>
      </w:rPr>
      <w:t xml:space="preserve"> </w:t>
    </w:r>
    <w:proofErr w:type="spellStart"/>
    <w:r w:rsidRPr="00E45FD7">
      <w:rPr>
        <w:rFonts w:cstheme="minorHAnsi"/>
        <w:i/>
      </w:rPr>
      <w:t>może</w:t>
    </w:r>
    <w:proofErr w:type="spellEnd"/>
    <w:r w:rsidRPr="00E45FD7">
      <w:rPr>
        <w:rFonts w:cstheme="minorHAnsi"/>
        <w:i/>
      </w:rPr>
      <w:t xml:space="preserve"> </w:t>
    </w:r>
    <w:proofErr w:type="spellStart"/>
    <w:r w:rsidRPr="00E45FD7">
      <w:rPr>
        <w:rFonts w:cstheme="minorHAnsi"/>
        <w:i/>
      </w:rPr>
      <w:t>podlegać</w:t>
    </w:r>
    <w:proofErr w:type="spellEnd"/>
    <w:r w:rsidRPr="00E45FD7">
      <w:rPr>
        <w:rFonts w:cstheme="minorHAnsi"/>
        <w:i/>
      </w:rPr>
      <w:t xml:space="preserve"> </w:t>
    </w:r>
    <w:proofErr w:type="spellStart"/>
    <w:r w:rsidRPr="00E45FD7">
      <w:rPr>
        <w:rFonts w:cstheme="minorHAnsi"/>
        <w:i/>
      </w:rPr>
      <w:t>korektom</w:t>
    </w:r>
    <w:proofErr w:type="spellEnd"/>
    <w:r w:rsidRPr="00E45FD7">
      <w:rPr>
        <w:rFonts w:cstheme="minorHAnsi"/>
        <w:i/>
      </w:rPr>
      <w:t xml:space="preserve"> </w:t>
    </w:r>
    <w:proofErr w:type="spellStart"/>
    <w:r w:rsidRPr="00E45FD7">
      <w:rPr>
        <w:rFonts w:cstheme="minorHAnsi"/>
        <w:i/>
      </w:rPr>
      <w:t>redakcyjnym</w:t>
    </w:r>
    <w:proofErr w:type="spellEnd"/>
  </w:p>
  <w:p w14:paraId="7950D3F5" w14:textId="77777777" w:rsidR="00E96AE0" w:rsidRDefault="00E96AE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F415F" w14:textId="77777777" w:rsidR="00BE6125" w:rsidRDefault="00BE6125" w:rsidP="00327846">
      <w:pPr>
        <w:spacing w:after="0" w:line="240" w:lineRule="auto"/>
      </w:pPr>
      <w:r>
        <w:separator/>
      </w:r>
    </w:p>
  </w:footnote>
  <w:footnote w:type="continuationSeparator" w:id="0">
    <w:p w14:paraId="444E0251" w14:textId="77777777" w:rsidR="00BE6125" w:rsidRDefault="00BE6125" w:rsidP="003278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411BB" w14:textId="7A2C8C73" w:rsidR="00E96AE0" w:rsidRDefault="00E96AE0" w:rsidP="00E96AE0">
    <w:pPr>
      <w:pStyle w:val="Nagwek"/>
      <w:ind w:left="-1276"/>
    </w:pPr>
    <w:r>
      <w:rPr>
        <w:noProof/>
        <w:lang w:val="pl-PL" w:eastAsia="pl-PL"/>
      </w:rPr>
      <w:drawing>
        <wp:inline distT="0" distB="0" distL="0" distR="0" wp14:anchorId="1A150028" wp14:editId="32B3B30F">
          <wp:extent cx="2527935" cy="2608580"/>
          <wp:effectExtent l="0" t="0" r="5715" b="1270"/>
          <wp:docPr id="1315042142" name="Obraz 1315042142" descr="Obraz zawierający tekst, wizytówka, logo, Czcionka&#10;&#10;Zawartość wygenerowana przez AI może być niepoprawna."/>
          <wp:cNvGraphicFramePr/>
          <a:graphic xmlns:a="http://schemas.openxmlformats.org/drawingml/2006/main">
            <a:graphicData uri="http://schemas.openxmlformats.org/drawingml/2006/picture">
              <pic:pic xmlns:pic="http://schemas.openxmlformats.org/drawingml/2006/picture">
                <pic:nvPicPr>
                  <pic:cNvPr id="3" name="Obraz 3" descr="Obraz zawierający tekst, wizytówka, logo, Czcionka&#10;&#10;Zawartość wygenerowana przez AI może być niepoprawna."/>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7935" cy="26085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35316"/>
    <w:multiLevelType w:val="hybridMultilevel"/>
    <w:tmpl w:val="6472FCC6"/>
    <w:lvl w:ilvl="0" w:tplc="3A123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70B6CD8"/>
    <w:multiLevelType w:val="hybridMultilevel"/>
    <w:tmpl w:val="CA06F2D6"/>
    <w:lvl w:ilvl="0" w:tplc="3A123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541549"/>
    <w:multiLevelType w:val="hybridMultilevel"/>
    <w:tmpl w:val="8B280128"/>
    <w:lvl w:ilvl="0" w:tplc="3A123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6029BB"/>
    <w:multiLevelType w:val="hybridMultilevel"/>
    <w:tmpl w:val="3634B532"/>
    <w:lvl w:ilvl="0" w:tplc="3A123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B5A3BEB"/>
    <w:multiLevelType w:val="hybridMultilevel"/>
    <w:tmpl w:val="EC8EA61C"/>
    <w:lvl w:ilvl="0" w:tplc="3A123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7EB407D"/>
    <w:multiLevelType w:val="hybridMultilevel"/>
    <w:tmpl w:val="61D49EE0"/>
    <w:lvl w:ilvl="0" w:tplc="3A123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DA2497"/>
    <w:multiLevelType w:val="hybridMultilevel"/>
    <w:tmpl w:val="D982F52A"/>
    <w:lvl w:ilvl="0" w:tplc="3A123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9CB3F72"/>
    <w:multiLevelType w:val="hybridMultilevel"/>
    <w:tmpl w:val="041E3C7C"/>
    <w:lvl w:ilvl="0" w:tplc="27AC7F3C">
      <w:start w:val="1"/>
      <w:numFmt w:val="decimal"/>
      <w:pStyle w:val="Nagwek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9F1A93"/>
    <w:multiLevelType w:val="hybridMultilevel"/>
    <w:tmpl w:val="70BEAB08"/>
    <w:lvl w:ilvl="0" w:tplc="3A123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E52562E"/>
    <w:multiLevelType w:val="hybridMultilevel"/>
    <w:tmpl w:val="D944B3D4"/>
    <w:lvl w:ilvl="0" w:tplc="3A123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0133277"/>
    <w:multiLevelType w:val="hybridMultilevel"/>
    <w:tmpl w:val="8C4816F4"/>
    <w:lvl w:ilvl="0" w:tplc="3A123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2C22499"/>
    <w:multiLevelType w:val="hybridMultilevel"/>
    <w:tmpl w:val="83803220"/>
    <w:lvl w:ilvl="0" w:tplc="3A123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4C30B23"/>
    <w:multiLevelType w:val="hybridMultilevel"/>
    <w:tmpl w:val="D69EE474"/>
    <w:lvl w:ilvl="0" w:tplc="3A12338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6CF1B56"/>
    <w:multiLevelType w:val="hybridMultilevel"/>
    <w:tmpl w:val="EBB07778"/>
    <w:lvl w:ilvl="0" w:tplc="3A123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A397916"/>
    <w:multiLevelType w:val="hybridMultilevel"/>
    <w:tmpl w:val="21AAD11C"/>
    <w:lvl w:ilvl="0" w:tplc="3A12338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B2B4EED"/>
    <w:multiLevelType w:val="hybridMultilevel"/>
    <w:tmpl w:val="3042B4C0"/>
    <w:lvl w:ilvl="0" w:tplc="3A123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DC81C19"/>
    <w:multiLevelType w:val="hybridMultilevel"/>
    <w:tmpl w:val="5596D992"/>
    <w:lvl w:ilvl="0" w:tplc="3A123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17C18F6"/>
    <w:multiLevelType w:val="hybridMultilevel"/>
    <w:tmpl w:val="156880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28E242D"/>
    <w:multiLevelType w:val="hybridMultilevel"/>
    <w:tmpl w:val="3E3AB7B0"/>
    <w:lvl w:ilvl="0" w:tplc="55C0FB6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81B120F"/>
    <w:multiLevelType w:val="hybridMultilevel"/>
    <w:tmpl w:val="E548B468"/>
    <w:lvl w:ilvl="0" w:tplc="3A123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DEA6A49"/>
    <w:multiLevelType w:val="hybridMultilevel"/>
    <w:tmpl w:val="8EE8E2DA"/>
    <w:lvl w:ilvl="0" w:tplc="3A123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5905ECE"/>
    <w:multiLevelType w:val="hybridMultilevel"/>
    <w:tmpl w:val="8756934E"/>
    <w:lvl w:ilvl="0" w:tplc="3A123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67D5B14"/>
    <w:multiLevelType w:val="hybridMultilevel"/>
    <w:tmpl w:val="D1181284"/>
    <w:lvl w:ilvl="0" w:tplc="3A123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CB32CA6"/>
    <w:multiLevelType w:val="hybridMultilevel"/>
    <w:tmpl w:val="32681880"/>
    <w:lvl w:ilvl="0" w:tplc="3A123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82E283C"/>
    <w:multiLevelType w:val="hybridMultilevel"/>
    <w:tmpl w:val="63669AE2"/>
    <w:lvl w:ilvl="0" w:tplc="3A123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4AD1DFC"/>
    <w:multiLevelType w:val="hybridMultilevel"/>
    <w:tmpl w:val="8E722B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8CC30ED"/>
    <w:multiLevelType w:val="hybridMultilevel"/>
    <w:tmpl w:val="45CC38CA"/>
    <w:lvl w:ilvl="0" w:tplc="3A123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9536C27"/>
    <w:multiLevelType w:val="hybridMultilevel"/>
    <w:tmpl w:val="817015B0"/>
    <w:lvl w:ilvl="0" w:tplc="04150017">
      <w:start w:val="1"/>
      <w:numFmt w:val="decimal"/>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2514BE0"/>
    <w:multiLevelType w:val="hybridMultilevel"/>
    <w:tmpl w:val="44F01478"/>
    <w:lvl w:ilvl="0" w:tplc="3A123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505070F"/>
    <w:multiLevelType w:val="hybridMultilevel"/>
    <w:tmpl w:val="FD5A0736"/>
    <w:lvl w:ilvl="0" w:tplc="3A123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54D56C1"/>
    <w:multiLevelType w:val="hybridMultilevel"/>
    <w:tmpl w:val="06E03A1A"/>
    <w:lvl w:ilvl="0" w:tplc="3A123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7E60EDF"/>
    <w:multiLevelType w:val="hybridMultilevel"/>
    <w:tmpl w:val="8C16A4AA"/>
    <w:lvl w:ilvl="0" w:tplc="3A123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A974AFA"/>
    <w:multiLevelType w:val="hybridMultilevel"/>
    <w:tmpl w:val="50D46462"/>
    <w:lvl w:ilvl="0" w:tplc="3A123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B386A5B"/>
    <w:multiLevelType w:val="hybridMultilevel"/>
    <w:tmpl w:val="001EC4F2"/>
    <w:lvl w:ilvl="0" w:tplc="3A123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11268168">
    <w:abstractNumId w:val="27"/>
  </w:num>
  <w:num w:numId="2" w16cid:durableId="1581795211">
    <w:abstractNumId w:val="7"/>
  </w:num>
  <w:num w:numId="3" w16cid:durableId="401879356">
    <w:abstractNumId w:val="0"/>
  </w:num>
  <w:num w:numId="4" w16cid:durableId="1714226742">
    <w:abstractNumId w:val="5"/>
  </w:num>
  <w:num w:numId="5" w16cid:durableId="317147836">
    <w:abstractNumId w:val="12"/>
  </w:num>
  <w:num w:numId="6" w16cid:durableId="474492218">
    <w:abstractNumId w:val="30"/>
  </w:num>
  <w:num w:numId="7" w16cid:durableId="257951192">
    <w:abstractNumId w:val="14"/>
  </w:num>
  <w:num w:numId="8" w16cid:durableId="223176771">
    <w:abstractNumId w:val="22"/>
  </w:num>
  <w:num w:numId="9" w16cid:durableId="203717605">
    <w:abstractNumId w:val="19"/>
  </w:num>
  <w:num w:numId="10" w16cid:durableId="1965306876">
    <w:abstractNumId w:val="10"/>
  </w:num>
  <w:num w:numId="11" w16cid:durableId="245118967">
    <w:abstractNumId w:val="9"/>
  </w:num>
  <w:num w:numId="12" w16cid:durableId="28190391">
    <w:abstractNumId w:val="8"/>
  </w:num>
  <w:num w:numId="13" w16cid:durableId="1416854072">
    <w:abstractNumId w:val="1"/>
  </w:num>
  <w:num w:numId="14" w16cid:durableId="1357658645">
    <w:abstractNumId w:val="23"/>
  </w:num>
  <w:num w:numId="15" w16cid:durableId="205723917">
    <w:abstractNumId w:val="4"/>
  </w:num>
  <w:num w:numId="16" w16cid:durableId="951127713">
    <w:abstractNumId w:val="28"/>
  </w:num>
  <w:num w:numId="17" w16cid:durableId="1294749540">
    <w:abstractNumId w:val="29"/>
  </w:num>
  <w:num w:numId="18" w16cid:durableId="1125201399">
    <w:abstractNumId w:val="15"/>
  </w:num>
  <w:num w:numId="19" w16cid:durableId="1128279734">
    <w:abstractNumId w:val="33"/>
  </w:num>
  <w:num w:numId="20" w16cid:durableId="1522668176">
    <w:abstractNumId w:val="20"/>
  </w:num>
  <w:num w:numId="21" w16cid:durableId="1593511933">
    <w:abstractNumId w:val="3"/>
  </w:num>
  <w:num w:numId="22" w16cid:durableId="1824006243">
    <w:abstractNumId w:val="21"/>
  </w:num>
  <w:num w:numId="23" w16cid:durableId="1372028611">
    <w:abstractNumId w:val="2"/>
  </w:num>
  <w:num w:numId="24" w16cid:durableId="501436625">
    <w:abstractNumId w:val="31"/>
  </w:num>
  <w:num w:numId="25" w16cid:durableId="514609560">
    <w:abstractNumId w:val="11"/>
  </w:num>
  <w:num w:numId="26" w16cid:durableId="728501598">
    <w:abstractNumId w:val="6"/>
  </w:num>
  <w:num w:numId="27" w16cid:durableId="114452259">
    <w:abstractNumId w:val="26"/>
  </w:num>
  <w:num w:numId="28" w16cid:durableId="1318337752">
    <w:abstractNumId w:val="32"/>
  </w:num>
  <w:num w:numId="29" w16cid:durableId="563563563">
    <w:abstractNumId w:val="16"/>
  </w:num>
  <w:num w:numId="30" w16cid:durableId="501510618">
    <w:abstractNumId w:val="24"/>
  </w:num>
  <w:num w:numId="31" w16cid:durableId="51319265">
    <w:abstractNumId w:val="13"/>
  </w:num>
  <w:num w:numId="32" w16cid:durableId="686368549">
    <w:abstractNumId w:val="25"/>
  </w:num>
  <w:num w:numId="33" w16cid:durableId="763114134">
    <w:abstractNumId w:val="18"/>
  </w:num>
  <w:num w:numId="34" w16cid:durableId="1748501784">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03E34"/>
    <w:rsid w:val="00003A50"/>
    <w:rsid w:val="00004C74"/>
    <w:rsid w:val="000061F2"/>
    <w:rsid w:val="000107D2"/>
    <w:rsid w:val="00012FFB"/>
    <w:rsid w:val="00013080"/>
    <w:rsid w:val="000164CF"/>
    <w:rsid w:val="00017157"/>
    <w:rsid w:val="00020B06"/>
    <w:rsid w:val="000279E5"/>
    <w:rsid w:val="00031E02"/>
    <w:rsid w:val="00037857"/>
    <w:rsid w:val="00040D02"/>
    <w:rsid w:val="000448B6"/>
    <w:rsid w:val="000509BF"/>
    <w:rsid w:val="0006295A"/>
    <w:rsid w:val="0006522F"/>
    <w:rsid w:val="000728B5"/>
    <w:rsid w:val="0007570A"/>
    <w:rsid w:val="00076815"/>
    <w:rsid w:val="00076A11"/>
    <w:rsid w:val="00077E32"/>
    <w:rsid w:val="00082592"/>
    <w:rsid w:val="0008705C"/>
    <w:rsid w:val="0009310C"/>
    <w:rsid w:val="000A214F"/>
    <w:rsid w:val="000A48DE"/>
    <w:rsid w:val="000A5C42"/>
    <w:rsid w:val="000A7025"/>
    <w:rsid w:val="000B6402"/>
    <w:rsid w:val="000B77FB"/>
    <w:rsid w:val="000C3591"/>
    <w:rsid w:val="000C4826"/>
    <w:rsid w:val="000C5BF5"/>
    <w:rsid w:val="000D1331"/>
    <w:rsid w:val="000E04FB"/>
    <w:rsid w:val="000E6EAE"/>
    <w:rsid w:val="000F4718"/>
    <w:rsid w:val="001037E9"/>
    <w:rsid w:val="00104203"/>
    <w:rsid w:val="00106B61"/>
    <w:rsid w:val="00107180"/>
    <w:rsid w:val="00107D55"/>
    <w:rsid w:val="0011170E"/>
    <w:rsid w:val="001172DF"/>
    <w:rsid w:val="00117FDF"/>
    <w:rsid w:val="0012170D"/>
    <w:rsid w:val="0012222F"/>
    <w:rsid w:val="001343DC"/>
    <w:rsid w:val="00136B32"/>
    <w:rsid w:val="00143FB5"/>
    <w:rsid w:val="00146CBA"/>
    <w:rsid w:val="00150DD1"/>
    <w:rsid w:val="0016083C"/>
    <w:rsid w:val="001620DA"/>
    <w:rsid w:val="00164B9A"/>
    <w:rsid w:val="0016590B"/>
    <w:rsid w:val="00177DA4"/>
    <w:rsid w:val="00194B6E"/>
    <w:rsid w:val="00195D23"/>
    <w:rsid w:val="001969FB"/>
    <w:rsid w:val="00196C29"/>
    <w:rsid w:val="001A5663"/>
    <w:rsid w:val="001A66E3"/>
    <w:rsid w:val="001B110D"/>
    <w:rsid w:val="001B197D"/>
    <w:rsid w:val="001C5E43"/>
    <w:rsid w:val="001D5CDB"/>
    <w:rsid w:val="001D67AE"/>
    <w:rsid w:val="001E08C7"/>
    <w:rsid w:val="001E56DE"/>
    <w:rsid w:val="0020289E"/>
    <w:rsid w:val="00212FB5"/>
    <w:rsid w:val="002203EE"/>
    <w:rsid w:val="002222B2"/>
    <w:rsid w:val="00223A15"/>
    <w:rsid w:val="00230578"/>
    <w:rsid w:val="00237338"/>
    <w:rsid w:val="00241B44"/>
    <w:rsid w:val="00250052"/>
    <w:rsid w:val="00250A0B"/>
    <w:rsid w:val="00255A28"/>
    <w:rsid w:val="00256E8C"/>
    <w:rsid w:val="00257035"/>
    <w:rsid w:val="00260325"/>
    <w:rsid w:val="00264F72"/>
    <w:rsid w:val="00271C56"/>
    <w:rsid w:val="002758F0"/>
    <w:rsid w:val="00291998"/>
    <w:rsid w:val="002A4CD3"/>
    <w:rsid w:val="002A7018"/>
    <w:rsid w:val="002A7864"/>
    <w:rsid w:val="002C1CBB"/>
    <w:rsid w:val="002D103D"/>
    <w:rsid w:val="002D34D7"/>
    <w:rsid w:val="002D3C9C"/>
    <w:rsid w:val="002E48FE"/>
    <w:rsid w:val="002F13A0"/>
    <w:rsid w:val="003057E7"/>
    <w:rsid w:val="00311EBE"/>
    <w:rsid w:val="00317BDC"/>
    <w:rsid w:val="00320FF3"/>
    <w:rsid w:val="00321CB9"/>
    <w:rsid w:val="00327846"/>
    <w:rsid w:val="0033238D"/>
    <w:rsid w:val="00332841"/>
    <w:rsid w:val="00334DA6"/>
    <w:rsid w:val="003413B3"/>
    <w:rsid w:val="003437EB"/>
    <w:rsid w:val="00351138"/>
    <w:rsid w:val="003549D3"/>
    <w:rsid w:val="00360998"/>
    <w:rsid w:val="00363E23"/>
    <w:rsid w:val="0036473D"/>
    <w:rsid w:val="00365DB1"/>
    <w:rsid w:val="00366A8B"/>
    <w:rsid w:val="00377FC5"/>
    <w:rsid w:val="003840A5"/>
    <w:rsid w:val="00384D24"/>
    <w:rsid w:val="00391338"/>
    <w:rsid w:val="00395100"/>
    <w:rsid w:val="0039744D"/>
    <w:rsid w:val="003A0416"/>
    <w:rsid w:val="003A2CF2"/>
    <w:rsid w:val="003A6A6B"/>
    <w:rsid w:val="003C44E2"/>
    <w:rsid w:val="003C564F"/>
    <w:rsid w:val="003D3893"/>
    <w:rsid w:val="003D4AAC"/>
    <w:rsid w:val="003D6009"/>
    <w:rsid w:val="003D6DAE"/>
    <w:rsid w:val="003D6E28"/>
    <w:rsid w:val="003E6725"/>
    <w:rsid w:val="003F0CA1"/>
    <w:rsid w:val="003F7CB2"/>
    <w:rsid w:val="00402CB2"/>
    <w:rsid w:val="00405F3D"/>
    <w:rsid w:val="00410B42"/>
    <w:rsid w:val="00423905"/>
    <w:rsid w:val="00444819"/>
    <w:rsid w:val="0044761A"/>
    <w:rsid w:val="00460EBB"/>
    <w:rsid w:val="004614CC"/>
    <w:rsid w:val="0047118F"/>
    <w:rsid w:val="0047495D"/>
    <w:rsid w:val="004913CD"/>
    <w:rsid w:val="004A2A9E"/>
    <w:rsid w:val="004A6CDD"/>
    <w:rsid w:val="004B0B3C"/>
    <w:rsid w:val="004C079D"/>
    <w:rsid w:val="004C1002"/>
    <w:rsid w:val="004C4A6F"/>
    <w:rsid w:val="004C740F"/>
    <w:rsid w:val="004D146F"/>
    <w:rsid w:val="004D1A1F"/>
    <w:rsid w:val="004D283D"/>
    <w:rsid w:val="004D3F98"/>
    <w:rsid w:val="004D7A8A"/>
    <w:rsid w:val="004E33F6"/>
    <w:rsid w:val="004E6386"/>
    <w:rsid w:val="004F19D2"/>
    <w:rsid w:val="004F20D6"/>
    <w:rsid w:val="004F3DB8"/>
    <w:rsid w:val="004F56E7"/>
    <w:rsid w:val="005060D3"/>
    <w:rsid w:val="00510269"/>
    <w:rsid w:val="00511CD4"/>
    <w:rsid w:val="0051344D"/>
    <w:rsid w:val="00514D31"/>
    <w:rsid w:val="0051597C"/>
    <w:rsid w:val="00517A27"/>
    <w:rsid w:val="0052689F"/>
    <w:rsid w:val="0053127D"/>
    <w:rsid w:val="00544AFE"/>
    <w:rsid w:val="00544B9F"/>
    <w:rsid w:val="0056679F"/>
    <w:rsid w:val="005671A9"/>
    <w:rsid w:val="00574338"/>
    <w:rsid w:val="00576557"/>
    <w:rsid w:val="00576D40"/>
    <w:rsid w:val="00577667"/>
    <w:rsid w:val="005810CD"/>
    <w:rsid w:val="00581230"/>
    <w:rsid w:val="0058752F"/>
    <w:rsid w:val="00592CF0"/>
    <w:rsid w:val="0059342B"/>
    <w:rsid w:val="00593491"/>
    <w:rsid w:val="005939C9"/>
    <w:rsid w:val="00595A4B"/>
    <w:rsid w:val="005A2F9D"/>
    <w:rsid w:val="005B6D8F"/>
    <w:rsid w:val="005B74A7"/>
    <w:rsid w:val="005C165C"/>
    <w:rsid w:val="005C210D"/>
    <w:rsid w:val="005D6A2C"/>
    <w:rsid w:val="005E5921"/>
    <w:rsid w:val="005F5078"/>
    <w:rsid w:val="005F5FF3"/>
    <w:rsid w:val="005F7FDE"/>
    <w:rsid w:val="00603EA4"/>
    <w:rsid w:val="006057F5"/>
    <w:rsid w:val="00613CE9"/>
    <w:rsid w:val="00621FC9"/>
    <w:rsid w:val="00625123"/>
    <w:rsid w:val="00626BA2"/>
    <w:rsid w:val="006401E6"/>
    <w:rsid w:val="00641ADF"/>
    <w:rsid w:val="00650A7D"/>
    <w:rsid w:val="006548A3"/>
    <w:rsid w:val="00657EFE"/>
    <w:rsid w:val="00664B88"/>
    <w:rsid w:val="00672850"/>
    <w:rsid w:val="006761AE"/>
    <w:rsid w:val="00677C9D"/>
    <w:rsid w:val="00684387"/>
    <w:rsid w:val="006849A1"/>
    <w:rsid w:val="0069290D"/>
    <w:rsid w:val="00692A45"/>
    <w:rsid w:val="006A0DD7"/>
    <w:rsid w:val="006A1E05"/>
    <w:rsid w:val="006A27AF"/>
    <w:rsid w:val="006A3ABC"/>
    <w:rsid w:val="006A66BD"/>
    <w:rsid w:val="006B2BA0"/>
    <w:rsid w:val="006C3A64"/>
    <w:rsid w:val="006D29F7"/>
    <w:rsid w:val="006D5C91"/>
    <w:rsid w:val="006E0722"/>
    <w:rsid w:val="006E1197"/>
    <w:rsid w:val="006E457F"/>
    <w:rsid w:val="006F54CF"/>
    <w:rsid w:val="00712FE1"/>
    <w:rsid w:val="00723602"/>
    <w:rsid w:val="007341BE"/>
    <w:rsid w:val="00737E0E"/>
    <w:rsid w:val="0074168D"/>
    <w:rsid w:val="00741CC9"/>
    <w:rsid w:val="007429FF"/>
    <w:rsid w:val="00744DBC"/>
    <w:rsid w:val="00747260"/>
    <w:rsid w:val="007568BA"/>
    <w:rsid w:val="00760365"/>
    <w:rsid w:val="007662B2"/>
    <w:rsid w:val="0077089C"/>
    <w:rsid w:val="007722D4"/>
    <w:rsid w:val="00777955"/>
    <w:rsid w:val="007845A3"/>
    <w:rsid w:val="007923F8"/>
    <w:rsid w:val="00793F3B"/>
    <w:rsid w:val="007A391C"/>
    <w:rsid w:val="007A39EA"/>
    <w:rsid w:val="007B02ED"/>
    <w:rsid w:val="007B128A"/>
    <w:rsid w:val="007C1A38"/>
    <w:rsid w:val="007D48C7"/>
    <w:rsid w:val="007D7ACA"/>
    <w:rsid w:val="007E1F67"/>
    <w:rsid w:val="007E4004"/>
    <w:rsid w:val="007E44F2"/>
    <w:rsid w:val="007E66B5"/>
    <w:rsid w:val="007F0C0B"/>
    <w:rsid w:val="007F4F0F"/>
    <w:rsid w:val="007F5DB3"/>
    <w:rsid w:val="00801FD8"/>
    <w:rsid w:val="00814AD3"/>
    <w:rsid w:val="00814DD8"/>
    <w:rsid w:val="00827CCD"/>
    <w:rsid w:val="00832C78"/>
    <w:rsid w:val="00834962"/>
    <w:rsid w:val="00840502"/>
    <w:rsid w:val="008413CE"/>
    <w:rsid w:val="008522D3"/>
    <w:rsid w:val="00852C87"/>
    <w:rsid w:val="008533C2"/>
    <w:rsid w:val="00853941"/>
    <w:rsid w:val="0086007A"/>
    <w:rsid w:val="00860B43"/>
    <w:rsid w:val="00866B48"/>
    <w:rsid w:val="008711BB"/>
    <w:rsid w:val="0087683E"/>
    <w:rsid w:val="00884D3B"/>
    <w:rsid w:val="008913EF"/>
    <w:rsid w:val="0089654E"/>
    <w:rsid w:val="008965A2"/>
    <w:rsid w:val="00897694"/>
    <w:rsid w:val="008B7156"/>
    <w:rsid w:val="008C30D7"/>
    <w:rsid w:val="008C6638"/>
    <w:rsid w:val="008D6373"/>
    <w:rsid w:val="008E331C"/>
    <w:rsid w:val="008E7636"/>
    <w:rsid w:val="00901CDC"/>
    <w:rsid w:val="009032D7"/>
    <w:rsid w:val="00904707"/>
    <w:rsid w:val="00911A54"/>
    <w:rsid w:val="0091756F"/>
    <w:rsid w:val="00917716"/>
    <w:rsid w:val="00921AE3"/>
    <w:rsid w:val="009229D7"/>
    <w:rsid w:val="00925A07"/>
    <w:rsid w:val="00927243"/>
    <w:rsid w:val="00931B85"/>
    <w:rsid w:val="0093371E"/>
    <w:rsid w:val="00936490"/>
    <w:rsid w:val="0094146E"/>
    <w:rsid w:val="0094556E"/>
    <w:rsid w:val="00946D82"/>
    <w:rsid w:val="00957C03"/>
    <w:rsid w:val="00967A31"/>
    <w:rsid w:val="009970ED"/>
    <w:rsid w:val="009A6B80"/>
    <w:rsid w:val="009B0914"/>
    <w:rsid w:val="009C0119"/>
    <w:rsid w:val="009C28ED"/>
    <w:rsid w:val="009D33E6"/>
    <w:rsid w:val="009D3918"/>
    <w:rsid w:val="009D505B"/>
    <w:rsid w:val="009D5413"/>
    <w:rsid w:val="009D7C0B"/>
    <w:rsid w:val="009E1C16"/>
    <w:rsid w:val="009E6D1B"/>
    <w:rsid w:val="009F02F8"/>
    <w:rsid w:val="00A060EB"/>
    <w:rsid w:val="00A11C17"/>
    <w:rsid w:val="00A13B61"/>
    <w:rsid w:val="00A1405C"/>
    <w:rsid w:val="00A17615"/>
    <w:rsid w:val="00A30996"/>
    <w:rsid w:val="00A54C2A"/>
    <w:rsid w:val="00A5707C"/>
    <w:rsid w:val="00A5737D"/>
    <w:rsid w:val="00A57715"/>
    <w:rsid w:val="00A619B1"/>
    <w:rsid w:val="00A63B2E"/>
    <w:rsid w:val="00A64B6E"/>
    <w:rsid w:val="00A6599B"/>
    <w:rsid w:val="00A72FF5"/>
    <w:rsid w:val="00A76ED3"/>
    <w:rsid w:val="00A77168"/>
    <w:rsid w:val="00A83607"/>
    <w:rsid w:val="00A8522B"/>
    <w:rsid w:val="00A8584D"/>
    <w:rsid w:val="00A860A7"/>
    <w:rsid w:val="00A8773E"/>
    <w:rsid w:val="00A9314A"/>
    <w:rsid w:val="00A961C6"/>
    <w:rsid w:val="00AA2C3E"/>
    <w:rsid w:val="00AB6CB6"/>
    <w:rsid w:val="00AB6E67"/>
    <w:rsid w:val="00AB7E04"/>
    <w:rsid w:val="00AC0372"/>
    <w:rsid w:val="00AC64C7"/>
    <w:rsid w:val="00AD0806"/>
    <w:rsid w:val="00AD0C84"/>
    <w:rsid w:val="00AD2867"/>
    <w:rsid w:val="00AE0C12"/>
    <w:rsid w:val="00AE5365"/>
    <w:rsid w:val="00AF4D94"/>
    <w:rsid w:val="00AF51AB"/>
    <w:rsid w:val="00AF6E10"/>
    <w:rsid w:val="00B02FAD"/>
    <w:rsid w:val="00B03515"/>
    <w:rsid w:val="00B03CB0"/>
    <w:rsid w:val="00B05B71"/>
    <w:rsid w:val="00B077EB"/>
    <w:rsid w:val="00B11AFB"/>
    <w:rsid w:val="00B131B6"/>
    <w:rsid w:val="00B17512"/>
    <w:rsid w:val="00B2106F"/>
    <w:rsid w:val="00B222D3"/>
    <w:rsid w:val="00B24AD0"/>
    <w:rsid w:val="00B25219"/>
    <w:rsid w:val="00B25DE8"/>
    <w:rsid w:val="00B4096B"/>
    <w:rsid w:val="00B417A9"/>
    <w:rsid w:val="00B42489"/>
    <w:rsid w:val="00B458F7"/>
    <w:rsid w:val="00B557E6"/>
    <w:rsid w:val="00B64D69"/>
    <w:rsid w:val="00B75B17"/>
    <w:rsid w:val="00B76136"/>
    <w:rsid w:val="00B84CF1"/>
    <w:rsid w:val="00B94A2E"/>
    <w:rsid w:val="00BA1B4B"/>
    <w:rsid w:val="00BA2FA9"/>
    <w:rsid w:val="00BB67A9"/>
    <w:rsid w:val="00BD337B"/>
    <w:rsid w:val="00BD74F9"/>
    <w:rsid w:val="00BE6125"/>
    <w:rsid w:val="00BE6C48"/>
    <w:rsid w:val="00BF7B1E"/>
    <w:rsid w:val="00C01950"/>
    <w:rsid w:val="00C04E05"/>
    <w:rsid w:val="00C07C2D"/>
    <w:rsid w:val="00C11CFC"/>
    <w:rsid w:val="00C30587"/>
    <w:rsid w:val="00C359B7"/>
    <w:rsid w:val="00C51632"/>
    <w:rsid w:val="00C55A4C"/>
    <w:rsid w:val="00C56138"/>
    <w:rsid w:val="00C63AA0"/>
    <w:rsid w:val="00C66BCD"/>
    <w:rsid w:val="00C67AB6"/>
    <w:rsid w:val="00C7057F"/>
    <w:rsid w:val="00C75943"/>
    <w:rsid w:val="00C7598C"/>
    <w:rsid w:val="00C8103F"/>
    <w:rsid w:val="00C826F7"/>
    <w:rsid w:val="00C82E9B"/>
    <w:rsid w:val="00C83635"/>
    <w:rsid w:val="00C851F7"/>
    <w:rsid w:val="00C90E21"/>
    <w:rsid w:val="00CA2219"/>
    <w:rsid w:val="00CA3543"/>
    <w:rsid w:val="00CA40DB"/>
    <w:rsid w:val="00CA5730"/>
    <w:rsid w:val="00CA70C4"/>
    <w:rsid w:val="00CA77C3"/>
    <w:rsid w:val="00CB0D5F"/>
    <w:rsid w:val="00CB1268"/>
    <w:rsid w:val="00CB28B5"/>
    <w:rsid w:val="00CB563F"/>
    <w:rsid w:val="00CB65B2"/>
    <w:rsid w:val="00CC0C3D"/>
    <w:rsid w:val="00CC2ED9"/>
    <w:rsid w:val="00CC5540"/>
    <w:rsid w:val="00CC5CE7"/>
    <w:rsid w:val="00CD4689"/>
    <w:rsid w:val="00CD4A51"/>
    <w:rsid w:val="00CD5F89"/>
    <w:rsid w:val="00D003E3"/>
    <w:rsid w:val="00D07641"/>
    <w:rsid w:val="00D14AB6"/>
    <w:rsid w:val="00D24C4E"/>
    <w:rsid w:val="00D27540"/>
    <w:rsid w:val="00D45D04"/>
    <w:rsid w:val="00D46A81"/>
    <w:rsid w:val="00D53788"/>
    <w:rsid w:val="00D538AF"/>
    <w:rsid w:val="00D55F85"/>
    <w:rsid w:val="00D56F37"/>
    <w:rsid w:val="00D71334"/>
    <w:rsid w:val="00D8002A"/>
    <w:rsid w:val="00D81087"/>
    <w:rsid w:val="00D84A3C"/>
    <w:rsid w:val="00D9108F"/>
    <w:rsid w:val="00D91978"/>
    <w:rsid w:val="00D94022"/>
    <w:rsid w:val="00D960F3"/>
    <w:rsid w:val="00D97DAD"/>
    <w:rsid w:val="00DA2C7D"/>
    <w:rsid w:val="00DA42F4"/>
    <w:rsid w:val="00DC04DC"/>
    <w:rsid w:val="00DC3574"/>
    <w:rsid w:val="00DD4E8E"/>
    <w:rsid w:val="00DD5626"/>
    <w:rsid w:val="00DE1EEB"/>
    <w:rsid w:val="00DE2EAA"/>
    <w:rsid w:val="00DE3CAA"/>
    <w:rsid w:val="00DE4529"/>
    <w:rsid w:val="00DF665A"/>
    <w:rsid w:val="00E021CB"/>
    <w:rsid w:val="00E0472C"/>
    <w:rsid w:val="00E31A15"/>
    <w:rsid w:val="00E40349"/>
    <w:rsid w:val="00E44CD5"/>
    <w:rsid w:val="00E5022E"/>
    <w:rsid w:val="00E51F4B"/>
    <w:rsid w:val="00E57617"/>
    <w:rsid w:val="00E57FE3"/>
    <w:rsid w:val="00E623CB"/>
    <w:rsid w:val="00E6407A"/>
    <w:rsid w:val="00E64B2B"/>
    <w:rsid w:val="00E713B1"/>
    <w:rsid w:val="00E7203E"/>
    <w:rsid w:val="00E745A3"/>
    <w:rsid w:val="00E76A4B"/>
    <w:rsid w:val="00E8102A"/>
    <w:rsid w:val="00E95F99"/>
    <w:rsid w:val="00E96AE0"/>
    <w:rsid w:val="00EA2956"/>
    <w:rsid w:val="00EA4616"/>
    <w:rsid w:val="00EB7046"/>
    <w:rsid w:val="00EC2067"/>
    <w:rsid w:val="00EC32D1"/>
    <w:rsid w:val="00ED0F61"/>
    <w:rsid w:val="00EE08BD"/>
    <w:rsid w:val="00EE1C14"/>
    <w:rsid w:val="00EE713D"/>
    <w:rsid w:val="00EF35E1"/>
    <w:rsid w:val="00F02FBE"/>
    <w:rsid w:val="00F03875"/>
    <w:rsid w:val="00F03E34"/>
    <w:rsid w:val="00F04FC6"/>
    <w:rsid w:val="00F060AB"/>
    <w:rsid w:val="00F13418"/>
    <w:rsid w:val="00F1553D"/>
    <w:rsid w:val="00F23199"/>
    <w:rsid w:val="00F272BD"/>
    <w:rsid w:val="00F318C2"/>
    <w:rsid w:val="00F33487"/>
    <w:rsid w:val="00F40067"/>
    <w:rsid w:val="00F4382E"/>
    <w:rsid w:val="00F43B59"/>
    <w:rsid w:val="00F455DE"/>
    <w:rsid w:val="00F61C8D"/>
    <w:rsid w:val="00F6734D"/>
    <w:rsid w:val="00F70C7C"/>
    <w:rsid w:val="00F82F74"/>
    <w:rsid w:val="00F910B5"/>
    <w:rsid w:val="00F9455F"/>
    <w:rsid w:val="00F96A8F"/>
    <w:rsid w:val="00F97AE4"/>
    <w:rsid w:val="00FA3695"/>
    <w:rsid w:val="00FA489A"/>
    <w:rsid w:val="00FA5071"/>
    <w:rsid w:val="00FB0BB7"/>
    <w:rsid w:val="00FB2312"/>
    <w:rsid w:val="00FE2EE9"/>
    <w:rsid w:val="00FE4C67"/>
    <w:rsid w:val="00FF78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A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21FC9"/>
  </w:style>
  <w:style w:type="paragraph" w:styleId="Nagwek1">
    <w:name w:val="heading 1"/>
    <w:basedOn w:val="Normalny"/>
    <w:next w:val="Normalny"/>
    <w:link w:val="Nagwek1Znak"/>
    <w:uiPriority w:val="9"/>
    <w:qFormat/>
    <w:rsid w:val="00020B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8913EF"/>
    <w:pPr>
      <w:keepNext/>
      <w:keepLines/>
      <w:numPr>
        <w:numId w:val="2"/>
      </w:numPr>
      <w:spacing w:before="240" w:after="120" w:line="240" w:lineRule="auto"/>
      <w:jc w:val="both"/>
      <w:outlineLvl w:val="1"/>
    </w:pPr>
    <w:rPr>
      <w:rFonts w:asciiTheme="majorHAnsi" w:eastAsiaTheme="majorEastAsia" w:hAnsiTheme="majorHAnsi" w:cstheme="majorBidi"/>
      <w:b/>
      <w:bCs/>
      <w:color w:val="4F81BD" w:themeColor="accent1"/>
      <w:sz w:val="26"/>
      <w:szCs w:val="26"/>
      <w:lang w:val="pl-PL"/>
    </w:rPr>
  </w:style>
  <w:style w:type="paragraph" w:styleId="Nagwek3">
    <w:name w:val="heading 3"/>
    <w:basedOn w:val="Normalny"/>
    <w:next w:val="Normalny"/>
    <w:link w:val="Nagwek3Znak"/>
    <w:uiPriority w:val="9"/>
    <w:unhideWhenUsed/>
    <w:qFormat/>
    <w:rsid w:val="00A76ED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8913EF"/>
    <w:rPr>
      <w:rFonts w:asciiTheme="majorHAnsi" w:eastAsiaTheme="majorEastAsia" w:hAnsiTheme="majorHAnsi" w:cstheme="majorBidi"/>
      <w:b/>
      <w:bCs/>
      <w:color w:val="4F81BD" w:themeColor="accent1"/>
      <w:sz w:val="26"/>
      <w:szCs w:val="26"/>
      <w:lang w:val="pl-PL"/>
    </w:rPr>
  </w:style>
  <w:style w:type="character" w:customStyle="1" w:styleId="Nagwek3Znak">
    <w:name w:val="Nagłówek 3 Znak"/>
    <w:basedOn w:val="Domylnaczcionkaakapitu"/>
    <w:link w:val="Nagwek3"/>
    <w:uiPriority w:val="9"/>
    <w:rsid w:val="00A76ED3"/>
    <w:rPr>
      <w:rFonts w:asciiTheme="majorHAnsi" w:eastAsiaTheme="majorEastAsia" w:hAnsiTheme="majorHAnsi" w:cstheme="majorBidi"/>
      <w:b/>
      <w:bCs/>
      <w:color w:val="4F81BD" w:themeColor="accent1"/>
    </w:rPr>
  </w:style>
  <w:style w:type="paragraph" w:styleId="Akapitzlist">
    <w:name w:val="List Paragraph"/>
    <w:basedOn w:val="Normalny"/>
    <w:link w:val="AkapitzlistZnak"/>
    <w:uiPriority w:val="34"/>
    <w:qFormat/>
    <w:rsid w:val="00320FF3"/>
    <w:pPr>
      <w:ind w:left="720"/>
      <w:contextualSpacing/>
    </w:pPr>
  </w:style>
  <w:style w:type="paragraph" w:styleId="Tekstprzypisukocowego">
    <w:name w:val="endnote text"/>
    <w:basedOn w:val="Normalny"/>
    <w:link w:val="TekstprzypisukocowegoZnak"/>
    <w:uiPriority w:val="99"/>
    <w:semiHidden/>
    <w:unhideWhenUsed/>
    <w:rsid w:val="0032784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27846"/>
    <w:rPr>
      <w:sz w:val="20"/>
      <w:szCs w:val="20"/>
    </w:rPr>
  </w:style>
  <w:style w:type="character" w:styleId="Odwoanieprzypisukocowego">
    <w:name w:val="endnote reference"/>
    <w:basedOn w:val="Domylnaczcionkaakapitu"/>
    <w:uiPriority w:val="99"/>
    <w:semiHidden/>
    <w:unhideWhenUsed/>
    <w:rsid w:val="00327846"/>
    <w:rPr>
      <w:vertAlign w:val="superscript"/>
    </w:rPr>
  </w:style>
  <w:style w:type="character" w:styleId="Odwoaniedokomentarza">
    <w:name w:val="annotation reference"/>
    <w:basedOn w:val="Domylnaczcionkaakapitu"/>
    <w:uiPriority w:val="99"/>
    <w:semiHidden/>
    <w:unhideWhenUsed/>
    <w:rsid w:val="00911A54"/>
    <w:rPr>
      <w:sz w:val="16"/>
      <w:szCs w:val="16"/>
    </w:rPr>
  </w:style>
  <w:style w:type="paragraph" w:styleId="Tekstkomentarza">
    <w:name w:val="annotation text"/>
    <w:basedOn w:val="Normalny"/>
    <w:link w:val="TekstkomentarzaZnak"/>
    <w:uiPriority w:val="99"/>
    <w:semiHidden/>
    <w:unhideWhenUsed/>
    <w:rsid w:val="00911A5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11A54"/>
    <w:rPr>
      <w:sz w:val="20"/>
      <w:szCs w:val="20"/>
    </w:rPr>
  </w:style>
  <w:style w:type="paragraph" w:styleId="Tematkomentarza">
    <w:name w:val="annotation subject"/>
    <w:basedOn w:val="Tekstkomentarza"/>
    <w:next w:val="Tekstkomentarza"/>
    <w:link w:val="TematkomentarzaZnak"/>
    <w:uiPriority w:val="99"/>
    <w:semiHidden/>
    <w:unhideWhenUsed/>
    <w:rsid w:val="00911A54"/>
    <w:rPr>
      <w:b/>
      <w:bCs/>
    </w:rPr>
  </w:style>
  <w:style w:type="character" w:customStyle="1" w:styleId="TematkomentarzaZnak">
    <w:name w:val="Temat komentarza Znak"/>
    <w:basedOn w:val="TekstkomentarzaZnak"/>
    <w:link w:val="Tematkomentarza"/>
    <w:uiPriority w:val="99"/>
    <w:semiHidden/>
    <w:rsid w:val="00911A54"/>
    <w:rPr>
      <w:b/>
      <w:bCs/>
      <w:sz w:val="20"/>
      <w:szCs w:val="20"/>
    </w:rPr>
  </w:style>
  <w:style w:type="paragraph" w:styleId="Tekstdymka">
    <w:name w:val="Balloon Text"/>
    <w:basedOn w:val="Normalny"/>
    <w:link w:val="TekstdymkaZnak"/>
    <w:uiPriority w:val="99"/>
    <w:semiHidden/>
    <w:unhideWhenUsed/>
    <w:rsid w:val="00911A5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11A54"/>
    <w:rPr>
      <w:rFonts w:ascii="Tahoma" w:hAnsi="Tahoma" w:cs="Tahoma"/>
      <w:sz w:val="16"/>
      <w:szCs w:val="16"/>
    </w:rPr>
  </w:style>
  <w:style w:type="paragraph" w:styleId="Nagwek">
    <w:name w:val="header"/>
    <w:basedOn w:val="Normalny"/>
    <w:link w:val="NagwekZnak"/>
    <w:uiPriority w:val="99"/>
    <w:unhideWhenUsed/>
    <w:rsid w:val="0016083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083C"/>
  </w:style>
  <w:style w:type="paragraph" w:styleId="Stopka">
    <w:name w:val="footer"/>
    <w:basedOn w:val="Normalny"/>
    <w:link w:val="StopkaZnak"/>
    <w:uiPriority w:val="99"/>
    <w:unhideWhenUsed/>
    <w:rsid w:val="0016083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083C"/>
  </w:style>
  <w:style w:type="character" w:customStyle="1" w:styleId="JuParaChar">
    <w:name w:val="Ju_Para Char"/>
    <w:aliases w:val="ECHR_Para Char"/>
    <w:link w:val="ECHRPara"/>
    <w:uiPriority w:val="12"/>
    <w:locked/>
    <w:rsid w:val="00D9108F"/>
    <w:rPr>
      <w:rFonts w:ascii="MS Mincho" w:eastAsiaTheme="minorEastAsia" w:hAnsi="MS Mincho"/>
      <w:sz w:val="24"/>
    </w:rPr>
  </w:style>
  <w:style w:type="paragraph" w:customStyle="1" w:styleId="ECHRPara">
    <w:name w:val="ECHR_Para"/>
    <w:aliases w:val="Ju_Para,Para,Left,First line:  0 cm"/>
    <w:basedOn w:val="Normalny"/>
    <w:link w:val="JuParaChar"/>
    <w:uiPriority w:val="12"/>
    <w:qFormat/>
    <w:rsid w:val="00D9108F"/>
    <w:pPr>
      <w:spacing w:after="0" w:line="240" w:lineRule="auto"/>
      <w:ind w:firstLine="284"/>
      <w:jc w:val="both"/>
    </w:pPr>
    <w:rPr>
      <w:rFonts w:ascii="MS Mincho" w:eastAsiaTheme="minorEastAsia" w:hAnsi="MS Mincho"/>
      <w:sz w:val="24"/>
    </w:rPr>
  </w:style>
  <w:style w:type="paragraph" w:customStyle="1" w:styleId="ClinContent">
    <w:name w:val="ClinContent"/>
    <w:basedOn w:val="Normalny"/>
    <w:rsid w:val="00CD4A51"/>
    <w:pPr>
      <w:spacing w:before="240" w:after="0" w:line="240" w:lineRule="auto"/>
      <w:jc w:val="both"/>
    </w:pPr>
    <w:rPr>
      <w:rFonts w:ascii="Verdana" w:eastAsia="Times New Roman" w:hAnsi="Verdana" w:cs="Times New Roman"/>
      <w:sz w:val="20"/>
      <w:szCs w:val="24"/>
      <w:lang w:eastAsia="en-GB"/>
    </w:rPr>
  </w:style>
  <w:style w:type="character" w:styleId="Hipercze">
    <w:name w:val="Hyperlink"/>
    <w:basedOn w:val="Domylnaczcionkaakapitu"/>
    <w:uiPriority w:val="99"/>
    <w:rsid w:val="00B417A9"/>
    <w:rPr>
      <w:color w:val="0000FF" w:themeColor="hyperlink"/>
      <w:u w:val="single"/>
    </w:rPr>
  </w:style>
  <w:style w:type="character" w:customStyle="1" w:styleId="JuParaCar">
    <w:name w:val="Ju_Para Car"/>
    <w:uiPriority w:val="12"/>
    <w:locked/>
    <w:rsid w:val="001E08C7"/>
    <w:rPr>
      <w:rFonts w:ascii="MS Mincho" w:eastAsiaTheme="minorEastAsia" w:hAnsi="MS Mincho"/>
      <w:sz w:val="24"/>
    </w:rPr>
  </w:style>
  <w:style w:type="character" w:customStyle="1" w:styleId="ClinConclusions">
    <w:name w:val="ClinConclusions"/>
    <w:basedOn w:val="Domylnaczcionkaakapitu"/>
    <w:rsid w:val="004F19D2"/>
    <w:rPr>
      <w:rFonts w:ascii="Verdana" w:hAnsi="Verdana" w:cs="Times New Roman"/>
      <w:i/>
      <w:iCs/>
      <w:color w:val="auto"/>
    </w:rPr>
  </w:style>
  <w:style w:type="character" w:customStyle="1" w:styleId="AkapitzlistZnak">
    <w:name w:val="Akapit z listą Znak"/>
    <w:link w:val="Akapitzlist"/>
    <w:uiPriority w:val="34"/>
    <w:locked/>
    <w:rsid w:val="00020B06"/>
  </w:style>
  <w:style w:type="character" w:customStyle="1" w:styleId="Nagwek1Znak">
    <w:name w:val="Nagłówek 1 Znak"/>
    <w:basedOn w:val="Domylnaczcionkaakapitu"/>
    <w:link w:val="Nagwek1"/>
    <w:uiPriority w:val="9"/>
    <w:rsid w:val="00020B06"/>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unhideWhenUsed/>
    <w:qFormat/>
    <w:rsid w:val="008913EF"/>
    <w:pPr>
      <w:outlineLvl w:val="9"/>
    </w:pPr>
    <w:rPr>
      <w:lang w:eastAsia="en-GB"/>
    </w:rPr>
  </w:style>
  <w:style w:type="paragraph" w:styleId="Spistreci1">
    <w:name w:val="toc 1"/>
    <w:basedOn w:val="Normalny"/>
    <w:next w:val="Normalny"/>
    <w:autoRedefine/>
    <w:uiPriority w:val="39"/>
    <w:unhideWhenUsed/>
    <w:rsid w:val="008913EF"/>
    <w:pPr>
      <w:spacing w:after="100"/>
    </w:pPr>
  </w:style>
  <w:style w:type="paragraph" w:styleId="Spistreci2">
    <w:name w:val="toc 2"/>
    <w:basedOn w:val="Normalny"/>
    <w:next w:val="Normalny"/>
    <w:autoRedefine/>
    <w:uiPriority w:val="39"/>
    <w:unhideWhenUsed/>
    <w:rsid w:val="008913EF"/>
    <w:pPr>
      <w:spacing w:after="100"/>
      <w:ind w:left="220"/>
    </w:pPr>
  </w:style>
  <w:style w:type="paragraph" w:styleId="Tytu">
    <w:name w:val="Title"/>
    <w:basedOn w:val="Normalny"/>
    <w:next w:val="Normalny"/>
    <w:link w:val="TytuZnak"/>
    <w:uiPriority w:val="10"/>
    <w:qFormat/>
    <w:rsid w:val="00E96AE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E96AE0"/>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4765469">
      <w:bodyDiv w:val="1"/>
      <w:marLeft w:val="0"/>
      <w:marRight w:val="0"/>
      <w:marTop w:val="0"/>
      <w:marBottom w:val="0"/>
      <w:divBdr>
        <w:top w:val="none" w:sz="0" w:space="0" w:color="auto"/>
        <w:left w:val="none" w:sz="0" w:space="0" w:color="auto"/>
        <w:bottom w:val="none" w:sz="0" w:space="0" w:color="auto"/>
        <w:right w:val="none" w:sz="0" w:space="0" w:color="auto"/>
      </w:divBdr>
    </w:div>
    <w:div w:id="1507356850">
      <w:bodyDiv w:val="1"/>
      <w:marLeft w:val="0"/>
      <w:marRight w:val="0"/>
      <w:marTop w:val="0"/>
      <w:marBottom w:val="0"/>
      <w:divBdr>
        <w:top w:val="none" w:sz="0" w:space="0" w:color="auto"/>
        <w:left w:val="none" w:sz="0" w:space="0" w:color="auto"/>
        <w:bottom w:val="none" w:sz="0" w:space="0" w:color="auto"/>
        <w:right w:val="none" w:sz="0" w:space="0" w:color="auto"/>
      </w:divBdr>
    </w:div>
    <w:div w:id="153118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0BF5F-FDE8-499D-A1CF-ADF85CD93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12731</Words>
  <Characters>76387</Characters>
  <Application>Microsoft Office Word</Application>
  <DocSecurity>0</DocSecurity>
  <Lines>636</Lines>
  <Paragraphs>177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88941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2015-03-18T15:12:00Z</dcterms:created>
  <dcterms:modified xsi:type="dcterms:W3CDTF">2026-01-21T09:42:00Z</dcterms:modified>
</cp:coreProperties>
</file>