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2661F236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416EC6">
        <w:rPr>
          <w:spacing w:val="2"/>
          <w:position w:val="4"/>
          <w:sz w:val="22"/>
          <w:szCs w:val="22"/>
        </w:rPr>
        <w:t>1</w:t>
      </w:r>
      <w:r w:rsidR="00084700">
        <w:rPr>
          <w:spacing w:val="2"/>
          <w:position w:val="4"/>
          <w:sz w:val="22"/>
          <w:szCs w:val="22"/>
        </w:rPr>
        <w:t>.202</w:t>
      </w:r>
      <w:r w:rsidR="00416EC6">
        <w:rPr>
          <w:spacing w:val="2"/>
          <w:position w:val="4"/>
          <w:sz w:val="22"/>
          <w:szCs w:val="22"/>
        </w:rPr>
        <w:t>6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6355199F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416EC6">
        <w:rPr>
          <w:b/>
          <w:sz w:val="20"/>
          <w:szCs w:val="20"/>
        </w:rPr>
        <w:t>6</w:t>
      </w:r>
      <w:r w:rsidRPr="00A55F77">
        <w:rPr>
          <w:b/>
          <w:sz w:val="20"/>
          <w:szCs w:val="20"/>
        </w:rPr>
        <w:t xml:space="preserve"> roku</w:t>
      </w:r>
      <w:r w:rsidR="00504F6E">
        <w:rPr>
          <w:b/>
          <w:sz w:val="20"/>
          <w:szCs w:val="20"/>
        </w:rPr>
        <w:t>”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4DEAFA0E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416EC6">
        <w:rPr>
          <w:b/>
          <w:color w:val="000000"/>
          <w:sz w:val="20"/>
          <w:szCs w:val="20"/>
          <w:u w:val="single"/>
        </w:rPr>
        <w:t>30</w:t>
      </w:r>
      <w:r w:rsidR="00A124BD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564CC1C0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416EC6">
        <w:rPr>
          <w:b/>
          <w:color w:val="000000"/>
          <w:sz w:val="20"/>
          <w:szCs w:val="20"/>
          <w:u w:val="single"/>
        </w:rPr>
        <w:t>4</w:t>
      </w:r>
      <w:r w:rsidR="00A124BD">
        <w:rPr>
          <w:b/>
          <w:color w:val="000000"/>
          <w:sz w:val="20"/>
          <w:szCs w:val="20"/>
          <w:u w:val="single"/>
        </w:rPr>
        <w:t>0</w:t>
      </w:r>
      <w:r w:rsidR="002D22C9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147FA8CE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416EC6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2A6E5A">
      <w:pPr>
        <w:jc w:val="both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2A6E5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2A6E5A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a) zostanie ogłoszona upadłość lub rozwiązanie firmy Wykonawcy, </w:t>
      </w:r>
    </w:p>
    <w:p w14:paraId="6287918B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b) zostanie wydany nakaz zajęcia majątku Wykonawcy, </w:t>
      </w:r>
    </w:p>
    <w:p w14:paraId="05E77A5C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2A6E5A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  <w:jc w:val="both"/>
      </w:pPr>
      <w:r>
        <w:lastRenderedPageBreak/>
        <w:t xml:space="preserve">e) Wykonawcy odebrano koncesję na obrót paliwami ciekłymi. </w:t>
      </w:r>
    </w:p>
    <w:p w14:paraId="406E317F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3. Wykonawcy przysługuje prawo odstąpienia od umowy, jeżeli: </w:t>
      </w:r>
    </w:p>
    <w:p w14:paraId="5E6DB3C5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2A6E5A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  <w:jc w:val="both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2A6E5A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2A6E5A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  <w:jc w:val="both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B35B" w14:textId="77777777" w:rsidR="00352232" w:rsidRDefault="00352232" w:rsidP="006F61EE">
      <w:r>
        <w:separator/>
      </w:r>
    </w:p>
  </w:endnote>
  <w:endnote w:type="continuationSeparator" w:id="0">
    <w:p w14:paraId="72B5FA17" w14:textId="77777777" w:rsidR="00352232" w:rsidRDefault="00352232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D348" w14:textId="77777777" w:rsidR="00352232" w:rsidRDefault="00352232" w:rsidP="006F61EE">
      <w:r>
        <w:separator/>
      </w:r>
    </w:p>
  </w:footnote>
  <w:footnote w:type="continuationSeparator" w:id="0">
    <w:p w14:paraId="0C70B65B" w14:textId="77777777" w:rsidR="00352232" w:rsidRDefault="00352232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2E17"/>
    <w:rsid w:val="00065775"/>
    <w:rsid w:val="000666CF"/>
    <w:rsid w:val="00080072"/>
    <w:rsid w:val="00084700"/>
    <w:rsid w:val="000C2581"/>
    <w:rsid w:val="000D63FB"/>
    <w:rsid w:val="000E44BC"/>
    <w:rsid w:val="00107ADB"/>
    <w:rsid w:val="001272C0"/>
    <w:rsid w:val="00144548"/>
    <w:rsid w:val="0015528E"/>
    <w:rsid w:val="00170497"/>
    <w:rsid w:val="00175ECE"/>
    <w:rsid w:val="0018241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A6E5A"/>
    <w:rsid w:val="002B1EAC"/>
    <w:rsid w:val="002B6C00"/>
    <w:rsid w:val="002C44A5"/>
    <w:rsid w:val="002D22C9"/>
    <w:rsid w:val="002E6945"/>
    <w:rsid w:val="00316368"/>
    <w:rsid w:val="00321711"/>
    <w:rsid w:val="00334247"/>
    <w:rsid w:val="0034196A"/>
    <w:rsid w:val="00352232"/>
    <w:rsid w:val="00353EAF"/>
    <w:rsid w:val="00396DCB"/>
    <w:rsid w:val="00397748"/>
    <w:rsid w:val="003A48C0"/>
    <w:rsid w:val="003A6687"/>
    <w:rsid w:val="003C37D2"/>
    <w:rsid w:val="00416EC6"/>
    <w:rsid w:val="00420CD6"/>
    <w:rsid w:val="00424D5F"/>
    <w:rsid w:val="0042710D"/>
    <w:rsid w:val="00432261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C5AE9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161D7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124BD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B5CFA"/>
    <w:rsid w:val="00DC7C09"/>
    <w:rsid w:val="00DD18A8"/>
    <w:rsid w:val="00DD7922"/>
    <w:rsid w:val="00DE61F0"/>
    <w:rsid w:val="00E030D0"/>
    <w:rsid w:val="00E04913"/>
    <w:rsid w:val="00E11DDA"/>
    <w:rsid w:val="00E26CF0"/>
    <w:rsid w:val="00E425C7"/>
    <w:rsid w:val="00E5152C"/>
    <w:rsid w:val="00E874DB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1290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58</cp:revision>
  <cp:lastPrinted>2024-01-02T10:53:00Z</cp:lastPrinted>
  <dcterms:created xsi:type="dcterms:W3CDTF">2022-12-27T10:22:00Z</dcterms:created>
  <dcterms:modified xsi:type="dcterms:W3CDTF">2026-01-07T08:08:00Z</dcterms:modified>
</cp:coreProperties>
</file>