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9E" w:rsidRDefault="00741DCB" w:rsidP="00F228AB">
      <w:pPr>
        <w:tabs>
          <w:tab w:val="center" w:pos="4536"/>
        </w:tabs>
        <w:ind w:right="-2"/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E4" w:rsidRDefault="00741DCB" w:rsidP="00AB3BE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1955255046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BE4" w:rsidRPr="00EB0165" w:rsidRDefault="00741DCB" w:rsidP="00AB3B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54pt;margin-left:0;margin-top:0.6pt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-text-anchor:top;visibility:visible;width:154.5pt;z-index:-251656192" stroked="f">
                <v:textbox>
                  <w:txbxContent>
                    <w:p w:rsidR="00AB3BE4" w:rsidP="00AB3BE4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6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BE4" w:rsidRPr="00EB0165" w:rsidP="00AB3BE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19 stycznia 2022 r.</w:t>
      </w:r>
      <w:bookmarkEnd w:id="0"/>
    </w:p>
    <w:p w:rsidR="004824F3" w:rsidRPr="008F68F5" w:rsidRDefault="00741DCB" w:rsidP="00691727">
      <w:pPr>
        <w:spacing w:before="840"/>
        <w:ind w:right="666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br/>
      </w:r>
      <w:bookmarkStart w:id="1" w:name="_GoBack"/>
      <w:r w:rsidRPr="008F68F5">
        <w:rPr>
          <w:rFonts w:ascii="Calibri" w:hAnsi="Calibri" w:cs="Calibri"/>
          <w:bCs/>
        </w:rPr>
        <w:t>WNP-P.4131.4.2022</w:t>
      </w:r>
    </w:p>
    <w:bookmarkEnd w:id="1"/>
    <w:p w:rsidR="00C623C6" w:rsidRPr="0086357C" w:rsidRDefault="00741DCB" w:rsidP="0086357C">
      <w:pPr>
        <w:spacing w:before="720" w:line="276" w:lineRule="auto"/>
        <w:ind w:left="5387"/>
        <w:rPr>
          <w:rFonts w:ascii="Calibri" w:hAnsi="Calibri" w:cs="Calibri"/>
          <w:b/>
        </w:rPr>
      </w:pPr>
      <w:r w:rsidRPr="0086357C">
        <w:rPr>
          <w:rFonts w:ascii="Calibri" w:hAnsi="Calibri" w:cs="Calibri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-5403215</wp:posOffset>
            </wp:positionH>
            <wp:positionV relativeFrom="paragraph">
              <wp:posOffset>292735</wp:posOffset>
            </wp:positionV>
            <wp:extent cx="2448560" cy="8267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357C">
        <w:rPr>
          <w:rFonts w:ascii="Calibri" w:hAnsi="Calibri" w:cs="Calibri"/>
          <w:b/>
        </w:rPr>
        <w:t xml:space="preserve">Rada Gminy Bielsk </w:t>
      </w:r>
    </w:p>
    <w:p w:rsidR="005E3063" w:rsidRPr="0086357C" w:rsidRDefault="00741DCB" w:rsidP="0086357C">
      <w:pPr>
        <w:spacing w:before="840" w:after="240" w:line="276" w:lineRule="auto"/>
        <w:jc w:val="center"/>
        <w:rPr>
          <w:rFonts w:ascii="Calibri" w:hAnsi="Calibri" w:cs="Calibri"/>
          <w:b/>
        </w:rPr>
      </w:pPr>
      <w:r w:rsidRPr="0086357C">
        <w:rPr>
          <w:rFonts w:ascii="Calibri" w:hAnsi="Calibri" w:cs="Calibri"/>
          <w:b/>
        </w:rPr>
        <w:t>Rozstrzygnięcie nadzorcze</w:t>
      </w:r>
    </w:p>
    <w:p w:rsidR="0086357C" w:rsidRDefault="00741DCB" w:rsidP="00B8005A">
      <w:pPr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podstawie art. 91 ust. 1 ustawy z dnia 8 marca 1990 r. o samorządzie gminnym (Dz. U. z 2021 r. poz. 1372 i 1834) </w:t>
      </w:r>
    </w:p>
    <w:p w:rsidR="005E2F05" w:rsidRDefault="00741DCB" w:rsidP="00B8005A">
      <w:pPr>
        <w:spacing w:line="360" w:lineRule="auto"/>
        <w:ind w:firstLine="709"/>
        <w:jc w:val="both"/>
        <w:rPr>
          <w:rFonts w:ascii="Calibri" w:hAnsi="Calibri" w:cs="Calibri"/>
        </w:rPr>
      </w:pPr>
    </w:p>
    <w:p w:rsidR="0086357C" w:rsidRDefault="00741DCB" w:rsidP="0086357C">
      <w:pPr>
        <w:spacing w:line="360" w:lineRule="auto"/>
        <w:jc w:val="center"/>
        <w:rPr>
          <w:rFonts w:ascii="Calibri" w:hAnsi="Calibri" w:cs="Calibri"/>
          <w:b/>
        </w:rPr>
      </w:pPr>
      <w:r w:rsidRPr="004A51F6">
        <w:rPr>
          <w:rFonts w:ascii="Calibri" w:hAnsi="Calibri" w:cs="Calibri"/>
          <w:b/>
        </w:rPr>
        <w:t xml:space="preserve">stwierdzam </w:t>
      </w:r>
      <w:r w:rsidRPr="004A51F6">
        <w:rPr>
          <w:rFonts w:ascii="Calibri" w:hAnsi="Calibri" w:cs="Calibri"/>
          <w:b/>
        </w:rPr>
        <w:t>nieważność</w:t>
      </w:r>
    </w:p>
    <w:p w:rsidR="0086357C" w:rsidRPr="004A51F6" w:rsidRDefault="00741DCB" w:rsidP="0086357C">
      <w:pPr>
        <w:spacing w:line="360" w:lineRule="auto"/>
        <w:jc w:val="center"/>
        <w:rPr>
          <w:rFonts w:ascii="Calibri" w:hAnsi="Calibri" w:cs="Calibri"/>
          <w:b/>
        </w:rPr>
      </w:pPr>
    </w:p>
    <w:p w:rsidR="0086357C" w:rsidRDefault="00741DCB" w:rsidP="0086357C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Uchwały Nr 227/XXXIV/2021 Rady Gminy Bielsk z dnia 29 grudnia 2021 r. w sprawie ustalania wysokości opłaty za pobyt dziecka w Klubie Dziecięcym „Maluszek” w Bielsku prowadzonym przez Gminę Bielsk oraz wysokości opłaty za wyżywienie, w części, t</w:t>
      </w:r>
      <w:r>
        <w:rPr>
          <w:rFonts w:ascii="Calibri" w:hAnsi="Calibri" w:cs="Calibri"/>
        </w:rPr>
        <w:t xml:space="preserve">j. § 3, § 4 oraz § 5.  </w:t>
      </w:r>
    </w:p>
    <w:p w:rsidR="0086357C" w:rsidRDefault="00741DCB" w:rsidP="0086357C">
      <w:pPr>
        <w:spacing w:line="360" w:lineRule="auto"/>
        <w:jc w:val="both"/>
        <w:rPr>
          <w:rFonts w:ascii="Calibri" w:hAnsi="Calibri" w:cs="Calibri"/>
        </w:rPr>
      </w:pPr>
    </w:p>
    <w:p w:rsidR="0086357C" w:rsidRPr="004A51F6" w:rsidRDefault="00741DCB" w:rsidP="0086357C">
      <w:pPr>
        <w:spacing w:line="360" w:lineRule="auto"/>
        <w:jc w:val="center"/>
        <w:rPr>
          <w:rFonts w:ascii="Calibri" w:hAnsi="Calibri" w:cs="Calibri"/>
          <w:b/>
        </w:rPr>
      </w:pPr>
      <w:r w:rsidRPr="004A51F6">
        <w:rPr>
          <w:rFonts w:ascii="Calibri" w:hAnsi="Calibri" w:cs="Calibri"/>
          <w:b/>
        </w:rPr>
        <w:t>Uzasadnienie</w:t>
      </w:r>
    </w:p>
    <w:p w:rsidR="0086357C" w:rsidRDefault="00741DCB" w:rsidP="0086357C">
      <w:pPr>
        <w:spacing w:line="360" w:lineRule="auto"/>
        <w:jc w:val="both"/>
        <w:rPr>
          <w:rFonts w:ascii="Calibri" w:hAnsi="Calibri" w:cs="Calibri"/>
        </w:rPr>
      </w:pPr>
    </w:p>
    <w:p w:rsidR="0086357C" w:rsidRDefault="00741DCB" w:rsidP="0086357C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Przedmiotowa Uchwała podjęta została na podstawie art. 58 ust. 1 ustawy z dnia 4 lutego 2011 r. o opiece nad dziećmi w wieku do lat 3 (Dz. U. z 2021 r. poz. 75 z późn</w:t>
      </w:r>
      <w:r>
        <w:rPr>
          <w:rFonts w:ascii="Calibri" w:hAnsi="Calibri" w:cs="Calibri"/>
        </w:rPr>
        <w:t>. zm.) – zwanej dalej ustawą o opiece, zgodnie z którym wysokość opłaty oraz opłaty, o której mowa w art. 12 ust. 3 [opłaty dodatkowej za wydłużony wymiar opieki], za pobyt dziecka w żłobku lub klubie dziecięcym utworzonym przez gminę oraz maksymalną wysok</w:t>
      </w:r>
      <w:r>
        <w:rPr>
          <w:rFonts w:ascii="Calibri" w:hAnsi="Calibri" w:cs="Calibri"/>
        </w:rPr>
        <w:t xml:space="preserve">ość opłaty za wyżywienie, ustala rada gminy w drodze uchwały. </w:t>
      </w:r>
    </w:p>
    <w:p w:rsidR="005E2F05" w:rsidRDefault="00741DCB" w:rsidP="005E2F05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W § 3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>chwały Rada ustaliła, że „Opłaty za wyżywienie naliczane są w oparciu o rzeczywistą liczbę dni pobytu dziecka w Klubie (…), w danym miesiącu”. Przepis ten wprowadzony został bez podstaw</w:t>
      </w:r>
      <w:r>
        <w:rPr>
          <w:rFonts w:ascii="Calibri" w:hAnsi="Calibri" w:cs="Calibri"/>
        </w:rPr>
        <w:t xml:space="preserve">y prawnej, bowiem zgodnie z art. 11 ust. 2 pkt 4 ustawy o opiece, zasady ustalania opłat za pobyt i wyżywienie w przypadku nieobecności dziecka powinny być określone w statucie klubu dziecięcego. </w:t>
      </w:r>
    </w:p>
    <w:p w:rsidR="0086357C" w:rsidRDefault="00741DCB" w:rsidP="00C56B34">
      <w:pPr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Podobnie brak podstawy prawnej do przyjęcia zapisu, jak w §</w:t>
      </w:r>
      <w:r>
        <w:rPr>
          <w:rFonts w:ascii="Calibri" w:hAnsi="Calibri" w:cs="Calibri"/>
        </w:rPr>
        <w:t xml:space="preserve"> 5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chwały, w którym Rada przekazała do uregulowania w umowie cywilnoprawnej zasady i terminy wnoszenia opłat. Zawarcie umowy i jej </w:t>
      </w:r>
      <w:r>
        <w:rPr>
          <w:rFonts w:ascii="Calibri" w:hAnsi="Calibri" w:cs="Calibri"/>
        </w:rPr>
        <w:t>zakres przedmiotowy</w:t>
      </w:r>
      <w:r>
        <w:rPr>
          <w:rFonts w:ascii="Calibri" w:hAnsi="Calibri" w:cs="Calibri"/>
        </w:rPr>
        <w:t xml:space="preserve"> zależy od woli stron stosunku cywilnoprawnego, natomiast uregulowanie ww kwestii w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>chwale, może wywołać</w:t>
      </w:r>
      <w:r>
        <w:rPr>
          <w:rFonts w:ascii="Calibri" w:hAnsi="Calibri" w:cs="Calibri"/>
        </w:rPr>
        <w:t xml:space="preserve"> mylne przekonanie, że obowiązek zawarcia umowy o konkretnej treści wynika z aktu prawa miejscowego. </w:t>
      </w:r>
    </w:p>
    <w:p w:rsidR="0086357C" w:rsidRDefault="00741DCB" w:rsidP="0086357C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W § 4 Rada postanowiła, że „W przypadku znacznego wzrostu cen żywności, stawka dzienna w Klubie (…) może być w ciągu roku zaktualizowana na wniosek Kiero</w:t>
      </w:r>
      <w:r>
        <w:rPr>
          <w:rFonts w:ascii="Calibri" w:hAnsi="Calibri" w:cs="Calibri"/>
        </w:rPr>
        <w:t>wnika Klubu (…) w porozumieniu z organem prowadzącym, przy czym zmiana winna być podana do wiadomości rodziców/opiekunów prawnych co najmniej z 1 miesięcznym wyprzedzeniem”. Rada gminy, w uchwale przyjętej na podstawie art. 58 ust. 1 ustawy o opiece, nie m</w:t>
      </w:r>
      <w:r>
        <w:rPr>
          <w:rFonts w:ascii="Calibri" w:hAnsi="Calibri" w:cs="Calibri"/>
        </w:rPr>
        <w:t>a uprawnienia do określania trybu zmiany wysokości opłat i wskazania podmiotów uprawnionych do dokonywania tej zmiany. Przepis ten bowiem wyłącznie radzie gminy przyznaje kompetencje do ustalania wysokości opłat, a więc również ich zmiany, w drodze uchwały</w:t>
      </w:r>
      <w:r>
        <w:rPr>
          <w:rFonts w:ascii="Calibri" w:hAnsi="Calibri" w:cs="Calibri"/>
        </w:rPr>
        <w:t xml:space="preserve">, będącej aktem prawa miejscowego, której warunkiem wejścia w życie jest uprzednia publikacja w wojewódzkim dzienniku urzędowym. </w:t>
      </w:r>
    </w:p>
    <w:p w:rsidR="0086357C" w:rsidRDefault="00741DCB" w:rsidP="0086357C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Mając powyższe na uwadze, organ nadzoru stwierdził, że § 3, § 4 i § 5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chwały Nr 227/XXXIV/2021 Rady Gminy Bielsk z dnia </w:t>
      </w:r>
      <w:r>
        <w:rPr>
          <w:rFonts w:ascii="Calibri" w:hAnsi="Calibri" w:cs="Calibri"/>
        </w:rPr>
        <w:t>29 g</w:t>
      </w:r>
      <w:r>
        <w:rPr>
          <w:rFonts w:ascii="Calibri" w:hAnsi="Calibri" w:cs="Calibri"/>
        </w:rPr>
        <w:t>rudnia 2021 r. w sprawie ustala</w:t>
      </w:r>
      <w:r>
        <w:rPr>
          <w:rFonts w:ascii="Calibri" w:hAnsi="Calibri" w:cs="Calibri"/>
        </w:rPr>
        <w:t xml:space="preserve">nia wysokości opłaty za pobyt dziecka w Klubie Dziecięcym „Maluszek” w Bielsku prowadzonym przez Gminę Bielsk oraz wysokości opłaty za wyżywienie, w sposób istotny naruszają art. 58 ust. 1 ustawy o opiece, zasadne jest zatem </w:t>
      </w:r>
      <w:r>
        <w:rPr>
          <w:rFonts w:ascii="Calibri" w:hAnsi="Calibri" w:cs="Calibri"/>
        </w:rPr>
        <w:t xml:space="preserve">stwierdzenie ich nieważności. </w:t>
      </w:r>
    </w:p>
    <w:p w:rsidR="0086357C" w:rsidRDefault="00741DCB" w:rsidP="0086357C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Na niniejsze rozstrzygnięcie nadzorcze Gminie przysługuje skarga do Wojewódzkiego Sądu Administracyjnego w Warszawie, wnoszona za pośrednictwem Wojewody Mazowieckiego, w terminie 30 dni od dnia doręczenia rozstrzygnięcia. </w:t>
      </w:r>
    </w:p>
    <w:p w:rsidR="00F228AB" w:rsidRDefault="00741DCB" w:rsidP="005E2F05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Informuję, że rozstrzygnięcie nadzorcze wstrzymuje wykonanie uchwały z mocy prawa w zakresie objętym stwierdzeniem nieważności, z dn</w:t>
      </w:r>
      <w:r>
        <w:rPr>
          <w:rFonts w:ascii="Calibri" w:hAnsi="Calibri" w:cs="Calibri"/>
        </w:rPr>
        <w:t>iem doręczenia rozstrzygnięcia.</w:t>
      </w:r>
    </w:p>
    <w:p w:rsidR="004824F3" w:rsidRDefault="00741DCB" w:rsidP="00691727">
      <w:pPr>
        <w:spacing w:before="840" w:after="240" w:line="276" w:lineRule="auto"/>
        <w:ind w:left="3402"/>
        <w:jc w:val="center"/>
        <w:rPr>
          <w:rFonts w:ascii="Calibri" w:hAnsi="Calibri" w:cs="Calibri"/>
        </w:rPr>
      </w:pPr>
    </w:p>
    <w:p w:rsidR="004824F3" w:rsidRDefault="00741DCB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bookmarkStart w:id="2" w:name="ezdPracownikStanowisko"/>
      <w:r>
        <w:rPr>
          <w:rFonts w:ascii="Calibri" w:hAnsi="Calibri" w:cs="Calibri"/>
        </w:rPr>
        <w:t>Wojewoda Mazowiecki</w:t>
      </w:r>
      <w:bookmarkEnd w:id="2"/>
    </w:p>
    <w:p w:rsidR="004824F3" w:rsidRDefault="00741DCB" w:rsidP="00691727">
      <w:pPr>
        <w:spacing w:after="240" w:line="276" w:lineRule="auto"/>
        <w:ind w:left="3402"/>
        <w:jc w:val="center"/>
        <w:rPr>
          <w:rFonts w:ascii="Calibri" w:hAnsi="Calibri" w:cs="Calibri"/>
        </w:rPr>
      </w:pPr>
      <w:bookmarkStart w:id="3" w:name="ezdPracownikNazwa"/>
      <w:r>
        <w:rPr>
          <w:rFonts w:ascii="Calibri" w:hAnsi="Calibri" w:cs="Calibri"/>
        </w:rPr>
        <w:t>Konstanty Radziwiłł</w:t>
      </w:r>
      <w:bookmarkEnd w:id="3"/>
    </w:p>
    <w:p w:rsidR="00691727" w:rsidRDefault="00741DCB" w:rsidP="00691727">
      <w:pPr>
        <w:spacing w:before="240" w:line="276" w:lineRule="auto"/>
        <w:ind w:left="340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/podpisano bezpiecznym podpisem elektronicznym</w:t>
      </w:r>
    </w:p>
    <w:p w:rsidR="004824F3" w:rsidRPr="00504F2F" w:rsidRDefault="00741DCB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wery</w:t>
      </w:r>
      <w:r>
        <w:rPr>
          <w:rFonts w:ascii="Calibri" w:hAnsi="Calibri" w:cs="Calibri"/>
        </w:rPr>
        <w:t>fikowanym ważnym kwalifikowanym certyfikatem/</w:t>
      </w:r>
    </w:p>
    <w:sectPr w:rsidR="004824F3" w:rsidRPr="00504F2F" w:rsidSect="003E626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DCB"/>
    <w:rsid w:val="0074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7AA86A-89BA-4C88-99B2-600A86F0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1700B-3285-4B63-BF33-E1161001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2021-11-19T14:18:00Z</cp:lastPrinted>
  <dcterms:created xsi:type="dcterms:W3CDTF">2022-01-19T10:49:00Z</dcterms:created>
  <dcterms:modified xsi:type="dcterms:W3CDTF">2022-01-19T10:49:00Z</dcterms:modified>
</cp:coreProperties>
</file>