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jc w:val="center"/>
        <w:rPr>
          <w:color w:val="666666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color w:val="666666"/>
          <w:sz w:val="30"/>
          <w:szCs w:val="30"/>
          <w:rtl w:val="0"/>
        </w:rPr>
        <w:t xml:space="preserve">Program szkolenia</w:t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Finansowanie projektów przyrodniczych </w:t>
        <w:br w:type="textWrapping"/>
        <w:t xml:space="preserve">z funduszy UE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18-19 czerwca 2024 r.,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Grein Hotel Rzeszów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Dzień I – 18.06.2024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577"/>
        <w:gridCol w:w="1690"/>
        <w:tblGridChange w:id="0">
          <w:tblGrid>
            <w:gridCol w:w="6577"/>
            <w:gridCol w:w="1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Rejestracja uczestników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8:30-9:00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– Fundusze europejskie – możliwości uzyskania wsparcia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Zasady podziału środków finansowych na ochronę przyrody w Polsce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Określenie, jakie są możliwości sfinansowania inwestycji w ramach funduszy: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2"/>
              </w:numPr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Fundusze Europejskie na Infrastrukturę, Klimat, Środowisko (FEnIKS)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2"/>
              </w:numPr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Fundusze Europejskie dla Regionów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2"/>
              </w:numPr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Fundusze Europejskie dla Polski Wschodniej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Omówienie i wybór dotacji możliwych do uzyskania </w:t>
              <w:br w:type="textWrapping"/>
              <w:t xml:space="preserve">w zakresie ochrony przyrody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Ścieżka aplikowania o wsparcie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Wybór dokumentacji programowej – jakie dokumenty są najistotniejsze z punktu widzenia sporządzenia wniosku </w:t>
              <w:br w:type="textWrapping"/>
              <w:t xml:space="preserve">o dofinansowanie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Źródła informacji o funduszach europejskich, czyli gdzie szukać informacji o aktualnych konkursach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9:00-10:30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Przerwa (15 minut)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10:30-10:45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 – Zasady pisania projektów z zakresu ochrony przyrody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Ogólne zasady przygotowania projektu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Kryteria wyboru projektów / Procedura oceny wniosku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8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Przygotowanie budżetu projektu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8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Kwalifikowalność wydatków w projekcie (w tym m.in. Vat w projektach)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Obliczenie wydatków kwalifikowanych w projekcie (w tym koszty bezpośrednie i koszty pośrednie – uproszczone metody rozliczania wydatków)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Zasady występowania pomocy publicznej / pomocy </w:t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de minimis</w:t>
            </w:r>
            <w:r w:rsidDel="00000000" w:rsidR="00000000" w:rsidRPr="00000000">
              <w:rPr>
                <w:rtl w:val="0"/>
              </w:rPr>
              <w:t xml:space="preserve"> w projektach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Mechanizmy finansowania projektów i przedsięwzięć – zaliczka, refundacja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10:45-12:00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Przerwa obiadowa (45 minut)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12:00-12:45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 – Centralny System Teleinformatyczny (CST) </w:t>
              <w:br w:type="textWrapping"/>
              <w:t xml:space="preserve">i alternatywne systemy: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Generator wniosków o dofinansowanie WOD2021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7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System rozliczania projektów i przygotowania wniosków </w:t>
              <w:br w:type="textWrapping"/>
              <w:t xml:space="preserve">o płatność SL2021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Pozostałe aplikacje występujące w systemie i ich rola </w:t>
              <w:br w:type="textWrapping"/>
              <w:t xml:space="preserve">w projekcie (m.in. BK2021, e-Kontrole, SR2021, SKANER, Kontrole Krzyżowe)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Pozostałe aplikacje stosowane w procesie aplikowania </w:t>
              <w:br w:type="textWrapping"/>
              <w:t xml:space="preserve">o wsparcie (m.in. LSI, IGA, MEWA)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12:45-14:15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Przerwa (15 minut)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14:15-14:30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 – Realizacja i kontrola projektu z zakresu ochrony przyrody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Zasady promocji projektu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Przebieg kontroli projektu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Zakończenie I dnia szkolenia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14:30-16:00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Dzień II – 19.06.2024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26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577"/>
        <w:gridCol w:w="1690"/>
        <w:tblGridChange w:id="0">
          <w:tblGrid>
            <w:gridCol w:w="6577"/>
            <w:gridCol w:w="1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240"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Wizyta studyjna w Nadleśnictwie Leżajsk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Wizyta w miejscu realizacji projektów współfinansowanych ze środków UE, prezentacja: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obiektów małej retencji (małe zbiorniki wodne)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systemu ochrony przeciwpożarowej lasu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wizyta w ośrodku hodowli głuszca</w:t>
            </w:r>
          </w:p>
          <w:p w:rsidR="00000000" w:rsidDel="00000000" w:rsidP="00000000" w:rsidRDefault="00000000" w:rsidRPr="00000000" w14:paraId="00000039">
            <w:pPr>
              <w:spacing w:after="0" w:before="120" w:line="240" w:lineRule="auto"/>
              <w:ind w:left="720" w:right="0" w:firstLine="0"/>
              <w:rPr/>
            </w:pPr>
            <w:r w:rsidDel="00000000" w:rsidR="00000000" w:rsidRPr="00000000">
              <w:rPr>
                <w:rtl w:val="0"/>
              </w:rPr>
              <w:t xml:space="preserve">Ramowy plan dnia: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76" w:lineRule="auto"/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śniadanie i wymeldowanie z pokoi, zbiórka przed hotelem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76" w:lineRule="auto"/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wyjazd z hotelu autokarem do Nadleśnictwa Leżajsk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76" w:lineRule="auto"/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wizyta w terenie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76" w:lineRule="auto"/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powrót uczestników do hotelu oraz obiad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76" w:lineRule="auto"/>
              <w:ind w:left="1440" w:right="0" w:hanging="360"/>
              <w:rPr/>
            </w:pPr>
            <w:r w:rsidDel="00000000" w:rsidR="00000000" w:rsidRPr="00000000">
              <w:rPr>
                <w:rtl w:val="0"/>
              </w:rPr>
              <w:t xml:space="preserve">zakończenie II dnia szkolenia 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Odbiór bagaży i wyjazd uczestników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09:00-15:00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 g. 9:00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ok. 9:45-13:30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14:15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ok. g. 15:00</w:t>
            </w:r>
          </w:p>
        </w:tc>
      </w:tr>
    </w:tbl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Prowadzący 18.06.2024 r.: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Marcin Kibitlewski </w:t>
      </w:r>
      <w:r w:rsidDel="00000000" w:rsidR="00000000" w:rsidRPr="00000000">
        <w:rPr>
          <w:rtl w:val="0"/>
        </w:rPr>
        <w:t xml:space="preserve">– od 2004 roku zajmuje się funduszami europejskimi oraz tworzeniem biznes planów, studium wykonalności i analiz finansowych, zarówno od strony przygotowania dokumentów, jak i oceny projektów inwestycyjnych. Na co dzień pomaga </w:t>
        <w:br w:type="textWrapping"/>
        <w:t xml:space="preserve">w pozyskiwaniu funduszy na inwestycje realizowane na terenie całego kraju. W swoim dorobku ma ponad 300 projektów na łączną kwotę ponad 400 mln zł.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Wieloletni trener szkoleń z zakresu współfinansowania inwestycji przy wsparciu środków unijnych, sporządzania biznes planów, studium wykonalności oraz analiz finansowych, posiadający doświadczenie w zakresie sporządzania dokumentacji jak również weryfikacji projektów od strony Instytucji Wdrażającej. W ramach przeprowadzonych szkoleń przeszkolił ponad 5 800 osób w trakcie ponad 8 500 godzin szkoleniowych. Ekspert ds. oceny projektów </w:t>
        <w:br w:type="textWrapping"/>
        <w:t xml:space="preserve">w zakresie studium wykonalności Programu Operacyjnego Polska Cyfrowa.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/>
      <w:drawing>
        <wp:inline distB="0" distT="0" distL="0" distR="0">
          <wp:extent cx="5943600" cy="558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1"/>
      <w:keepLines w:val="1"/>
      <w:widowControl w:val="1"/>
      <w:spacing w:after="60" w:before="0" w:line="240" w:lineRule="auto"/>
      <w:rPr/>
    </w:pPr>
    <w:r w:rsidDel="00000000" w:rsidR="00000000" w:rsidRPr="00000000">
      <w:rPr/>
      <w:drawing>
        <wp:inline distB="0" distT="0" distL="0" distR="0">
          <wp:extent cx="1471930" cy="49911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930" cy="499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