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91" w:rsidRPr="00835C91" w:rsidRDefault="00835C91" w:rsidP="00835C91">
      <w:pPr>
        <w:jc w:val="right"/>
        <w:rPr>
          <w:b/>
          <w:sz w:val="24"/>
          <w:lang w:val="de-AT"/>
        </w:rPr>
      </w:pPr>
      <w:r w:rsidRPr="00835C91">
        <w:rPr>
          <w:b/>
          <w:sz w:val="24"/>
          <w:lang w:val="de-AT"/>
        </w:rPr>
        <w:t>Anlage 1</w:t>
      </w:r>
    </w:p>
    <w:p w:rsidR="00835C91" w:rsidRPr="00835C91" w:rsidRDefault="00835C91" w:rsidP="00835C91">
      <w:pPr>
        <w:jc w:val="center"/>
        <w:rPr>
          <w:b/>
          <w:sz w:val="24"/>
          <w:lang w:val="de-AT"/>
        </w:rPr>
      </w:pPr>
      <w:r w:rsidRPr="00835C91">
        <w:rPr>
          <w:b/>
          <w:sz w:val="24"/>
          <w:lang w:val="de-AT"/>
        </w:rPr>
        <w:t>Staaten und Gebieten mit geringem epidemiologischen Risiko</w:t>
      </w:r>
    </w:p>
    <w:p w:rsidR="00835C91" w:rsidRDefault="00835C91" w:rsidP="00835C91">
      <w:pPr>
        <w:rPr>
          <w:lang w:val="de-AT"/>
        </w:rPr>
        <w:sectPr w:rsidR="00835C91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Andorra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Australien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Belgien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Bulgarien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Dänemark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Deutschland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Estland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Finnland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Frankreich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Fürstentum Liechtenstein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Griechenland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Hong Kong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Irland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Island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Italien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Jordanien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Kanada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Katar</w:t>
      </w:r>
    </w:p>
    <w:p w:rsidR="00835C91" w:rsidRDefault="00835C91" w:rsidP="00835C91">
      <w:pPr>
        <w:rPr>
          <w:lang w:val="de-AT"/>
        </w:rPr>
      </w:pPr>
      <w:r w:rsidRPr="00835C91">
        <w:rPr>
          <w:lang w:val="de-AT"/>
        </w:rPr>
        <w:t>Kroatien</w:t>
      </w:r>
    </w:p>
    <w:p w:rsidR="007B332F" w:rsidRPr="00835C91" w:rsidRDefault="007B332F" w:rsidP="00835C91">
      <w:pPr>
        <w:rPr>
          <w:lang w:val="de-AT"/>
        </w:rPr>
      </w:pPr>
      <w:r>
        <w:rPr>
          <w:lang w:val="de-AT"/>
        </w:rPr>
        <w:t>Kuwait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Lettland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Litauen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Luxemburg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Macau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Malta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Monaco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Neuseeland</w:t>
      </w:r>
      <w:bookmarkStart w:id="0" w:name="_GoBack"/>
      <w:bookmarkEnd w:id="0"/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Niederlande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Norwegen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Polen</w:t>
      </w:r>
    </w:p>
    <w:p w:rsidR="00835C91" w:rsidRDefault="00835C91" w:rsidP="00835C91">
      <w:pPr>
        <w:rPr>
          <w:lang w:val="de-AT"/>
        </w:rPr>
      </w:pPr>
      <w:r w:rsidRPr="00835C91">
        <w:rPr>
          <w:lang w:val="de-AT"/>
        </w:rPr>
        <w:t>Portugal</w:t>
      </w:r>
    </w:p>
    <w:p w:rsidR="007B332F" w:rsidRPr="00835C91" w:rsidRDefault="007B332F" w:rsidP="00835C91">
      <w:pPr>
        <w:rPr>
          <w:lang w:val="de-AT"/>
        </w:rPr>
      </w:pPr>
      <w:r>
        <w:rPr>
          <w:lang w:val="de-AT"/>
        </w:rPr>
        <w:t>Ruanda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Rumänien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San Marino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Saudi-Arabien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Schweden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Singapur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Slowakei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Slowenien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Spanien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Schweiz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Südkorea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Taiwan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Tschechische Republik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Ungarn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Uruguay</w:t>
      </w:r>
    </w:p>
    <w:p w:rsidR="00835C91" w:rsidRPr="00835C91" w:rsidRDefault="00835C91" w:rsidP="00835C91">
      <w:pPr>
        <w:rPr>
          <w:lang w:val="de-AT"/>
        </w:rPr>
      </w:pPr>
      <w:r w:rsidRPr="00835C91">
        <w:rPr>
          <w:lang w:val="de-AT"/>
        </w:rPr>
        <w:t>Vatikan</w:t>
      </w:r>
    </w:p>
    <w:p w:rsidR="00835C91" w:rsidRPr="00835C91" w:rsidRDefault="00835C91" w:rsidP="00835C91">
      <w:proofErr w:type="spellStart"/>
      <w:r w:rsidRPr="00835C91">
        <w:t>Vietnam</w:t>
      </w:r>
      <w:proofErr w:type="spellEnd"/>
    </w:p>
    <w:p w:rsidR="00835C91" w:rsidRPr="00835C91" w:rsidRDefault="00835C91" w:rsidP="00835C91">
      <w:proofErr w:type="spellStart"/>
      <w:r w:rsidRPr="00835C91">
        <w:t>Zypern</w:t>
      </w:r>
      <w:proofErr w:type="spellEnd"/>
    </w:p>
    <w:p w:rsidR="00CD39CC" w:rsidRDefault="00CD39CC" w:rsidP="00835C91"/>
    <w:sectPr w:rsidR="00CD39CC" w:rsidSect="00835C9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EC" w:rsidRDefault="00CA48EC" w:rsidP="00835C91">
      <w:pPr>
        <w:spacing w:after="0" w:line="240" w:lineRule="auto"/>
      </w:pPr>
      <w:r>
        <w:separator/>
      </w:r>
    </w:p>
  </w:endnote>
  <w:endnote w:type="continuationSeparator" w:id="0">
    <w:p w:rsidR="00CA48EC" w:rsidRDefault="00CA48EC" w:rsidP="0083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91" w:rsidRDefault="007B332F">
    <w:pPr>
      <w:pStyle w:val="Stopka"/>
    </w:pPr>
    <w:r w:rsidRPr="007B332F">
      <w:t>https://www.ris.bka.gv.at/GeltendeFassung.wxe?Abfrage=Bundesnormen&amp;Gesetzesnummer=20011574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EC" w:rsidRDefault="00CA48EC" w:rsidP="00835C91">
      <w:pPr>
        <w:spacing w:after="0" w:line="240" w:lineRule="auto"/>
      </w:pPr>
      <w:r>
        <w:separator/>
      </w:r>
    </w:p>
  </w:footnote>
  <w:footnote w:type="continuationSeparator" w:id="0">
    <w:p w:rsidR="00CA48EC" w:rsidRDefault="00CA48EC" w:rsidP="00835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91"/>
    <w:rsid w:val="007B332F"/>
    <w:rsid w:val="007E12D3"/>
    <w:rsid w:val="00835C91"/>
    <w:rsid w:val="00CA48EC"/>
    <w:rsid w:val="00C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F09B"/>
  <w15:chartTrackingRefBased/>
  <w15:docId w15:val="{7BF2F0E6-BD7B-4F37-9A19-2AC6FA5C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5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C91"/>
  </w:style>
  <w:style w:type="paragraph" w:styleId="Stopka">
    <w:name w:val="footer"/>
    <w:basedOn w:val="Normalny"/>
    <w:link w:val="StopkaZnak"/>
    <w:uiPriority w:val="99"/>
    <w:unhideWhenUsed/>
    <w:rsid w:val="00835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4EC44-2DEC-4DA0-BBEE-BAD7C4B0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Wyskiel Sandra</dc:creator>
  <cp:keywords/>
  <dc:description/>
  <cp:lastModifiedBy>Wyskiel Sandra</cp:lastModifiedBy>
  <cp:revision>2</cp:revision>
  <dcterms:created xsi:type="dcterms:W3CDTF">2021-09-15T08:45:00Z</dcterms:created>
  <dcterms:modified xsi:type="dcterms:W3CDTF">2021-11-02T10:49:00Z</dcterms:modified>
</cp:coreProperties>
</file>