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628" w:rsidRPr="00EA693C" w:rsidRDefault="00DC6628" w:rsidP="00DC6628">
      <w:pPr>
        <w:spacing w:after="0" w:line="276" w:lineRule="auto"/>
        <w:rPr>
          <w:rFonts w:ascii="Lato" w:hAnsi="Lato"/>
        </w:rPr>
      </w:pPr>
      <w:r w:rsidRPr="00EA693C">
        <w:rPr>
          <w:rFonts w:ascii="Lato" w:hAnsi="Lato"/>
        </w:rPr>
        <w:t>Departament Obywatelstwa i Repatriacji</w:t>
      </w:r>
    </w:p>
    <w:p w:rsidR="00DC6628" w:rsidRPr="00EA693C" w:rsidRDefault="00DC6628" w:rsidP="00DC6628">
      <w:pPr>
        <w:spacing w:after="0" w:line="276" w:lineRule="auto"/>
        <w:rPr>
          <w:rFonts w:ascii="Lato" w:hAnsi="Lato"/>
        </w:rPr>
      </w:pPr>
    </w:p>
    <w:p w:rsidR="00DC6628" w:rsidRPr="00C62DBC" w:rsidRDefault="00DC6628" w:rsidP="00DC6628">
      <w:pPr>
        <w:spacing w:after="0" w:line="240" w:lineRule="auto"/>
        <w:jc w:val="both"/>
        <w:rPr>
          <w:rFonts w:ascii="Lato" w:hAnsi="Lato"/>
        </w:rPr>
      </w:pPr>
      <w:r w:rsidRPr="00C62DBC">
        <w:rPr>
          <w:rFonts w:ascii="Lato" w:hAnsi="Lato"/>
        </w:rPr>
        <w:t>DOiR</w:t>
      </w:r>
      <w:r w:rsidR="00313032">
        <w:rPr>
          <w:rFonts w:ascii="Lato" w:hAnsi="Lato"/>
        </w:rPr>
        <w:t>.</w:t>
      </w:r>
      <w:r w:rsidRPr="00C62DBC">
        <w:rPr>
          <w:rFonts w:ascii="Lato" w:hAnsi="Lato"/>
        </w:rPr>
        <w:t>I</w:t>
      </w:r>
      <w:r w:rsidR="00313032">
        <w:rPr>
          <w:rFonts w:ascii="Lato" w:hAnsi="Lato"/>
        </w:rPr>
        <w:t>.</w:t>
      </w:r>
      <w:r w:rsidRPr="00C62DBC">
        <w:rPr>
          <w:rFonts w:ascii="Lato" w:hAnsi="Lato"/>
        </w:rPr>
        <w:t>09</w:t>
      </w:r>
      <w:r w:rsidR="00313032">
        <w:rPr>
          <w:rFonts w:ascii="Lato" w:hAnsi="Lato"/>
        </w:rPr>
        <w:t>4.1.</w:t>
      </w:r>
      <w:r w:rsidRPr="00C62DBC">
        <w:rPr>
          <w:rFonts w:ascii="Lato" w:hAnsi="Lato"/>
        </w:rPr>
        <w:t>202</w:t>
      </w:r>
      <w:r w:rsidR="00313032">
        <w:rPr>
          <w:rFonts w:ascii="Lato" w:hAnsi="Lato"/>
        </w:rPr>
        <w:t>3</w:t>
      </w:r>
    </w:p>
    <w:p w:rsidR="00DC6628" w:rsidRPr="00D52DA3" w:rsidRDefault="00DC6628" w:rsidP="00DC6628">
      <w:pPr>
        <w:spacing w:after="0" w:line="240" w:lineRule="auto"/>
        <w:jc w:val="both"/>
        <w:rPr>
          <w:rFonts w:ascii="Lato" w:hAnsi="Lato"/>
        </w:rPr>
      </w:pPr>
      <w:r w:rsidRPr="00C62DBC">
        <w:rPr>
          <w:rFonts w:ascii="Lato" w:hAnsi="Lato"/>
        </w:rPr>
        <w:t xml:space="preserve">Warszawa, </w:t>
      </w:r>
      <w:r>
        <w:rPr>
          <w:rFonts w:ascii="Lato" w:hAnsi="Lato"/>
        </w:rPr>
        <w:t xml:space="preserve"> </w:t>
      </w:r>
      <w:r w:rsidR="00313032">
        <w:rPr>
          <w:rFonts w:ascii="Lato" w:hAnsi="Lato"/>
        </w:rPr>
        <w:t xml:space="preserve">29 listopada </w:t>
      </w:r>
      <w:r w:rsidRPr="00C62DBC">
        <w:rPr>
          <w:rFonts w:ascii="Lato" w:hAnsi="Lato"/>
        </w:rPr>
        <w:t xml:space="preserve">2023 r. </w:t>
      </w:r>
    </w:p>
    <w:p w:rsidR="00DC6628" w:rsidRPr="00EA693C" w:rsidRDefault="00DC6628" w:rsidP="00DC6628">
      <w:pPr>
        <w:spacing w:after="0" w:line="276" w:lineRule="auto"/>
        <w:rPr>
          <w:rFonts w:ascii="Lato" w:hAnsi="Lato"/>
        </w:rPr>
      </w:pPr>
    </w:p>
    <w:p w:rsidR="00DC6628" w:rsidRPr="00EA693C" w:rsidRDefault="00DC6628" w:rsidP="00313032">
      <w:pPr>
        <w:spacing w:after="0" w:line="276" w:lineRule="auto"/>
        <w:jc w:val="both"/>
        <w:rPr>
          <w:rFonts w:ascii="Lato" w:hAnsi="Lato"/>
          <w:b/>
          <w:i/>
        </w:rPr>
      </w:pPr>
      <w:bookmarkStart w:id="0" w:name="_GoBack"/>
      <w:r w:rsidRPr="00EA693C">
        <w:rPr>
          <w:rFonts w:ascii="Lato" w:hAnsi="Lato"/>
          <w:b/>
        </w:rPr>
        <w:t xml:space="preserve">Informacja o wynikach kontroli na temat: </w:t>
      </w:r>
      <w:r w:rsidRPr="00EA693C">
        <w:rPr>
          <w:rFonts w:ascii="Lato" w:hAnsi="Lato"/>
          <w:b/>
          <w:i/>
        </w:rPr>
        <w:t xml:space="preserve">Prawidłowość potwierdzania posiadania lub utraty obywatelstwa polskiego oraz uznawania za obywatela polskiego </w:t>
      </w:r>
      <w:r w:rsidRPr="00EA693C">
        <w:rPr>
          <w:rFonts w:ascii="Lato" w:hAnsi="Lato"/>
          <w:b/>
          <w:i/>
        </w:rPr>
        <w:br/>
        <w:t xml:space="preserve">w </w:t>
      </w:r>
      <w:r w:rsidR="00313032">
        <w:rPr>
          <w:rFonts w:ascii="Lato" w:hAnsi="Lato"/>
          <w:b/>
          <w:i/>
        </w:rPr>
        <w:t xml:space="preserve">Mazowieckim </w:t>
      </w:r>
      <w:r w:rsidRPr="00EA693C">
        <w:rPr>
          <w:rFonts w:ascii="Lato" w:hAnsi="Lato"/>
          <w:b/>
          <w:i/>
        </w:rPr>
        <w:t xml:space="preserve">Urzędzie Wojewódzkim w </w:t>
      </w:r>
      <w:r w:rsidR="00313032">
        <w:rPr>
          <w:rFonts w:ascii="Lato" w:hAnsi="Lato"/>
          <w:b/>
          <w:i/>
        </w:rPr>
        <w:t>Warszawie</w:t>
      </w:r>
      <w:r w:rsidRPr="00EA693C">
        <w:rPr>
          <w:rFonts w:ascii="Lato" w:hAnsi="Lato"/>
          <w:b/>
          <w:i/>
        </w:rPr>
        <w:t>.</w:t>
      </w:r>
    </w:p>
    <w:bookmarkEnd w:id="0"/>
    <w:p w:rsidR="00DC6628" w:rsidRPr="00EA693C" w:rsidRDefault="00DC6628" w:rsidP="00313032">
      <w:pPr>
        <w:tabs>
          <w:tab w:val="center" w:pos="3968"/>
        </w:tabs>
        <w:spacing w:after="0" w:line="276" w:lineRule="auto"/>
        <w:jc w:val="both"/>
        <w:rPr>
          <w:rFonts w:ascii="Lato" w:hAnsi="Lato"/>
        </w:rPr>
      </w:pPr>
    </w:p>
    <w:p w:rsidR="00DC6628" w:rsidRPr="00EA693C" w:rsidRDefault="00DC6628" w:rsidP="00313032">
      <w:pPr>
        <w:spacing w:after="120" w:line="276" w:lineRule="auto"/>
        <w:jc w:val="both"/>
        <w:rPr>
          <w:rFonts w:ascii="Lato" w:hAnsi="Lato"/>
          <w:b/>
        </w:rPr>
      </w:pPr>
      <w:r w:rsidRPr="00EA693C">
        <w:rPr>
          <w:rFonts w:ascii="Lato" w:hAnsi="Lato"/>
          <w:b/>
        </w:rPr>
        <w:t xml:space="preserve">I. Podstawa prawna </w:t>
      </w:r>
    </w:p>
    <w:p w:rsidR="00DC6628" w:rsidRPr="00EA693C" w:rsidRDefault="00DC6628" w:rsidP="00313032">
      <w:pPr>
        <w:spacing w:after="120" w:line="276" w:lineRule="auto"/>
        <w:jc w:val="both"/>
        <w:rPr>
          <w:rFonts w:ascii="Lato" w:hAnsi="Lato"/>
        </w:rPr>
      </w:pPr>
      <w:r w:rsidRPr="00EA693C">
        <w:rPr>
          <w:rFonts w:ascii="Lato" w:hAnsi="Lato"/>
        </w:rPr>
        <w:t>Czynności kontrolne zostały przeprowadzone na podstawie ustawy z dnia 15 lipca 2011 r. o kontroli w administracji rządowej</w:t>
      </w:r>
      <w:r w:rsidRPr="00EA693C">
        <w:rPr>
          <w:rFonts w:ascii="Lato" w:hAnsi="Lato"/>
          <w:vertAlign w:val="superscript"/>
        </w:rPr>
        <w:footnoteReference w:id="1"/>
      </w:r>
      <w:r>
        <w:rPr>
          <w:rFonts w:ascii="Lato" w:hAnsi="Lato"/>
        </w:rPr>
        <w:t>.</w:t>
      </w:r>
    </w:p>
    <w:p w:rsidR="00DC6628" w:rsidRPr="00EA693C" w:rsidRDefault="00DC6628" w:rsidP="00313032">
      <w:pPr>
        <w:spacing w:after="120" w:line="276" w:lineRule="auto"/>
        <w:jc w:val="both"/>
        <w:rPr>
          <w:rFonts w:ascii="Lato" w:hAnsi="Lato"/>
          <w:b/>
        </w:rPr>
      </w:pPr>
      <w:r w:rsidRPr="00EA693C">
        <w:rPr>
          <w:rFonts w:ascii="Lato" w:hAnsi="Lato"/>
          <w:b/>
        </w:rPr>
        <w:t xml:space="preserve">II. Tryb kontroli </w:t>
      </w:r>
    </w:p>
    <w:p w:rsidR="00DC6628" w:rsidRPr="00EA693C" w:rsidRDefault="00DC6628" w:rsidP="00313032">
      <w:pPr>
        <w:spacing w:after="120" w:line="276" w:lineRule="auto"/>
        <w:jc w:val="both"/>
        <w:rPr>
          <w:rFonts w:ascii="Lato" w:hAnsi="Lato"/>
          <w:i/>
        </w:rPr>
      </w:pPr>
      <w:r w:rsidRPr="00EA693C">
        <w:rPr>
          <w:rFonts w:ascii="Lato" w:hAnsi="Lato"/>
        </w:rPr>
        <w:t xml:space="preserve">Kontrola została przeprowadzona przez Departament Obywatelstwa i Repatriacji Ministerstwa Spraw Wewnętrznych i Administracji w trybie zwykłym, zgodnie </w:t>
      </w:r>
      <w:r w:rsidRPr="00EA693C">
        <w:rPr>
          <w:rFonts w:ascii="Lato" w:hAnsi="Lato"/>
        </w:rPr>
        <w:br/>
        <w:t xml:space="preserve">z </w:t>
      </w:r>
      <w:r w:rsidRPr="00EA693C">
        <w:rPr>
          <w:rFonts w:ascii="Lato" w:hAnsi="Lato"/>
          <w:i/>
        </w:rPr>
        <w:t xml:space="preserve">Planem kontroli Ministerstwa Spraw Wewnętrznych i Administracji na rok 2022. </w:t>
      </w:r>
    </w:p>
    <w:p w:rsidR="00DC6628" w:rsidRPr="00EA693C" w:rsidRDefault="00DC6628" w:rsidP="00313032">
      <w:pPr>
        <w:spacing w:after="120" w:line="276" w:lineRule="auto"/>
        <w:jc w:val="both"/>
        <w:rPr>
          <w:rFonts w:ascii="Lato" w:hAnsi="Lato"/>
        </w:rPr>
      </w:pPr>
      <w:r w:rsidRPr="00EA693C">
        <w:rPr>
          <w:rFonts w:ascii="Lato" w:hAnsi="Lato"/>
          <w:b/>
        </w:rPr>
        <w:t>III. Termin kontroli</w:t>
      </w:r>
      <w:r w:rsidRPr="00EA693C">
        <w:rPr>
          <w:rFonts w:ascii="Lato" w:hAnsi="Lato"/>
        </w:rPr>
        <w:t xml:space="preserve"> </w:t>
      </w:r>
    </w:p>
    <w:p w:rsidR="00DC6628" w:rsidRPr="00EA693C" w:rsidRDefault="00DC6628" w:rsidP="00313032">
      <w:pPr>
        <w:spacing w:after="120" w:line="276" w:lineRule="auto"/>
        <w:jc w:val="both"/>
        <w:rPr>
          <w:rFonts w:ascii="Lato" w:hAnsi="Lato"/>
        </w:rPr>
      </w:pPr>
      <w:r w:rsidRPr="00EA693C">
        <w:rPr>
          <w:rFonts w:ascii="Lato" w:hAnsi="Lato"/>
        </w:rPr>
        <w:t xml:space="preserve">Od </w:t>
      </w:r>
      <w:r w:rsidR="00313032" w:rsidRPr="007F0C96">
        <w:rPr>
          <w:rFonts w:ascii="Lato" w:hAnsi="Lato"/>
          <w:lang w:eastAsia="ar-SA"/>
        </w:rPr>
        <w:t>17 kwietnia do 2</w:t>
      </w:r>
      <w:r w:rsidR="00313032">
        <w:rPr>
          <w:rFonts w:ascii="Lato" w:hAnsi="Lato"/>
          <w:lang w:eastAsia="ar-SA"/>
        </w:rPr>
        <w:t xml:space="preserve">8 września </w:t>
      </w:r>
      <w:r w:rsidR="00313032" w:rsidRPr="007F0C96">
        <w:rPr>
          <w:rFonts w:ascii="Lato" w:hAnsi="Lato"/>
          <w:lang w:eastAsia="ar-SA"/>
        </w:rPr>
        <w:t xml:space="preserve">2023 </w:t>
      </w:r>
      <w:r w:rsidR="00313032" w:rsidRPr="007F0C96">
        <w:rPr>
          <w:rFonts w:ascii="Lato" w:hAnsi="Lato"/>
        </w:rPr>
        <w:t>r</w:t>
      </w:r>
      <w:r w:rsidR="00313032">
        <w:rPr>
          <w:rFonts w:ascii="Lato" w:hAnsi="Lato"/>
        </w:rPr>
        <w:t>.</w:t>
      </w:r>
      <w:r w:rsidRPr="00EA693C">
        <w:rPr>
          <w:rFonts w:ascii="Lato" w:hAnsi="Lato"/>
        </w:rPr>
        <w:t xml:space="preserve"> </w:t>
      </w:r>
    </w:p>
    <w:p w:rsidR="00DC6628" w:rsidRPr="00EA693C" w:rsidRDefault="00DC6628" w:rsidP="00313032">
      <w:pPr>
        <w:spacing w:after="120" w:line="276" w:lineRule="auto"/>
        <w:jc w:val="both"/>
        <w:rPr>
          <w:rFonts w:ascii="Lato" w:hAnsi="Lato"/>
        </w:rPr>
      </w:pPr>
      <w:r w:rsidRPr="00EA693C">
        <w:rPr>
          <w:rFonts w:ascii="Lato" w:hAnsi="Lato"/>
          <w:b/>
        </w:rPr>
        <w:t>IV. Zakres kontroli obejmował następujące zagadnienia:</w:t>
      </w:r>
      <w:r w:rsidRPr="00EA693C">
        <w:rPr>
          <w:rFonts w:ascii="Lato" w:hAnsi="Lato"/>
        </w:rPr>
        <w:t xml:space="preserve"> </w:t>
      </w:r>
    </w:p>
    <w:p w:rsidR="00DC6628" w:rsidRPr="00EA693C" w:rsidRDefault="00DC6628" w:rsidP="00313032">
      <w:pPr>
        <w:spacing w:after="120" w:line="276" w:lineRule="auto"/>
        <w:jc w:val="both"/>
        <w:rPr>
          <w:rFonts w:ascii="Lato" w:hAnsi="Lato"/>
        </w:rPr>
      </w:pPr>
      <w:r w:rsidRPr="00EA693C">
        <w:rPr>
          <w:rFonts w:ascii="Lato" w:hAnsi="Lato"/>
        </w:rPr>
        <w:t xml:space="preserve">1) Prawidłowość i terminowość rozpoznawania spraw o potwierdzenie posiadania lub utraty obywatelstwa polskiego. </w:t>
      </w:r>
    </w:p>
    <w:p w:rsidR="00DC6628" w:rsidRPr="00EA693C" w:rsidRDefault="00DC6628" w:rsidP="00313032">
      <w:pPr>
        <w:spacing w:after="120" w:line="276" w:lineRule="auto"/>
        <w:jc w:val="both"/>
        <w:rPr>
          <w:rFonts w:ascii="Lato" w:hAnsi="Lato"/>
        </w:rPr>
      </w:pPr>
      <w:r w:rsidRPr="00EA693C">
        <w:rPr>
          <w:rFonts w:ascii="Lato" w:hAnsi="Lato"/>
        </w:rPr>
        <w:t xml:space="preserve">2) Prawidłowość i terminowość rozpoznawania spraw o uznanie za obywatela polskiego. </w:t>
      </w:r>
    </w:p>
    <w:p w:rsidR="00DC6628" w:rsidRPr="00EA693C" w:rsidRDefault="00DC6628" w:rsidP="00313032">
      <w:pPr>
        <w:spacing w:after="120" w:line="276" w:lineRule="auto"/>
        <w:jc w:val="both"/>
        <w:rPr>
          <w:rFonts w:ascii="Lato" w:hAnsi="Lato"/>
        </w:rPr>
      </w:pPr>
      <w:r w:rsidRPr="00EA693C">
        <w:rPr>
          <w:rFonts w:ascii="Lato" w:hAnsi="Lato"/>
        </w:rPr>
        <w:t>3) Sprawowanie nadzoru nad rozpoznawaniem spraw o potwierdzenie posiadania lub utraty obywatelstwa polskiego oraz o uznanie za obywatela polskiego, w tym zapewnienie rozwiązań organizacyjnych gwarantujących należytą realizację zadań.</w:t>
      </w:r>
    </w:p>
    <w:p w:rsidR="00DC6628" w:rsidRDefault="00DC6628" w:rsidP="00DC6628">
      <w:pPr>
        <w:spacing w:after="120" w:line="276" w:lineRule="auto"/>
        <w:jc w:val="both"/>
        <w:rPr>
          <w:rFonts w:ascii="Lato" w:hAnsi="Lato"/>
          <w:b/>
        </w:rPr>
      </w:pPr>
      <w:r w:rsidRPr="00EA693C">
        <w:rPr>
          <w:rFonts w:ascii="Lato" w:hAnsi="Lato"/>
          <w:b/>
        </w:rPr>
        <w:t>V. Kontrolą objęto okres od 1</w:t>
      </w:r>
      <w:r w:rsidR="00313032">
        <w:rPr>
          <w:rFonts w:ascii="Lato" w:hAnsi="Lato"/>
          <w:b/>
        </w:rPr>
        <w:t xml:space="preserve"> </w:t>
      </w:r>
      <w:r w:rsidRPr="00EA693C">
        <w:rPr>
          <w:rFonts w:ascii="Lato" w:hAnsi="Lato"/>
          <w:b/>
        </w:rPr>
        <w:t>stycznia 202</w:t>
      </w:r>
      <w:r w:rsidR="00313032">
        <w:rPr>
          <w:rFonts w:ascii="Lato" w:hAnsi="Lato"/>
          <w:b/>
        </w:rPr>
        <w:t>1</w:t>
      </w:r>
      <w:r w:rsidRPr="00EA693C">
        <w:rPr>
          <w:rFonts w:ascii="Lato" w:hAnsi="Lato"/>
          <w:b/>
        </w:rPr>
        <w:t xml:space="preserve"> r. do </w:t>
      </w:r>
      <w:r w:rsidR="00313032">
        <w:rPr>
          <w:rFonts w:ascii="Lato" w:hAnsi="Lato"/>
          <w:b/>
        </w:rPr>
        <w:t xml:space="preserve">31 grudnia </w:t>
      </w:r>
      <w:r w:rsidRPr="00EA693C">
        <w:rPr>
          <w:rFonts w:ascii="Lato" w:hAnsi="Lato"/>
          <w:b/>
        </w:rPr>
        <w:t>2022 r.</w:t>
      </w:r>
      <w:r w:rsidRPr="00EA693C">
        <w:rPr>
          <w:rFonts w:ascii="Lato" w:hAnsi="Lato"/>
          <w:b/>
          <w:vertAlign w:val="superscript"/>
        </w:rPr>
        <w:footnoteReference w:id="2"/>
      </w:r>
    </w:p>
    <w:p w:rsidR="00DC6628" w:rsidRPr="00EA693C" w:rsidRDefault="00DC6628" w:rsidP="00DC6628">
      <w:pPr>
        <w:spacing w:after="120" w:line="276" w:lineRule="auto"/>
        <w:jc w:val="both"/>
        <w:rPr>
          <w:rFonts w:ascii="Lato" w:hAnsi="Lato"/>
          <w:b/>
        </w:rPr>
      </w:pPr>
      <w:r w:rsidRPr="00EA693C">
        <w:rPr>
          <w:rFonts w:ascii="Lato" w:hAnsi="Lato"/>
          <w:b/>
        </w:rPr>
        <w:t>VI. Ustalenia kontroli – ocena kontrolowanej działalności</w:t>
      </w:r>
    </w:p>
    <w:p w:rsidR="00313032" w:rsidRPr="007F0C96" w:rsidRDefault="00DC6628" w:rsidP="00313032">
      <w:pPr>
        <w:tabs>
          <w:tab w:val="left" w:pos="2742"/>
        </w:tabs>
        <w:suppressAutoHyphens/>
        <w:spacing w:before="120" w:after="100" w:afterAutospacing="1"/>
        <w:jc w:val="both"/>
        <w:rPr>
          <w:rFonts w:ascii="Lato" w:eastAsia="Times New Roman" w:hAnsi="Lato" w:cs="Calibri"/>
          <w:b/>
          <w:lang w:eastAsia="pl-PL"/>
        </w:rPr>
      </w:pPr>
      <w:r w:rsidRPr="0063639D">
        <w:rPr>
          <w:rFonts w:ascii="Lato" w:hAnsi="Lato" w:cs="Calibri"/>
        </w:rPr>
        <w:t xml:space="preserve">Działania </w:t>
      </w:r>
      <w:r w:rsidR="00313032">
        <w:rPr>
          <w:rFonts w:ascii="Lato" w:eastAsia="Times New Roman" w:hAnsi="Lato" w:cs="Calibri"/>
          <w:lang w:eastAsia="pl-PL"/>
        </w:rPr>
        <w:t xml:space="preserve">Mazowieckiego </w:t>
      </w:r>
      <w:r w:rsidRPr="0063639D">
        <w:rPr>
          <w:rFonts w:ascii="Lato" w:eastAsia="Times New Roman" w:hAnsi="Lato" w:cs="Calibri"/>
          <w:lang w:eastAsia="pl-PL"/>
        </w:rPr>
        <w:t xml:space="preserve">Urzędu Wojewódzkiego w </w:t>
      </w:r>
      <w:r w:rsidR="00313032">
        <w:rPr>
          <w:rFonts w:ascii="Lato" w:eastAsia="Times New Roman" w:hAnsi="Lato" w:cs="Calibri"/>
          <w:lang w:eastAsia="pl-PL"/>
        </w:rPr>
        <w:t xml:space="preserve">Warszawie </w:t>
      </w:r>
      <w:r w:rsidRPr="0063639D">
        <w:rPr>
          <w:rFonts w:ascii="Lato" w:hAnsi="Lato" w:cs="Calibri"/>
        </w:rPr>
        <w:t xml:space="preserve">w zakresie realizacji zadań związanych z </w:t>
      </w:r>
      <w:r w:rsidRPr="0063639D">
        <w:rPr>
          <w:rFonts w:ascii="Lato" w:eastAsia="Times New Roman" w:hAnsi="Lato" w:cs="Calibri"/>
          <w:lang w:eastAsia="pl-PL"/>
        </w:rPr>
        <w:t>potwierdzeniem posiadania lub utraty obywatelstwa polskiego oraz uznaniem z</w:t>
      </w:r>
      <w:r>
        <w:rPr>
          <w:rFonts w:ascii="Lato" w:eastAsia="Times New Roman" w:hAnsi="Lato" w:cs="Calibri"/>
          <w:lang w:eastAsia="pl-PL"/>
        </w:rPr>
        <w:t>a obywatela polskiego oceniono</w:t>
      </w:r>
      <w:r w:rsidRPr="0063639D">
        <w:rPr>
          <w:rFonts w:ascii="Lato" w:eastAsia="Times New Roman" w:hAnsi="Lato" w:cs="Calibri"/>
          <w:lang w:eastAsia="pl-PL"/>
        </w:rPr>
        <w:t xml:space="preserve"> </w:t>
      </w:r>
      <w:r w:rsidR="00313032" w:rsidRPr="007F0C96">
        <w:rPr>
          <w:rFonts w:ascii="Lato" w:eastAsia="Times New Roman" w:hAnsi="Lato" w:cs="Calibri"/>
          <w:b/>
          <w:lang w:eastAsia="pl-PL"/>
        </w:rPr>
        <w:t>pozytywnie mimo stwierdzonych nieprawidłowości.</w:t>
      </w:r>
    </w:p>
    <w:p w:rsidR="00313032" w:rsidRDefault="00313032" w:rsidP="00313032">
      <w:pPr>
        <w:tabs>
          <w:tab w:val="left" w:pos="2742"/>
        </w:tabs>
        <w:suppressAutoHyphens/>
        <w:spacing w:before="120" w:after="0"/>
        <w:jc w:val="both"/>
        <w:rPr>
          <w:rFonts w:ascii="Lato" w:hAnsi="Lato" w:cs="Calibri"/>
        </w:rPr>
      </w:pPr>
      <w:r w:rsidRPr="007F0C96">
        <w:rPr>
          <w:rFonts w:ascii="Lato" w:eastAsia="Times New Roman" w:hAnsi="Lato" w:cs="Calibri"/>
          <w:b/>
          <w:lang w:eastAsia="pl-PL"/>
        </w:rPr>
        <w:lastRenderedPageBreak/>
        <w:t>Pozytywną</w:t>
      </w:r>
      <w:r w:rsidRPr="007F0C96">
        <w:rPr>
          <w:rFonts w:ascii="Lato" w:eastAsia="Times New Roman" w:hAnsi="Lato" w:cs="Calibri"/>
          <w:lang w:eastAsia="pl-PL"/>
        </w:rPr>
        <w:t xml:space="preserve"> ocenę uzasadnia</w:t>
      </w:r>
      <w:r>
        <w:rPr>
          <w:rFonts w:ascii="Lato" w:eastAsia="Times New Roman" w:hAnsi="Lato" w:cs="Calibri"/>
          <w:lang w:eastAsia="pl-PL"/>
        </w:rPr>
        <w:t>ło p</w:t>
      </w:r>
      <w:r w:rsidRPr="007F0C96">
        <w:rPr>
          <w:rFonts w:ascii="Lato" w:hAnsi="Lato" w:cs="Calibri"/>
        </w:rPr>
        <w:t>rzestrzegan</w:t>
      </w:r>
      <w:r>
        <w:rPr>
          <w:rFonts w:ascii="Lato" w:hAnsi="Lato" w:cs="Calibri"/>
        </w:rPr>
        <w:t>ie</w:t>
      </w:r>
      <w:r w:rsidRPr="007F0C96">
        <w:rPr>
          <w:rFonts w:ascii="Lato" w:hAnsi="Lato" w:cs="Calibri"/>
        </w:rPr>
        <w:t xml:space="preserve">, co do zasady, wymogów związanych z prowadzeniem postępowań administracyjnych określonych na gruncie ustawy z dnia 14 czerwca 1960 r. </w:t>
      </w:r>
      <w:r w:rsidRPr="007F0C96">
        <w:rPr>
          <w:rFonts w:ascii="Lato" w:hAnsi="Lato" w:cs="Calibri"/>
          <w:i/>
        </w:rPr>
        <w:t>Kodeks postępowania administracyjnego</w:t>
      </w:r>
      <w:r w:rsidRPr="007F0C96">
        <w:rPr>
          <w:rStyle w:val="Odwoanieprzypisudolnego"/>
          <w:rFonts w:ascii="Lato" w:hAnsi="Lato" w:cs="Calibri"/>
        </w:rPr>
        <w:footnoteReference w:id="3"/>
      </w:r>
      <w:r>
        <w:rPr>
          <w:rFonts w:ascii="Lato" w:hAnsi="Lato" w:cs="Calibri"/>
          <w:i/>
        </w:rPr>
        <w:t xml:space="preserve">, </w:t>
      </w:r>
      <w:r w:rsidRPr="00FD558A">
        <w:rPr>
          <w:rFonts w:ascii="Lato" w:hAnsi="Lato" w:cs="Calibri"/>
        </w:rPr>
        <w:t>a w szczególności</w:t>
      </w:r>
      <w:r>
        <w:rPr>
          <w:rFonts w:ascii="Lato" w:hAnsi="Lato" w:cs="Calibri"/>
        </w:rPr>
        <w:t>:</w:t>
      </w:r>
      <w:r w:rsidRPr="00FD558A">
        <w:rPr>
          <w:rFonts w:ascii="Lato" w:hAnsi="Lato" w:cs="Calibri"/>
        </w:rPr>
        <w:t xml:space="preserve"> wnikliwe prowadzenie postępowań wyjaśniających i dokładanie należytej staranności przy gromadzeniu materiału dowodowego we wszystkich</w:t>
      </w:r>
      <w:r w:rsidRPr="007F0C96">
        <w:rPr>
          <w:rFonts w:ascii="Lato" w:hAnsi="Lato" w:cs="Calibri"/>
        </w:rPr>
        <w:t xml:space="preserve"> badanych sprawach</w:t>
      </w:r>
      <w:r>
        <w:rPr>
          <w:rFonts w:ascii="Lato" w:hAnsi="Lato" w:cs="Calibri"/>
        </w:rPr>
        <w:t xml:space="preserve">; </w:t>
      </w:r>
      <w:r w:rsidRPr="007F0C96">
        <w:rPr>
          <w:rFonts w:ascii="Lato" w:hAnsi="Lato" w:cs="Calibri"/>
        </w:rPr>
        <w:t>szczegółow</w:t>
      </w:r>
      <w:r>
        <w:rPr>
          <w:rFonts w:ascii="Lato" w:hAnsi="Lato" w:cs="Calibri"/>
        </w:rPr>
        <w:t xml:space="preserve">e i rzetelne badanie – przed wydaniem decyzji o uznaniu za obywatela polskiego – </w:t>
      </w:r>
      <w:r w:rsidRPr="007F0C96">
        <w:rPr>
          <w:rFonts w:ascii="Lato" w:hAnsi="Lato" w:cs="Calibri"/>
        </w:rPr>
        <w:t>spełnieni</w:t>
      </w:r>
      <w:r>
        <w:rPr>
          <w:rFonts w:ascii="Lato" w:hAnsi="Lato" w:cs="Calibri"/>
        </w:rPr>
        <w:t>a</w:t>
      </w:r>
      <w:r w:rsidRPr="007F0C96">
        <w:rPr>
          <w:rFonts w:ascii="Lato" w:hAnsi="Lato" w:cs="Calibri"/>
        </w:rPr>
        <w:t xml:space="preserve"> przesłanek ustawowych</w:t>
      </w:r>
      <w:r>
        <w:rPr>
          <w:rFonts w:ascii="Lato" w:hAnsi="Lato" w:cs="Calibri"/>
        </w:rPr>
        <w:t xml:space="preserve"> </w:t>
      </w:r>
      <w:r w:rsidRPr="007F0C96">
        <w:rPr>
          <w:rFonts w:ascii="Lato" w:hAnsi="Lato" w:cs="Calibri"/>
        </w:rPr>
        <w:t xml:space="preserve">o uznaniu cudzoziemca za obywatela polskiego z uwzględnieniem wagi podejmowanych w tym zakresie rozstrzygnięć. </w:t>
      </w:r>
    </w:p>
    <w:p w:rsidR="00313032" w:rsidRPr="009E0C36" w:rsidRDefault="00313032" w:rsidP="00313032">
      <w:pPr>
        <w:spacing w:before="120" w:after="0"/>
        <w:jc w:val="both"/>
        <w:rPr>
          <w:rFonts w:ascii="Lato" w:hAnsi="Lato" w:cs="Calibri"/>
          <w:lang w:eastAsia="pl-PL"/>
        </w:rPr>
      </w:pPr>
      <w:r w:rsidRPr="00484DA9">
        <w:rPr>
          <w:rFonts w:ascii="Lato" w:hAnsi="Lato" w:cs="Calibri"/>
        </w:rPr>
        <w:t xml:space="preserve">Niemniej jednak, za </w:t>
      </w:r>
      <w:r w:rsidRPr="00484DA9">
        <w:rPr>
          <w:rFonts w:ascii="Lato" w:hAnsi="Lato" w:cs="Calibri"/>
          <w:b/>
        </w:rPr>
        <w:t>nieprawidłowe</w:t>
      </w:r>
      <w:r w:rsidRPr="009E0C36">
        <w:rPr>
          <w:rFonts w:ascii="Lato" w:hAnsi="Lato" w:cs="Calibri"/>
          <w:b/>
        </w:rPr>
        <w:t xml:space="preserve"> </w:t>
      </w:r>
      <w:r w:rsidRPr="009E0C36">
        <w:rPr>
          <w:rFonts w:ascii="Lato" w:hAnsi="Lato" w:cs="Calibri"/>
        </w:rPr>
        <w:t xml:space="preserve">uznano stwierdzone przypadki niedotrzymania terminów załatwiania spraw, określonych w art. 35 Kpa oraz </w:t>
      </w:r>
      <w:r w:rsidRPr="009E0C36">
        <w:rPr>
          <w:rFonts w:ascii="Lato" w:hAnsi="Lato" w:cs="Calibri"/>
          <w:lang w:eastAsia="pl-PL"/>
        </w:rPr>
        <w:t xml:space="preserve">niewypełnienia obligatoryjnego obowiązku określonego w art. 36 kpa, zgodnie z którym o każdym przypadku niezałatwienia sprawy w terminie organ administracji publicznej jest obowiązany zawiadomić strony, podając przyczyny zwłoki, wskazując nowy termin załatwienia sprawy oraz pouczając o prawie do wniesienia ponaglenia. Ten sam obowiązek ciąży na organie administracji publicznej również w przypadku zwłoki w załatwieniu sprawy z przyczyn niezależnych od organu. </w:t>
      </w:r>
    </w:p>
    <w:p w:rsidR="00313032" w:rsidRDefault="00313032" w:rsidP="00313032">
      <w:pPr>
        <w:spacing w:before="120"/>
        <w:jc w:val="both"/>
        <w:rPr>
          <w:rFonts w:ascii="Lato" w:hAnsi="Lato" w:cs="Calibri"/>
        </w:rPr>
      </w:pPr>
      <w:r w:rsidRPr="009E0C36">
        <w:rPr>
          <w:rFonts w:ascii="Lato" w:hAnsi="Lato" w:cs="Calibri"/>
          <w:b/>
        </w:rPr>
        <w:t>Pozytywnie</w:t>
      </w:r>
      <w:r w:rsidRPr="009E0C36">
        <w:rPr>
          <w:rFonts w:ascii="Lato" w:hAnsi="Lato" w:cs="Calibri"/>
          <w:iCs/>
        </w:rPr>
        <w:t xml:space="preserve"> </w:t>
      </w:r>
      <w:r w:rsidRPr="00C7328F">
        <w:rPr>
          <w:rFonts w:ascii="Lato" w:hAnsi="Lato" w:cs="Calibri"/>
          <w:iCs/>
        </w:rPr>
        <w:t xml:space="preserve">oceniono obszar związany ze </w:t>
      </w:r>
      <w:r w:rsidRPr="00C7328F">
        <w:rPr>
          <w:rFonts w:ascii="Lato" w:hAnsi="Lato" w:cs="Calibri"/>
          <w:iCs/>
          <w:u w:val="single"/>
        </w:rPr>
        <w:t>s</w:t>
      </w:r>
      <w:r w:rsidRPr="00C7328F">
        <w:rPr>
          <w:rFonts w:ascii="Lato" w:hAnsi="Lato" w:cs="Calibri"/>
          <w:u w:val="single"/>
        </w:rPr>
        <w:t>prawowaniem nadzoru nad merytorycznym rozpoznawaniem spraw</w:t>
      </w:r>
      <w:r w:rsidRPr="009E0C36">
        <w:rPr>
          <w:rFonts w:ascii="Lato" w:hAnsi="Lato" w:cs="Calibri"/>
        </w:rPr>
        <w:t xml:space="preserve"> o potwierdzenie posiadania lub utraty obywatelstwa polskiego oraz o uznanie za obywatela polskiego, w tym podejmowanie działań w celu należytej realizacji zadań. </w:t>
      </w:r>
    </w:p>
    <w:p w:rsidR="00313032" w:rsidRPr="009E0C36" w:rsidRDefault="00313032" w:rsidP="00313032">
      <w:pPr>
        <w:spacing w:before="120"/>
        <w:jc w:val="both"/>
        <w:rPr>
          <w:rFonts w:ascii="Lato" w:hAnsi="Lato" w:cs="Calibri"/>
        </w:rPr>
      </w:pPr>
      <w:r w:rsidRPr="002E138B">
        <w:rPr>
          <w:rFonts w:ascii="Lato" w:hAnsi="Lato" w:cs="Calibri"/>
          <w:u w:val="single"/>
        </w:rPr>
        <w:t>Pozytywną ocenę uzasadnia</w:t>
      </w:r>
      <w:r>
        <w:rPr>
          <w:rFonts w:ascii="Lato" w:hAnsi="Lato" w:cs="Calibri"/>
          <w:u w:val="single"/>
        </w:rPr>
        <w:t>ły</w:t>
      </w:r>
      <w:r w:rsidRPr="009E0C36">
        <w:rPr>
          <w:rFonts w:ascii="Lato" w:hAnsi="Lato" w:cs="Calibri"/>
        </w:rPr>
        <w:t>: podejmowane próby zapewnienia</w:t>
      </w:r>
      <w:r>
        <w:rPr>
          <w:rFonts w:ascii="Lato" w:hAnsi="Lato" w:cs="Calibri"/>
        </w:rPr>
        <w:t xml:space="preserve"> adekwatnej do realizowanych zadań </w:t>
      </w:r>
      <w:r w:rsidRPr="009E0C36">
        <w:rPr>
          <w:rFonts w:ascii="Lato" w:hAnsi="Lato" w:cs="Calibri"/>
        </w:rPr>
        <w:t>struktury etatowej w Oddziale Obywatelstwa i Repatriacji</w:t>
      </w:r>
      <w:r w:rsidRPr="009E0C36">
        <w:rPr>
          <w:rStyle w:val="Odwoanieprzypisudolnego"/>
          <w:rFonts w:ascii="Lato" w:hAnsi="Lato" w:cs="Calibri"/>
        </w:rPr>
        <w:footnoteReference w:id="4"/>
      </w:r>
      <w:r w:rsidRPr="009E0C36">
        <w:rPr>
          <w:rFonts w:ascii="Lato" w:hAnsi="Lato" w:cs="Calibri"/>
        </w:rPr>
        <w:t>,</w:t>
      </w:r>
      <w:r>
        <w:rPr>
          <w:rFonts w:ascii="Lato" w:hAnsi="Lato" w:cs="Calibri"/>
        </w:rPr>
        <w:t xml:space="preserve"> </w:t>
      </w:r>
      <w:r w:rsidRPr="009E0C36">
        <w:rPr>
          <w:rFonts w:ascii="Lato" w:hAnsi="Lato" w:cs="Calibri"/>
        </w:rPr>
        <w:t>określenie zakresu zadań delegowanych poszczególnym pracownikom; zapewnienie ciągłości realizacji zadań poprzez ustanowienie systemu zastępstw.</w:t>
      </w:r>
    </w:p>
    <w:p w:rsidR="00313032" w:rsidRPr="009E0C36" w:rsidRDefault="00313032" w:rsidP="00313032">
      <w:pPr>
        <w:spacing w:before="120"/>
        <w:jc w:val="both"/>
        <w:rPr>
          <w:rFonts w:ascii="Lato" w:hAnsi="Lato" w:cs="Calibri"/>
        </w:rPr>
      </w:pPr>
      <w:r>
        <w:rPr>
          <w:rFonts w:ascii="Lato" w:hAnsi="Lato" w:cs="Calibri"/>
        </w:rPr>
        <w:t>Niemniej jednak s</w:t>
      </w:r>
      <w:r w:rsidRPr="009E0C36">
        <w:rPr>
          <w:rFonts w:ascii="Lato" w:hAnsi="Lato" w:cs="Calibri"/>
        </w:rPr>
        <w:t>twierdzon</w:t>
      </w:r>
      <w:r>
        <w:rPr>
          <w:rFonts w:ascii="Lato" w:hAnsi="Lato" w:cs="Calibri"/>
        </w:rPr>
        <w:t>o</w:t>
      </w:r>
      <w:r w:rsidRPr="009E0C36">
        <w:rPr>
          <w:rFonts w:ascii="Lato" w:hAnsi="Lato" w:cs="Calibri"/>
        </w:rPr>
        <w:t xml:space="preserve"> </w:t>
      </w:r>
      <w:r w:rsidRPr="009E0C36">
        <w:rPr>
          <w:rFonts w:ascii="Lato" w:hAnsi="Lato" w:cs="Calibri"/>
          <w:lang w:eastAsia="pl-PL"/>
        </w:rPr>
        <w:t xml:space="preserve">przypadki </w:t>
      </w:r>
      <w:r w:rsidRPr="00C7328F">
        <w:rPr>
          <w:rFonts w:ascii="Lato" w:hAnsi="Lato" w:cs="Calibri"/>
          <w:u w:val="single"/>
          <w:lang w:eastAsia="pl-PL"/>
        </w:rPr>
        <w:t>niewystarczającego nadzoru</w:t>
      </w:r>
      <w:r w:rsidRPr="00C7328F">
        <w:rPr>
          <w:rFonts w:ascii="Lato" w:hAnsi="Lato" w:cs="Calibri"/>
          <w:b/>
          <w:u w:val="single"/>
          <w:lang w:eastAsia="pl-PL"/>
        </w:rPr>
        <w:t xml:space="preserve"> </w:t>
      </w:r>
      <w:r w:rsidRPr="00C7328F">
        <w:rPr>
          <w:rFonts w:ascii="Lato" w:hAnsi="Lato" w:cs="Calibri"/>
          <w:u w:val="single"/>
          <w:lang w:eastAsia="pl-PL"/>
        </w:rPr>
        <w:t>nad terminową realizacją zadań</w:t>
      </w:r>
      <w:r w:rsidRPr="009E0C36">
        <w:rPr>
          <w:rFonts w:ascii="Lato" w:hAnsi="Lato" w:cs="Calibri"/>
        </w:rPr>
        <w:t xml:space="preserve"> związanych z wydawaniem rozstrzygnięć w sprawach o potwierdzenie posiadania lub utraty obywatelstwa polskiego oraz uznania za obywatela polskiego /uchybienia proceduralne/. </w:t>
      </w:r>
      <w:r>
        <w:rPr>
          <w:rFonts w:ascii="Lato" w:hAnsi="Lato" w:cs="Calibri"/>
        </w:rPr>
        <w:t xml:space="preserve">Powyższe uznano za </w:t>
      </w:r>
      <w:r w:rsidRPr="00C7328F">
        <w:rPr>
          <w:rFonts w:ascii="Lato" w:hAnsi="Lato" w:cs="Calibri"/>
          <w:b/>
        </w:rPr>
        <w:t>nieprawidłowość</w:t>
      </w:r>
      <w:r>
        <w:rPr>
          <w:rFonts w:ascii="Lato" w:hAnsi="Lato" w:cs="Calibri"/>
        </w:rPr>
        <w:t xml:space="preserve">. Jednakże nie miało to negatywnego wpływu na poziom merytoryczny wykonywanych zadań. </w:t>
      </w:r>
    </w:p>
    <w:p w:rsidR="00313032" w:rsidRPr="009E0C36" w:rsidRDefault="00313032" w:rsidP="00313032">
      <w:pPr>
        <w:spacing w:before="120"/>
        <w:jc w:val="both"/>
        <w:rPr>
          <w:rFonts w:ascii="Lato" w:hAnsi="Lato" w:cs="Calibri"/>
          <w:iCs/>
        </w:rPr>
      </w:pPr>
      <w:r>
        <w:rPr>
          <w:rFonts w:ascii="Lato" w:hAnsi="Lato" w:cs="Calibri"/>
          <w:lang w:eastAsia="pl-PL"/>
        </w:rPr>
        <w:t xml:space="preserve">Za </w:t>
      </w:r>
      <w:r w:rsidRPr="00C7328F">
        <w:rPr>
          <w:rFonts w:ascii="Lato" w:hAnsi="Lato" w:cs="Calibri"/>
          <w:b/>
          <w:lang w:eastAsia="pl-PL"/>
        </w:rPr>
        <w:t>uchybienie</w:t>
      </w:r>
      <w:r>
        <w:rPr>
          <w:rFonts w:ascii="Lato" w:hAnsi="Lato" w:cs="Calibri"/>
          <w:lang w:eastAsia="pl-PL"/>
        </w:rPr>
        <w:t xml:space="preserve"> uznano: jednostkowe przypadki </w:t>
      </w:r>
      <w:r w:rsidRPr="009E0C36">
        <w:rPr>
          <w:rFonts w:ascii="Lato" w:hAnsi="Lato" w:cs="Calibri"/>
          <w:lang w:eastAsia="pl-PL"/>
        </w:rPr>
        <w:t>brak</w:t>
      </w:r>
      <w:r>
        <w:rPr>
          <w:rFonts w:ascii="Lato" w:hAnsi="Lato" w:cs="Calibri"/>
          <w:lang w:eastAsia="pl-PL"/>
        </w:rPr>
        <w:t>u</w:t>
      </w:r>
      <w:r w:rsidRPr="009E0C36">
        <w:rPr>
          <w:rFonts w:ascii="Lato" w:hAnsi="Lato" w:cs="Calibri"/>
          <w:lang w:eastAsia="pl-PL"/>
        </w:rPr>
        <w:t xml:space="preserve"> informacji o RODO, </w:t>
      </w:r>
      <w:r w:rsidRPr="009E0C36">
        <w:rPr>
          <w:rFonts w:ascii="Lato" w:hAnsi="Lato" w:cs="Calibri"/>
        </w:rPr>
        <w:t xml:space="preserve">niezapewnienia Stronie </w:t>
      </w:r>
      <w:r>
        <w:rPr>
          <w:rFonts w:ascii="Lato" w:hAnsi="Lato" w:cs="Calibri"/>
        </w:rPr>
        <w:t xml:space="preserve">właściwej </w:t>
      </w:r>
      <w:r w:rsidRPr="009E0C36">
        <w:rPr>
          <w:rFonts w:ascii="Lato" w:hAnsi="Lato" w:cs="Calibri"/>
        </w:rPr>
        <w:t>realizacji uprawnień wynikających z art. 10 i 73 Kpa, z uwzględnieniem art. 79 a Kpa, wysłania decyzji za pośrednictwem konsula RP bez zwrotnej informacji o doręczeniu decyzji Stronie.</w:t>
      </w:r>
    </w:p>
    <w:p w:rsidR="00313032" w:rsidRPr="008C32C3" w:rsidRDefault="00313032" w:rsidP="00313032">
      <w:pPr>
        <w:spacing w:after="0"/>
        <w:jc w:val="both"/>
        <w:rPr>
          <w:rFonts w:ascii="Lato" w:hAnsi="Lato" w:cs="Calibri"/>
        </w:rPr>
      </w:pPr>
      <w:r w:rsidRPr="00CA5301">
        <w:rPr>
          <w:rFonts w:ascii="Lato" w:hAnsi="Lato" w:cs="Calibri"/>
          <w:iCs/>
        </w:rPr>
        <w:t xml:space="preserve">Obszar związany ze </w:t>
      </w:r>
      <w:r w:rsidRPr="00FD558A">
        <w:rPr>
          <w:rFonts w:ascii="Lato" w:hAnsi="Lato" w:cs="Calibri"/>
          <w:iCs/>
          <w:u w:val="single"/>
        </w:rPr>
        <w:t>s</w:t>
      </w:r>
      <w:r w:rsidRPr="00FD558A">
        <w:rPr>
          <w:rFonts w:ascii="Lato" w:hAnsi="Lato" w:cs="Calibri"/>
          <w:u w:val="single"/>
        </w:rPr>
        <w:t>prawowaniem nadzoru nad zapewni</w:t>
      </w:r>
      <w:r>
        <w:rPr>
          <w:rFonts w:ascii="Lato" w:hAnsi="Lato" w:cs="Calibri"/>
          <w:u w:val="single"/>
        </w:rPr>
        <w:t xml:space="preserve">eniem rozwiązań </w:t>
      </w:r>
      <w:r w:rsidRPr="00FD558A">
        <w:rPr>
          <w:rFonts w:ascii="Lato" w:hAnsi="Lato" w:cs="Calibri"/>
          <w:u w:val="single"/>
        </w:rPr>
        <w:t>organizacyjnych</w:t>
      </w:r>
      <w:r>
        <w:rPr>
          <w:rFonts w:ascii="Lato" w:hAnsi="Lato" w:cs="Calibri"/>
        </w:rPr>
        <w:t xml:space="preserve"> </w:t>
      </w:r>
      <w:r w:rsidRPr="00FD558A">
        <w:rPr>
          <w:rFonts w:ascii="Lato" w:hAnsi="Lato" w:cs="Calibri"/>
        </w:rPr>
        <w:t>gwarantujących</w:t>
      </w:r>
      <w:r w:rsidRPr="00CA5301">
        <w:rPr>
          <w:rFonts w:ascii="Lato" w:hAnsi="Lato" w:cs="Calibri"/>
        </w:rPr>
        <w:t xml:space="preserve"> </w:t>
      </w:r>
      <w:r>
        <w:rPr>
          <w:rFonts w:ascii="Lato" w:hAnsi="Lato" w:cs="Calibri"/>
        </w:rPr>
        <w:t xml:space="preserve">prawidłową </w:t>
      </w:r>
      <w:r w:rsidRPr="00CA5301">
        <w:rPr>
          <w:rFonts w:ascii="Lato" w:hAnsi="Lato" w:cs="Calibri"/>
        </w:rPr>
        <w:t xml:space="preserve">realizację zadań oceniono </w:t>
      </w:r>
      <w:r w:rsidRPr="00CA5301">
        <w:rPr>
          <w:rFonts w:ascii="Lato" w:hAnsi="Lato" w:cs="Calibri"/>
          <w:b/>
        </w:rPr>
        <w:t>pozytywnie</w:t>
      </w:r>
      <w:r>
        <w:rPr>
          <w:rFonts w:ascii="Lato" w:hAnsi="Lato" w:cs="Calibri"/>
          <w:b/>
        </w:rPr>
        <w:t xml:space="preserve"> </w:t>
      </w:r>
      <w:r w:rsidRPr="008C32C3">
        <w:rPr>
          <w:rFonts w:ascii="Lato" w:hAnsi="Lato" w:cs="Calibri"/>
        </w:rPr>
        <w:t>mimo stwierdzonych nieprawidłowości.</w:t>
      </w:r>
    </w:p>
    <w:p w:rsidR="00313032" w:rsidRPr="001657DB" w:rsidRDefault="00313032" w:rsidP="00313032">
      <w:pPr>
        <w:spacing w:before="120" w:after="0"/>
        <w:jc w:val="both"/>
        <w:rPr>
          <w:rFonts w:ascii="Lato" w:hAnsi="Lato" w:cs="Calibri"/>
          <w:u w:val="single"/>
        </w:rPr>
      </w:pPr>
      <w:r>
        <w:rPr>
          <w:rFonts w:ascii="Lato" w:hAnsi="Lato" w:cs="Calibri"/>
          <w:u w:val="single"/>
        </w:rPr>
        <w:t>Pozytywną ocenę uzasadniały</w:t>
      </w:r>
      <w:r w:rsidRPr="001657DB">
        <w:rPr>
          <w:rFonts w:ascii="Lato" w:hAnsi="Lato" w:cs="Calibri"/>
          <w:u w:val="single"/>
        </w:rPr>
        <w:t xml:space="preserve">: </w:t>
      </w:r>
    </w:p>
    <w:p w:rsidR="00313032" w:rsidRDefault="00313032" w:rsidP="00313032">
      <w:pPr>
        <w:spacing w:after="0"/>
        <w:jc w:val="both"/>
        <w:rPr>
          <w:rFonts w:ascii="Lato" w:hAnsi="Lato" w:cs="Calibri"/>
        </w:rPr>
      </w:pPr>
      <w:r>
        <w:rPr>
          <w:rFonts w:ascii="Lato" w:hAnsi="Lato" w:cs="Calibri"/>
        </w:rPr>
        <w:lastRenderedPageBreak/>
        <w:t xml:space="preserve">- wobec nadmiernego </w:t>
      </w:r>
      <w:r w:rsidRPr="009E0C36">
        <w:rPr>
          <w:rFonts w:ascii="Lato" w:hAnsi="Lato" w:cs="Calibri"/>
        </w:rPr>
        <w:t>obciążenia pracą i dużej rotacji pracowników</w:t>
      </w:r>
      <w:r>
        <w:rPr>
          <w:rFonts w:ascii="Lato" w:hAnsi="Lato" w:cs="Calibri"/>
        </w:rPr>
        <w:t xml:space="preserve"> podejmowane były </w:t>
      </w:r>
      <w:r w:rsidRPr="009E0C36">
        <w:rPr>
          <w:rFonts w:ascii="Lato" w:hAnsi="Lato" w:cs="Calibri"/>
        </w:rPr>
        <w:t>próby zapewnienia</w:t>
      </w:r>
      <w:r>
        <w:rPr>
          <w:rFonts w:ascii="Lato" w:hAnsi="Lato" w:cs="Calibri"/>
        </w:rPr>
        <w:t xml:space="preserve"> adekwatnej </w:t>
      </w:r>
      <w:r w:rsidRPr="009E0C36">
        <w:rPr>
          <w:rFonts w:ascii="Lato" w:hAnsi="Lato" w:cs="Calibri"/>
        </w:rPr>
        <w:t>struktury etatowej w Oddziale Obywatelstwa i Repatriacj</w:t>
      </w:r>
      <w:r>
        <w:rPr>
          <w:rFonts w:ascii="Lato" w:hAnsi="Lato" w:cs="Calibri"/>
        </w:rPr>
        <w:t xml:space="preserve">i, </w:t>
      </w:r>
    </w:p>
    <w:p w:rsidR="00313032" w:rsidRDefault="00313032" w:rsidP="00313032">
      <w:pPr>
        <w:spacing w:after="0"/>
        <w:jc w:val="both"/>
        <w:rPr>
          <w:rFonts w:ascii="Lato" w:hAnsi="Lato" w:cs="Calibri"/>
        </w:rPr>
      </w:pPr>
      <w:r>
        <w:rPr>
          <w:rFonts w:ascii="Lato" w:hAnsi="Lato" w:cs="Calibri"/>
        </w:rPr>
        <w:t xml:space="preserve">- </w:t>
      </w:r>
      <w:r w:rsidRPr="0078498F">
        <w:rPr>
          <w:rFonts w:ascii="Lato" w:hAnsi="Lato" w:cs="Calibri"/>
        </w:rPr>
        <w:t>określenie zakresu zadań delegowanych poszczególnym pracownikom</w:t>
      </w:r>
      <w:r>
        <w:rPr>
          <w:rFonts w:ascii="Lato" w:hAnsi="Lato" w:cs="Calibri"/>
        </w:rPr>
        <w:t>,</w:t>
      </w:r>
    </w:p>
    <w:p w:rsidR="00313032" w:rsidRDefault="00313032" w:rsidP="00313032">
      <w:pPr>
        <w:spacing w:after="0"/>
        <w:jc w:val="both"/>
        <w:rPr>
          <w:rFonts w:ascii="Lato" w:hAnsi="Lato" w:cs="Calibri"/>
        </w:rPr>
      </w:pPr>
      <w:r>
        <w:rPr>
          <w:rFonts w:ascii="Lato" w:hAnsi="Lato" w:cs="Calibri"/>
        </w:rPr>
        <w:t xml:space="preserve">- </w:t>
      </w:r>
      <w:r w:rsidRPr="0078498F">
        <w:rPr>
          <w:rFonts w:ascii="Lato" w:hAnsi="Lato" w:cs="Calibri"/>
        </w:rPr>
        <w:t xml:space="preserve">zapewnienie ciągłości realizacji zadań poprzez ustanowienie systemu zastępstw, </w:t>
      </w:r>
    </w:p>
    <w:p w:rsidR="00313032" w:rsidRDefault="00313032" w:rsidP="00313032">
      <w:pPr>
        <w:spacing w:after="0"/>
        <w:jc w:val="both"/>
        <w:rPr>
          <w:rFonts w:ascii="Lato" w:hAnsi="Lato" w:cs="Calibri"/>
        </w:rPr>
      </w:pPr>
      <w:r>
        <w:rPr>
          <w:rFonts w:ascii="Lato" w:hAnsi="Lato" w:cs="Calibri"/>
        </w:rPr>
        <w:t xml:space="preserve">- powołanie dwóch zespołów pracowników odpowiedzialnych za określony rodzaj postępowań, których prace koordynują wyznaczeni koordynatorzy, </w:t>
      </w:r>
    </w:p>
    <w:p w:rsidR="00313032" w:rsidRDefault="00313032" w:rsidP="00313032">
      <w:pPr>
        <w:spacing w:after="0"/>
        <w:jc w:val="both"/>
        <w:rPr>
          <w:rFonts w:ascii="Lato" w:hAnsi="Lato" w:cs="Calibri"/>
        </w:rPr>
      </w:pPr>
      <w:r>
        <w:rPr>
          <w:rFonts w:ascii="Lato" w:hAnsi="Lato" w:cs="Calibri"/>
        </w:rPr>
        <w:t xml:space="preserve">- </w:t>
      </w:r>
      <w:r w:rsidRPr="0078498F">
        <w:rPr>
          <w:rFonts w:ascii="Lato" w:hAnsi="Lato" w:cs="Calibri"/>
        </w:rPr>
        <w:t>podnoszenie kwalifikacji pracowników poprzez szkolenia tematyczne</w:t>
      </w:r>
      <w:r>
        <w:rPr>
          <w:rFonts w:ascii="Lato" w:hAnsi="Lato" w:cs="Calibri"/>
        </w:rPr>
        <w:t>,</w:t>
      </w:r>
    </w:p>
    <w:p w:rsidR="00313032" w:rsidRDefault="00313032" w:rsidP="00313032">
      <w:pPr>
        <w:spacing w:after="0"/>
        <w:jc w:val="both"/>
        <w:rPr>
          <w:rFonts w:ascii="Lato" w:hAnsi="Lato" w:cs="Calibri"/>
        </w:rPr>
      </w:pPr>
      <w:r>
        <w:rPr>
          <w:rFonts w:ascii="Lato" w:hAnsi="Lato" w:cs="Calibri"/>
        </w:rPr>
        <w:t xml:space="preserve">- </w:t>
      </w:r>
      <w:r w:rsidRPr="0078498F">
        <w:rPr>
          <w:rFonts w:ascii="Lato" w:hAnsi="Lato" w:cs="Calibri"/>
        </w:rPr>
        <w:t>prowadz</w:t>
      </w:r>
      <w:r>
        <w:rPr>
          <w:rFonts w:ascii="Lato" w:hAnsi="Lato" w:cs="Calibri"/>
        </w:rPr>
        <w:t xml:space="preserve">ony </w:t>
      </w:r>
      <w:r w:rsidRPr="0078498F">
        <w:rPr>
          <w:rFonts w:ascii="Lato" w:hAnsi="Lato" w:cs="Calibri"/>
        </w:rPr>
        <w:t xml:space="preserve">rejestr </w:t>
      </w:r>
      <w:r>
        <w:rPr>
          <w:rFonts w:ascii="Lato" w:hAnsi="Lato" w:cs="Calibri"/>
        </w:rPr>
        <w:t>t</w:t>
      </w:r>
      <w:r w:rsidRPr="0078498F">
        <w:rPr>
          <w:rFonts w:ascii="Lato" w:hAnsi="Lato" w:cs="Calibri"/>
        </w:rPr>
        <w:t>ematyczn</w:t>
      </w:r>
      <w:r>
        <w:rPr>
          <w:rFonts w:ascii="Lato" w:hAnsi="Lato" w:cs="Calibri"/>
        </w:rPr>
        <w:t>y</w:t>
      </w:r>
      <w:r w:rsidRPr="0078498F">
        <w:rPr>
          <w:rFonts w:ascii="Lato" w:hAnsi="Lato" w:cs="Calibri"/>
        </w:rPr>
        <w:t xml:space="preserve"> wniosków w </w:t>
      </w:r>
      <w:r>
        <w:rPr>
          <w:rFonts w:ascii="Lato" w:hAnsi="Lato" w:cs="Calibri"/>
        </w:rPr>
        <w:t xml:space="preserve">portalu cudzoziemca </w:t>
      </w:r>
      <w:proofErr w:type="spellStart"/>
      <w:r>
        <w:rPr>
          <w:rFonts w:ascii="Lato" w:hAnsi="Lato" w:cs="Calibri"/>
        </w:rPr>
        <w:t>inPOL</w:t>
      </w:r>
      <w:proofErr w:type="spellEnd"/>
      <w:r>
        <w:rPr>
          <w:rFonts w:ascii="Lato" w:hAnsi="Lato" w:cs="Calibri"/>
        </w:rPr>
        <w:t xml:space="preserve"> oraz przygotowywanie na jego podstawie cyklicznych lub doraźnych statystyk i raportów, </w:t>
      </w:r>
      <w:r w:rsidRPr="0078498F">
        <w:rPr>
          <w:rFonts w:ascii="Lato" w:hAnsi="Lato" w:cs="Calibri"/>
        </w:rPr>
        <w:t>jako narzędzi</w:t>
      </w:r>
      <w:r>
        <w:rPr>
          <w:rFonts w:ascii="Lato" w:hAnsi="Lato" w:cs="Calibri"/>
        </w:rPr>
        <w:t>a</w:t>
      </w:r>
      <w:r w:rsidRPr="0078498F">
        <w:rPr>
          <w:rFonts w:ascii="Lato" w:hAnsi="Lato" w:cs="Calibri"/>
        </w:rPr>
        <w:t xml:space="preserve"> wspomagające nadzór nad </w:t>
      </w:r>
      <w:r>
        <w:rPr>
          <w:rFonts w:ascii="Lato" w:hAnsi="Lato" w:cs="Calibri"/>
        </w:rPr>
        <w:t xml:space="preserve">terminowością i prawidłowością </w:t>
      </w:r>
      <w:r w:rsidRPr="0078498F">
        <w:rPr>
          <w:rFonts w:ascii="Lato" w:hAnsi="Lato" w:cs="Calibri"/>
        </w:rPr>
        <w:t>spraw realizowany</w:t>
      </w:r>
      <w:r>
        <w:rPr>
          <w:rFonts w:ascii="Lato" w:hAnsi="Lato" w:cs="Calibri"/>
        </w:rPr>
        <w:t>ch</w:t>
      </w:r>
      <w:r w:rsidRPr="0078498F">
        <w:rPr>
          <w:rFonts w:ascii="Lato" w:hAnsi="Lato" w:cs="Calibri"/>
        </w:rPr>
        <w:t xml:space="preserve"> przez poszczególnych referentów. </w:t>
      </w:r>
    </w:p>
    <w:p w:rsidR="00313032" w:rsidRDefault="00313032" w:rsidP="00313032">
      <w:pPr>
        <w:spacing w:before="120" w:after="0"/>
        <w:jc w:val="both"/>
        <w:rPr>
          <w:rFonts w:ascii="Lato" w:hAnsi="Lato"/>
        </w:rPr>
      </w:pPr>
      <w:r>
        <w:rPr>
          <w:rFonts w:ascii="Lato" w:hAnsi="Lato"/>
        </w:rPr>
        <w:t xml:space="preserve">Tym niemniej ustalono, że struktura etatowa w Oddziale do Spraw Obywatelstwa i Repatriacji nie była adekwatna do ilości i stopnia skomplikowania realizowanych zadań </w:t>
      </w:r>
      <w:r>
        <w:rPr>
          <w:rFonts w:ascii="Lato" w:hAnsi="Lato" w:cs="Calibri"/>
          <w:lang w:eastAsia="pl-PL"/>
        </w:rPr>
        <w:t>oraz szerokiego zakresu powierzonych spraw</w:t>
      </w:r>
      <w:r>
        <w:rPr>
          <w:rFonts w:ascii="Lato" w:hAnsi="Lato"/>
        </w:rPr>
        <w:t>, co wynikało z przyczyn niezależnych od kierownictwa WSC. W kontrolowanym okresie, miały bowiem miejsce zmiany kadrowe, które wpłynęły na efektywność pracy Oddziału, w tym wykonywanie zadań związanych z potwierdzaniem posiadania lub utraty obywatelstwa polskiego oraz uznania za obywatela polskiego.</w:t>
      </w:r>
    </w:p>
    <w:p w:rsidR="00313032" w:rsidRDefault="00313032" w:rsidP="00313032">
      <w:pPr>
        <w:spacing w:before="120"/>
        <w:jc w:val="both"/>
        <w:rPr>
          <w:rFonts w:ascii="Lato" w:hAnsi="Lato" w:cs="Calibri"/>
          <w:iCs/>
          <w:u w:val="single"/>
        </w:rPr>
      </w:pPr>
      <w:r>
        <w:rPr>
          <w:rFonts w:ascii="Lato" w:hAnsi="Lato"/>
        </w:rPr>
        <w:t xml:space="preserve">Powyższe okoliczności miały bezpośredni wpływ na stwierdzone w badanym okresie nieprawidłowości, polegające na  </w:t>
      </w:r>
      <w:r>
        <w:rPr>
          <w:rFonts w:ascii="Lato" w:hAnsi="Lato" w:cs="Calibri"/>
          <w:iCs/>
        </w:rPr>
        <w:t xml:space="preserve">niewystarczającym nadzorze nad przestrzeganiem przepisów Kpa w zakresie terminowego załatwiania spraw oraz zapewnienia stronom realizacji uprawnień wynikających z art. 10 w zw. z art. 79a Kpa. </w:t>
      </w:r>
      <w:r w:rsidRPr="001657DB">
        <w:rPr>
          <w:rFonts w:ascii="Lato" w:hAnsi="Lato" w:cs="Calibri"/>
          <w:iCs/>
          <w:u w:val="single"/>
        </w:rPr>
        <w:t>Nie miało to jednakże negatywnego wpływu na poziom merytoryczny wykonywanych zadań.</w:t>
      </w:r>
    </w:p>
    <w:p w:rsidR="00313032" w:rsidRPr="00EA693C" w:rsidRDefault="00313032" w:rsidP="00313032">
      <w:pPr>
        <w:spacing w:after="120" w:line="276" w:lineRule="auto"/>
        <w:jc w:val="both"/>
        <w:rPr>
          <w:rFonts w:ascii="Lato" w:hAnsi="Lato"/>
          <w:b/>
        </w:rPr>
      </w:pPr>
      <w:r w:rsidRPr="00EA693C">
        <w:rPr>
          <w:rFonts w:ascii="Lato" w:hAnsi="Lato"/>
          <w:b/>
        </w:rPr>
        <w:t>VII. Wnioski i zalecenia pokontrolne</w:t>
      </w:r>
    </w:p>
    <w:p w:rsidR="00313032" w:rsidRPr="00EA693C" w:rsidRDefault="00313032" w:rsidP="00313032">
      <w:pPr>
        <w:spacing w:after="120" w:line="276" w:lineRule="auto"/>
        <w:jc w:val="both"/>
        <w:rPr>
          <w:rFonts w:ascii="Lato" w:hAnsi="Lato"/>
        </w:rPr>
      </w:pPr>
      <w:r w:rsidRPr="00EA693C">
        <w:rPr>
          <w:rFonts w:ascii="Lato" w:hAnsi="Lato"/>
        </w:rPr>
        <w:t>W celu wyeliminowania stwierdzonych w toku kontroli uchybień oraz usprawnienia funkcjonowania jednostki kontrolowanej wnioskowano o:</w:t>
      </w:r>
    </w:p>
    <w:p w:rsidR="00313032" w:rsidRPr="00054E5A" w:rsidRDefault="00313032" w:rsidP="00313032">
      <w:pPr>
        <w:suppressAutoHyphens/>
        <w:spacing w:before="120"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1. </w:t>
      </w:r>
      <w:r w:rsidRPr="00054E5A">
        <w:rPr>
          <w:rFonts w:ascii="Lato" w:hAnsi="Lato"/>
        </w:rPr>
        <w:t xml:space="preserve">Zagwarantowanie stronom prowadzonych postępowań </w:t>
      </w:r>
      <w:r w:rsidRPr="00054E5A">
        <w:rPr>
          <w:rFonts w:ascii="Lato" w:hAnsi="Lato" w:cs="Calibri"/>
          <w:color w:val="000000"/>
          <w:lang w:eastAsia="ar-SA"/>
        </w:rPr>
        <w:t>o potwierdzenie posiadania lub utraty obywatelstwa polskiego oraz o uznanie za obywatela polskiego</w:t>
      </w:r>
      <w:r w:rsidRPr="00054E5A">
        <w:rPr>
          <w:rFonts w:ascii="Lato" w:hAnsi="Lato"/>
        </w:rPr>
        <w:t xml:space="preserve"> realizacji uprawnień wynikających z zasady czynnego udziału strony w postępowaniu zgodnie z art. 10 w związku z art. 79a Kpa, a w szczególności przed wydaniem decyzji niezgodnej z żą</w:t>
      </w:r>
      <w:r>
        <w:rPr>
          <w:rFonts w:ascii="Lato" w:hAnsi="Lato"/>
        </w:rPr>
        <w:t>daniem strony.</w:t>
      </w:r>
    </w:p>
    <w:p w:rsidR="00313032" w:rsidRPr="00054E5A" w:rsidRDefault="00313032" w:rsidP="00313032">
      <w:pPr>
        <w:suppressAutoHyphens/>
        <w:spacing w:before="120"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>2. Pełną realizację obowiązku informacyjnego o RODO.</w:t>
      </w:r>
      <w:r w:rsidRPr="00054E5A">
        <w:rPr>
          <w:rFonts w:ascii="Lato" w:hAnsi="Lato"/>
        </w:rPr>
        <w:t xml:space="preserve">  </w:t>
      </w:r>
    </w:p>
    <w:p w:rsidR="00313032" w:rsidRPr="00054E5A" w:rsidRDefault="00313032" w:rsidP="00313032">
      <w:pPr>
        <w:suppressAutoHyphens/>
        <w:spacing w:before="120" w:after="0"/>
        <w:jc w:val="both"/>
        <w:rPr>
          <w:rFonts w:ascii="Lato" w:hAnsi="Lato"/>
        </w:rPr>
      </w:pPr>
      <w:r>
        <w:rPr>
          <w:rFonts w:ascii="Lato" w:hAnsi="Lato"/>
        </w:rPr>
        <w:t xml:space="preserve">3. </w:t>
      </w:r>
      <w:r w:rsidRPr="00054E5A">
        <w:rPr>
          <w:rFonts w:ascii="Lato" w:hAnsi="Lato"/>
        </w:rPr>
        <w:t>Wprowadzeni</w:t>
      </w:r>
      <w:r>
        <w:rPr>
          <w:rFonts w:ascii="Lato" w:hAnsi="Lato"/>
        </w:rPr>
        <w:t>e</w:t>
      </w:r>
      <w:r w:rsidRPr="00054E5A">
        <w:rPr>
          <w:rFonts w:ascii="Lato" w:hAnsi="Lato"/>
        </w:rPr>
        <w:t xml:space="preserve"> rozwiązań umożliwiających załatwianie spraw w wyznaczonych terminach, zgodnie z art. 35 § 3 Kodeksu postępowania administracyjnego oraz zawiadamianie stron o każdym przypadku niezałatwienia sprawy w terminie z podaniem przyczyny zwłoki, wskazaniem nowego terminu załatwienia sprawy oraz pouczeniem o prawie do wniesienia ponaglenia. </w:t>
      </w:r>
    </w:p>
    <w:p w:rsidR="00313032" w:rsidRDefault="00313032" w:rsidP="00313032">
      <w:pPr>
        <w:suppressAutoHyphens/>
        <w:spacing w:before="120" w:after="0"/>
        <w:jc w:val="both"/>
        <w:rPr>
          <w:rFonts w:ascii="Lato" w:hAnsi="Lato"/>
        </w:rPr>
      </w:pPr>
      <w:r>
        <w:rPr>
          <w:rFonts w:ascii="Lato" w:hAnsi="Lato"/>
        </w:rPr>
        <w:t xml:space="preserve">4. Monitorowanie skuteczności doręczania stronom rozstrzygnięć organu w sprawach prowadzonych za pośrednictwem polskich urzędów konsularnych. Ma to </w:t>
      </w:r>
      <w:r>
        <w:rPr>
          <w:rFonts w:ascii="Lato" w:hAnsi="Lato"/>
        </w:rPr>
        <w:lastRenderedPageBreak/>
        <w:t>doniosłe znaczenie w procedurze administracyjnej, ponieważ s</w:t>
      </w:r>
      <w:r w:rsidRPr="00054E5A">
        <w:rPr>
          <w:rFonts w:ascii="Lato" w:hAnsi="Lato" w:cs="Arial"/>
          <w:color w:val="202124"/>
          <w:shd w:val="clear" w:color="auto" w:fill="FFFFFF"/>
        </w:rPr>
        <w:t xml:space="preserve">kuteczne doręczenie decyzji jest warunkiem jej wejścia do obrotu prawnego, a </w:t>
      </w:r>
      <w:r>
        <w:rPr>
          <w:rFonts w:ascii="Lato" w:hAnsi="Lato" w:cs="Arial"/>
          <w:color w:val="202124"/>
          <w:shd w:val="clear" w:color="auto" w:fill="FFFFFF"/>
        </w:rPr>
        <w:t xml:space="preserve">w konsekwencji </w:t>
      </w:r>
      <w:r w:rsidRPr="00054E5A">
        <w:rPr>
          <w:rFonts w:ascii="Lato" w:hAnsi="Lato" w:cs="Arial"/>
          <w:color w:val="202124"/>
          <w:shd w:val="clear" w:color="auto" w:fill="FFFFFF"/>
        </w:rPr>
        <w:t>– wywoływania przez nią skutków prawnych</w:t>
      </w:r>
      <w:r>
        <w:rPr>
          <w:rFonts w:ascii="Lato" w:hAnsi="Lato" w:cs="Arial"/>
          <w:color w:val="202124"/>
          <w:shd w:val="clear" w:color="auto" w:fill="FFFFFF"/>
        </w:rPr>
        <w:t xml:space="preserve">. </w:t>
      </w:r>
    </w:p>
    <w:p w:rsidR="00313032" w:rsidRPr="00054E5A" w:rsidRDefault="00313032" w:rsidP="00313032">
      <w:pPr>
        <w:suppressAutoHyphens/>
        <w:spacing w:before="120" w:after="0"/>
        <w:jc w:val="both"/>
        <w:rPr>
          <w:rFonts w:ascii="Lato" w:hAnsi="Lato"/>
        </w:rPr>
      </w:pPr>
      <w:r>
        <w:rPr>
          <w:rFonts w:ascii="Lato" w:hAnsi="Lato"/>
        </w:rPr>
        <w:t xml:space="preserve">5. </w:t>
      </w:r>
      <w:r w:rsidRPr="00054E5A">
        <w:rPr>
          <w:rFonts w:ascii="Lato" w:hAnsi="Lato"/>
        </w:rPr>
        <w:t xml:space="preserve">Podjęcie działań zmierzających do zwiększenia struktury etatowej w Oddziale do Spraw Obywatelstwa i Repatriacji, która </w:t>
      </w:r>
      <w:r>
        <w:rPr>
          <w:rFonts w:ascii="Lato" w:hAnsi="Lato"/>
        </w:rPr>
        <w:t xml:space="preserve">obecnie </w:t>
      </w:r>
      <w:r w:rsidRPr="00054E5A">
        <w:rPr>
          <w:rFonts w:ascii="Lato" w:hAnsi="Lato"/>
        </w:rPr>
        <w:t xml:space="preserve">nie jest adekwatna do ilości i stopnia trudności realizowanych zadań </w:t>
      </w:r>
      <w:r w:rsidRPr="00054E5A">
        <w:rPr>
          <w:rFonts w:ascii="Lato" w:hAnsi="Lato" w:cs="Calibri"/>
          <w:lang w:eastAsia="pl-PL"/>
        </w:rPr>
        <w:t xml:space="preserve">oraz szerokiego zakresu powierzonych spraw, co ma niewątpliwie bezpośredni wpływ na zachowanie terminów wynikających z Kpa w załatwianiu spraw. </w:t>
      </w:r>
    </w:p>
    <w:p w:rsidR="00313032" w:rsidRPr="005C13B8" w:rsidRDefault="00313032" w:rsidP="00313032">
      <w:pPr>
        <w:suppressAutoHyphens/>
        <w:spacing w:before="120" w:after="0"/>
        <w:jc w:val="both"/>
        <w:rPr>
          <w:rFonts w:ascii="Lato" w:hAnsi="Lato"/>
        </w:rPr>
      </w:pPr>
      <w:r>
        <w:rPr>
          <w:rFonts w:ascii="Lato" w:hAnsi="Lato"/>
        </w:rPr>
        <w:t xml:space="preserve">6. </w:t>
      </w:r>
      <w:r w:rsidRPr="005C13B8">
        <w:rPr>
          <w:rFonts w:ascii="Lato" w:hAnsi="Lato"/>
        </w:rPr>
        <w:t xml:space="preserve">Kontynuację szkoleń, warsztatów lub spotkań roboczych w celu pogłębiania wiedzy pracowników z zakresu przepisów ustaw o obywatelskie polskim i Kpa oraz aktualnego orzecznictwa </w:t>
      </w:r>
      <w:proofErr w:type="spellStart"/>
      <w:r w:rsidRPr="005C13B8">
        <w:rPr>
          <w:rFonts w:ascii="Lato" w:hAnsi="Lato"/>
        </w:rPr>
        <w:t>sądowoadministracyjnego</w:t>
      </w:r>
      <w:proofErr w:type="spellEnd"/>
      <w:r w:rsidRPr="005C13B8">
        <w:rPr>
          <w:rFonts w:ascii="Lato" w:hAnsi="Lato"/>
        </w:rPr>
        <w:t xml:space="preserve"> w </w:t>
      </w:r>
      <w:r>
        <w:rPr>
          <w:rFonts w:ascii="Lato" w:hAnsi="Lato"/>
        </w:rPr>
        <w:t xml:space="preserve">sprawach o nabycie i potwierdzenie obywatelstwa polskiego w celu zachowania </w:t>
      </w:r>
      <w:r w:rsidRPr="005C13B8">
        <w:rPr>
          <w:rFonts w:ascii="Lato" w:hAnsi="Lato"/>
        </w:rPr>
        <w:t xml:space="preserve">jednolitej wykładni przepisów. </w:t>
      </w:r>
    </w:p>
    <w:p w:rsidR="00313032" w:rsidRDefault="00313032" w:rsidP="00313032">
      <w:pPr>
        <w:spacing w:after="0" w:line="276" w:lineRule="auto"/>
        <w:jc w:val="both"/>
        <w:rPr>
          <w:rFonts w:ascii="Lato" w:hAnsi="Lato"/>
          <w:b/>
        </w:rPr>
      </w:pPr>
    </w:p>
    <w:p w:rsidR="00313032" w:rsidRDefault="00313032" w:rsidP="00313032">
      <w:pPr>
        <w:spacing w:after="0" w:line="276" w:lineRule="auto"/>
        <w:jc w:val="both"/>
        <w:rPr>
          <w:rFonts w:ascii="Lato" w:hAnsi="Lato"/>
          <w:b/>
        </w:rPr>
      </w:pPr>
    </w:p>
    <w:p w:rsidR="00DC6628" w:rsidRDefault="00DC6628" w:rsidP="00DC6628">
      <w:pPr>
        <w:spacing w:after="120" w:line="276" w:lineRule="auto"/>
        <w:jc w:val="both"/>
        <w:rPr>
          <w:rFonts w:ascii="Lato" w:hAnsi="Lato"/>
          <w:b/>
        </w:rPr>
      </w:pPr>
    </w:p>
    <w:sectPr w:rsidR="00DC6628" w:rsidSect="00C6421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113" w:right="1985" w:bottom="1985" w:left="1985" w:header="709" w:footer="7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4C0" w:rsidRDefault="005734C0" w:rsidP="00DC6628">
      <w:pPr>
        <w:spacing w:after="0" w:line="240" w:lineRule="auto"/>
      </w:pPr>
      <w:r>
        <w:separator/>
      </w:r>
    </w:p>
  </w:endnote>
  <w:endnote w:type="continuationSeparator" w:id="0">
    <w:p w:rsidR="005734C0" w:rsidRDefault="005734C0" w:rsidP="00DC6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16500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E5D5D" w:rsidRPr="0035672F" w:rsidRDefault="006A44F8" w:rsidP="000E5D5D">
            <w:pPr>
              <w:pStyle w:val="Stopka"/>
              <w:tabs>
                <w:tab w:val="clear" w:pos="4536"/>
                <w:tab w:val="clear" w:pos="9072"/>
                <w:tab w:val="left" w:pos="3119"/>
              </w:tabs>
              <w:contextualSpacing/>
              <w:rPr>
                <w:rFonts w:ascii="Lato" w:hAnsi="Lato"/>
                <w:sz w:val="14"/>
                <w:szCs w:val="16"/>
              </w:rPr>
            </w:pPr>
            <w:r w:rsidRPr="0035672F">
              <w:rPr>
                <w:rFonts w:ascii="Lato" w:hAnsi="Lato"/>
                <w:noProof/>
                <w:sz w:val="14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3F94A5" wp14:editId="60367440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11430</wp:posOffset>
                      </wp:positionV>
                      <wp:extent cx="5039995" cy="0"/>
                      <wp:effectExtent l="0" t="0" r="27305" b="19050"/>
                      <wp:wrapNone/>
                      <wp:docPr id="13" name="Łącznik prosty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399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C96DED" id="Łącznik prosty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9pt" to="396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35672F">
              <w:rPr>
                <w:rFonts w:ascii="Lato" w:hAnsi="Lato"/>
                <w:sz w:val="14"/>
                <w:szCs w:val="16"/>
              </w:rPr>
              <w:t xml:space="preserve">                                                   </w:t>
            </w:r>
            <w:r>
              <w:rPr>
                <w:rFonts w:ascii="Lato" w:hAnsi="Lato"/>
                <w:sz w:val="14"/>
                <w:szCs w:val="16"/>
              </w:rPr>
              <w:t xml:space="preserve">                                                                                   </w:t>
            </w:r>
            <w:r w:rsidRPr="00DA6665">
              <w:rPr>
                <w:rFonts w:ascii="Lato" w:hAnsi="Lato"/>
                <w:sz w:val="14"/>
                <w:szCs w:val="16"/>
              </w:rPr>
              <w:t xml:space="preserve">Ministerstwo Spraw Wewnętrznych i Administracji  </w:t>
            </w:r>
          </w:p>
          <w:p w:rsidR="000E5D5D" w:rsidRPr="0035672F" w:rsidRDefault="006A44F8" w:rsidP="000E5D5D">
            <w:pPr>
              <w:pStyle w:val="Stopka"/>
              <w:tabs>
                <w:tab w:val="clear" w:pos="4536"/>
                <w:tab w:val="clear" w:pos="9072"/>
                <w:tab w:val="left" w:pos="5954"/>
              </w:tabs>
              <w:contextualSpacing/>
              <w:rPr>
                <w:rFonts w:ascii="Lato" w:hAnsi="Lato"/>
                <w:sz w:val="14"/>
                <w:szCs w:val="16"/>
              </w:rPr>
            </w:pPr>
            <w:r>
              <w:rPr>
                <w:rFonts w:ascii="Lato" w:hAnsi="Lato"/>
                <w:sz w:val="14"/>
                <w:szCs w:val="16"/>
              </w:rPr>
              <w:t xml:space="preserve">telefon: +48 22 60 139 35                                                                                                          </w:t>
            </w:r>
            <w:r w:rsidRPr="0035672F">
              <w:rPr>
                <w:rFonts w:ascii="Lato" w:hAnsi="Lato"/>
                <w:sz w:val="14"/>
                <w:szCs w:val="16"/>
              </w:rPr>
              <w:t>Departament Obywatelstwa i Repatriacji</w:t>
            </w:r>
          </w:p>
          <w:p w:rsidR="000E5D5D" w:rsidRPr="0035672F" w:rsidRDefault="006A44F8" w:rsidP="000E5D5D">
            <w:pPr>
              <w:pStyle w:val="Stopka"/>
              <w:tabs>
                <w:tab w:val="clear" w:pos="4536"/>
                <w:tab w:val="clear" w:pos="9072"/>
                <w:tab w:val="left" w:pos="5954"/>
              </w:tabs>
              <w:contextualSpacing/>
              <w:rPr>
                <w:rFonts w:ascii="Lato" w:hAnsi="Lato"/>
                <w:sz w:val="14"/>
                <w:szCs w:val="16"/>
              </w:rPr>
            </w:pPr>
            <w:r w:rsidRPr="0035672F">
              <w:rPr>
                <w:rFonts w:ascii="Lato" w:hAnsi="Lato"/>
                <w:sz w:val="14"/>
                <w:szCs w:val="16"/>
              </w:rPr>
              <w:t xml:space="preserve">adres email: </w:t>
            </w:r>
            <w:hyperlink r:id="rId1" w:history="1">
              <w:r w:rsidRPr="000D5380">
                <w:rPr>
                  <w:rStyle w:val="Hipercze"/>
                  <w:rFonts w:ascii="Lato" w:hAnsi="Lato"/>
                  <w:sz w:val="14"/>
                  <w:szCs w:val="16"/>
                </w:rPr>
                <w:t>obywatelstwo@mswia.gov.pl</w:t>
              </w:r>
            </w:hyperlink>
            <w:r w:rsidRPr="0035672F">
              <w:rPr>
                <w:rFonts w:ascii="Lato" w:hAnsi="Lato"/>
                <w:sz w:val="14"/>
                <w:szCs w:val="16"/>
              </w:rPr>
              <w:t xml:space="preserve"> </w:t>
            </w:r>
            <w:r w:rsidRPr="0035672F">
              <w:rPr>
                <w:rFonts w:ascii="Lato" w:hAnsi="Lato"/>
                <w:sz w:val="14"/>
                <w:szCs w:val="16"/>
              </w:rPr>
              <w:tab/>
            </w:r>
            <w:r>
              <w:rPr>
                <w:rFonts w:ascii="Lato" w:hAnsi="Lato"/>
                <w:sz w:val="14"/>
                <w:szCs w:val="16"/>
              </w:rPr>
              <w:t xml:space="preserve">                 </w:t>
            </w:r>
            <w:r w:rsidRPr="0035672F">
              <w:rPr>
                <w:rFonts w:ascii="Lato" w:hAnsi="Lato"/>
                <w:sz w:val="14"/>
                <w:szCs w:val="16"/>
              </w:rPr>
              <w:t>ul. Stefana Batorego 5</w:t>
            </w:r>
          </w:p>
          <w:p w:rsidR="000E5D5D" w:rsidRPr="0035672F" w:rsidRDefault="005734C0" w:rsidP="000E5D5D">
            <w:pPr>
              <w:pStyle w:val="Stopka"/>
              <w:contextualSpacing/>
              <w:rPr>
                <w:rFonts w:ascii="Lato" w:hAnsi="Lato"/>
                <w:sz w:val="14"/>
                <w:szCs w:val="16"/>
              </w:rPr>
            </w:pPr>
            <w:hyperlink r:id="rId2" w:history="1">
              <w:r w:rsidR="006A44F8" w:rsidRPr="0035672F">
                <w:rPr>
                  <w:rStyle w:val="Hipercze"/>
                  <w:rFonts w:ascii="Lato" w:hAnsi="Lato"/>
                  <w:sz w:val="14"/>
                  <w:szCs w:val="16"/>
                </w:rPr>
                <w:t>gov.pl/</w:t>
              </w:r>
              <w:proofErr w:type="spellStart"/>
              <w:r w:rsidR="006A44F8" w:rsidRPr="0035672F">
                <w:rPr>
                  <w:rStyle w:val="Hipercze"/>
                  <w:rFonts w:ascii="Lato" w:hAnsi="Lato"/>
                  <w:sz w:val="14"/>
                  <w:szCs w:val="16"/>
                </w:rPr>
                <w:t>mswia</w:t>
              </w:r>
              <w:proofErr w:type="spellEnd"/>
            </w:hyperlink>
            <w:r w:rsidR="006A44F8">
              <w:rPr>
                <w:rStyle w:val="Hipercze"/>
                <w:rFonts w:ascii="Lato" w:hAnsi="Lato"/>
                <w:sz w:val="14"/>
                <w:szCs w:val="16"/>
              </w:rPr>
              <w:t xml:space="preserve"> </w:t>
            </w:r>
            <w:r w:rsidR="006A44F8">
              <w:rPr>
                <w:rStyle w:val="Hipercze"/>
                <w:rFonts w:ascii="Lato" w:hAnsi="Lato"/>
                <w:sz w:val="14"/>
                <w:szCs w:val="16"/>
                <w:u w:val="none"/>
              </w:rPr>
              <w:t xml:space="preserve">                                                                                                                                                        </w:t>
            </w:r>
            <w:r w:rsidR="006A44F8" w:rsidRPr="0035672F">
              <w:rPr>
                <w:rFonts w:ascii="Lato" w:hAnsi="Lato"/>
                <w:sz w:val="14"/>
                <w:szCs w:val="16"/>
              </w:rPr>
              <w:t>02-591 Warszawa, Polska</w:t>
            </w:r>
          </w:p>
          <w:p w:rsidR="00D33A1B" w:rsidRPr="000E5D5D" w:rsidRDefault="006A44F8" w:rsidP="000E5D5D">
            <w:pPr>
              <w:pStyle w:val="Stopka"/>
              <w:tabs>
                <w:tab w:val="clear" w:pos="4536"/>
                <w:tab w:val="clear" w:pos="9072"/>
                <w:tab w:val="left" w:pos="5954"/>
              </w:tabs>
              <w:ind w:right="-2"/>
              <w:jc w:val="center"/>
            </w:pPr>
            <w:r w:rsidRPr="00A169EB">
              <w:rPr>
                <w:rFonts w:ascii="Lato" w:hAnsi="Lato"/>
                <w:sz w:val="14"/>
                <w:szCs w:val="14"/>
              </w:rPr>
              <w:t xml:space="preserve">Strona </w:t>
            </w:r>
            <w:r w:rsidRPr="00A169EB">
              <w:rPr>
                <w:rFonts w:ascii="Lato" w:hAnsi="Lato"/>
                <w:bCs/>
                <w:sz w:val="14"/>
                <w:szCs w:val="14"/>
              </w:rPr>
              <w:fldChar w:fldCharType="begin"/>
            </w:r>
            <w:r w:rsidRPr="00A169EB">
              <w:rPr>
                <w:rFonts w:ascii="Lato" w:hAnsi="Lato"/>
                <w:bCs/>
                <w:sz w:val="14"/>
                <w:szCs w:val="14"/>
              </w:rPr>
              <w:instrText>PAGE</w:instrText>
            </w:r>
            <w:r w:rsidRPr="00A169EB">
              <w:rPr>
                <w:rFonts w:ascii="Lato" w:hAnsi="Lato"/>
                <w:bCs/>
                <w:sz w:val="14"/>
                <w:szCs w:val="14"/>
              </w:rPr>
              <w:fldChar w:fldCharType="separate"/>
            </w:r>
            <w:r w:rsidR="00FA19E2">
              <w:rPr>
                <w:rFonts w:ascii="Lato" w:hAnsi="Lato"/>
                <w:bCs/>
                <w:noProof/>
                <w:sz w:val="14"/>
                <w:szCs w:val="14"/>
              </w:rPr>
              <w:t>4</w:t>
            </w:r>
            <w:r w:rsidRPr="00A169EB">
              <w:rPr>
                <w:rFonts w:ascii="Lato" w:hAnsi="Lato"/>
                <w:bCs/>
                <w:sz w:val="14"/>
                <w:szCs w:val="14"/>
              </w:rPr>
              <w:fldChar w:fldCharType="end"/>
            </w:r>
            <w:r w:rsidRPr="00A169EB">
              <w:rPr>
                <w:rFonts w:ascii="Lato" w:hAnsi="Lato"/>
                <w:sz w:val="14"/>
                <w:szCs w:val="14"/>
              </w:rPr>
              <w:t xml:space="preserve"> z </w:t>
            </w:r>
            <w:r w:rsidRPr="00A169EB">
              <w:rPr>
                <w:rFonts w:ascii="Lato" w:hAnsi="Lato"/>
                <w:bCs/>
                <w:sz w:val="14"/>
                <w:szCs w:val="14"/>
              </w:rPr>
              <w:fldChar w:fldCharType="begin"/>
            </w:r>
            <w:r w:rsidRPr="00A169EB">
              <w:rPr>
                <w:rFonts w:ascii="Lato" w:hAnsi="Lato"/>
                <w:bCs/>
                <w:sz w:val="14"/>
                <w:szCs w:val="14"/>
              </w:rPr>
              <w:instrText>NUMPAGES</w:instrText>
            </w:r>
            <w:r w:rsidRPr="00A169EB">
              <w:rPr>
                <w:rFonts w:ascii="Lato" w:hAnsi="Lato"/>
                <w:bCs/>
                <w:sz w:val="14"/>
                <w:szCs w:val="14"/>
              </w:rPr>
              <w:fldChar w:fldCharType="separate"/>
            </w:r>
            <w:r w:rsidR="00FA19E2">
              <w:rPr>
                <w:rFonts w:ascii="Lato" w:hAnsi="Lato"/>
                <w:bCs/>
                <w:noProof/>
                <w:sz w:val="14"/>
                <w:szCs w:val="14"/>
              </w:rPr>
              <w:t>4</w:t>
            </w:r>
            <w:r w:rsidRPr="00A169EB">
              <w:rPr>
                <w:rFonts w:ascii="Lato" w:hAnsi="Lato"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A1B" w:rsidRPr="0035672F" w:rsidRDefault="006A44F8" w:rsidP="00DA6665">
    <w:pPr>
      <w:pStyle w:val="Stopka"/>
      <w:tabs>
        <w:tab w:val="clear" w:pos="4536"/>
        <w:tab w:val="clear" w:pos="9072"/>
        <w:tab w:val="left" w:pos="3119"/>
      </w:tabs>
      <w:rPr>
        <w:rFonts w:ascii="Lato" w:hAnsi="Lato"/>
        <w:sz w:val="14"/>
        <w:szCs w:val="16"/>
      </w:rPr>
    </w:pPr>
    <w:r w:rsidRPr="0035672F">
      <w:rPr>
        <w:rFonts w:ascii="Lato" w:hAnsi="Lato"/>
        <w:noProof/>
        <w:sz w:val="14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F03F8F" wp14:editId="7DC32132">
              <wp:simplePos x="0" y="0"/>
              <wp:positionH relativeFrom="margin">
                <wp:align>left</wp:align>
              </wp:positionH>
              <wp:positionV relativeFrom="paragraph">
                <wp:posOffset>-21590</wp:posOffset>
              </wp:positionV>
              <wp:extent cx="5039995" cy="9525"/>
              <wp:effectExtent l="0" t="0" r="27305" b="28575"/>
              <wp:wrapNone/>
              <wp:docPr id="18" name="Łącznik prosty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B097DA" id="Łącznik prosty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.7pt" to="396.8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" strokecolor="black [3213]" strokeweight=".5pt">
              <v:stroke joinstyle="miter"/>
              <w10:wrap anchorx="margin"/>
            </v:line>
          </w:pict>
        </mc:Fallback>
      </mc:AlternateContent>
    </w:r>
    <w:r w:rsidRPr="0035672F">
      <w:rPr>
        <w:rFonts w:ascii="Lato" w:hAnsi="Lato"/>
        <w:sz w:val="14"/>
        <w:szCs w:val="16"/>
      </w:rPr>
      <w:t xml:space="preserve">                                                   </w:t>
    </w:r>
    <w:r>
      <w:rPr>
        <w:rFonts w:ascii="Lato" w:hAnsi="Lato"/>
        <w:sz w:val="14"/>
        <w:szCs w:val="16"/>
      </w:rPr>
      <w:t xml:space="preserve">                                                                                   </w:t>
    </w:r>
    <w:r w:rsidRPr="00DA6665">
      <w:rPr>
        <w:rFonts w:ascii="Lato" w:hAnsi="Lato"/>
        <w:sz w:val="14"/>
        <w:szCs w:val="16"/>
      </w:rPr>
      <w:t xml:space="preserve">Ministerstwo Spraw Wewnętrznych i Administracji  </w:t>
    </w:r>
  </w:p>
  <w:p w:rsidR="00D33A1B" w:rsidRPr="0035672F" w:rsidRDefault="006A44F8" w:rsidP="00C64219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6"/>
      </w:rPr>
    </w:pPr>
    <w:r>
      <w:rPr>
        <w:rFonts w:ascii="Lato" w:hAnsi="Lato"/>
        <w:sz w:val="14"/>
        <w:szCs w:val="16"/>
      </w:rPr>
      <w:t xml:space="preserve">telefon: +48 22 60 139 35                                                                                                          </w:t>
    </w:r>
    <w:r w:rsidRPr="0035672F">
      <w:rPr>
        <w:rFonts w:ascii="Lato" w:hAnsi="Lato"/>
        <w:sz w:val="14"/>
        <w:szCs w:val="16"/>
      </w:rPr>
      <w:t>Departament Obywatelstwa i Repatriacji</w:t>
    </w:r>
  </w:p>
  <w:p w:rsidR="00D33A1B" w:rsidRPr="0035672F" w:rsidRDefault="006A44F8" w:rsidP="00C64219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6"/>
      </w:rPr>
    </w:pPr>
    <w:r w:rsidRPr="0035672F">
      <w:rPr>
        <w:rFonts w:ascii="Lato" w:hAnsi="Lato"/>
        <w:sz w:val="14"/>
        <w:szCs w:val="16"/>
      </w:rPr>
      <w:t xml:space="preserve">adres email: </w:t>
    </w:r>
    <w:hyperlink r:id="rId1" w:history="1">
      <w:r w:rsidRPr="000D5380">
        <w:rPr>
          <w:rStyle w:val="Hipercze"/>
          <w:rFonts w:ascii="Lato" w:hAnsi="Lato"/>
          <w:sz w:val="14"/>
          <w:szCs w:val="16"/>
        </w:rPr>
        <w:t>obywatelstwo@mswia.gov.pl</w:t>
      </w:r>
    </w:hyperlink>
    <w:r w:rsidRPr="0035672F">
      <w:rPr>
        <w:rFonts w:ascii="Lato" w:hAnsi="Lato"/>
        <w:sz w:val="14"/>
        <w:szCs w:val="16"/>
      </w:rPr>
      <w:t xml:space="preserve"> </w:t>
    </w:r>
    <w:r w:rsidRPr="0035672F">
      <w:rPr>
        <w:rFonts w:ascii="Lato" w:hAnsi="Lato"/>
        <w:sz w:val="14"/>
        <w:szCs w:val="16"/>
      </w:rPr>
      <w:tab/>
    </w:r>
    <w:r>
      <w:rPr>
        <w:rFonts w:ascii="Lato" w:hAnsi="Lato"/>
        <w:sz w:val="14"/>
        <w:szCs w:val="16"/>
      </w:rPr>
      <w:t xml:space="preserve">                 </w:t>
    </w:r>
    <w:r w:rsidRPr="0035672F">
      <w:rPr>
        <w:rFonts w:ascii="Lato" w:hAnsi="Lato"/>
        <w:sz w:val="14"/>
        <w:szCs w:val="16"/>
      </w:rPr>
      <w:t>ul. Stefana Batorego 5</w:t>
    </w:r>
  </w:p>
  <w:p w:rsidR="00D33A1B" w:rsidRPr="0035672F" w:rsidRDefault="005734C0" w:rsidP="00C64219">
    <w:pPr>
      <w:pStyle w:val="Stopka"/>
      <w:rPr>
        <w:rFonts w:ascii="Lato" w:hAnsi="Lato"/>
        <w:sz w:val="14"/>
        <w:szCs w:val="16"/>
      </w:rPr>
    </w:pPr>
    <w:hyperlink r:id="rId2" w:history="1">
      <w:r w:rsidR="006A44F8" w:rsidRPr="0035672F">
        <w:rPr>
          <w:rStyle w:val="Hipercze"/>
          <w:rFonts w:ascii="Lato" w:hAnsi="Lato"/>
          <w:sz w:val="14"/>
          <w:szCs w:val="16"/>
        </w:rPr>
        <w:t>gov.pl/</w:t>
      </w:r>
      <w:proofErr w:type="spellStart"/>
      <w:r w:rsidR="006A44F8" w:rsidRPr="0035672F">
        <w:rPr>
          <w:rStyle w:val="Hipercze"/>
          <w:rFonts w:ascii="Lato" w:hAnsi="Lato"/>
          <w:sz w:val="14"/>
          <w:szCs w:val="16"/>
        </w:rPr>
        <w:t>mswia</w:t>
      </w:r>
      <w:proofErr w:type="spellEnd"/>
    </w:hyperlink>
    <w:r w:rsidR="006A44F8">
      <w:rPr>
        <w:rStyle w:val="Hipercze"/>
        <w:rFonts w:ascii="Lato" w:hAnsi="Lato"/>
        <w:sz w:val="14"/>
        <w:szCs w:val="16"/>
      </w:rPr>
      <w:t xml:space="preserve"> </w:t>
    </w:r>
    <w:r w:rsidR="006A44F8">
      <w:rPr>
        <w:rStyle w:val="Hipercze"/>
        <w:rFonts w:ascii="Lato" w:hAnsi="Lato"/>
        <w:sz w:val="14"/>
        <w:szCs w:val="16"/>
        <w:u w:val="none"/>
      </w:rPr>
      <w:t xml:space="preserve">                                                                                                                                                        </w:t>
    </w:r>
    <w:r w:rsidR="006A44F8" w:rsidRPr="0035672F">
      <w:rPr>
        <w:rFonts w:ascii="Lato" w:hAnsi="Lato"/>
        <w:sz w:val="14"/>
        <w:szCs w:val="16"/>
      </w:rPr>
      <w:t>02-591 Warszawa, Polska</w:t>
    </w:r>
  </w:p>
  <w:p w:rsidR="00D33A1B" w:rsidRDefault="006A44F8" w:rsidP="000E5D5D">
    <w:pPr>
      <w:pStyle w:val="Stopka"/>
      <w:tabs>
        <w:tab w:val="clear" w:pos="9072"/>
        <w:tab w:val="right" w:pos="7938"/>
      </w:tabs>
      <w:ind w:right="-2"/>
      <w:jc w:val="center"/>
    </w:pPr>
    <w:r w:rsidRPr="00A169EB">
      <w:rPr>
        <w:rFonts w:ascii="Lato" w:hAnsi="Lato"/>
        <w:sz w:val="14"/>
        <w:szCs w:val="14"/>
      </w:rPr>
      <w:t xml:space="preserve">Strona </w:t>
    </w:r>
    <w:r w:rsidRPr="00A169EB">
      <w:rPr>
        <w:rFonts w:ascii="Lato" w:hAnsi="Lato"/>
        <w:bCs/>
        <w:sz w:val="14"/>
        <w:szCs w:val="14"/>
      </w:rPr>
      <w:fldChar w:fldCharType="begin"/>
    </w:r>
    <w:r w:rsidRPr="00A169EB">
      <w:rPr>
        <w:rFonts w:ascii="Lato" w:hAnsi="Lato"/>
        <w:bCs/>
        <w:sz w:val="14"/>
        <w:szCs w:val="14"/>
      </w:rPr>
      <w:instrText>PAGE</w:instrText>
    </w:r>
    <w:r w:rsidRPr="00A169EB">
      <w:rPr>
        <w:rFonts w:ascii="Lato" w:hAnsi="Lato"/>
        <w:bCs/>
        <w:sz w:val="14"/>
        <w:szCs w:val="14"/>
      </w:rPr>
      <w:fldChar w:fldCharType="separate"/>
    </w:r>
    <w:r w:rsidR="00FA19E2">
      <w:rPr>
        <w:rFonts w:ascii="Lato" w:hAnsi="Lato"/>
        <w:bCs/>
        <w:noProof/>
        <w:sz w:val="14"/>
        <w:szCs w:val="14"/>
      </w:rPr>
      <w:t>1</w:t>
    </w:r>
    <w:r w:rsidRPr="00A169EB">
      <w:rPr>
        <w:rFonts w:ascii="Lato" w:hAnsi="Lato"/>
        <w:bCs/>
        <w:sz w:val="14"/>
        <w:szCs w:val="14"/>
      </w:rPr>
      <w:fldChar w:fldCharType="end"/>
    </w:r>
    <w:r w:rsidRPr="00A169EB">
      <w:rPr>
        <w:rFonts w:ascii="Lato" w:hAnsi="Lato"/>
        <w:sz w:val="14"/>
        <w:szCs w:val="14"/>
      </w:rPr>
      <w:t xml:space="preserve"> z </w:t>
    </w:r>
    <w:r w:rsidRPr="00A169EB">
      <w:rPr>
        <w:rFonts w:ascii="Lato" w:hAnsi="Lato"/>
        <w:bCs/>
        <w:sz w:val="14"/>
        <w:szCs w:val="14"/>
      </w:rPr>
      <w:fldChar w:fldCharType="begin"/>
    </w:r>
    <w:r w:rsidRPr="00A169EB">
      <w:rPr>
        <w:rFonts w:ascii="Lato" w:hAnsi="Lato"/>
        <w:bCs/>
        <w:sz w:val="14"/>
        <w:szCs w:val="14"/>
      </w:rPr>
      <w:instrText>NUMPAGES</w:instrText>
    </w:r>
    <w:r w:rsidRPr="00A169EB">
      <w:rPr>
        <w:rFonts w:ascii="Lato" w:hAnsi="Lato"/>
        <w:bCs/>
        <w:sz w:val="14"/>
        <w:szCs w:val="14"/>
      </w:rPr>
      <w:fldChar w:fldCharType="separate"/>
    </w:r>
    <w:r w:rsidR="00FA19E2">
      <w:rPr>
        <w:rFonts w:ascii="Lato" w:hAnsi="Lato"/>
        <w:bCs/>
        <w:noProof/>
        <w:sz w:val="14"/>
        <w:szCs w:val="14"/>
      </w:rPr>
      <w:t>4</w:t>
    </w:r>
    <w:r w:rsidRPr="00A169EB">
      <w:rPr>
        <w:rFonts w:ascii="Lato" w:hAnsi="Lato"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4C0" w:rsidRDefault="005734C0" w:rsidP="00DC6628">
      <w:pPr>
        <w:spacing w:after="0" w:line="240" w:lineRule="auto"/>
      </w:pPr>
      <w:r>
        <w:separator/>
      </w:r>
    </w:p>
  </w:footnote>
  <w:footnote w:type="continuationSeparator" w:id="0">
    <w:p w:rsidR="005734C0" w:rsidRDefault="005734C0" w:rsidP="00DC6628">
      <w:pPr>
        <w:spacing w:after="0" w:line="240" w:lineRule="auto"/>
      </w:pPr>
      <w:r>
        <w:continuationSeparator/>
      </w:r>
    </w:p>
  </w:footnote>
  <w:footnote w:id="1">
    <w:p w:rsidR="00DC6628" w:rsidRPr="0044771E" w:rsidRDefault="00DC6628" w:rsidP="00DC6628">
      <w:pPr>
        <w:pStyle w:val="Tekstprzypisudolnego"/>
        <w:rPr>
          <w:rFonts w:ascii="Lato" w:hAnsi="Lato"/>
          <w:sz w:val="16"/>
          <w:szCs w:val="16"/>
        </w:rPr>
      </w:pPr>
      <w:r w:rsidRPr="0044771E">
        <w:rPr>
          <w:rStyle w:val="Odwoanieprzypisudolnego"/>
          <w:rFonts w:ascii="Lato" w:hAnsi="Lato"/>
          <w:sz w:val="16"/>
          <w:szCs w:val="16"/>
        </w:rPr>
        <w:footnoteRef/>
      </w:r>
      <w:r w:rsidRPr="0044771E">
        <w:rPr>
          <w:rFonts w:ascii="Lato" w:hAnsi="Lato"/>
          <w:sz w:val="16"/>
          <w:szCs w:val="16"/>
        </w:rPr>
        <w:t xml:space="preserve"> </w:t>
      </w:r>
      <w:proofErr w:type="spellStart"/>
      <w:r w:rsidRPr="0044771E">
        <w:rPr>
          <w:rFonts w:ascii="Lato" w:hAnsi="Lato"/>
          <w:sz w:val="16"/>
          <w:szCs w:val="16"/>
        </w:rPr>
        <w:t>t.j</w:t>
      </w:r>
      <w:proofErr w:type="spellEnd"/>
      <w:r w:rsidRPr="0044771E">
        <w:rPr>
          <w:rFonts w:ascii="Lato" w:hAnsi="Lato"/>
          <w:sz w:val="16"/>
          <w:szCs w:val="16"/>
        </w:rPr>
        <w:t>. Dz.U. z 2020, poz. 224.</w:t>
      </w:r>
    </w:p>
  </w:footnote>
  <w:footnote w:id="2">
    <w:p w:rsidR="00313032" w:rsidRPr="00313032" w:rsidRDefault="00DC6628" w:rsidP="00313032">
      <w:pPr>
        <w:spacing w:before="120" w:after="0"/>
        <w:rPr>
          <w:rFonts w:ascii="Lato" w:eastAsia="Times New Roman" w:hAnsi="Lato" w:cs="Calibri"/>
          <w:sz w:val="16"/>
          <w:szCs w:val="16"/>
          <w:lang w:eastAsia="pl-PL"/>
        </w:rPr>
      </w:pPr>
      <w:r w:rsidRPr="0044771E">
        <w:rPr>
          <w:rStyle w:val="Odwoanieprzypisudolnego"/>
          <w:rFonts w:ascii="Lato" w:hAnsi="Lato"/>
          <w:sz w:val="16"/>
          <w:szCs w:val="16"/>
        </w:rPr>
        <w:footnoteRef/>
      </w:r>
      <w:r w:rsidRPr="0044771E">
        <w:rPr>
          <w:rFonts w:ascii="Lato" w:hAnsi="Lato"/>
          <w:sz w:val="16"/>
          <w:szCs w:val="16"/>
        </w:rPr>
        <w:t xml:space="preserve"> </w:t>
      </w:r>
      <w:r w:rsidR="00313032" w:rsidRPr="00313032">
        <w:rPr>
          <w:rFonts w:ascii="Lato" w:hAnsi="Lato" w:cs="Calibri"/>
          <w:sz w:val="16"/>
          <w:szCs w:val="16"/>
        </w:rPr>
        <w:t xml:space="preserve">Badaniami kontrolnymi objęte zostały również zdarzenia i dokumenty sprzed 1 stycznia 2021 r. i po 31 grudnia 2022 r. w przypadkach, gdy miały one wpływ lub miały związek z przedmiotem kontroli, </w:t>
      </w:r>
      <w:r w:rsidR="00313032" w:rsidRPr="00313032">
        <w:rPr>
          <w:rFonts w:ascii="Lato" w:eastAsia="Times New Roman" w:hAnsi="Lato" w:cs="Calibri"/>
          <w:sz w:val="16"/>
          <w:szCs w:val="16"/>
          <w:lang w:eastAsia="pl-PL"/>
        </w:rPr>
        <w:t xml:space="preserve">a ich wyłączenie z kontroli nie pozwoliłoby na ocenę kontrolowanej działalności. </w:t>
      </w:r>
    </w:p>
    <w:p w:rsidR="00DC6628" w:rsidRPr="0044771E" w:rsidRDefault="00DC6628" w:rsidP="00DC6628">
      <w:pPr>
        <w:pStyle w:val="Tekstprzypisudolnego"/>
        <w:jc w:val="both"/>
        <w:rPr>
          <w:sz w:val="16"/>
          <w:szCs w:val="16"/>
        </w:rPr>
      </w:pPr>
    </w:p>
  </w:footnote>
  <w:footnote w:id="3">
    <w:p w:rsidR="00313032" w:rsidRPr="00BF76D0" w:rsidRDefault="00313032" w:rsidP="00313032">
      <w:pPr>
        <w:pStyle w:val="Tekstprzypisudolnego"/>
        <w:rPr>
          <w:sz w:val="16"/>
          <w:szCs w:val="16"/>
        </w:rPr>
      </w:pPr>
      <w:r w:rsidRPr="00BF76D0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spellStart"/>
      <w:r w:rsidRPr="00BF76D0">
        <w:rPr>
          <w:sz w:val="16"/>
          <w:szCs w:val="16"/>
        </w:rPr>
        <w:t>t</w:t>
      </w:r>
      <w:r>
        <w:rPr>
          <w:sz w:val="16"/>
          <w:szCs w:val="16"/>
        </w:rPr>
        <w:t>.</w:t>
      </w:r>
      <w:r w:rsidRPr="00BF76D0">
        <w:rPr>
          <w:sz w:val="16"/>
          <w:szCs w:val="16"/>
        </w:rPr>
        <w:t>j</w:t>
      </w:r>
      <w:proofErr w:type="spellEnd"/>
      <w:r w:rsidRPr="00BF76D0">
        <w:rPr>
          <w:sz w:val="16"/>
          <w:szCs w:val="16"/>
        </w:rPr>
        <w:t>. Dz.</w:t>
      </w:r>
      <w:r>
        <w:rPr>
          <w:sz w:val="16"/>
          <w:szCs w:val="16"/>
        </w:rPr>
        <w:t xml:space="preserve"> </w:t>
      </w:r>
      <w:r w:rsidRPr="00BF76D0">
        <w:rPr>
          <w:sz w:val="16"/>
          <w:szCs w:val="16"/>
        </w:rPr>
        <w:t>U. z 20</w:t>
      </w:r>
      <w:r>
        <w:rPr>
          <w:sz w:val="16"/>
          <w:szCs w:val="16"/>
        </w:rPr>
        <w:t>23</w:t>
      </w:r>
      <w:r w:rsidRPr="00BF76D0">
        <w:rPr>
          <w:sz w:val="16"/>
          <w:szCs w:val="16"/>
        </w:rPr>
        <w:t xml:space="preserve"> r. poz. </w:t>
      </w:r>
      <w:r>
        <w:rPr>
          <w:sz w:val="16"/>
          <w:szCs w:val="16"/>
        </w:rPr>
        <w:t>775 – dalej przywoływana jako kpa.</w:t>
      </w:r>
    </w:p>
  </w:footnote>
  <w:footnote w:id="4">
    <w:p w:rsidR="00313032" w:rsidRPr="00870D3A" w:rsidRDefault="00313032" w:rsidP="00313032">
      <w:pPr>
        <w:pStyle w:val="Tekstprzypisudolnego"/>
        <w:jc w:val="both"/>
        <w:rPr>
          <w:sz w:val="16"/>
          <w:szCs w:val="16"/>
        </w:rPr>
      </w:pPr>
      <w:r w:rsidRPr="00870D3A">
        <w:rPr>
          <w:rStyle w:val="Odwoanieprzypisudolnego"/>
          <w:sz w:val="16"/>
          <w:szCs w:val="16"/>
        </w:rPr>
        <w:footnoteRef/>
      </w:r>
      <w:r w:rsidRPr="00870D3A">
        <w:rPr>
          <w:sz w:val="16"/>
          <w:szCs w:val="16"/>
        </w:rPr>
        <w:t xml:space="preserve"> </w:t>
      </w:r>
      <w:r>
        <w:rPr>
          <w:sz w:val="16"/>
          <w:szCs w:val="16"/>
        </w:rPr>
        <w:t>Zwanym dalej również Oddziałem.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A1B" w:rsidRDefault="005734C0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A1B" w:rsidRDefault="006A44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416B430" wp14:editId="160B4F5C">
          <wp:simplePos x="0" y="0"/>
          <wp:positionH relativeFrom="column">
            <wp:posOffset>-895350</wp:posOffset>
          </wp:positionH>
          <wp:positionV relativeFrom="paragraph">
            <wp:posOffset>-48260</wp:posOffset>
          </wp:positionV>
          <wp:extent cx="4018915" cy="1061720"/>
          <wp:effectExtent l="0" t="0" r="0" b="0"/>
          <wp:wrapThrough wrapText="bothSides">
            <wp:wrapPolygon edited="0">
              <wp:start x="2048" y="2713"/>
              <wp:lineTo x="1331" y="3876"/>
              <wp:lineTo x="614" y="7364"/>
              <wp:lineTo x="614" y="9689"/>
              <wp:lineTo x="1126" y="15890"/>
              <wp:lineTo x="1126" y="17053"/>
              <wp:lineTo x="2764" y="18215"/>
              <wp:lineTo x="4710" y="18990"/>
              <wp:lineTo x="20887" y="18990"/>
              <wp:lineTo x="20784" y="9689"/>
              <wp:lineTo x="13003" y="9689"/>
              <wp:lineTo x="13003" y="5426"/>
              <wp:lineTo x="3276" y="2713"/>
              <wp:lineTo x="2048" y="2713"/>
            </wp:wrapPolygon>
          </wp:wrapThrough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F628A"/>
    <w:multiLevelType w:val="hybridMultilevel"/>
    <w:tmpl w:val="4C281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F0C2A"/>
    <w:multiLevelType w:val="hybridMultilevel"/>
    <w:tmpl w:val="D2B4F562"/>
    <w:lvl w:ilvl="0" w:tplc="DCA4261E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628"/>
    <w:rsid w:val="002E1D55"/>
    <w:rsid w:val="00313032"/>
    <w:rsid w:val="005734C0"/>
    <w:rsid w:val="006A44F8"/>
    <w:rsid w:val="00B87D71"/>
    <w:rsid w:val="00D135A9"/>
    <w:rsid w:val="00DC6628"/>
    <w:rsid w:val="00FA19E2"/>
    <w:rsid w:val="00FE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8B7F6-9F90-4887-8C1E-51401CBC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662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6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6628"/>
  </w:style>
  <w:style w:type="paragraph" w:styleId="Stopka">
    <w:name w:val="footer"/>
    <w:basedOn w:val="Normalny"/>
    <w:link w:val="StopkaZnak"/>
    <w:uiPriority w:val="99"/>
    <w:unhideWhenUsed/>
    <w:rsid w:val="00DC6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6628"/>
  </w:style>
  <w:style w:type="character" w:styleId="Hipercze">
    <w:name w:val="Hyperlink"/>
    <w:basedOn w:val="Domylnaczcionkaakapitu"/>
    <w:uiPriority w:val="99"/>
    <w:unhideWhenUsed/>
    <w:rsid w:val="00DC6628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DC6628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qFormat/>
    <w:rsid w:val="00DC66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C66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DC6628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DC6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mswia" TargetMode="External"/><Relationship Id="rId1" Type="http://schemas.openxmlformats.org/officeDocument/2006/relationships/hyperlink" Target="mailto:obywatelstwo@mswia.gov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mswia" TargetMode="External"/><Relationship Id="rId1" Type="http://schemas.openxmlformats.org/officeDocument/2006/relationships/hyperlink" Target="mailto:obywatelstwo@mswia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7907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Charkiewicz Dorota</dc:creator>
  <cp:keywords/>
  <dc:description/>
  <cp:lastModifiedBy>Rysak Malwina</cp:lastModifiedBy>
  <cp:revision>2</cp:revision>
  <dcterms:created xsi:type="dcterms:W3CDTF">2023-11-30T09:27:00Z</dcterms:created>
  <dcterms:modified xsi:type="dcterms:W3CDTF">2023-11-30T09:27:00Z</dcterms:modified>
</cp:coreProperties>
</file>