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884D" w14:textId="77777777" w:rsidR="00406F3B" w:rsidRPr="00BF5FF1" w:rsidRDefault="00406F3B" w:rsidP="004B3F8E">
      <w:pPr>
        <w:pStyle w:val="Nagwek6"/>
        <w:jc w:val="both"/>
        <w:rPr>
          <w:sz w:val="28"/>
          <w:szCs w:val="22"/>
        </w:rPr>
      </w:pPr>
      <w:r w:rsidRPr="00BF5FF1">
        <w:rPr>
          <w:sz w:val="28"/>
          <w:szCs w:val="22"/>
        </w:rPr>
        <w:t>DZIAŁ 921 – KULTURA I OCHRONA DZIEDZICTWA NARODOWEGO</w:t>
      </w:r>
    </w:p>
    <w:p w14:paraId="1C3EB7F5" w14:textId="77777777" w:rsidR="00406F3B" w:rsidRPr="00C965FF" w:rsidRDefault="00406F3B" w:rsidP="004B3F8E">
      <w:pPr>
        <w:spacing w:line="360" w:lineRule="auto"/>
        <w:jc w:val="both"/>
      </w:pPr>
    </w:p>
    <w:p w14:paraId="102017E0" w14:textId="1930C7AB" w:rsidR="00406F3B" w:rsidRDefault="00406F3B" w:rsidP="004B3F8E">
      <w:pPr>
        <w:spacing w:line="360" w:lineRule="auto"/>
        <w:jc w:val="both"/>
      </w:pPr>
      <w:r w:rsidRPr="00D76114">
        <w:t xml:space="preserve">Dochody </w:t>
      </w:r>
      <w:r w:rsidR="00F13CE5">
        <w:t xml:space="preserve">zaplanowane </w:t>
      </w:r>
      <w:r w:rsidRPr="00D76114">
        <w:t>w</w:t>
      </w:r>
      <w:r w:rsidR="00D1156C">
        <w:t xml:space="preserve"> tym</w:t>
      </w:r>
      <w:r w:rsidRPr="00D76114">
        <w:t xml:space="preserve"> dziale za 2024</w:t>
      </w:r>
      <w:r w:rsidR="006F78DF">
        <w:t xml:space="preserve"> </w:t>
      </w:r>
      <w:r w:rsidRPr="00D76114">
        <w:t>r.</w:t>
      </w:r>
      <w:r w:rsidR="008D66C4">
        <w:t xml:space="preserve"> w wysokości 26 tys. zł</w:t>
      </w:r>
      <w:r w:rsidRPr="00D76114">
        <w:t xml:space="preserve"> zrealizowano w kwocie </w:t>
      </w:r>
      <w:r w:rsidR="001F0ED5">
        <w:br/>
      </w:r>
      <w:r w:rsidR="00AE56E0">
        <w:t>6</w:t>
      </w:r>
      <w:r w:rsidRPr="00D76114">
        <w:t xml:space="preserve"> tys. zł, co stanowi </w:t>
      </w:r>
      <w:r w:rsidR="00675FAD">
        <w:t>2</w:t>
      </w:r>
      <w:r w:rsidR="008D66C4">
        <w:t>3,1</w:t>
      </w:r>
      <w:r w:rsidRPr="00D76114">
        <w:t>% planu.</w:t>
      </w:r>
    </w:p>
    <w:p w14:paraId="64E3E634" w14:textId="77777777" w:rsidR="00CA4F9B" w:rsidRPr="00D76114" w:rsidRDefault="00CA4F9B" w:rsidP="004B3F8E">
      <w:pPr>
        <w:spacing w:line="360" w:lineRule="auto"/>
        <w:jc w:val="both"/>
      </w:pPr>
    </w:p>
    <w:p w14:paraId="51518255" w14:textId="3ABB0A3F" w:rsidR="00406F3B" w:rsidRDefault="00406F3B" w:rsidP="004B3F8E">
      <w:pPr>
        <w:pStyle w:val="Tekstpodstawowy"/>
        <w:rPr>
          <w:color w:val="auto"/>
          <w:szCs w:val="24"/>
        </w:rPr>
      </w:pPr>
      <w:r>
        <w:rPr>
          <w:color w:val="auto"/>
          <w:szCs w:val="24"/>
        </w:rPr>
        <w:t xml:space="preserve">Na wykonanie </w:t>
      </w:r>
      <w:r w:rsidR="001F0ED5">
        <w:rPr>
          <w:color w:val="auto"/>
          <w:szCs w:val="24"/>
        </w:rPr>
        <w:t xml:space="preserve">planowanych </w:t>
      </w:r>
      <w:r>
        <w:rPr>
          <w:color w:val="auto"/>
          <w:szCs w:val="24"/>
        </w:rPr>
        <w:t>dochodów zrealizowanych przez Wojewódzki Urząd Ochrony Zabytków złożyły się wpływy tytułu:</w:t>
      </w:r>
    </w:p>
    <w:p w14:paraId="47D67CA7" w14:textId="30ECFA1A" w:rsidR="00406F3B" w:rsidRPr="00406F3B" w:rsidRDefault="00406F3B" w:rsidP="004B3F8E">
      <w:pPr>
        <w:pStyle w:val="Akapitzlist"/>
        <w:numPr>
          <w:ilvl w:val="0"/>
          <w:numId w:val="3"/>
        </w:numPr>
        <w:spacing w:line="360" w:lineRule="auto"/>
        <w:jc w:val="both"/>
      </w:pPr>
      <w:r w:rsidRPr="00C965FF">
        <w:t>nałożonych grzywien w celu przymuszenia do wykonania robót budowlanych przy obiektach zabytkowych</w:t>
      </w:r>
      <w:r>
        <w:t xml:space="preserve"> – 4 tys. zł, co stanowi 19% planu wynoszącego 21 tys. zł</w:t>
      </w:r>
      <w:r w:rsidR="006F78DF">
        <w:t>.</w:t>
      </w:r>
      <w:r w:rsidR="00A42B64">
        <w:t xml:space="preserve"> </w:t>
      </w:r>
      <w:r w:rsidR="00A42B64" w:rsidRPr="00A42B64">
        <w:t>Niższe od planowanego wykonanie dochodów wynika przede wszystkim z sankcyjnego</w:t>
      </w:r>
      <w:r w:rsidR="00A42B64">
        <w:t xml:space="preserve"> charakteru dochodów co uniemożliwia ich dokładne zaplanowanie</w:t>
      </w:r>
      <w:r>
        <w:t>;</w:t>
      </w:r>
    </w:p>
    <w:p w14:paraId="5491EA89" w14:textId="33078A6F" w:rsidR="00406F3B" w:rsidRDefault="001F0ED5" w:rsidP="004B3F8E">
      <w:pPr>
        <w:pStyle w:val="Tekstpodstawowy"/>
        <w:numPr>
          <w:ilvl w:val="0"/>
          <w:numId w:val="2"/>
        </w:numPr>
        <w:rPr>
          <w:color w:val="auto"/>
          <w:szCs w:val="24"/>
        </w:rPr>
      </w:pPr>
      <w:r>
        <w:rPr>
          <w:color w:val="auto"/>
          <w:szCs w:val="24"/>
        </w:rPr>
        <w:t>wpływy z tytułu faktur korygujących za rozliczenia z lat ubiegłych</w:t>
      </w:r>
      <w:r w:rsidR="00406F3B">
        <w:rPr>
          <w:color w:val="auto"/>
          <w:szCs w:val="24"/>
        </w:rPr>
        <w:t xml:space="preserve"> – </w:t>
      </w:r>
      <w:r w:rsidR="00AE56E0">
        <w:rPr>
          <w:color w:val="auto"/>
          <w:szCs w:val="24"/>
        </w:rPr>
        <w:t>2</w:t>
      </w:r>
      <w:r w:rsidR="00406F3B">
        <w:rPr>
          <w:color w:val="auto"/>
          <w:szCs w:val="24"/>
        </w:rPr>
        <w:t xml:space="preserve"> tys. zł, co stanowi </w:t>
      </w:r>
      <w:r w:rsidR="00AE56E0">
        <w:rPr>
          <w:color w:val="auto"/>
          <w:szCs w:val="24"/>
        </w:rPr>
        <w:t>50</w:t>
      </w:r>
      <w:r w:rsidR="00406F3B">
        <w:rPr>
          <w:color w:val="auto"/>
          <w:szCs w:val="24"/>
        </w:rPr>
        <w:t>% planu wynoszącego 4 tys. zł</w:t>
      </w:r>
      <w:r w:rsidR="006F78DF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Niższe od planowanego wykonanie dochodów wynika przede wszystkim z charakteru dochodu, z którego wpływy trudno określić </w:t>
      </w:r>
      <w:r>
        <w:rPr>
          <w:color w:val="auto"/>
          <w:szCs w:val="24"/>
        </w:rPr>
        <w:br/>
        <w:t>w fazie planowania.</w:t>
      </w:r>
    </w:p>
    <w:p w14:paraId="5D3D0991" w14:textId="2C98CF05" w:rsidR="00406F3B" w:rsidRDefault="00891FF8" w:rsidP="004B3F8E">
      <w:pPr>
        <w:pStyle w:val="Tekstpodstawowy"/>
        <w:rPr>
          <w:color w:val="auto"/>
          <w:szCs w:val="24"/>
        </w:rPr>
      </w:pPr>
      <w:r w:rsidRPr="00A42B64">
        <w:rPr>
          <w:color w:val="auto"/>
          <w:szCs w:val="24"/>
        </w:rPr>
        <w:t xml:space="preserve">W ramach działu nie zrealizowano zaplanowanych na </w:t>
      </w:r>
      <w:r w:rsidR="00CA4F9B" w:rsidRPr="00A42B64">
        <w:rPr>
          <w:color w:val="auto"/>
          <w:szCs w:val="24"/>
        </w:rPr>
        <w:t>1</w:t>
      </w:r>
      <w:r w:rsidRPr="00A42B64">
        <w:rPr>
          <w:color w:val="auto"/>
          <w:szCs w:val="24"/>
        </w:rPr>
        <w:t xml:space="preserve"> tys. zł dochodów z tytułu kosztów egzekucyjnych, opłaty komorniczej i kosztów upomnień.</w:t>
      </w:r>
      <w:r w:rsidR="00A42B64" w:rsidRPr="00A42B64">
        <w:rPr>
          <w:color w:val="auto"/>
          <w:szCs w:val="24"/>
        </w:rPr>
        <w:t xml:space="preserve"> Należności skierowano do egzekucji razem z nałożoną karą.</w:t>
      </w:r>
      <w:r w:rsidR="00406F3B" w:rsidRPr="00C965FF">
        <w:rPr>
          <w:color w:val="auto"/>
          <w:szCs w:val="24"/>
        </w:rPr>
        <w:t xml:space="preserve"> </w:t>
      </w:r>
    </w:p>
    <w:p w14:paraId="195E20D1" w14:textId="77777777" w:rsidR="00CA4F9B" w:rsidRDefault="00CA4F9B" w:rsidP="004B3F8E">
      <w:pPr>
        <w:pStyle w:val="Tekstpodstawowy"/>
        <w:rPr>
          <w:color w:val="auto"/>
          <w:szCs w:val="24"/>
          <w:highlight w:val="red"/>
        </w:rPr>
      </w:pPr>
    </w:p>
    <w:p w14:paraId="55A4537D" w14:textId="4BE63823" w:rsidR="00891FF8" w:rsidRDefault="00891FF8" w:rsidP="004B3F8E">
      <w:pPr>
        <w:pStyle w:val="Tekstpodstawowy"/>
        <w:rPr>
          <w:color w:val="auto"/>
          <w:szCs w:val="24"/>
        </w:rPr>
      </w:pPr>
      <w:r w:rsidRPr="00A42B64">
        <w:rPr>
          <w:color w:val="auto"/>
          <w:szCs w:val="24"/>
        </w:rPr>
        <w:t xml:space="preserve">Dochody nieplanowane w wysokości </w:t>
      </w:r>
      <w:r w:rsidR="001F0ED5">
        <w:rPr>
          <w:color w:val="auto"/>
          <w:szCs w:val="24"/>
        </w:rPr>
        <w:t>2</w:t>
      </w:r>
      <w:r w:rsidRPr="00A42B64">
        <w:rPr>
          <w:color w:val="auto"/>
          <w:szCs w:val="24"/>
        </w:rPr>
        <w:t xml:space="preserve"> tys. zł zostały zrealizowane z tytułu odsetek</w:t>
      </w:r>
      <w:r w:rsidR="00A42B64" w:rsidRPr="00A42B64">
        <w:rPr>
          <w:color w:val="auto"/>
          <w:szCs w:val="24"/>
        </w:rPr>
        <w:t xml:space="preserve"> bankowych od udzielonych dotacji w tym dotacji wykorzystanych niezgodnie z przeznaczeniem.</w:t>
      </w:r>
    </w:p>
    <w:p w14:paraId="5087B677" w14:textId="77777777" w:rsidR="00891FF8" w:rsidRDefault="00891FF8" w:rsidP="004B3F8E">
      <w:pPr>
        <w:pStyle w:val="Tekstpodstawowy"/>
        <w:rPr>
          <w:bCs/>
          <w:color w:val="auto"/>
          <w:szCs w:val="24"/>
        </w:rPr>
      </w:pPr>
    </w:p>
    <w:p w14:paraId="42946152" w14:textId="68BE3BD6" w:rsidR="00406F3B" w:rsidRDefault="00891FF8" w:rsidP="004B3F8E">
      <w:pPr>
        <w:pStyle w:val="Tekstpodstawowy"/>
        <w:rPr>
          <w:color w:val="auto"/>
          <w:szCs w:val="24"/>
        </w:rPr>
      </w:pPr>
      <w:r w:rsidRPr="00D953C4">
        <w:rPr>
          <w:bCs/>
          <w:color w:val="auto"/>
          <w:szCs w:val="24"/>
        </w:rPr>
        <w:t xml:space="preserve">Należności pozostałe do zapłaty na koniec 2024 r. wynosiły 342 tys. zł, co stanowi wzrost </w:t>
      </w:r>
      <w:r w:rsidR="00CA4F9B" w:rsidRPr="00D953C4">
        <w:rPr>
          <w:bCs/>
          <w:color w:val="auto"/>
          <w:szCs w:val="24"/>
        </w:rPr>
        <w:br/>
      </w:r>
      <w:r w:rsidRPr="00D953C4">
        <w:rPr>
          <w:bCs/>
          <w:color w:val="auto"/>
          <w:szCs w:val="24"/>
        </w:rPr>
        <w:t>o 72 tys. zł w stosunku do roku 2023. Wzrost należności wynika z</w:t>
      </w:r>
      <w:r w:rsidR="00D953C4" w:rsidRPr="00D953C4">
        <w:rPr>
          <w:bCs/>
          <w:color w:val="auto"/>
          <w:szCs w:val="24"/>
        </w:rPr>
        <w:t>e zwiększenia</w:t>
      </w:r>
      <w:r w:rsidR="00D76007">
        <w:rPr>
          <w:bCs/>
          <w:color w:val="auto"/>
          <w:szCs w:val="24"/>
        </w:rPr>
        <w:t xml:space="preserve"> się</w:t>
      </w:r>
      <w:r w:rsidR="00D953C4" w:rsidRPr="00D953C4">
        <w:rPr>
          <w:bCs/>
          <w:color w:val="auto"/>
          <w:szCs w:val="24"/>
        </w:rPr>
        <w:t xml:space="preserve"> ich przypisu </w:t>
      </w:r>
      <w:r w:rsidR="00D953C4">
        <w:rPr>
          <w:bCs/>
          <w:color w:val="auto"/>
          <w:szCs w:val="24"/>
        </w:rPr>
        <w:br/>
      </w:r>
      <w:r w:rsidR="00D953C4" w:rsidRPr="00D953C4">
        <w:rPr>
          <w:bCs/>
          <w:color w:val="auto"/>
          <w:szCs w:val="24"/>
        </w:rPr>
        <w:t>z tytułu grzywien w celu przymuszenia</w:t>
      </w:r>
      <w:r w:rsidR="00D76007">
        <w:rPr>
          <w:bCs/>
          <w:color w:val="auto"/>
          <w:szCs w:val="24"/>
        </w:rPr>
        <w:t xml:space="preserve"> </w:t>
      </w:r>
      <w:r w:rsidR="00D76007" w:rsidRPr="00D76007">
        <w:rPr>
          <w:color w:val="auto"/>
        </w:rPr>
        <w:t>do wykonania robót budowlanych przy obiektach zabytkowych</w:t>
      </w:r>
      <w:r w:rsidR="00D953C4" w:rsidRPr="00D76007">
        <w:rPr>
          <w:bCs/>
          <w:color w:val="auto"/>
          <w:szCs w:val="24"/>
        </w:rPr>
        <w:t>.</w:t>
      </w:r>
      <w:r w:rsidRPr="00D76007">
        <w:rPr>
          <w:bCs/>
          <w:color w:val="auto"/>
          <w:szCs w:val="24"/>
        </w:rPr>
        <w:t xml:space="preserve"> </w:t>
      </w:r>
    </w:p>
    <w:p w14:paraId="5D6B0B1E" w14:textId="77777777" w:rsidR="00406F3B" w:rsidRDefault="00406F3B" w:rsidP="004B3F8E">
      <w:pPr>
        <w:pStyle w:val="Tekstpodstawowy"/>
        <w:rPr>
          <w:color w:val="auto"/>
          <w:szCs w:val="24"/>
        </w:rPr>
      </w:pPr>
    </w:p>
    <w:p w14:paraId="187D07D5" w14:textId="77777777" w:rsidR="00566838" w:rsidRDefault="00566838" w:rsidP="004B3F8E">
      <w:pPr>
        <w:jc w:val="both"/>
      </w:pPr>
    </w:p>
    <w:sectPr w:rsidR="00566838" w:rsidSect="00406F3B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F5FD4" w14:textId="77777777" w:rsidR="00B0288B" w:rsidRDefault="00B0288B">
      <w:r>
        <w:separator/>
      </w:r>
    </w:p>
  </w:endnote>
  <w:endnote w:type="continuationSeparator" w:id="0">
    <w:p w14:paraId="25808E79" w14:textId="77777777" w:rsidR="00B0288B" w:rsidRDefault="00B0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FFB8" w14:textId="77777777" w:rsidR="00B0288B" w:rsidRDefault="00B0288B">
      <w:r>
        <w:separator/>
      </w:r>
    </w:p>
  </w:footnote>
  <w:footnote w:type="continuationSeparator" w:id="0">
    <w:p w14:paraId="424FFB7D" w14:textId="77777777" w:rsidR="00B0288B" w:rsidRDefault="00B02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FBB3" w14:textId="77777777" w:rsidR="00024AEA" w:rsidRDefault="00024AEA">
    <w:pPr>
      <w:pStyle w:val="Nagwek"/>
      <w:rPr>
        <w:sz w:val="20"/>
        <w:szCs w:val="20"/>
      </w:rPr>
    </w:pPr>
  </w:p>
  <w:p w14:paraId="1480FF76" w14:textId="77777777" w:rsidR="00024AEA" w:rsidRPr="006B5589" w:rsidRDefault="00000000">
    <w:pPr>
      <w:pStyle w:val="Nagwek"/>
      <w:rPr>
        <w:sz w:val="20"/>
        <w:szCs w:val="20"/>
      </w:rPr>
    </w:pPr>
    <w:r w:rsidRPr="006B5589">
      <w:rPr>
        <w:sz w:val="20"/>
        <w:szCs w:val="20"/>
      </w:rPr>
      <w:t>cz. 85/22 – województwo pomorskie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16FD7"/>
    <w:multiLevelType w:val="hybridMultilevel"/>
    <w:tmpl w:val="DA56A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D6A68"/>
    <w:multiLevelType w:val="hybridMultilevel"/>
    <w:tmpl w:val="C3C29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87F19"/>
    <w:multiLevelType w:val="hybridMultilevel"/>
    <w:tmpl w:val="851E3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298724">
    <w:abstractNumId w:val="1"/>
  </w:num>
  <w:num w:numId="2" w16cid:durableId="761489719">
    <w:abstractNumId w:val="0"/>
  </w:num>
  <w:num w:numId="3" w16cid:durableId="1555043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3B"/>
    <w:rsid w:val="00024AEA"/>
    <w:rsid w:val="000768D8"/>
    <w:rsid w:val="00084738"/>
    <w:rsid w:val="001F0ED5"/>
    <w:rsid w:val="00232C76"/>
    <w:rsid w:val="002956EC"/>
    <w:rsid w:val="002F66AD"/>
    <w:rsid w:val="0038055D"/>
    <w:rsid w:val="003A509E"/>
    <w:rsid w:val="003F55F4"/>
    <w:rsid w:val="00406F3B"/>
    <w:rsid w:val="0047691B"/>
    <w:rsid w:val="004B3F8E"/>
    <w:rsid w:val="00566838"/>
    <w:rsid w:val="006151DA"/>
    <w:rsid w:val="00650821"/>
    <w:rsid w:val="00675FAD"/>
    <w:rsid w:val="006F78DF"/>
    <w:rsid w:val="00701B4C"/>
    <w:rsid w:val="007D6C9F"/>
    <w:rsid w:val="00866463"/>
    <w:rsid w:val="00891FF8"/>
    <w:rsid w:val="008D66C4"/>
    <w:rsid w:val="00957A52"/>
    <w:rsid w:val="009E619A"/>
    <w:rsid w:val="00A178E9"/>
    <w:rsid w:val="00A42B64"/>
    <w:rsid w:val="00A46A04"/>
    <w:rsid w:val="00AB296B"/>
    <w:rsid w:val="00AE56E0"/>
    <w:rsid w:val="00B0288B"/>
    <w:rsid w:val="00B9796B"/>
    <w:rsid w:val="00BF5FF1"/>
    <w:rsid w:val="00CA12A3"/>
    <w:rsid w:val="00CA4F9B"/>
    <w:rsid w:val="00D1156C"/>
    <w:rsid w:val="00D76007"/>
    <w:rsid w:val="00D953C4"/>
    <w:rsid w:val="00E77221"/>
    <w:rsid w:val="00F1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258A"/>
  <w15:chartTrackingRefBased/>
  <w15:docId w15:val="{B1EC14E0-6FC7-44D5-B394-34E75D81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F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F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F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406F3B"/>
    <w:pPr>
      <w:keepNext/>
      <w:keepLines/>
      <w:spacing w:before="40"/>
      <w:outlineLvl w:val="5"/>
    </w:pPr>
    <w:rPr>
      <w:rFonts w:eastAsiaTheme="majorEastAsia" w:cstheme="majorBidi"/>
      <w:b/>
      <w:iCs/>
      <w:sz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F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F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F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F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F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F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406F3B"/>
    <w:rPr>
      <w:rFonts w:ascii="Times New Roman" w:eastAsiaTheme="majorEastAsia" w:hAnsi="Times New Roman" w:cstheme="majorBidi"/>
      <w:b/>
      <w:iCs/>
      <w:kern w:val="0"/>
      <w:sz w:val="32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F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F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F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6F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6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6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6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6F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6F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6F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6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6F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6F3B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406F3B"/>
    <w:pPr>
      <w:spacing w:line="360" w:lineRule="auto"/>
      <w:jc w:val="both"/>
    </w:pPr>
    <w:rPr>
      <w:color w:val="FF0000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406F3B"/>
    <w:rPr>
      <w:rFonts w:ascii="Times New Roman" w:eastAsia="Times New Roman" w:hAnsi="Times New Roman" w:cs="Times New Roman"/>
      <w:color w:val="FF0000"/>
      <w:kern w:val="0"/>
      <w:sz w:val="24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06F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6F3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Peciak</dc:creator>
  <cp:keywords/>
  <dc:description/>
  <cp:lastModifiedBy>Konrad Peciak</cp:lastModifiedBy>
  <cp:revision>13</cp:revision>
  <dcterms:created xsi:type="dcterms:W3CDTF">2025-03-28T09:15:00Z</dcterms:created>
  <dcterms:modified xsi:type="dcterms:W3CDTF">2025-04-17T09:24:00Z</dcterms:modified>
</cp:coreProperties>
</file>