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5D112" w14:textId="77777777" w:rsidR="00171FA7" w:rsidRDefault="00A7284F">
      <w:pPr>
        <w:spacing w:after="1062" w:line="259" w:lineRule="auto"/>
        <w:jc w:val="right"/>
      </w:pPr>
      <w:r>
        <w:t>Łódź, dnia 15.03.2025 r.</w:t>
      </w:r>
    </w:p>
    <w:p w14:paraId="22427064" w14:textId="77777777" w:rsidR="00171FA7" w:rsidRDefault="00A7284F">
      <w:pPr>
        <w:spacing w:after="0" w:line="265" w:lineRule="auto"/>
        <w:ind w:left="1191" w:right="168" w:hanging="10"/>
        <w:jc w:val="center"/>
      </w:pPr>
      <w:r>
        <w:rPr>
          <w:sz w:val="26"/>
        </w:rPr>
        <w:t>Szanowna Pani</w:t>
      </w:r>
    </w:p>
    <w:p w14:paraId="69DE5F6D" w14:textId="77777777" w:rsidR="00171FA7" w:rsidRDefault="00A7284F">
      <w:pPr>
        <w:spacing w:after="0" w:line="265" w:lineRule="auto"/>
        <w:ind w:left="1191" w:hanging="10"/>
        <w:jc w:val="center"/>
      </w:pPr>
      <w:r>
        <w:rPr>
          <w:sz w:val="26"/>
        </w:rPr>
        <w:t>Urszula Zielińska</w:t>
      </w:r>
    </w:p>
    <w:p w14:paraId="12FFD428" w14:textId="77777777" w:rsidR="00171FA7" w:rsidRDefault="00A7284F">
      <w:pPr>
        <w:spacing w:after="379" w:line="265" w:lineRule="auto"/>
        <w:ind w:left="4234" w:right="744" w:hanging="10"/>
        <w:jc w:val="left"/>
      </w:pPr>
      <w:r>
        <w:rPr>
          <w:sz w:val="26"/>
        </w:rPr>
        <w:t>Sekretarz Stanu w Ministerstwie Klimatu i Środowiska</w:t>
      </w:r>
    </w:p>
    <w:p w14:paraId="7B7ACA29" w14:textId="77777777" w:rsidR="00171FA7" w:rsidRDefault="00A7284F">
      <w:pPr>
        <w:spacing w:after="501" w:line="265" w:lineRule="auto"/>
        <w:ind w:left="1191" w:right="1080" w:hanging="10"/>
        <w:jc w:val="center"/>
      </w:pPr>
      <w:r>
        <w:rPr>
          <w:sz w:val="26"/>
        </w:rPr>
        <w:t>WNIOSEK</w:t>
      </w:r>
    </w:p>
    <w:p w14:paraId="30AA799C" w14:textId="77777777" w:rsidR="00171FA7" w:rsidRDefault="00A7284F">
      <w:pPr>
        <w:pStyle w:val="Nagwek1"/>
        <w:ind w:left="24" w:right="744"/>
      </w:pPr>
      <w:r>
        <w:t>Szanowna Pani,</w:t>
      </w:r>
    </w:p>
    <w:p w14:paraId="1708331C" w14:textId="77777777" w:rsidR="00171FA7" w:rsidRDefault="00A7284F">
      <w:pPr>
        <w:spacing w:after="3" w:line="256" w:lineRule="auto"/>
        <w:ind w:left="-1" w:firstLine="58"/>
        <w:jc w:val="left"/>
      </w:pPr>
      <w:r>
        <w:t>działając w imieniu</w:t>
      </w:r>
      <w:r>
        <w:tab/>
        <w:t>które działa na rzecz poprawy powietrza, na osiedlach</w:t>
      </w:r>
      <w:r>
        <w:tab/>
        <w:t>( około 60 tysięcy mieszkańców), oraz ograniczenia emisji toksycznych odorów, a także emitowanego przemysłowego hałasu z zakładu zlokalizowanego w Łodzi</w:t>
      </w:r>
      <w:r>
        <w:tab/>
        <w:t>będącego własnością spółki składamy na ręce Pani Minister wniosek o zorganizowanie spotkania w ramach posiedzenia Komisji Ochrony Środowiska, Zasobów Naturalnych i Leśnictwa Sejmu RP. Tematem spotkania byłyby brak ustawy odorowej, a także problem klasyfikacji działalności przetwórstwa kauczuku , które w</w:t>
      </w:r>
      <w:r>
        <w:t xml:space="preserve">g PKD ( Polska Klasyfikacja Działalności ) ma numery </w:t>
      </w:r>
      <w:r>
        <w:rPr>
          <w:noProof/>
        </w:rPr>
        <w:drawing>
          <wp:inline distT="0" distB="0" distL="0" distR="0" wp14:anchorId="09659CCF" wp14:editId="1A3D56D1">
            <wp:extent cx="1767840" cy="115857"/>
            <wp:effectExtent l="0" t="0" r="0" b="0"/>
            <wp:docPr id="9063" name="Picture 9063"/>
            <wp:cNvGraphicFramePr/>
            <a:graphic xmlns:a="http://schemas.openxmlformats.org/drawingml/2006/main">
              <a:graphicData uri="http://schemas.openxmlformats.org/drawingml/2006/picture">
                <pic:pic xmlns:pic="http://schemas.openxmlformats.org/drawingml/2006/picture">
                  <pic:nvPicPr>
                    <pic:cNvPr id="9063" name="Picture 9063"/>
                    <pic:cNvPicPr/>
                  </pic:nvPicPr>
                  <pic:blipFill>
                    <a:blip r:embed="rId7"/>
                    <a:stretch>
                      <a:fillRect/>
                    </a:stretch>
                  </pic:blipFill>
                  <pic:spPr>
                    <a:xfrm>
                      <a:off x="0" y="0"/>
                      <a:ext cx="1767840" cy="115857"/>
                    </a:xfrm>
                    <a:prstGeom prst="rect">
                      <a:avLst/>
                    </a:prstGeom>
                  </pic:spPr>
                </pic:pic>
              </a:graphicData>
            </a:graphic>
          </wp:inline>
        </w:drawing>
      </w:r>
      <w:r>
        <w:t>a które zgodnie z ROZPORZĄDZENIEM MINISTRA ŚRODOWISKA z dnia 27 sierpnia 2014r. Poz. 1169 należy do grupy instalacji mogących powodować znaczne zanieczyszczenie poszczególnych elementów przyrodniczych albo środowiska jako całości. Zakres działalności zakładu obejmuje następujące punkty w/w Rozporządzenia :</w:t>
      </w:r>
    </w:p>
    <w:p w14:paraId="309D800E" w14:textId="77777777" w:rsidR="00171FA7" w:rsidRDefault="00A7284F">
      <w:pPr>
        <w:spacing w:after="147"/>
        <w:ind w:left="23" w:right="19"/>
      </w:pPr>
      <w:r>
        <w:t>4. Instalacje w przemyśle chemicznym do wytwarzania, przy zastosowaniu procesów chemicznych lub biologicznych:</w:t>
      </w:r>
    </w:p>
    <w:p w14:paraId="25466C7C" w14:textId="77777777" w:rsidR="00171FA7" w:rsidRDefault="00A7284F">
      <w:pPr>
        <w:numPr>
          <w:ilvl w:val="0"/>
          <w:numId w:val="1"/>
        </w:numPr>
        <w:ind w:right="19" w:hanging="370"/>
      </w:pPr>
      <w:r>
        <w:t>organicznych substancji chemicznych:</w:t>
      </w:r>
    </w:p>
    <w:p w14:paraId="19BC8AE5" w14:textId="77777777" w:rsidR="00171FA7" w:rsidRDefault="00A7284F">
      <w:pPr>
        <w:ind w:left="523" w:right="19"/>
      </w:pPr>
      <w:r>
        <w:t>i) kauczuków syntetycznych,</w:t>
      </w:r>
    </w:p>
    <w:p w14:paraId="71292F5B" w14:textId="77777777" w:rsidR="00171FA7" w:rsidRDefault="00A7284F">
      <w:pPr>
        <w:numPr>
          <w:ilvl w:val="0"/>
          <w:numId w:val="1"/>
        </w:numPr>
        <w:ind w:right="19" w:hanging="370"/>
      </w:pPr>
      <w:r>
        <w:t>nieorganicznych substancji chemicznych:</w:t>
      </w:r>
    </w:p>
    <w:p w14:paraId="540AB0CA" w14:textId="77777777" w:rsidR="00171FA7" w:rsidRDefault="00A7284F">
      <w:pPr>
        <w:spacing w:after="152"/>
        <w:ind w:left="518" w:right="19"/>
      </w:pPr>
      <w:r>
        <w:t>a) gazów, takich jak: amoniak, chlor lub chlorowodór, fluor lub fluorowodór, tlenki węgla, związki siarki, tlenki azotu, wodór, chlorek karbony, itp.</w:t>
      </w:r>
    </w:p>
    <w:p w14:paraId="392D239A" w14:textId="77777777" w:rsidR="00171FA7" w:rsidRDefault="00A7284F">
      <w:pPr>
        <w:ind w:left="23" w:right="19" w:firstLine="1114"/>
      </w:pPr>
      <w:r>
        <w:t>nie produkuje kauczuku, lecz go przerabia. Jest zatem zwolniony z wykonania pozwolenia zintegrowanego, które nakłada na producenta zastosowanie wielu urządzeń eliminujących negatywny wpływ na środowisko oraz częstsze kontrole prawidłowości jego funkcjonowania. Gdyby był producentem, musiałby uzyskać pozwolenie zintegrowane. Posiada jedynie pozwolenie na wprowadzanie do powietrza gazów, mniej rygorystyczne niż pozwolenie zintegrowane.</w:t>
      </w:r>
    </w:p>
    <w:p w14:paraId="13BBAC35" w14:textId="77777777" w:rsidR="00171FA7" w:rsidRDefault="00A7284F">
      <w:pPr>
        <w:spacing w:after="3" w:line="256" w:lineRule="auto"/>
        <w:ind w:left="-1" w:firstLine="4"/>
        <w:jc w:val="left"/>
      </w:pPr>
      <w:r>
        <w:t>Negatywne związki chemiczne powstające podczas produkcji czy przetwórstwa kauczuku są tożsame. Odory mają taki sam skład, zatem celowe byłoby podciągnięcie przetwórstwa kauczuku pod te same rygory ochrony środowiska, co przy produkcji, czy pod konieczność uzyskania pozwolenia zintegrowanego.</w:t>
      </w:r>
    </w:p>
    <w:p w14:paraId="21CA17E4" w14:textId="77777777" w:rsidR="00171FA7" w:rsidRDefault="00A7284F">
      <w:pPr>
        <w:ind w:left="23" w:right="19"/>
      </w:pPr>
      <w:r>
        <w:t>Zakład produkuje uszczelki samochodowe i emituje toksyczne odory do powietrza.</w:t>
      </w:r>
    </w:p>
    <w:p w14:paraId="610346DD" w14:textId="77777777" w:rsidR="00171FA7" w:rsidRDefault="00A7284F">
      <w:pPr>
        <w:ind w:left="71" w:right="19" w:hanging="48"/>
      </w:pPr>
      <w:r>
        <w:lastRenderedPageBreak/>
        <w:t>Od 2013 r., gdy produkcja zakładu została rozszerzona do 6 linii ekstruzji ( wytłaczanie kauczuku), odór emitowany z emitorów zakładu stał się nie do zniesienia.</w:t>
      </w:r>
    </w:p>
    <w:p w14:paraId="55C27F99" w14:textId="77777777" w:rsidR="00171FA7" w:rsidRDefault="00A7284F">
      <w:pPr>
        <w:ind w:left="23" w:right="355"/>
      </w:pPr>
      <w:r>
        <w:t>Do chwili obecnej w zakładzie pracuje 9 linii ekstruzji oraz 3 linie produkujące paski transmisyjne. Mieszkańcy, wdychający emitowany odór przez całą dobę, wielokrotnie protestowali czynnie na ulicach Łodzi, niestety bezskutecznie.</w:t>
      </w:r>
    </w:p>
    <w:p w14:paraId="21A5FF54" w14:textId="77777777" w:rsidR="00171FA7" w:rsidRDefault="00A7284F">
      <w:pPr>
        <w:ind w:left="23" w:right="19"/>
      </w:pPr>
      <w:r>
        <w:t>Prowadzone są od 2018r. przez Wojewódzki Inspektorat Ochrony Środowiska w Łodzi następujące postępowania wobec zakładu :</w:t>
      </w:r>
      <w:r>
        <w:rPr>
          <w:noProof/>
        </w:rPr>
        <w:drawing>
          <wp:inline distT="0" distB="0" distL="0" distR="0" wp14:anchorId="3E384A72" wp14:editId="108CCBF0">
            <wp:extent cx="15240" cy="64026"/>
            <wp:effectExtent l="0" t="0" r="0" b="0"/>
            <wp:docPr id="9066" name="Picture 9066"/>
            <wp:cNvGraphicFramePr/>
            <a:graphic xmlns:a="http://schemas.openxmlformats.org/drawingml/2006/main">
              <a:graphicData uri="http://schemas.openxmlformats.org/drawingml/2006/picture">
                <pic:pic xmlns:pic="http://schemas.openxmlformats.org/drawingml/2006/picture">
                  <pic:nvPicPr>
                    <pic:cNvPr id="9066" name="Picture 9066"/>
                    <pic:cNvPicPr/>
                  </pic:nvPicPr>
                  <pic:blipFill>
                    <a:blip r:embed="rId8"/>
                    <a:stretch>
                      <a:fillRect/>
                    </a:stretch>
                  </pic:blipFill>
                  <pic:spPr>
                    <a:xfrm>
                      <a:off x="0" y="0"/>
                      <a:ext cx="15240" cy="64026"/>
                    </a:xfrm>
                    <a:prstGeom prst="rect">
                      <a:avLst/>
                    </a:prstGeom>
                  </pic:spPr>
                </pic:pic>
              </a:graphicData>
            </a:graphic>
          </wp:inline>
        </w:drawing>
      </w:r>
    </w:p>
    <w:p w14:paraId="7840FED2" w14:textId="77777777" w:rsidR="00171FA7" w:rsidRDefault="00A7284F">
      <w:pPr>
        <w:numPr>
          <w:ilvl w:val="0"/>
          <w:numId w:val="2"/>
        </w:numPr>
        <w:ind w:right="19" w:hanging="120"/>
      </w:pPr>
      <w:r>
        <w:t>z art. 364 prawa ochrony środowiska (odory)</w:t>
      </w:r>
    </w:p>
    <w:p w14:paraId="707CBF2A" w14:textId="77777777" w:rsidR="00171FA7" w:rsidRDefault="00A7284F">
      <w:pPr>
        <w:numPr>
          <w:ilvl w:val="0"/>
          <w:numId w:val="2"/>
        </w:numPr>
        <w:ind w:right="19" w:hanging="120"/>
      </w:pPr>
      <w:r>
        <w:t>z art. 367 prawa ochrony środowiska (przekraczanie norm hałasu).</w:t>
      </w:r>
    </w:p>
    <w:p w14:paraId="7CBE9847" w14:textId="77777777" w:rsidR="00171FA7" w:rsidRDefault="00A7284F">
      <w:pPr>
        <w:spacing w:after="60"/>
        <w:ind w:left="23" w:right="182"/>
      </w:pPr>
      <w:r>
        <w:t>-Liczne kontrole wykazywały każdorazowo naruszenia przepisów, a nawet przekroczenie normy LZO 0 100%. Zakład płacił też liczne kary, jednak nadal produkuje i emituje odory.</w:t>
      </w:r>
    </w:p>
    <w:p w14:paraId="36E4DCE5" w14:textId="77777777" w:rsidR="00171FA7" w:rsidRDefault="00A7284F">
      <w:pPr>
        <w:ind w:left="23" w:right="19"/>
      </w:pPr>
      <w:r>
        <w:t>Również Wydział Ochrony Środowiska i Rolnictwa Urzędu Miasta Łodzi prowadzi postępowania przeciwko zakładowi :</w:t>
      </w:r>
    </w:p>
    <w:p w14:paraId="04FB15D6" w14:textId="77777777" w:rsidR="00171FA7" w:rsidRDefault="00A7284F">
      <w:pPr>
        <w:numPr>
          <w:ilvl w:val="0"/>
          <w:numId w:val="2"/>
        </w:numPr>
        <w:ind w:right="19" w:hanging="120"/>
      </w:pPr>
      <w:r>
        <w:t>z art. 195 prawa ochrony środowiska</w:t>
      </w:r>
    </w:p>
    <w:p w14:paraId="2F8161A6" w14:textId="77777777" w:rsidR="00171FA7" w:rsidRDefault="00A7284F">
      <w:pPr>
        <w:numPr>
          <w:ilvl w:val="0"/>
          <w:numId w:val="2"/>
        </w:numPr>
        <w:ind w:right="19" w:hanging="120"/>
      </w:pPr>
      <w:r>
        <w:t>z art. 362 prawa ochrony środowiska</w:t>
      </w:r>
    </w:p>
    <w:p w14:paraId="118BEBE8" w14:textId="77777777" w:rsidR="00171FA7" w:rsidRDefault="00A7284F">
      <w:pPr>
        <w:numPr>
          <w:ilvl w:val="0"/>
          <w:numId w:val="2"/>
        </w:numPr>
        <w:spacing w:after="110"/>
        <w:ind w:right="19" w:hanging="120"/>
      </w:pPr>
      <w:r>
        <w:t>z art.237, art.239, art.240 prawa ochrony środowiska</w:t>
      </w:r>
    </w:p>
    <w:p w14:paraId="3FE5EB83" w14:textId="77777777" w:rsidR="00171FA7" w:rsidRDefault="00A7284F">
      <w:pPr>
        <w:spacing w:after="161"/>
        <w:ind w:left="23" w:right="19"/>
      </w:pPr>
      <w:r>
        <w:t>Postępowanie prowadzi również Prokuratura Okręgowa w Łodzi z art. 186 prawa ochrony środowiska.</w:t>
      </w:r>
    </w:p>
    <w:p w14:paraId="7288DE53" w14:textId="77777777" w:rsidR="00171FA7" w:rsidRDefault="00A7284F">
      <w:pPr>
        <w:spacing w:after="140"/>
        <w:ind w:left="23" w:right="19"/>
      </w:pPr>
      <w:r>
        <w:t>Toczy się też kilka postępowań w sądach.</w:t>
      </w:r>
    </w:p>
    <w:p w14:paraId="07C5F8E9" w14:textId="77777777" w:rsidR="00171FA7" w:rsidRDefault="00A7284F">
      <w:pPr>
        <w:ind w:left="23" w:right="907"/>
      </w:pPr>
      <w:r>
        <w:t>Mimo tak wielu działań, urzędy administracji państwowej nie mogą wykazać szkodliwej dla środowiska i zdrowia mieszkańców działalności zakładu z powodu braku ustawy odorowej, z powodu braku dopuszczalnych norm odorowych.</w:t>
      </w:r>
    </w:p>
    <w:p w14:paraId="50EAC5B4" w14:textId="77777777" w:rsidR="00171FA7" w:rsidRDefault="00A7284F">
      <w:pPr>
        <w:spacing w:after="76"/>
        <w:ind w:left="23" w:right="504"/>
      </w:pPr>
      <w:r>
        <w:t>Ten fakt powoduje, że środowisko jest całodobowo zanieczyszczane toksycznymi związkami chemicznymi ( formaldehyd, węglowodory aromatyczne i alifatyczne, dwutlenek siarki, benzen, butan, toluen i inne), jednocześnie, niszcząc zdrowie ludzi.</w:t>
      </w:r>
    </w:p>
    <w:p w14:paraId="59AF7A08" w14:textId="77777777" w:rsidR="00171FA7" w:rsidRDefault="00A7284F">
      <w:pPr>
        <w:spacing w:after="247" w:line="248" w:lineRule="auto"/>
        <w:ind w:left="4" w:right="38" w:firstLine="4"/>
      </w:pPr>
      <w:r>
        <w:rPr>
          <w:sz w:val="24"/>
        </w:rPr>
        <w:t>Najbardziej cierpią dzieci oraz seniorzy. Odór wywołuje drapanie w gardle, zawroty głowy, bóle głowy, katar sienny, łzawienie oczu, wymioty, a nawet omdlenia.</w:t>
      </w:r>
    </w:p>
    <w:p w14:paraId="3BE97779" w14:textId="77777777" w:rsidR="00171FA7" w:rsidRDefault="00A7284F">
      <w:pPr>
        <w:spacing w:after="165"/>
        <w:ind w:left="23" w:right="19"/>
      </w:pPr>
      <w:r>
        <w:t>Nie pokazują tego również coroczne kontrole WIOŚ w zakładzie, gdyż zakład sprytnie manipuluje możliwościami kontrolerów w zakresie np. dotarciu do „niewygodnych” urządzeń.</w:t>
      </w:r>
    </w:p>
    <w:p w14:paraId="06992C63" w14:textId="77777777" w:rsidR="00171FA7" w:rsidRDefault="00A7284F">
      <w:pPr>
        <w:ind w:left="23" w:right="19"/>
      </w:pPr>
      <w:r>
        <w:t xml:space="preserve">Odbyły się również dwa posiedzenia Komisji Ochrony Środowiska Rady Miejskiej w Łodzi, o które wnioskowała </w:t>
      </w:r>
      <w:r>
        <w:rPr>
          <w:noProof/>
        </w:rPr>
        <w:drawing>
          <wp:inline distT="0" distB="0" distL="0" distR="0" wp14:anchorId="04786579" wp14:editId="19D977AD">
            <wp:extent cx="6096" cy="85368"/>
            <wp:effectExtent l="0" t="0" r="0" b="0"/>
            <wp:docPr id="3684" name="Picture 3684"/>
            <wp:cNvGraphicFramePr/>
            <a:graphic xmlns:a="http://schemas.openxmlformats.org/drawingml/2006/main">
              <a:graphicData uri="http://schemas.openxmlformats.org/drawingml/2006/picture">
                <pic:pic xmlns:pic="http://schemas.openxmlformats.org/drawingml/2006/picture">
                  <pic:nvPicPr>
                    <pic:cNvPr id="3684" name="Picture 3684"/>
                    <pic:cNvPicPr/>
                  </pic:nvPicPr>
                  <pic:blipFill>
                    <a:blip r:embed="rId9"/>
                    <a:stretch>
                      <a:fillRect/>
                    </a:stretch>
                  </pic:blipFill>
                  <pic:spPr>
                    <a:xfrm>
                      <a:off x="0" y="0"/>
                      <a:ext cx="6096" cy="85368"/>
                    </a:xfrm>
                    <a:prstGeom prst="rect">
                      <a:avLst/>
                    </a:prstGeom>
                  </pic:spPr>
                </pic:pic>
              </a:graphicData>
            </a:graphic>
          </wp:inline>
        </w:drawing>
      </w:r>
    </w:p>
    <w:p w14:paraId="3D4873C2" w14:textId="77777777" w:rsidR="00171FA7" w:rsidRDefault="00A7284F">
      <w:pPr>
        <w:spacing w:after="121"/>
        <w:ind w:left="23" w:right="19"/>
      </w:pPr>
      <w:r>
        <w:t>Przedstawiliśmy na nich nasze wnioski o zgłoszenie problemu do Ministerstwa Klimatu i Środowiska. Do dnia dzisiejszego Przewodnicząca Komisji, Pani tego nie uczyniła z niewiadomych nam powodów.</w:t>
      </w:r>
    </w:p>
    <w:p w14:paraId="1F8DB03F" w14:textId="77777777" w:rsidR="00171FA7" w:rsidRDefault="00A7284F">
      <w:pPr>
        <w:ind w:left="23" w:right="19"/>
      </w:pPr>
      <w:r>
        <w:t>Wiemy, że podobny problem dotyczy wielu miast w Polsce. Ludzie walczą o czyste środowisko, ale są marginalizowani. Tak jest np. w • -Poznaniu-</w:t>
      </w:r>
    </w:p>
    <w:p w14:paraId="19AF2167" w14:textId="77777777" w:rsidR="00171FA7" w:rsidRDefault="00A7284F">
      <w:pPr>
        <w:spacing w:after="43" w:line="256" w:lineRule="auto"/>
        <w:ind w:left="-1" w:right="7507" w:firstLine="4"/>
        <w:jc w:val="left"/>
      </w:pPr>
      <w:r>
        <w:t xml:space="preserve">-Krakowie — -Świdnicy-Gdyni — -Tucznawie — i wielu innych </w:t>
      </w:r>
      <w:r>
        <w:rPr>
          <w:noProof/>
        </w:rPr>
        <w:drawing>
          <wp:inline distT="0" distB="0" distL="0" distR="0" wp14:anchorId="46D0DB79" wp14:editId="55809091">
            <wp:extent cx="21336" cy="21342"/>
            <wp:effectExtent l="0" t="0" r="0" b="0"/>
            <wp:docPr id="4841" name="Picture 4841"/>
            <wp:cNvGraphicFramePr/>
            <a:graphic xmlns:a="http://schemas.openxmlformats.org/drawingml/2006/main">
              <a:graphicData uri="http://schemas.openxmlformats.org/drawingml/2006/picture">
                <pic:pic xmlns:pic="http://schemas.openxmlformats.org/drawingml/2006/picture">
                  <pic:nvPicPr>
                    <pic:cNvPr id="4841" name="Picture 4841"/>
                    <pic:cNvPicPr/>
                  </pic:nvPicPr>
                  <pic:blipFill>
                    <a:blip r:embed="rId10"/>
                    <a:stretch>
                      <a:fillRect/>
                    </a:stretch>
                  </pic:blipFill>
                  <pic:spPr>
                    <a:xfrm>
                      <a:off x="0" y="0"/>
                      <a:ext cx="21336" cy="21342"/>
                    </a:xfrm>
                    <a:prstGeom prst="rect">
                      <a:avLst/>
                    </a:prstGeom>
                  </pic:spPr>
                </pic:pic>
              </a:graphicData>
            </a:graphic>
          </wp:inline>
        </w:drawing>
      </w:r>
    </w:p>
    <w:p w14:paraId="6EA12EF4" w14:textId="77777777" w:rsidR="00171FA7" w:rsidRDefault="00A7284F">
      <w:pPr>
        <w:ind w:left="23" w:right="144"/>
      </w:pPr>
      <w:r>
        <w:lastRenderedPageBreak/>
        <w:t>Prosimy o uwzględnienie naszego wniosku i rozpoczęcie dialogu z mieszkańcami w ramach instytucji rządowych i sejmowych, aby zakończyć ten trwający proceder niszczenia środowiska bez konsekwencji i w obliczu prawa.</w:t>
      </w:r>
    </w:p>
    <w:p w14:paraId="38932BDF" w14:textId="77777777" w:rsidR="00171FA7" w:rsidRDefault="00A7284F">
      <w:pPr>
        <w:spacing w:after="12" w:line="248" w:lineRule="auto"/>
        <w:ind w:left="1109" w:right="38" w:firstLine="4"/>
      </w:pPr>
      <w:r>
        <w:rPr>
          <w:sz w:val="24"/>
        </w:rPr>
        <w:t>to firma produkcyjna, przedsiębiorstwo, które pracuje dla zysku.</w:t>
      </w:r>
    </w:p>
    <w:p w14:paraId="0106CCC7" w14:textId="77777777" w:rsidR="00171FA7" w:rsidRDefault="00A7284F">
      <w:pPr>
        <w:spacing w:after="268" w:line="248" w:lineRule="auto"/>
        <w:ind w:left="4" w:right="38" w:firstLine="4"/>
      </w:pPr>
      <w:r>
        <w:rPr>
          <w:sz w:val="24"/>
        </w:rPr>
        <w:t>Tylko dlaczego naszym kosztem? Żaden biznes nie może szkodzić mieszkańcom!</w:t>
      </w:r>
    </w:p>
    <w:p w14:paraId="7CEA9BB2" w14:textId="77777777" w:rsidR="00171FA7" w:rsidRDefault="00A7284F">
      <w:pPr>
        <w:spacing w:after="268"/>
        <w:ind w:left="23" w:right="19"/>
      </w:pPr>
      <w:r>
        <w:t>My Państwa wyborcy, czekamy na rozpoczęcie konstruktywnych działań w tym zakresie.</w:t>
      </w:r>
    </w:p>
    <w:p w14:paraId="4F63FEB7" w14:textId="77777777" w:rsidR="00171FA7" w:rsidRDefault="00A7284F">
      <w:pPr>
        <w:spacing w:after="430" w:line="248" w:lineRule="auto"/>
        <w:ind w:left="4" w:right="38" w:firstLine="4"/>
      </w:pPr>
      <w:r>
        <w:rPr>
          <w:sz w:val="24"/>
        </w:rPr>
        <w:t>Ustawa odorowa i nałożenie na przetwórstwo kauczuku rygorów z produkcji z kauczuku to jedyna drogą, aby ukrócić cwaniactwo korporacyjne wielkich konsorcjów i przywrócić ochronę środowiska na należne jej miejsce.</w:t>
      </w:r>
    </w:p>
    <w:p w14:paraId="4A2F8C05" w14:textId="77777777" w:rsidR="00171FA7" w:rsidRDefault="00A7284F">
      <w:pPr>
        <w:spacing w:after="2252"/>
        <w:ind w:left="23" w:right="19"/>
      </w:pPr>
      <w:r>
        <w:t>Z poważaniem.</w:t>
      </w:r>
    </w:p>
    <w:p w14:paraId="1D1B77FB" w14:textId="77777777" w:rsidR="00171FA7" w:rsidRDefault="00A7284F">
      <w:pPr>
        <w:pStyle w:val="Nagwek1"/>
        <w:spacing w:after="542"/>
        <w:ind w:left="24" w:right="744"/>
      </w:pPr>
      <w:r>
        <w:t>Poparcie Radnej</w:t>
      </w:r>
    </w:p>
    <w:p w14:paraId="41D69BB2" w14:textId="77777777" w:rsidR="00171FA7" w:rsidRDefault="00A7284F">
      <w:pPr>
        <w:spacing w:after="555"/>
        <w:ind w:left="23" w:right="19"/>
      </w:pPr>
      <w:r>
        <w:t xml:space="preserve">Jako Radna Rady Miejskiej w Łodzi, popieram i wspieram działania na rzecz czystego powietrza dla mieszkańców osiedli </w:t>
      </w:r>
      <w:r>
        <w:rPr>
          <w:noProof/>
        </w:rPr>
        <w:drawing>
          <wp:inline distT="0" distB="0" distL="0" distR="0" wp14:anchorId="4036DBD3" wp14:editId="139BFCA1">
            <wp:extent cx="21336" cy="88417"/>
            <wp:effectExtent l="0" t="0" r="0" b="0"/>
            <wp:docPr id="4842" name="Picture 4842"/>
            <wp:cNvGraphicFramePr/>
            <a:graphic xmlns:a="http://schemas.openxmlformats.org/drawingml/2006/main">
              <a:graphicData uri="http://schemas.openxmlformats.org/drawingml/2006/picture">
                <pic:pic xmlns:pic="http://schemas.openxmlformats.org/drawingml/2006/picture">
                  <pic:nvPicPr>
                    <pic:cNvPr id="4842" name="Picture 4842"/>
                    <pic:cNvPicPr/>
                  </pic:nvPicPr>
                  <pic:blipFill>
                    <a:blip r:embed="rId11"/>
                    <a:stretch>
                      <a:fillRect/>
                    </a:stretch>
                  </pic:blipFill>
                  <pic:spPr>
                    <a:xfrm>
                      <a:off x="0" y="0"/>
                      <a:ext cx="21336" cy="88417"/>
                    </a:xfrm>
                    <a:prstGeom prst="rect">
                      <a:avLst/>
                    </a:prstGeom>
                  </pic:spPr>
                </pic:pic>
              </a:graphicData>
            </a:graphic>
          </wp:inline>
        </w:drawing>
      </w:r>
    </w:p>
    <w:p w14:paraId="611FC864" w14:textId="77777777" w:rsidR="00171FA7" w:rsidRDefault="00A7284F">
      <w:pPr>
        <w:spacing w:after="823"/>
        <w:ind w:left="23" w:right="19"/>
      </w:pPr>
      <w:r>
        <w:t>Z poważaniem</w:t>
      </w:r>
    </w:p>
    <w:p w14:paraId="1B577E2B" w14:textId="77777777" w:rsidR="00171FA7" w:rsidRDefault="00A7284F">
      <w:pPr>
        <w:ind w:left="23" w:right="19"/>
      </w:pPr>
      <w:r>
        <w:t>Do wiadomości:</w:t>
      </w:r>
    </w:p>
    <w:p w14:paraId="0690094C" w14:textId="77777777" w:rsidR="00171FA7" w:rsidRDefault="00A7284F">
      <w:pPr>
        <w:numPr>
          <w:ilvl w:val="0"/>
          <w:numId w:val="3"/>
        </w:numPr>
        <w:ind w:right="19" w:hanging="370"/>
      </w:pPr>
      <w:r>
        <w:t>Kancelaria Marszałka Sejmu.</w:t>
      </w:r>
    </w:p>
    <w:p w14:paraId="5EC15BA2" w14:textId="77777777" w:rsidR="00171FA7" w:rsidRDefault="00A7284F">
      <w:pPr>
        <w:numPr>
          <w:ilvl w:val="0"/>
          <w:numId w:val="3"/>
        </w:numPr>
        <w:ind w:right="19" w:hanging="370"/>
      </w:pPr>
      <w:r>
        <w:t>Kancelaria Premiera.</w:t>
      </w:r>
    </w:p>
    <w:p w14:paraId="3AE54A71" w14:textId="77777777" w:rsidR="00171FA7" w:rsidRDefault="00A7284F">
      <w:pPr>
        <w:numPr>
          <w:ilvl w:val="0"/>
          <w:numId w:val="3"/>
        </w:numPr>
        <w:ind w:right="19" w:hanging="370"/>
      </w:pPr>
      <w:r>
        <w:t>Kancelaria Ministra Klimatu i Środowiska.</w:t>
      </w:r>
    </w:p>
    <w:sectPr w:rsidR="00171FA7">
      <w:footerReference w:type="even" r:id="rId12"/>
      <w:footerReference w:type="default" r:id="rId13"/>
      <w:footerReference w:type="first" r:id="rId14"/>
      <w:pgSz w:w="11779" w:h="16718"/>
      <w:pgMar w:top="1860" w:right="1440" w:bottom="1835" w:left="1358" w:header="708" w:footer="10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B4D27" w14:textId="77777777" w:rsidR="00A7284F" w:rsidRDefault="00A7284F">
      <w:pPr>
        <w:spacing w:after="0" w:line="240" w:lineRule="auto"/>
      </w:pPr>
      <w:r>
        <w:separator/>
      </w:r>
    </w:p>
  </w:endnote>
  <w:endnote w:type="continuationSeparator" w:id="0">
    <w:p w14:paraId="79ADA20E" w14:textId="77777777" w:rsidR="00A7284F" w:rsidRDefault="00A72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F7AB" w14:textId="77777777" w:rsidR="00171FA7" w:rsidRDefault="00A7284F">
    <w:pPr>
      <w:spacing w:after="0" w:line="259" w:lineRule="auto"/>
      <w:ind w:left="139"/>
      <w:jc w:val="center"/>
    </w:pPr>
    <w:r>
      <w:fldChar w:fldCharType="begin"/>
    </w:r>
    <w:r>
      <w:instrText xml:space="preserve"> PAGE   \* MERGEFORMAT </w:instrText>
    </w:r>
    <w: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D12C" w14:textId="77777777" w:rsidR="00171FA7" w:rsidRDefault="00A7284F">
    <w:pPr>
      <w:spacing w:after="0" w:line="259" w:lineRule="auto"/>
      <w:ind w:left="139"/>
      <w:jc w:val="center"/>
    </w:pPr>
    <w:r>
      <w:fldChar w:fldCharType="begin"/>
    </w:r>
    <w:r>
      <w:instrText xml:space="preserve"> PAGE   \* MERGEFORMAT </w:instrText>
    </w:r>
    <w: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5508" w14:textId="77777777" w:rsidR="00171FA7" w:rsidRDefault="00A7284F">
    <w:pPr>
      <w:spacing w:after="0" w:line="259" w:lineRule="auto"/>
      <w:ind w:left="139"/>
      <w:jc w:val="center"/>
    </w:pPr>
    <w:r>
      <w:fldChar w:fldCharType="begin"/>
    </w:r>
    <w:r>
      <w:instrText xml:space="preserve"> PAGE   \* MERGEFORMAT </w:instrText>
    </w:r>
    <w: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7AA9" w14:textId="77777777" w:rsidR="00A7284F" w:rsidRDefault="00A7284F">
      <w:pPr>
        <w:spacing w:after="0" w:line="240" w:lineRule="auto"/>
      </w:pPr>
      <w:r>
        <w:separator/>
      </w:r>
    </w:p>
  </w:footnote>
  <w:footnote w:type="continuationSeparator" w:id="0">
    <w:p w14:paraId="27602210" w14:textId="77777777" w:rsidR="00A7284F" w:rsidRDefault="00A72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A245F"/>
    <w:multiLevelType w:val="hybridMultilevel"/>
    <w:tmpl w:val="34368036"/>
    <w:lvl w:ilvl="0" w:tplc="0FEA00FA">
      <w:start w:val="1"/>
      <w:numFmt w:val="decimal"/>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92947E">
      <w:start w:val="1"/>
      <w:numFmt w:val="lowerLetter"/>
      <w:lvlText w:val="%2"/>
      <w:lvlJc w:val="left"/>
      <w:pPr>
        <w:ind w:left="14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74606BE">
      <w:start w:val="1"/>
      <w:numFmt w:val="lowerRoman"/>
      <w:lvlText w:val="%3"/>
      <w:lvlJc w:val="left"/>
      <w:pPr>
        <w:ind w:left="21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145EB6">
      <w:start w:val="1"/>
      <w:numFmt w:val="decimal"/>
      <w:lvlText w:val="%4"/>
      <w:lvlJc w:val="left"/>
      <w:pPr>
        <w:ind w:left="28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7507050">
      <w:start w:val="1"/>
      <w:numFmt w:val="lowerLetter"/>
      <w:lvlText w:val="%5"/>
      <w:lvlJc w:val="left"/>
      <w:pPr>
        <w:ind w:left="3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94BCA4">
      <w:start w:val="1"/>
      <w:numFmt w:val="lowerRoman"/>
      <w:lvlText w:val="%6"/>
      <w:lvlJc w:val="left"/>
      <w:pPr>
        <w:ind w:left="4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AAACB6">
      <w:start w:val="1"/>
      <w:numFmt w:val="decimal"/>
      <w:lvlText w:val="%7"/>
      <w:lvlJc w:val="left"/>
      <w:pPr>
        <w:ind w:left="5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5BEBF1E">
      <w:start w:val="1"/>
      <w:numFmt w:val="lowerLetter"/>
      <w:lvlText w:val="%8"/>
      <w:lvlJc w:val="left"/>
      <w:pPr>
        <w:ind w:left="5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B4C726">
      <w:start w:val="1"/>
      <w:numFmt w:val="lowerRoman"/>
      <w:lvlText w:val="%9"/>
      <w:lvlJc w:val="left"/>
      <w:pPr>
        <w:ind w:left="6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63F143C"/>
    <w:multiLevelType w:val="hybridMultilevel"/>
    <w:tmpl w:val="ED62680A"/>
    <w:lvl w:ilvl="0" w:tplc="A88EE03A">
      <w:start w:val="1"/>
      <w:numFmt w:val="decimal"/>
      <w:lvlText w:val="%1)"/>
      <w:lvlJc w:val="left"/>
      <w:pPr>
        <w:ind w:left="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23E8C02">
      <w:start w:val="1"/>
      <w:numFmt w:val="lowerLetter"/>
      <w:lvlText w:val="%2"/>
      <w:lvlJc w:val="left"/>
      <w:pPr>
        <w:ind w:left="1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BC09BC">
      <w:start w:val="1"/>
      <w:numFmt w:val="lowerRoman"/>
      <w:lvlText w:val="%3"/>
      <w:lvlJc w:val="left"/>
      <w:pPr>
        <w:ind w:left="1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464858">
      <w:start w:val="1"/>
      <w:numFmt w:val="decimal"/>
      <w:lvlText w:val="%4"/>
      <w:lvlJc w:val="left"/>
      <w:pPr>
        <w:ind w:left="2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246C96">
      <w:start w:val="1"/>
      <w:numFmt w:val="lowerLetter"/>
      <w:lvlText w:val="%5"/>
      <w:lvlJc w:val="left"/>
      <w:pPr>
        <w:ind w:left="3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C4A6266">
      <w:start w:val="1"/>
      <w:numFmt w:val="lowerRoman"/>
      <w:lvlText w:val="%6"/>
      <w:lvlJc w:val="left"/>
      <w:pPr>
        <w:ind w:left="4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5D6F6DE">
      <w:start w:val="1"/>
      <w:numFmt w:val="decimal"/>
      <w:lvlText w:val="%7"/>
      <w:lvlJc w:val="left"/>
      <w:pPr>
        <w:ind w:left="4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2A8CC6">
      <w:start w:val="1"/>
      <w:numFmt w:val="lowerLetter"/>
      <w:lvlText w:val="%8"/>
      <w:lvlJc w:val="left"/>
      <w:pPr>
        <w:ind w:left="5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CB489CE">
      <w:start w:val="1"/>
      <w:numFmt w:val="lowerRoman"/>
      <w:lvlText w:val="%9"/>
      <w:lvlJc w:val="left"/>
      <w:pPr>
        <w:ind w:left="6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FAA6495"/>
    <w:multiLevelType w:val="hybridMultilevel"/>
    <w:tmpl w:val="E714ACAE"/>
    <w:lvl w:ilvl="0" w:tplc="092ACCEC">
      <w:start w:val="1"/>
      <w:numFmt w:val="bullet"/>
      <w:lvlText w:val="-"/>
      <w:lvlJc w:val="left"/>
      <w:pPr>
        <w:ind w:left="1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947CCA">
      <w:start w:val="1"/>
      <w:numFmt w:val="bullet"/>
      <w:lvlText w:val="o"/>
      <w:lvlJc w:val="left"/>
      <w:pPr>
        <w:ind w:left="1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4285A56">
      <w:start w:val="1"/>
      <w:numFmt w:val="bullet"/>
      <w:lvlText w:val="▪"/>
      <w:lvlJc w:val="left"/>
      <w:pPr>
        <w:ind w:left="1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962DF4C">
      <w:start w:val="1"/>
      <w:numFmt w:val="bullet"/>
      <w:lvlText w:val="•"/>
      <w:lvlJc w:val="left"/>
      <w:pPr>
        <w:ind w:left="2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37CFBC4">
      <w:start w:val="1"/>
      <w:numFmt w:val="bullet"/>
      <w:lvlText w:val="o"/>
      <w:lvlJc w:val="left"/>
      <w:pPr>
        <w:ind w:left="3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46C332">
      <w:start w:val="1"/>
      <w:numFmt w:val="bullet"/>
      <w:lvlText w:val="▪"/>
      <w:lvlJc w:val="left"/>
      <w:pPr>
        <w:ind w:left="3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B27CA0">
      <w:start w:val="1"/>
      <w:numFmt w:val="bullet"/>
      <w:lvlText w:val="•"/>
      <w:lvlJc w:val="left"/>
      <w:pPr>
        <w:ind w:left="4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3AE1F74">
      <w:start w:val="1"/>
      <w:numFmt w:val="bullet"/>
      <w:lvlText w:val="o"/>
      <w:lvlJc w:val="left"/>
      <w:pPr>
        <w:ind w:left="5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3D29CAE">
      <w:start w:val="1"/>
      <w:numFmt w:val="bullet"/>
      <w:lvlText w:val="▪"/>
      <w:lvlJc w:val="left"/>
      <w:pPr>
        <w:ind w:left="6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141340291">
    <w:abstractNumId w:val="1"/>
  </w:num>
  <w:num w:numId="2" w16cid:durableId="503976745">
    <w:abstractNumId w:val="2"/>
  </w:num>
  <w:num w:numId="3" w16cid:durableId="1070733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FA7"/>
    <w:rsid w:val="00171FA7"/>
    <w:rsid w:val="0068044D"/>
    <w:rsid w:val="00A728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7CFF4F7B"/>
  <w15:docId w15:val="{9411054C-15A7-4B7F-B703-E71B813E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49" w:lineRule="auto"/>
      <w:jc w:val="both"/>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251" w:line="265" w:lineRule="auto"/>
      <w:ind w:left="1023" w:hanging="10"/>
      <w:outlineLvl w:val="0"/>
    </w:pPr>
    <w:rPr>
      <w:rFonts w:ascii="Calibri" w:eastAsia="Calibri" w:hAnsi="Calibri" w:cs="Calibri"/>
      <w:color w:val="000000"/>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798</Words>
  <Characters>4788</Characters>
  <Application>Microsoft Office Word</Application>
  <DocSecurity>4</DocSecurity>
  <Lines>39</Lines>
  <Paragraphs>11</Paragraphs>
  <ScaleCrop>false</ScaleCrop>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Wierzbicka Sylwia</dc:creator>
  <cp:keywords/>
  <cp:lastModifiedBy>Wierzbicka Sylwia</cp:lastModifiedBy>
  <cp:revision>2</cp:revision>
  <dcterms:created xsi:type="dcterms:W3CDTF">2025-07-10T12:08:00Z</dcterms:created>
  <dcterms:modified xsi:type="dcterms:W3CDTF">2025-07-10T12:08:00Z</dcterms:modified>
</cp:coreProperties>
</file>