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7BB" w14:textId="6F0B21E9" w:rsidR="006A1015" w:rsidRDefault="00302838" w:rsidP="001977E1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13. 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>Zasady udzielania zamówień</w:t>
      </w:r>
      <w:r>
        <w:rPr>
          <w:rFonts w:ascii="Times New Roman" w:hAnsi="Times New Roman" w:cs="Times New Roman"/>
          <w:b/>
          <w:sz w:val="24"/>
          <w:szCs w:val="24"/>
        </w:rPr>
        <w:t xml:space="preserve"> w Programie Fundusze Europejskie na Pomoc Żywnościową 2021-2027 – Podprogram 202</w:t>
      </w:r>
      <w:r w:rsidR="005B2B2B">
        <w:rPr>
          <w:rFonts w:ascii="Times New Roman" w:hAnsi="Times New Roman" w:cs="Times New Roman"/>
          <w:b/>
          <w:sz w:val="24"/>
          <w:szCs w:val="24"/>
        </w:rPr>
        <w:t>6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 xml:space="preserve">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proofErr w:type="spellStart"/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bookmarkEnd w:id="0"/>
      <w:proofErr w:type="spellEnd"/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Przez podmioty niebędące zamawiającym w rozumieniu </w:t>
      </w:r>
      <w:proofErr w:type="spellStart"/>
      <w:r w:rsidRPr="005107E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07ED">
        <w:rPr>
          <w:rFonts w:ascii="Times New Roman" w:hAnsi="Times New Roman" w:cs="Times New Roman"/>
          <w:sz w:val="24"/>
          <w:szCs w:val="24"/>
        </w:rPr>
        <w:t xml:space="preserve">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7F461323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</w:t>
      </w:r>
      <w:r w:rsidR="001977E1">
        <w:rPr>
          <w:rFonts w:ascii="Times New Roman" w:hAnsi="Times New Roman" w:cs="Times New Roman"/>
          <w:sz w:val="24"/>
          <w:szCs w:val="24"/>
        </w:rPr>
        <w:t>projekty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w ramach </w:t>
      </w:r>
      <w:r w:rsidR="001977E1">
        <w:rPr>
          <w:rFonts w:ascii="Times New Roman" w:hAnsi="Times New Roman" w:cs="Times New Roman"/>
          <w:sz w:val="24"/>
          <w:szCs w:val="24"/>
        </w:rPr>
        <w:t>FEPŻ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 xml:space="preserve">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i (UE) nr 283/2014 oraz decyzję nr 541/2014/UE, a także uchylające rozporządzenie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>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7AC32503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</w:t>
      </w:r>
      <w:r w:rsidR="00535803">
        <w:rPr>
          <w:rFonts w:ascii="Times New Roman" w:hAnsi="Times New Roman" w:cs="Times New Roman"/>
          <w:sz w:val="24"/>
          <w:szCs w:val="24"/>
        </w:rPr>
        <w:t>m z FEPŻ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1B80446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20DDC6C3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Zasady konkurencyjności można nie stosować do:</w:t>
      </w:r>
    </w:p>
    <w:p w14:paraId="21E83FD3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pilną potrzebę (konieczność) udzielenia zamówienia niewynikającą z przyczyn leżących po stronie zamawiającego, której wcześniej nie można było przewidzieć, nie można zachować terminów na składanie ofert (7 dni lub 14 dni w przypadku robót budowlanych);</w:t>
      </w:r>
    </w:p>
    <w:p w14:paraId="28ADBF87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wyjątkową sytuację niewynikającą z przyczyn leżących po stronie zamawiającego, której wcześniej nie można było przewidzieć (np. klęski żywiołowe, katastrofy, awarie), wymagane jest natychmiastowe wykonanie zamówienia;</w:t>
      </w:r>
    </w:p>
    <w:p w14:paraId="6A6AE660" w14:textId="19749611" w:rsidR="002320DF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zamówień, które mogą być zrealizowane tylko przez jednego wykonawcę z jednego z następujących powodów:</w:t>
      </w:r>
    </w:p>
    <w:p w14:paraId="2214E949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i) brak konkurencji ze względów technicznych o obiektywnym charakterze, gdy istnieje tylko jeden wykonawca, który jako jedyny może zrealizować zamówienie, albo</w:t>
      </w:r>
    </w:p>
    <w:p w14:paraId="17466B64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ii) przedmiot zamówienia jest objęty ochroną praw wyłącznych, w tym praw własności intelektualnej, gdy istnieje tylko jeden wykonawca, który ma wyłączne prawo do dysponowania przedmiotem zamówienia, a prawo to podlega ochronie ustawowej,  o ile nie istnieje rozsądne rozwiązanie alternatywne lub zastępcze, a brak konkurencji nie jest wynikiem sztucznego zawężania parametrów zamówienia,</w:t>
      </w:r>
    </w:p>
    <w:p w14:paraId="79D2C584" w14:textId="19AE6468" w:rsidR="00583431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 xml:space="preserve">Jeżeli w wyniku prawidłowego zastosowania zasady konkurencyjności nie wpłynęła żadna oferta, lub wpłynęły jedynie oferty podlegające odrzuceniu, albo żaden wykonawca nie spełnił warunków udziału w postępowaniu, o ile zamawiający </w:t>
      </w:r>
      <w:r w:rsidRPr="002320DF">
        <w:rPr>
          <w:rFonts w:ascii="Times New Roman" w:hAnsi="Times New Roman" w:cs="Times New Roman"/>
          <w:sz w:val="24"/>
          <w:szCs w:val="24"/>
        </w:rPr>
        <w:lastRenderedPageBreak/>
        <w:t>stawiał takie warunki wykonawcom, zawarcie umowy w sprawie realizacji zamówienia z pominięciem zasady konkurencyjności jest możliwe, gdy pierwotne warunki zamówienia nie zostały zmienione.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>. Rozeznania rynku dokonuje się w przypadku zamówień o wartości od 20 tys. PLN netto do 50 tys. PLN netto włącznie, tj. bez podatku od towarów i usług (VAT). Rozeznanie rynku ma 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proofErr w:type="spellStart"/>
      <w:r w:rsidR="00865322" w:rsidRPr="00242296">
        <w:rPr>
          <w:rFonts w:ascii="Times New Roman" w:hAnsi="Times New Roman"/>
          <w:sz w:val="24"/>
          <w:szCs w:val="24"/>
        </w:rPr>
        <w:t>pozacenowe</w:t>
      </w:r>
      <w:proofErr w:type="spellEnd"/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potencjalnych wykonawców, o ile na rynku istnieje co najmniej trzech potencjalnych 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 w:rsidP="005358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62FFF1F7" w14:textId="5EB4EC1B" w:rsidR="00535803" w:rsidRPr="002320DF" w:rsidRDefault="00900358" w:rsidP="002320D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>wymaga zawarcia umowy w formie pisemnej.</w:t>
      </w:r>
    </w:p>
    <w:sectPr w:rsidR="00535803" w:rsidRPr="002320DF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C9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29458661" w:rsidR="009A23E5" w:rsidRPr="00535803" w:rsidRDefault="009A23E5">
      <w:pPr>
        <w:pStyle w:val="Tekstprzypisudolnego"/>
        <w:rPr>
          <w:rFonts w:ascii="Times New Roman" w:hAnsi="Times New Roman" w:cs="Times New Roman"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</w:t>
      </w:r>
      <w:r w:rsidR="00535803">
        <w:rPr>
          <w:rFonts w:ascii="Times New Roman" w:hAnsi="Times New Roman" w:cs="Times New Roman"/>
          <w:sz w:val="18"/>
        </w:rPr>
        <w:t xml:space="preserve"> </w:t>
      </w:r>
      <w:r w:rsidR="00535803" w:rsidRPr="00535803">
        <w:rPr>
          <w:rFonts w:ascii="Times New Roman" w:hAnsi="Times New Roman" w:cs="Times New Roman"/>
          <w:i/>
          <w:iCs/>
          <w:sz w:val="18"/>
        </w:rPr>
        <w:t>Wytycznych Ministra Funduszy i Polityki Regionalnej dotyczących kwalifikowalności wydatków na lata 2021-2027</w:t>
      </w:r>
      <w:r w:rsidR="00535803"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32D9" w14:textId="6B32D26F" w:rsidR="005328AE" w:rsidRDefault="000241A1" w:rsidP="000241A1">
    <w:pPr>
      <w:pStyle w:val="Nagwek"/>
      <w:jc w:val="center"/>
    </w:pPr>
    <w:r>
      <w:rPr>
        <w:noProof/>
      </w:rPr>
      <w:drawing>
        <wp:inline distT="0" distB="0" distL="0" distR="0" wp14:anchorId="17BFEC14" wp14:editId="6FB4C4E0">
          <wp:extent cx="3952875" cy="79998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6749" cy="80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311"/>
    <w:multiLevelType w:val="hybridMultilevel"/>
    <w:tmpl w:val="53543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4C7DEB"/>
    <w:multiLevelType w:val="hybridMultilevel"/>
    <w:tmpl w:val="B156A094"/>
    <w:lvl w:ilvl="0" w:tplc="C6C4F5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0F7E"/>
    <w:rsid w:val="00004E36"/>
    <w:rsid w:val="000241A1"/>
    <w:rsid w:val="00055BC7"/>
    <w:rsid w:val="00064D6E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977E1"/>
    <w:rsid w:val="001D1BAD"/>
    <w:rsid w:val="001D1FC3"/>
    <w:rsid w:val="001D2BE4"/>
    <w:rsid w:val="00223174"/>
    <w:rsid w:val="002320DF"/>
    <w:rsid w:val="00242296"/>
    <w:rsid w:val="00253A55"/>
    <w:rsid w:val="002E23F8"/>
    <w:rsid w:val="002E57B3"/>
    <w:rsid w:val="00302838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35803"/>
    <w:rsid w:val="005549F4"/>
    <w:rsid w:val="00564834"/>
    <w:rsid w:val="0057121E"/>
    <w:rsid w:val="005810AC"/>
    <w:rsid w:val="00583431"/>
    <w:rsid w:val="005A097C"/>
    <w:rsid w:val="005B2B2B"/>
    <w:rsid w:val="005D745F"/>
    <w:rsid w:val="005F4E83"/>
    <w:rsid w:val="006217C4"/>
    <w:rsid w:val="00663725"/>
    <w:rsid w:val="006641A8"/>
    <w:rsid w:val="006942F6"/>
    <w:rsid w:val="006A1015"/>
    <w:rsid w:val="006A3D8E"/>
    <w:rsid w:val="006C412D"/>
    <w:rsid w:val="00724432"/>
    <w:rsid w:val="00730590"/>
    <w:rsid w:val="00735DBA"/>
    <w:rsid w:val="007564DB"/>
    <w:rsid w:val="00796C6B"/>
    <w:rsid w:val="007C7494"/>
    <w:rsid w:val="00801A30"/>
    <w:rsid w:val="00820BD7"/>
    <w:rsid w:val="008535CE"/>
    <w:rsid w:val="00865322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B1C52"/>
    <w:rsid w:val="00AC09C9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82066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E437-35A8-4356-855C-F63B08C8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2014-12-03T16:32:00Z</cp:lastPrinted>
  <dcterms:created xsi:type="dcterms:W3CDTF">2026-02-25T12:00:00Z</dcterms:created>
  <dcterms:modified xsi:type="dcterms:W3CDTF">2026-02-25T12:00:00Z</dcterms:modified>
</cp:coreProperties>
</file>