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06" w:rsidRDefault="009F2A06" w:rsidP="009F2A0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05A11">
        <w:rPr>
          <w:rFonts w:ascii="Times New Roman" w:hAnsi="Times New Roman"/>
          <w:b/>
          <w:sz w:val="36"/>
          <w:szCs w:val="36"/>
        </w:rPr>
        <w:t>Opinia</w:t>
      </w:r>
    </w:p>
    <w:p w:rsidR="009F2A06" w:rsidRPr="00705A11" w:rsidRDefault="009F2A06" w:rsidP="009F2A0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Komisji Kodyfikacyjnej Prawa Karnego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sprawie propozycji zmian w zakresie środka zapobiegawczego w postaci poręczenia majątkowego przedstawionej przez Prokuratora Generalnego </w:t>
      </w:r>
      <w:bookmarkStart w:id="0" w:name="_GoBack"/>
      <w:bookmarkEnd w:id="0"/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Prokurator Generalny skierował do Ministra Sprawiedliwości propozycje dokonania zmian w Kodeksie postępowania karnego w odniesieniu do środka zapobiegawczego w postaci poręczenia majątkowego. Zmiany te, zdaniem autora propozycji, wpłynąć powinny na zwiększenie skuteczności i efektywności poręczenia majątkowego oraz spowodować ograniczenie stosowania tymczasowego aresztowania.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Przedstawione propozycje dotyczą w istocie dwóch zagadnień.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 pierwsze, wprowadzenia zabezpieczenia wykonania prawomocnego postanowienia o poręczeniu majątkowym na mieniu oskarżonego.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 drugie zaś, wprowadzenia możliwości zaskarżenia przez prokuratora postanowienia sądu o odmowie przepadku przedmiotu poręczenia majątkowego lub ściągnięcia sumy poręczenia.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</w:p>
    <w:p w:rsidR="009F2A06" w:rsidRDefault="009F2A06" w:rsidP="009F2A06">
      <w:pPr>
        <w:jc w:val="center"/>
        <w:rPr>
          <w:rFonts w:ascii="Times New Roman" w:hAnsi="Times New Roman"/>
          <w:b/>
          <w:sz w:val="28"/>
          <w:szCs w:val="28"/>
        </w:rPr>
      </w:pPr>
      <w:r w:rsidRPr="00705A11">
        <w:rPr>
          <w:rFonts w:ascii="Times New Roman" w:hAnsi="Times New Roman"/>
          <w:b/>
          <w:sz w:val="28"/>
          <w:szCs w:val="28"/>
        </w:rPr>
        <w:t>I</w:t>
      </w:r>
    </w:p>
    <w:p w:rsidR="009F2A06" w:rsidRDefault="009F2A06" w:rsidP="009F2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Zabezpieczenie wykonania postanowienia o poręczeniu majątkowym na mieniu oskarżonego (projekt wprowadzenia do k.p.k. art. 266a)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Z uzasadnienia projektu wynika, iż powodem, dla którego przedstawiono propozycję wprowadzenia do k.p.k. art. 266a jest w znacznym stopniu ograniczona w aktualnym stanie prawnym skuteczność i efektywność poręczenia majątkowego spowodowana brakiem przepisów pozwalających na wyegzekwowanie od oskarżonego realizacji prawomocnego postanowienia o zastosowaniu tego środka zapobiegawczego, to znaczy wyegzekwowania złożenia przedmiotu poręczenia  w wysokości, rodzaju, warunkach i terminie określonych w postanowieniu. Autor projektu odwołuje się przy tym do </w:t>
      </w:r>
      <w:r>
        <w:rPr>
          <w:rFonts w:ascii="Times New Roman" w:hAnsi="Times New Roman"/>
          <w:sz w:val="28"/>
          <w:szCs w:val="28"/>
        </w:rPr>
        <w:lastRenderedPageBreak/>
        <w:t xml:space="preserve">występujących w praktyce sytuacji, w których oskarżony, już po uprawomocnieniu się postanowienia o zastosowaniu poręczenia majątkowego nie wykonuje, bądź wykonuje tylko częściowo zobowiązania wynikające z treści postanowienia. Organowi procesowemu, jak wynika z uzasadnienia projektu, pozostaje wówczas  „jedynie korespondencja z oskarżonym z wezwaniem do realizacji wydanego orzeczenia” lub, przy braku reakcji oskarżonego, zmiana albo uchylenie wydanego postanowienia. Zmiana postanowienia zaś polega w praktyce na zmniejszeniu wysokości poręczenia do kwoty faktycznie złożonej lub deklarowanej przez oskarżonego albo na zastosowaniu innego </w:t>
      </w:r>
      <w:proofErr w:type="spellStart"/>
      <w:r>
        <w:rPr>
          <w:rFonts w:ascii="Times New Roman" w:hAnsi="Times New Roman"/>
          <w:sz w:val="28"/>
          <w:szCs w:val="28"/>
        </w:rPr>
        <w:t>nieizolacyjnego</w:t>
      </w:r>
      <w:proofErr w:type="spellEnd"/>
      <w:r>
        <w:rPr>
          <w:rFonts w:ascii="Times New Roman" w:hAnsi="Times New Roman"/>
          <w:sz w:val="28"/>
          <w:szCs w:val="28"/>
        </w:rPr>
        <w:t xml:space="preserve"> środka zapobiegawczego. W uzasadnieniu projektu podkreślono przy tym, że zaniechanie wykonania przez oskarżonego postanowienia o zastosowaniu poręczenia majątkowego z reguły nie stanowi podstawy do zastosowania tymczasowego aresztowania (s. 4 projektu). Zauważono przy tym, że obowiązujące unormowanie powoduje, że z punktu widzenia organu stosującego poręczenie majątkowe brak gwarancji, iż środek ten zabezpieczy prawidłowy tok postępowania, a nadto dochodzi do dostosowywania kształtu decyzji o poręczeniu do postawy oskarżonego.  W końcowej części tego fragmentu uzasadnienia autor projektu zaznaczył, iż brak przepisów gwarantujących wykonanie prawomocnego postanowienia o zastosowaniu poręczenia majątkowego prowadzi w efekcie do zwiększenia „presji na stosowanie izolacyjnego środka</w:t>
      </w:r>
      <w:r w:rsidR="00C81B60">
        <w:rPr>
          <w:rFonts w:ascii="Times New Roman" w:hAnsi="Times New Roman"/>
          <w:sz w:val="28"/>
          <w:szCs w:val="28"/>
        </w:rPr>
        <w:t xml:space="preserve"> zapobiegawczego”</w:t>
      </w:r>
      <w:r>
        <w:rPr>
          <w:rFonts w:ascii="Times New Roman" w:hAnsi="Times New Roman"/>
          <w:sz w:val="28"/>
          <w:szCs w:val="28"/>
        </w:rPr>
        <w:t>, czyli tymczasowego aresztowania.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Poręczenie majątkowe to jeden z </w:t>
      </w:r>
      <w:proofErr w:type="spellStart"/>
      <w:r>
        <w:rPr>
          <w:rFonts w:ascii="Times New Roman" w:hAnsi="Times New Roman"/>
          <w:sz w:val="28"/>
          <w:szCs w:val="28"/>
        </w:rPr>
        <w:t>nieizolacyjnych</w:t>
      </w:r>
      <w:proofErr w:type="spellEnd"/>
      <w:r>
        <w:rPr>
          <w:rFonts w:ascii="Times New Roman" w:hAnsi="Times New Roman"/>
          <w:sz w:val="28"/>
          <w:szCs w:val="28"/>
        </w:rPr>
        <w:t xml:space="preserve"> środków zapobiegawczych</w:t>
      </w:r>
      <w:r w:rsidR="002C53A4">
        <w:rPr>
          <w:rFonts w:ascii="Times New Roman" w:hAnsi="Times New Roman"/>
          <w:sz w:val="28"/>
          <w:szCs w:val="28"/>
        </w:rPr>
        <w:t>, przy czym środek jedyny, o którym można powiedzieć, że ma charakter dobrowolny, zależny od woli oskarżonego. Celem stosowania  poręczenia</w:t>
      </w:r>
      <w:r>
        <w:rPr>
          <w:rFonts w:ascii="Times New Roman" w:hAnsi="Times New Roman"/>
          <w:sz w:val="28"/>
          <w:szCs w:val="28"/>
        </w:rPr>
        <w:t xml:space="preserve"> jest, jak wynika z art. 249 § 1 k.p.k., zabezpieczenie prawidłowego toku postępowania poprzez zapewnienie stawiennictwa oskarżonego oraz wykluczenie utrudniania przez niego postępowania w każdy inny aniżeli niestawiennictwo sposób, aż do czasu rozpoczęcia wykonania kary. W toku postępowania zmierzającego do wydania postanowienia o poręczeniu majątkowym dochodzi najpierw do swoistych negocjacji, a właściwie przedstawienia przez oskarżonego konkretnej propozycji</w:t>
      </w:r>
      <w:r w:rsidR="001256BE">
        <w:rPr>
          <w:rFonts w:ascii="Times New Roman" w:hAnsi="Times New Roman"/>
          <w:sz w:val="28"/>
          <w:szCs w:val="28"/>
        </w:rPr>
        <w:t xml:space="preserve"> co do przedmiotu poręczenia</w:t>
      </w:r>
      <w:r>
        <w:rPr>
          <w:rFonts w:ascii="Times New Roman" w:hAnsi="Times New Roman"/>
          <w:sz w:val="28"/>
          <w:szCs w:val="28"/>
        </w:rPr>
        <w:t xml:space="preserve"> (oferty), która może być przez organ przyjęta lub odrzucona</w:t>
      </w:r>
      <w:r w:rsidR="00C81B60">
        <w:rPr>
          <w:rFonts w:ascii="Times New Roman" w:hAnsi="Times New Roman"/>
          <w:sz w:val="28"/>
          <w:szCs w:val="28"/>
        </w:rPr>
        <w:t xml:space="preserve"> (kolejność może być też odwrotna)</w:t>
      </w:r>
      <w:r>
        <w:rPr>
          <w:rFonts w:ascii="Times New Roman" w:hAnsi="Times New Roman"/>
          <w:sz w:val="28"/>
          <w:szCs w:val="28"/>
        </w:rPr>
        <w:t xml:space="preserve">, a potem, w razie ostatecznego przyjęcia propozycji do swego rodzaju umowy pomiędzy organem procesowym a oskarżonym i ewentualnie poręczycielem. Efektem tej umowy jest określenie </w:t>
      </w:r>
      <w:r>
        <w:rPr>
          <w:rFonts w:ascii="Times New Roman" w:hAnsi="Times New Roman"/>
          <w:sz w:val="28"/>
          <w:szCs w:val="28"/>
        </w:rPr>
        <w:lastRenderedPageBreak/>
        <w:t>warunków poręczenia – wysokości kwoty poręczenia w przypadku pieniędzy lub określenia innej formy przedmiotu poręczenia – papierów wartościowych, zastawu lub hipoteki. Przyjmuje się, że ustalenie wartości przedmiotu poręczenia uwzględniać powinno przede wszystkim możliwości finansowe oskarżonego w kontekście wagi zarzucanego mu czynu.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sz w:val="28"/>
          <w:szCs w:val="28"/>
        </w:rPr>
        <w:t>Sui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generis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umowa między organem procesowym a oskarżonym zostaje zerwana poprzez ucieczkę lub ukrycie się oskarżonego albo przez utrudnianie przez niego postępowania w inny sposób. Efektem takiego postępowania jest przepadek przedmiotu poręczenia. Do niedotrzymania warunków umowy dojść może jednak również wtedy, gdy po wydaniu postanowienia o zastosowaniu poręczenia majątkowego oskarżony lub poręczyciel z różnych względów nie złożą określonych wartości majątkowych, nie dokonają wpisu hipotecznego etc. Wówczas przyjąć należy, że dochodzi do swoistego rozwiązania umowy i organ procesowy może stosować inny rodzaj środka zapobiegawczego lub przystąpić do ponownych negocjacji co do rodzaju i wartości przedmiotu poręczenia. Zauważyć nadto należy, że art. 269 § 3 k.p.k. przewiduje możliwość cofnięcia poręczenia, które także jest rodzajem odstąpienia od zawartej umowy.   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Środek zapobiegawczy w postaci poręczenia majątkowego dotyczy szczególnie wrażliwej i chronionej konstytucyjnie sfery własności. Wszelkie n</w:t>
      </w:r>
      <w:r w:rsidR="00665719">
        <w:rPr>
          <w:rFonts w:ascii="Times New Roman" w:hAnsi="Times New Roman"/>
          <w:sz w:val="28"/>
          <w:szCs w:val="28"/>
        </w:rPr>
        <w:t xml:space="preserve">owe rozwiązania w tym zakresie </w:t>
      </w:r>
      <w:r>
        <w:rPr>
          <w:rFonts w:ascii="Times New Roman" w:hAnsi="Times New Roman"/>
          <w:sz w:val="28"/>
          <w:szCs w:val="28"/>
        </w:rPr>
        <w:t>traktowane być powinny z dużą ostrożnością. Wpr</w:t>
      </w:r>
      <w:r w:rsidR="00665719">
        <w:rPr>
          <w:rFonts w:ascii="Times New Roman" w:hAnsi="Times New Roman"/>
          <w:sz w:val="28"/>
          <w:szCs w:val="28"/>
        </w:rPr>
        <w:t>owadzenie</w:t>
      </w:r>
      <w:r>
        <w:rPr>
          <w:rFonts w:ascii="Times New Roman" w:hAnsi="Times New Roman"/>
          <w:sz w:val="28"/>
          <w:szCs w:val="28"/>
        </w:rPr>
        <w:t xml:space="preserve"> zabezpieczenia wykonania postanowienia o poręczeniu majątkowym niewątpliwie wpłynie na z</w:t>
      </w:r>
      <w:r w:rsidR="00665719">
        <w:rPr>
          <w:rFonts w:ascii="Times New Roman" w:hAnsi="Times New Roman"/>
          <w:sz w:val="28"/>
          <w:szCs w:val="28"/>
        </w:rPr>
        <w:t>większenie stopnia</w:t>
      </w:r>
      <w:r>
        <w:rPr>
          <w:rFonts w:ascii="Times New Roman" w:hAnsi="Times New Roman"/>
          <w:sz w:val="28"/>
          <w:szCs w:val="28"/>
        </w:rPr>
        <w:t xml:space="preserve"> dotkliwości tego środka zapobiegawczego dla oskarżonego. Wydaje się jednocześnie, że projektowane rozwiązanie pozostaje w sprzeczności z przedstawioną powyżej istotą poręczenia majątkowego jako efektu swego rodzaju umowy pomiędzy organem procesowym a oskarżonym lub poręczycielem. Zauważyć przy tym trzeba, że zjawisko w postaci niewykonywania przez oskarżonych postanowienia o poręcz</w:t>
      </w:r>
      <w:r w:rsidR="00665719">
        <w:rPr>
          <w:rFonts w:ascii="Times New Roman" w:hAnsi="Times New Roman"/>
          <w:sz w:val="28"/>
          <w:szCs w:val="28"/>
        </w:rPr>
        <w:t>eniu majątkowym, jak się wydaje</w:t>
      </w:r>
      <w:r>
        <w:rPr>
          <w:rFonts w:ascii="Times New Roman" w:hAnsi="Times New Roman"/>
          <w:sz w:val="28"/>
          <w:szCs w:val="28"/>
        </w:rPr>
        <w:t xml:space="preserve"> przynajmniej nie zawsze</w:t>
      </w:r>
      <w:r w:rsidR="006657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wynika ze złej woli oskarżonego lub chęci wywierania wpływu na kształt decyzji organu procesowego, a często jest efektem różnego rodzaju czynników, na które oskarżony nie ma wpływu, czy skutkiem zwykłego przecenienia osobistych lub rodzinnych możliwości finansowych, o które zapewne łatwo w warunkach zagrożenia pozbawieniem wolności poprzez potencjalne zastosowanie tymczasowego aresztowania. Nie sposób nie dostrzec jednocześnie, że w uzasadnieniu projektu nie przedstawiono żadnych danych wskazujących na częstość odstępowania przez oskarżonych od zawartej umowy. </w:t>
      </w:r>
      <w:r>
        <w:rPr>
          <w:rFonts w:ascii="Times New Roman" w:hAnsi="Times New Roman"/>
          <w:sz w:val="28"/>
          <w:szCs w:val="28"/>
        </w:rPr>
        <w:lastRenderedPageBreak/>
        <w:t>Określenie skali tego zjawiska wydaje się konieczne dla dokonywania zmiany ustawy, która istotnie dotknie sfery własności nie tylko oskarżonych, ale często także ich najbliższych, czy nawet interesów rodziny oskarżonego w pierwszej kolejności.</w:t>
      </w:r>
    </w:p>
    <w:p w:rsidR="009F2A06" w:rsidRPr="00156B62" w:rsidRDefault="001256BE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Przy ustaleniu</w:t>
      </w:r>
      <w:r w:rsidR="009F2A06">
        <w:rPr>
          <w:rFonts w:ascii="Times New Roman" w:hAnsi="Times New Roman"/>
          <w:sz w:val="28"/>
          <w:szCs w:val="28"/>
        </w:rPr>
        <w:t xml:space="preserve"> nawet, że zjawisko opisane w uzasadnieniu projektu w rzeczywistości w istotnej skali ma miejsce, nie można podzielić stanowiska autora projektu co do bezradności organu procesowego w sytuacji, w której oskarżony nie realizuje obowiązków wynikających z postanowienia o zastosowaniu poręczenia majątkowego. W przypadku takiego „zerwania umowy” przez oskarżonego istnieją bowiem podstawy do stosowania innych środków zapobiegawczych, z tymczasowym aresztowaniem włącznie. Nie należy także negować możliwości np. zmiany wysokości sumy poręczenia w toku postępowania. Z natury rzeczy poręczenie majątkowe powinno być środkiem zapobiegawczym o charakterze</w:t>
      </w:r>
      <w:r w:rsidR="00665719">
        <w:rPr>
          <w:rFonts w:ascii="Times New Roman" w:hAnsi="Times New Roman"/>
          <w:sz w:val="28"/>
          <w:szCs w:val="28"/>
        </w:rPr>
        <w:t xml:space="preserve"> dobrowolnym i</w:t>
      </w:r>
      <w:r w:rsidR="009F2A06">
        <w:rPr>
          <w:rFonts w:ascii="Times New Roman" w:hAnsi="Times New Roman"/>
          <w:sz w:val="28"/>
          <w:szCs w:val="28"/>
        </w:rPr>
        <w:t xml:space="preserve"> elastycznym, pozwalającym dostosowywać kształt środka do zmieniającej się czasem w toku postępowania sytuacji finansowej oskarżonego. Zaznaczyć trzeba, że w znajdującym się już w parlamencie projekcie zmian w Kodeksie postępowania karnego autorstwa Komisji w</w:t>
      </w:r>
      <w:r>
        <w:rPr>
          <w:rFonts w:ascii="Times New Roman" w:hAnsi="Times New Roman"/>
          <w:sz w:val="28"/>
          <w:szCs w:val="28"/>
        </w:rPr>
        <w:t xml:space="preserve"> art. 257 § 2 ta elastyczność</w:t>
      </w:r>
      <w:r w:rsidR="009F2A06">
        <w:rPr>
          <w:rFonts w:ascii="Times New Roman" w:hAnsi="Times New Roman"/>
          <w:sz w:val="28"/>
          <w:szCs w:val="28"/>
        </w:rPr>
        <w:t xml:space="preserve"> znalazła swe odbicie, przyjęto bowiem, że „</w:t>
      </w:r>
      <w:r w:rsidR="009F2A06">
        <w:rPr>
          <w:rFonts w:ascii="Times New Roman" w:hAnsi="Times New Roman"/>
          <w:i/>
          <w:sz w:val="28"/>
          <w:szCs w:val="28"/>
        </w:rPr>
        <w:t xml:space="preserve">Stosując tymczasowe aresztowanie sąd może zastrzec, że środek ten ulegnie zmianie z chwilą złożenia, nie później niż w wyznaczonym terminie, określonego poręczenia majątkowego; na uzasadniony wniosek oskarżonego lub jego obrońcy sąd może przedłużyć termin złożenia poręczenia.” </w:t>
      </w:r>
      <w:r w:rsidR="009F2A06">
        <w:rPr>
          <w:rFonts w:ascii="Times New Roman" w:hAnsi="Times New Roman"/>
          <w:sz w:val="28"/>
          <w:szCs w:val="28"/>
        </w:rPr>
        <w:t>Możliwość przedłużenia terminu</w:t>
      </w:r>
      <w:r>
        <w:rPr>
          <w:rFonts w:ascii="Times New Roman" w:hAnsi="Times New Roman"/>
          <w:sz w:val="28"/>
          <w:szCs w:val="28"/>
        </w:rPr>
        <w:t xml:space="preserve"> przewidywana w projektowanym przepisie</w:t>
      </w:r>
      <w:r w:rsidR="009F2A06">
        <w:rPr>
          <w:rFonts w:ascii="Times New Roman" w:hAnsi="Times New Roman"/>
          <w:sz w:val="28"/>
          <w:szCs w:val="28"/>
        </w:rPr>
        <w:t xml:space="preserve">, a więc </w:t>
      </w:r>
      <w:r>
        <w:rPr>
          <w:rFonts w:ascii="Times New Roman" w:hAnsi="Times New Roman"/>
          <w:sz w:val="28"/>
          <w:szCs w:val="28"/>
        </w:rPr>
        <w:t xml:space="preserve">możliwość </w:t>
      </w:r>
      <w:r w:rsidR="009F2A06">
        <w:rPr>
          <w:rFonts w:ascii="Times New Roman" w:hAnsi="Times New Roman"/>
          <w:sz w:val="28"/>
          <w:szCs w:val="28"/>
        </w:rPr>
        <w:t>elastycznego reagowania na zmieniające się okoliczności, pozostaje w sprzeczności z opin</w:t>
      </w:r>
      <w:r>
        <w:rPr>
          <w:rFonts w:ascii="Times New Roman" w:hAnsi="Times New Roman"/>
          <w:sz w:val="28"/>
          <w:szCs w:val="28"/>
        </w:rPr>
        <w:t>iowaną ideą wprowadzenia</w:t>
      </w:r>
      <w:r w:rsidR="009F2A06">
        <w:rPr>
          <w:rFonts w:ascii="Times New Roman" w:hAnsi="Times New Roman"/>
          <w:sz w:val="28"/>
          <w:szCs w:val="28"/>
        </w:rPr>
        <w:t xml:space="preserve"> zabezpieczenia. Podkreślić także trzeba, że we wskazanym projekcie zmian w k.p.k. znalazła się także propozycja wprowadzenia w art. 268 § 1a możliwości częściowego jedynie przepadku lub ściągnięcia wartości majątkowych poręczenia, z jedno</w:t>
      </w:r>
      <w:r w:rsidR="00C81B60">
        <w:rPr>
          <w:rFonts w:ascii="Times New Roman" w:hAnsi="Times New Roman"/>
          <w:sz w:val="28"/>
          <w:szCs w:val="28"/>
        </w:rPr>
        <w:t xml:space="preserve">czesnym stosowaniem innego, </w:t>
      </w:r>
      <w:proofErr w:type="spellStart"/>
      <w:r w:rsidR="00C81B60">
        <w:rPr>
          <w:rFonts w:ascii="Times New Roman" w:hAnsi="Times New Roman"/>
          <w:sz w:val="28"/>
          <w:szCs w:val="28"/>
        </w:rPr>
        <w:t>nie</w:t>
      </w:r>
      <w:r w:rsidR="009F2A06">
        <w:rPr>
          <w:rFonts w:ascii="Times New Roman" w:hAnsi="Times New Roman"/>
          <w:sz w:val="28"/>
          <w:szCs w:val="28"/>
        </w:rPr>
        <w:t>izolacyjnego</w:t>
      </w:r>
      <w:proofErr w:type="spellEnd"/>
      <w:r w:rsidR="009F2A06">
        <w:rPr>
          <w:rFonts w:ascii="Times New Roman" w:hAnsi="Times New Roman"/>
          <w:sz w:val="28"/>
          <w:szCs w:val="28"/>
        </w:rPr>
        <w:t xml:space="preserve"> środka zapobiegawczego, co prowadzić powinno do lepszego zabezpieczenia prawidłowego biegu postępowania z jednoczesną możliwością uniknięcia stosowania wobec oskarżonego tymczasowego aresztowania.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Za celowe uznać należy zatem deklarowane w projekcie zamierzenie zwiększenia skuteczności i efektywności poręczenia majątkowego z jednoczesnym ograniczeniem stosowania tymczasowego aresztowania. Jak się jednak wydaje proponowana metoda spowodować może nawet zwiększenie </w:t>
      </w:r>
      <w:r>
        <w:rPr>
          <w:rFonts w:ascii="Times New Roman" w:hAnsi="Times New Roman"/>
          <w:sz w:val="28"/>
          <w:szCs w:val="28"/>
        </w:rPr>
        <w:lastRenderedPageBreak/>
        <w:t>ostrożności oskarżonych i ewentualnych poręczycieli przy proponowaniu stosowania omawianego środka zapobiega</w:t>
      </w:r>
      <w:r w:rsidR="001256BE">
        <w:rPr>
          <w:rFonts w:ascii="Times New Roman" w:hAnsi="Times New Roman"/>
          <w:sz w:val="28"/>
          <w:szCs w:val="28"/>
        </w:rPr>
        <w:t xml:space="preserve">wczego. </w:t>
      </w:r>
      <w:r>
        <w:rPr>
          <w:rFonts w:ascii="Times New Roman" w:hAnsi="Times New Roman"/>
          <w:sz w:val="28"/>
          <w:szCs w:val="28"/>
        </w:rPr>
        <w:t xml:space="preserve">Fakt, że poręczenie majątkowe stosowane jest nadal być może zbyt rzadko, wynika raczej z praktyki organów procesowych (w tym funkcjonującego ciągle, także w społeczeństwie, przekonania, że jest to środek niedemokratyczny i mało dolegliwy) niż z wadliwego kształtu przepisów. W miarę rosnącego poziomu zamożności społeczeństwa środek ten stosowany być powinien częściej, zastępując w szeregu przypadków tymczasowe aresztowanie. Zauważyć na marginesie należy, że widoczny jest na przestrzeni ostatnich lat znaczący wzrost liczby zastosowanych poręczeń majątkowych (z danych statystycznych publikowanych na stronach Ministerstwa Sprawiedliwości </w:t>
      </w:r>
      <w:r>
        <w:rPr>
          <w:rFonts w:ascii="Times New Roman" w:hAnsi="Times New Roman"/>
          <w:i/>
          <w:sz w:val="28"/>
          <w:szCs w:val="28"/>
        </w:rPr>
        <w:t>www.ms.gov.pl</w:t>
      </w:r>
      <w:r>
        <w:rPr>
          <w:rFonts w:ascii="Times New Roman" w:hAnsi="Times New Roman"/>
          <w:sz w:val="28"/>
          <w:szCs w:val="28"/>
        </w:rPr>
        <w:t xml:space="preserve"> wynika, że w 2001 r. poręczenie majątkowe było stosowane w postępowaniach przygotowawczych 5610 razy, a w 2010 r. w 13 940 przypadkach). 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Podsumowując tę część opinii podkreślić trzeba, że zdaniem Komisji ewentualne zmiany w proponowanym kształcie powinny być poprzedzone określeniem skali zjawiska opisanego w jego uzasadnieniu. Zauważyć nadto wypada, że proponowana treść art. 266a k.p.k. zawiera możliwość zabezpieczenia wykonania poręczenia jedynie w przypadku poręczenia składanego przez samego oskarżonego, nie dotyczy natomiast przypadków w których np. sumę poręczenia wpłaca poręczyciel, a więc poręczenie składa inna osoba, o której mowa w art. 266 § 1 k.p.k. Tak</w:t>
      </w:r>
      <w:r w:rsidR="00665719">
        <w:rPr>
          <w:rFonts w:ascii="Times New Roman" w:hAnsi="Times New Roman"/>
          <w:sz w:val="28"/>
          <w:szCs w:val="28"/>
        </w:rPr>
        <w:t xml:space="preserve">ie zróżnicowanie umożliwia </w:t>
      </w:r>
      <w:r>
        <w:rPr>
          <w:rFonts w:ascii="Times New Roman" w:hAnsi="Times New Roman"/>
          <w:sz w:val="28"/>
          <w:szCs w:val="28"/>
        </w:rPr>
        <w:t xml:space="preserve"> obejście proponowanego dodatkowego rygoru, wystarczy bowiem, że oskarżony dostarczy własne środki innej osobie, która je wpłaci jako poręczyciel, co pozwoli unik</w:t>
      </w:r>
      <w:r w:rsidR="00665719">
        <w:rPr>
          <w:rFonts w:ascii="Times New Roman" w:hAnsi="Times New Roman"/>
          <w:sz w:val="28"/>
          <w:szCs w:val="28"/>
        </w:rPr>
        <w:t>nąć zabezpieczenia. Biorąc jednak przede wszystkim</w:t>
      </w:r>
      <w:r>
        <w:rPr>
          <w:rFonts w:ascii="Times New Roman" w:hAnsi="Times New Roman"/>
          <w:sz w:val="28"/>
          <w:szCs w:val="28"/>
        </w:rPr>
        <w:t xml:space="preserve"> pod uwagę</w:t>
      </w:r>
      <w:r w:rsidR="00665719">
        <w:rPr>
          <w:rFonts w:ascii="Times New Roman" w:hAnsi="Times New Roman"/>
          <w:sz w:val="28"/>
          <w:szCs w:val="28"/>
        </w:rPr>
        <w:t xml:space="preserve"> wcześniej przedstawione argumenty</w:t>
      </w:r>
      <w:r>
        <w:rPr>
          <w:rFonts w:ascii="Times New Roman" w:hAnsi="Times New Roman"/>
          <w:sz w:val="28"/>
          <w:szCs w:val="28"/>
        </w:rPr>
        <w:t>, projekt wprowadzenia do k.p.k. art. 266a uznać należy w chwili obecnej za niezasadny.</w:t>
      </w:r>
    </w:p>
    <w:p w:rsidR="009F2A06" w:rsidRDefault="009F2A06" w:rsidP="009F2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</w:p>
    <w:p w:rsidR="009F2A06" w:rsidRDefault="009F2A06" w:rsidP="009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Projekt wprowadzenia możliwości zaskarżenia postanowienia o odmowie przepadku poręczenia. </w:t>
      </w:r>
    </w:p>
    <w:p w:rsidR="009F2A06" w:rsidRDefault="009F2A06" w:rsidP="009F2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Propozycja zmiany treści art. 270 § 3 k.p.k.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Przepis art. 270 § 3 k.p.k. w obecnym brzmieniu dopuszcza możliwość wniesienia zażalenia jedynie na postanowienie określone w § 1 art. 270 k.p.k., a więc na postanowienie o przepadku przedmiotu poręczenia lub ściągnięciu sumy poręczenia. Brak w tym przepisie podstawy do zaskarżenia postanowienia </w:t>
      </w:r>
      <w:r>
        <w:rPr>
          <w:rFonts w:ascii="Times New Roman" w:hAnsi="Times New Roman"/>
          <w:sz w:val="28"/>
          <w:szCs w:val="28"/>
        </w:rPr>
        <w:lastRenderedPageBreak/>
        <w:t>odmawiającego orzeczenia wskazanego przepadku lub</w:t>
      </w:r>
      <w:r w:rsidR="001256BE">
        <w:rPr>
          <w:rFonts w:ascii="Times New Roman" w:hAnsi="Times New Roman"/>
          <w:sz w:val="28"/>
          <w:szCs w:val="28"/>
        </w:rPr>
        <w:t xml:space="preserve"> ściągnięcia. Nie jest to jednocześnie</w:t>
      </w:r>
      <w:r>
        <w:rPr>
          <w:rFonts w:ascii="Times New Roman" w:hAnsi="Times New Roman"/>
          <w:sz w:val="28"/>
          <w:szCs w:val="28"/>
        </w:rPr>
        <w:t xml:space="preserve"> żadne z postanowień wskazanych w art. 459 § 1 i 2 k.p.k., na które przysługuje zażalen</w:t>
      </w:r>
      <w:r w:rsidR="001256BE">
        <w:rPr>
          <w:rFonts w:ascii="Times New Roman" w:hAnsi="Times New Roman"/>
          <w:sz w:val="28"/>
          <w:szCs w:val="28"/>
        </w:rPr>
        <w:t>ie, wypadek ten nie został zaś</w:t>
      </w:r>
      <w:r>
        <w:rPr>
          <w:rFonts w:ascii="Times New Roman" w:hAnsi="Times New Roman"/>
          <w:sz w:val="28"/>
          <w:szCs w:val="28"/>
        </w:rPr>
        <w:t xml:space="preserve"> przewidziany w ustawie.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W uzasadnieniu opiniowanego projektu taki stan prawny określono jako „rażąco sprzeczny z zasadami kontradyktoryjności, równouprawnienia stron oraz równości broni” (zob. s. 5). Autor projektu wywodzi ten wniosek z faktu, iż niekorzystne dla oskarżonego lub poręczyciela orzeczenie o przepadku przedmiotu poręczenia podlega kontroli odwoławczej, natomiast prokurator pozbawiony jest możliwości zaskarżenia postanowienia nieuwzględniającego jego wniosku o orzeczenie przepadku przedmiotu poręczenia lub ściągnięcie sumy poręczenia.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Obowiązująca regulacja zawarta w art. 270 § 3 k.p.k. jest tożsama z rozwiązaniem zawartym w art. 230 § 3 k.p.k. z 1969 r. Wówczas również zażalenie przysługiwało jedynie na postanowienie o przepadku przedmiotu poręczenia lub ściągnięcia sumy poręczenia, nie zaś na odmowę orzeczenia tego przepadku lub ściągnięcia. Z kolei w k</w:t>
      </w:r>
      <w:r w:rsidR="00802D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p</w:t>
      </w:r>
      <w:r w:rsidR="00802D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k</w:t>
      </w:r>
      <w:r w:rsidR="00802D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z 1928 r. przepis art. 181 § 3 przewidywał możliwość wniesienia zażalenia na postanowienia w przedmiocie przepadku kaucji lub o ściągnięciu sumy poręczenia. Zażalenie przysługiwało zatem zarówno osobie, któ</w:t>
      </w:r>
      <w:r w:rsidR="00802D93">
        <w:rPr>
          <w:rFonts w:ascii="Times New Roman" w:hAnsi="Times New Roman"/>
          <w:sz w:val="28"/>
          <w:szCs w:val="28"/>
        </w:rPr>
        <w:t>rej kaucja lub poręczenie uległy</w:t>
      </w:r>
      <w:r>
        <w:rPr>
          <w:rFonts w:ascii="Times New Roman" w:hAnsi="Times New Roman"/>
          <w:sz w:val="28"/>
          <w:szCs w:val="28"/>
        </w:rPr>
        <w:t xml:space="preserve"> przepadkowi, jak i oskarżycielowi publicznemu, jeśli sąd odmówił przepadku (zob. L. Peiper, Komentarz do kodeksu postępowania karnego, Kraków 1929, s. 119).</w:t>
      </w:r>
    </w:p>
    <w:p w:rsidR="009F2A06" w:rsidRDefault="009F2A06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Propozycja rozszerzenia możliwości zaskarżenia postanowienia w przedmiocie przepadku przedmiotu poręczenia lub ściągnięcia sumy poręczenia wydaje się sensowna o tyle, że w obecnym stanie prawnym orzeczenie odmawiające przepadku pozostaje poza kontrolą odwoławczą. Stan taki wynika wprawdzie ze świadomej decyzji ustawodawcy, niemniej wobec rosnącej liczby spraw, w których stosowane jest poręczenie majątkowe i jak należy przypuszczać dalszego wzrostu tej liczby w przyszłości, dopuszczenie możliwości zaskarżania wszelkich decyzji w tej materii uznać należy za celowe. </w:t>
      </w:r>
      <w:r w:rsidR="00665719">
        <w:rPr>
          <w:rFonts w:ascii="Times New Roman" w:hAnsi="Times New Roman"/>
          <w:sz w:val="28"/>
          <w:szCs w:val="28"/>
        </w:rPr>
        <w:t xml:space="preserve">W toku dalszych prac związanych z projektem zmiany treści art. 270 § 3 k.p.k. można jeszcze </w:t>
      </w:r>
      <w:r w:rsidR="00C240FC">
        <w:rPr>
          <w:rFonts w:ascii="Times New Roman" w:hAnsi="Times New Roman"/>
          <w:sz w:val="28"/>
          <w:szCs w:val="28"/>
        </w:rPr>
        <w:t xml:space="preserve">rozważać taki kształt przepisu, który ograniczałby możliwość zaskarżania decyzji w przedmiocie poręczenia majątkowego przez prokuratora do etapu postępowania przygotowawczego, a więc do fazy procesu, w której oskarżyciel publiczny jest organem prowadzącym lub nadzorującym postępowanie. </w:t>
      </w:r>
    </w:p>
    <w:p w:rsidR="009F2A06" w:rsidRDefault="009F2A06" w:rsidP="009F2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III</w:t>
      </w:r>
    </w:p>
    <w:p w:rsidR="009F2A06" w:rsidRDefault="009F2A06" w:rsidP="009F2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Wnioski</w:t>
      </w:r>
    </w:p>
    <w:p w:rsidR="009F2A06" w:rsidRDefault="00802D93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F2A06">
        <w:rPr>
          <w:rFonts w:ascii="Times New Roman" w:hAnsi="Times New Roman"/>
          <w:sz w:val="28"/>
          <w:szCs w:val="28"/>
        </w:rPr>
        <w:t>Projekt wprowadzenia do k.p.k. art. 266a uznać należy za niezasadny, a co najmniej przedwczesny.</w:t>
      </w:r>
    </w:p>
    <w:p w:rsidR="009F2A06" w:rsidRDefault="00802D93" w:rsidP="009F2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P</w:t>
      </w:r>
      <w:r w:rsidR="009F2A06">
        <w:rPr>
          <w:rFonts w:ascii="Times New Roman" w:hAnsi="Times New Roman"/>
          <w:sz w:val="28"/>
          <w:szCs w:val="28"/>
        </w:rPr>
        <w:t>rojektowana zmiana treści art. 270 § 3 k.p.k. jest celowa.</w:t>
      </w:r>
    </w:p>
    <w:p w:rsidR="00802D93" w:rsidRDefault="00802D93" w:rsidP="009F2A06">
      <w:pPr>
        <w:jc w:val="both"/>
        <w:rPr>
          <w:rFonts w:ascii="Times New Roman" w:hAnsi="Times New Roman"/>
          <w:sz w:val="28"/>
          <w:szCs w:val="28"/>
        </w:rPr>
      </w:pPr>
    </w:p>
    <w:p w:rsidR="00802D93" w:rsidRPr="00802D93" w:rsidRDefault="00802D93" w:rsidP="009F2A06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(Michał Laskowski)</w:t>
      </w:r>
    </w:p>
    <w:p w:rsidR="009F2A06" w:rsidRPr="000B3655" w:rsidRDefault="009F2A06" w:rsidP="009F2A06">
      <w:pPr>
        <w:jc w:val="both"/>
        <w:rPr>
          <w:rFonts w:ascii="Times New Roman" w:hAnsi="Times New Roman"/>
          <w:sz w:val="28"/>
          <w:szCs w:val="28"/>
        </w:rPr>
      </w:pPr>
    </w:p>
    <w:p w:rsidR="00204EB1" w:rsidRDefault="00204EB1"/>
    <w:sectPr w:rsidR="00204EB1" w:rsidSect="00AE48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68" w:rsidRDefault="00307868">
      <w:pPr>
        <w:spacing w:after="0" w:line="240" w:lineRule="auto"/>
      </w:pPr>
      <w:r>
        <w:separator/>
      </w:r>
    </w:p>
  </w:endnote>
  <w:endnote w:type="continuationSeparator" w:id="0">
    <w:p w:rsidR="00307868" w:rsidRDefault="0030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D0" w:rsidRDefault="00166087">
    <w:pPr>
      <w:pStyle w:val="Stopka"/>
      <w:jc w:val="right"/>
    </w:pPr>
    <w:r>
      <w:fldChar w:fldCharType="begin"/>
    </w:r>
    <w:r w:rsidR="009F2A06">
      <w:instrText>PAGE   \* MERGEFORMAT</w:instrText>
    </w:r>
    <w:r>
      <w:fldChar w:fldCharType="separate"/>
    </w:r>
    <w:r w:rsidR="00B46F7D">
      <w:rPr>
        <w:noProof/>
      </w:rPr>
      <w:t>7</w:t>
    </w:r>
    <w:r>
      <w:fldChar w:fldCharType="end"/>
    </w:r>
  </w:p>
  <w:p w:rsidR="00F83AD0" w:rsidRDefault="003078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68" w:rsidRDefault="00307868">
      <w:pPr>
        <w:spacing w:after="0" w:line="240" w:lineRule="auto"/>
      </w:pPr>
      <w:r>
        <w:separator/>
      </w:r>
    </w:p>
  </w:footnote>
  <w:footnote w:type="continuationSeparator" w:id="0">
    <w:p w:rsidR="00307868" w:rsidRDefault="0030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FD"/>
    <w:rsid w:val="001256BE"/>
    <w:rsid w:val="00166087"/>
    <w:rsid w:val="00194275"/>
    <w:rsid w:val="00204EB1"/>
    <w:rsid w:val="002C53A4"/>
    <w:rsid w:val="002D73C5"/>
    <w:rsid w:val="00307868"/>
    <w:rsid w:val="003D18EF"/>
    <w:rsid w:val="00665719"/>
    <w:rsid w:val="006D0423"/>
    <w:rsid w:val="00802D93"/>
    <w:rsid w:val="008F4F16"/>
    <w:rsid w:val="009F2A06"/>
    <w:rsid w:val="00AE480F"/>
    <w:rsid w:val="00B46F7D"/>
    <w:rsid w:val="00C240FC"/>
    <w:rsid w:val="00C81B60"/>
    <w:rsid w:val="00D6049D"/>
    <w:rsid w:val="00E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A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2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A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A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2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A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2003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Najwyższy</Company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Laskowski</dc:creator>
  <cp:lastModifiedBy>Beata Wiraszka-Bereza</cp:lastModifiedBy>
  <cp:revision>4</cp:revision>
  <dcterms:created xsi:type="dcterms:W3CDTF">2012-11-26T13:25:00Z</dcterms:created>
  <dcterms:modified xsi:type="dcterms:W3CDTF">2013-02-13T11:29:00Z</dcterms:modified>
</cp:coreProperties>
</file>