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7E341B06"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 xml:space="preserve">tekst jedn.: Dz. U. z 2021 r. poz. 1129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prac z zakresu zrywki drewna –Kwitem Zrywkowym, a w przypadku podwozu - Kwitem </w:t>
      </w:r>
      <w:proofErr w:type="spellStart"/>
      <w:r>
        <w:rPr>
          <w:rFonts w:ascii="Cambria" w:hAnsi="Cambria" w:cs="Arial"/>
          <w:sz w:val="22"/>
          <w:szCs w:val="22"/>
          <w:lang w:eastAsia="pl-PL"/>
        </w:rPr>
        <w:t>Podwozowym</w:t>
      </w:r>
      <w:proofErr w:type="spellEnd"/>
      <w:r>
        <w:rPr>
          <w:rFonts w:ascii="Cambria" w:hAnsi="Cambria" w:cs="Arial"/>
          <w:sz w:val="22"/>
          <w:szCs w:val="22"/>
          <w:lang w:eastAsia="pl-PL"/>
        </w:rPr>
        <w:t>;</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6F8E3E89"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w:t>
      </w:r>
      <w:r w:rsidR="00F120A8">
        <w:rPr>
          <w:rFonts w:ascii="Cambria" w:hAnsi="Cambria" w:cs="Arial"/>
          <w:sz w:val="22"/>
          <w:szCs w:val="22"/>
          <w:lang w:eastAsia="pl-PL"/>
        </w:rPr>
        <w:t>e będzie płatne w terminie do 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lastRenderedPageBreak/>
        <w:t>§ 12</w:t>
      </w:r>
      <w:r>
        <w:rPr>
          <w:rFonts w:ascii="Cambria" w:hAnsi="Cambria" w:cs="Arial"/>
          <w:b/>
          <w:bCs/>
          <w:sz w:val="22"/>
          <w:szCs w:val="22"/>
          <w:lang w:eastAsia="pl-PL"/>
        </w:rPr>
        <w:br/>
        <w:t>Zabezpieczenie należytego wykonania Umowy</w:t>
      </w:r>
    </w:p>
    <w:p w14:paraId="74A7B236" w14:textId="605CD758"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C82AFE">
        <w:rPr>
          <w:rFonts w:ascii="Cambria" w:hAnsi="Cambria" w:cs="Arial"/>
          <w:sz w:val="22"/>
          <w:szCs w:val="22"/>
          <w:lang w:eastAsia="pl-PL"/>
        </w:rPr>
        <w:t>1</w:t>
      </w:r>
      <w:bookmarkStart w:id="7" w:name="_GoBack"/>
      <w:bookmarkEnd w:id="7"/>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8" w:name="_Toc68356757"/>
      <w:r>
        <w:rPr>
          <w:rFonts w:ascii="Cambria" w:hAnsi="Cambria" w:cs="Arial"/>
          <w:b/>
          <w:bCs/>
          <w:kern w:val="32"/>
          <w:sz w:val="22"/>
          <w:szCs w:val="22"/>
          <w:lang w:eastAsia="pl-PL"/>
        </w:rPr>
        <w:br/>
        <w:t>Kary umowne</w:t>
      </w:r>
      <w:bookmarkEnd w:id="8"/>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lastRenderedPageBreak/>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9"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0"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9"/>
    <w:bookmarkEnd w:id="10"/>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2"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2"/>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3" w:name="_Toc68356761"/>
      <w:r>
        <w:rPr>
          <w:rFonts w:ascii="Cambria" w:hAnsi="Cambria" w:cs="Arial"/>
          <w:b/>
          <w:sz w:val="22"/>
          <w:szCs w:val="22"/>
          <w:lang w:eastAsia="pl-PL"/>
        </w:rPr>
        <w:br/>
        <w:t>Ubezpieczenia</w:t>
      </w:r>
      <w:bookmarkEnd w:id="13"/>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w:t>
      </w:r>
      <w:r>
        <w:rPr>
          <w:rFonts w:ascii="Cambria" w:hAnsi="Cambria" w:cs="Arial"/>
          <w:sz w:val="22"/>
          <w:szCs w:val="22"/>
          <w:lang w:eastAsia="pl-PL"/>
        </w:rPr>
        <w:lastRenderedPageBreak/>
        <w:t>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w:t>
      </w:r>
      <w:r>
        <w:rPr>
          <w:rFonts w:ascii="Cambria" w:hAnsi="Cambria" w:cs="Arial"/>
          <w:sz w:val="22"/>
          <w:szCs w:val="22"/>
          <w:lang w:eastAsia="pl-PL"/>
        </w:rPr>
        <w:lastRenderedPageBreak/>
        <w:t xml:space="preserve">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w:t>
      </w:r>
      <w:r>
        <w:rPr>
          <w:rFonts w:ascii="Cambria" w:hAnsi="Cambria" w:cs="Arial"/>
          <w:sz w:val="22"/>
          <w:szCs w:val="22"/>
          <w:lang w:eastAsia="pl-PL"/>
        </w:rPr>
        <w:lastRenderedPageBreak/>
        <w:t xml:space="preserve">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1383FD12" w:rsidR="0013110C" w:rsidRDefault="00F120A8"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14:anchorId="0B7475AD" wp14:editId="2ED098D5">
            <wp:extent cx="5598795" cy="7211695"/>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8795" cy="7211695"/>
                    </a:xfrm>
                    <a:prstGeom prst="rect">
                      <a:avLst/>
                    </a:prstGeom>
                    <a:noFill/>
                    <a:ln>
                      <a:noFill/>
                    </a:ln>
                  </pic:spPr>
                </pic:pic>
              </a:graphicData>
            </a:graphic>
          </wp:inline>
        </w:drawing>
      </w:r>
    </w:p>
    <w:p w14:paraId="14D9EFBA" w14:textId="2981A20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F120A8">
        <w:rPr>
          <w:noProof/>
          <w:lang w:eastAsia="pl-PL"/>
        </w:rPr>
        <w:lastRenderedPageBreak/>
        <w:drawing>
          <wp:inline distT="0" distB="0" distL="0" distR="0" wp14:anchorId="0DD3358F" wp14:editId="1EEA9C79">
            <wp:extent cx="5650230" cy="6995795"/>
            <wp:effectExtent l="0" t="0" r="762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0230" cy="6995795"/>
                    </a:xfrm>
                    <a:prstGeom prst="rect">
                      <a:avLst/>
                    </a:prstGeom>
                    <a:noFill/>
                    <a:ln>
                      <a:noFill/>
                    </a:ln>
                  </pic:spPr>
                </pic:pic>
              </a:graphicData>
            </a:graphic>
          </wp:inline>
        </w:drawing>
      </w:r>
    </w:p>
    <w:p w14:paraId="07CE6467" w14:textId="3EE93C06"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F120A8">
        <w:rPr>
          <w:noProof/>
          <w:lang w:eastAsia="pl-PL"/>
        </w:rPr>
        <w:lastRenderedPageBreak/>
        <w:drawing>
          <wp:inline distT="0" distB="0" distL="0" distR="0" wp14:anchorId="7ABA5BE7" wp14:editId="3B296A8B">
            <wp:extent cx="5624195"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4195" cy="659892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34E61EB"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F120A8">
        <w:rPr>
          <w:rFonts w:ascii="Cambria" w:hAnsi="Cambria" w:cs="Arial"/>
          <w:noProof/>
          <w:color w:val="000000"/>
          <w:sz w:val="22"/>
          <w:szCs w:val="22"/>
          <w:lang w:eastAsia="pl-PL"/>
        </w:rPr>
        <w:lastRenderedPageBreak/>
        <w:drawing>
          <wp:inline distT="0" distB="0" distL="0" distR="0" wp14:anchorId="5A64AC85" wp14:editId="29126F8E">
            <wp:extent cx="5607050" cy="78930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7050" cy="7893050"/>
                    </a:xfrm>
                    <a:prstGeom prst="rect">
                      <a:avLst/>
                    </a:prstGeom>
                    <a:noFill/>
                    <a:ln>
                      <a:noFill/>
                    </a:ln>
                  </pic:spPr>
                </pic:pic>
              </a:graphicData>
            </a:graphic>
          </wp:inline>
        </w:drawing>
      </w:r>
    </w:p>
    <w:sectPr w:rsidR="0013110C">
      <w:headerReference w:type="even" r:id="rId13"/>
      <w:footerReference w:type="even" r:id="rId14"/>
      <w:footerReference w:type="default" r:id="rId15"/>
      <w:headerReference w:type="first" r:id="rId16"/>
      <w:footerReference w:type="first" r:id="rId17"/>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28BD0" w14:textId="77777777" w:rsidR="00BD1AF2" w:rsidRDefault="00BD1AF2">
      <w:r>
        <w:separator/>
      </w:r>
    </w:p>
  </w:endnote>
  <w:endnote w:type="continuationSeparator" w:id="0">
    <w:p w14:paraId="44ADB255" w14:textId="77777777" w:rsidR="00BD1AF2" w:rsidRDefault="00BD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C82AFE">
      <w:rPr>
        <w:rFonts w:ascii="Cambria" w:hAnsi="Cambria"/>
        <w:noProof/>
        <w:lang w:eastAsia="pl-PL"/>
      </w:rPr>
      <w:t>16</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7668D" w14:textId="77777777" w:rsidR="00BD1AF2" w:rsidRDefault="00BD1AF2">
      <w:r>
        <w:separator/>
      </w:r>
    </w:p>
  </w:footnote>
  <w:footnote w:type="continuationSeparator" w:id="0">
    <w:p w14:paraId="5057FC06" w14:textId="77777777" w:rsidR="00BD1AF2" w:rsidRDefault="00BD1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1AF2"/>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AFE"/>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0A8"/>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806FC-980C-46F3-A5D8-2C0006CF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8919</Words>
  <Characters>53518</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Karol Maciejczyk</cp:lastModifiedBy>
  <cp:revision>3</cp:revision>
  <cp:lastPrinted>2021-10-22T10:30:00Z</cp:lastPrinted>
  <dcterms:created xsi:type="dcterms:W3CDTF">2021-10-22T12:08:00Z</dcterms:created>
  <dcterms:modified xsi:type="dcterms:W3CDTF">2021-10-22T12:09:00Z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