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0C91F8" w14:textId="27E460BA" w:rsidR="00CB33DA" w:rsidRPr="00CB33DA" w:rsidRDefault="00CB33DA" w:rsidP="00CB33DA">
      <w:pPr>
        <w:shd w:val="clear" w:color="auto" w:fill="FFFFFF"/>
        <w:spacing w:after="240" w:line="240" w:lineRule="auto"/>
        <w:jc w:val="center"/>
        <w:textAlignment w:val="baseline"/>
        <w:rPr>
          <w:rFonts w:ascii="Lato" w:eastAsia="Times New Roman" w:hAnsi="Lato" w:cs="Open Sans"/>
          <w:b/>
          <w:bCs/>
          <w:color w:val="1B1B1B"/>
          <w:kern w:val="0"/>
          <w:lang w:eastAsia="pl-PL"/>
          <w14:ligatures w14:val="none"/>
        </w:rPr>
      </w:pPr>
      <w:r w:rsidRPr="00CB33DA">
        <w:rPr>
          <w:rFonts w:ascii="Lato" w:eastAsia="Times New Roman" w:hAnsi="Lato" w:cs="Open Sans"/>
          <w:b/>
          <w:bCs/>
          <w:color w:val="1B1B1B"/>
          <w:kern w:val="0"/>
          <w:lang w:eastAsia="pl-PL"/>
          <w14:ligatures w14:val="none"/>
        </w:rPr>
        <w:t xml:space="preserve">OGŁOSZENIE NR </w:t>
      </w:r>
      <w:r w:rsidR="00112B98">
        <w:rPr>
          <w:rFonts w:ascii="Lato" w:eastAsia="Times New Roman" w:hAnsi="Lato" w:cs="Open Sans"/>
          <w:b/>
          <w:bCs/>
          <w:color w:val="1B1B1B"/>
          <w:kern w:val="0"/>
          <w:lang w:eastAsia="pl-PL"/>
          <w14:ligatures w14:val="none"/>
        </w:rPr>
        <w:t>2</w:t>
      </w:r>
      <w:r w:rsidRPr="00532102">
        <w:rPr>
          <w:rFonts w:ascii="Lato" w:eastAsia="Times New Roman" w:hAnsi="Lato" w:cs="Open Sans"/>
          <w:b/>
          <w:bCs/>
          <w:color w:val="1B1B1B"/>
          <w:kern w:val="0"/>
          <w:lang w:eastAsia="pl-PL"/>
          <w14:ligatures w14:val="none"/>
        </w:rPr>
        <w:t>/</w:t>
      </w:r>
      <w:r w:rsidR="00B05EAE" w:rsidRPr="00532102">
        <w:rPr>
          <w:rFonts w:ascii="Lato" w:eastAsia="Times New Roman" w:hAnsi="Lato" w:cs="Open Sans"/>
          <w:b/>
          <w:bCs/>
          <w:color w:val="1B1B1B"/>
          <w:kern w:val="0"/>
          <w:lang w:eastAsia="pl-PL"/>
          <w14:ligatures w14:val="none"/>
        </w:rPr>
        <w:t>2026</w:t>
      </w:r>
      <w:r>
        <w:rPr>
          <w:rFonts w:ascii="Lato" w:eastAsia="Times New Roman" w:hAnsi="Lato" w:cs="Open Sans"/>
          <w:b/>
          <w:bCs/>
          <w:color w:val="1B1B1B"/>
          <w:kern w:val="0"/>
          <w:lang w:eastAsia="pl-PL"/>
          <w14:ligatures w14:val="none"/>
        </w:rPr>
        <w:t xml:space="preserve"> </w:t>
      </w:r>
      <w:r w:rsidRPr="00CB33DA">
        <w:rPr>
          <w:rFonts w:ascii="Lato" w:eastAsia="Times New Roman" w:hAnsi="Lato" w:cs="Open Sans"/>
          <w:b/>
          <w:bCs/>
          <w:color w:val="1B1B1B"/>
          <w:kern w:val="0"/>
          <w:lang w:eastAsia="pl-PL"/>
          <w14:ligatures w14:val="none"/>
        </w:rPr>
        <w:t xml:space="preserve">O SPRZEDAŻY SKŁADNIKÓW RZECZOWYCH MAJĄTKU RUCHOMEGO PRZEZ AMBASADĘ RP W </w:t>
      </w:r>
      <w:r w:rsidR="00B05EAE">
        <w:rPr>
          <w:rFonts w:ascii="Lato" w:eastAsia="Times New Roman" w:hAnsi="Lato" w:cs="Open Sans"/>
          <w:b/>
          <w:bCs/>
          <w:color w:val="1B1B1B"/>
          <w:kern w:val="0"/>
          <w:lang w:eastAsia="pl-PL"/>
          <w14:ligatures w14:val="none"/>
        </w:rPr>
        <w:t xml:space="preserve">ABU ZABI </w:t>
      </w:r>
    </w:p>
    <w:p w14:paraId="4AA13C83" w14:textId="77777777" w:rsidR="00CB33DA" w:rsidRDefault="00CB33DA" w:rsidP="00F930AC">
      <w:pPr>
        <w:shd w:val="clear" w:color="auto" w:fill="FFFFFF"/>
        <w:spacing w:after="240" w:line="240" w:lineRule="auto"/>
        <w:textAlignment w:val="baseline"/>
        <w:rPr>
          <w:rFonts w:ascii="Lato" w:eastAsia="Times New Roman" w:hAnsi="Lato" w:cs="Open Sans"/>
          <w:color w:val="1B1B1B"/>
          <w:kern w:val="0"/>
          <w:lang w:eastAsia="pl-PL"/>
          <w14:ligatures w14:val="none"/>
        </w:rPr>
      </w:pPr>
    </w:p>
    <w:p w14:paraId="0CDBBDB4" w14:textId="603B175F" w:rsidR="00F930AC" w:rsidRPr="00CB33DA" w:rsidRDefault="00CB33DA" w:rsidP="00CB33DA">
      <w:pPr>
        <w:shd w:val="clear" w:color="auto" w:fill="FFFFFF"/>
        <w:spacing w:after="240" w:line="240" w:lineRule="auto"/>
        <w:jc w:val="both"/>
        <w:textAlignment w:val="baseline"/>
        <w:rPr>
          <w:rFonts w:ascii="Lato" w:eastAsia="Times New Roman" w:hAnsi="Lato" w:cs="Open Sans"/>
          <w:color w:val="1B1B1B"/>
          <w:kern w:val="0"/>
          <w:lang w:eastAsia="pl-PL"/>
          <w14:ligatures w14:val="none"/>
        </w:rPr>
      </w:pPr>
      <w:r w:rsidRPr="00CB33DA">
        <w:rPr>
          <w:rFonts w:ascii="Lato" w:eastAsia="Times New Roman" w:hAnsi="Lato" w:cs="Open Sans"/>
          <w:color w:val="1B1B1B"/>
          <w:kern w:val="0"/>
          <w:lang w:eastAsia="pl-PL"/>
          <w14:ligatures w14:val="none"/>
        </w:rPr>
        <w:t xml:space="preserve">Działając na podstawie </w:t>
      </w:r>
      <w:r w:rsidR="00F930AC" w:rsidRPr="00CB33DA">
        <w:rPr>
          <w:rFonts w:ascii="Lato" w:eastAsia="Times New Roman" w:hAnsi="Lato" w:cs="Open Sans"/>
          <w:color w:val="1B1B1B"/>
          <w:kern w:val="0"/>
          <w:lang w:eastAsia="pl-PL"/>
          <w14:ligatures w14:val="none"/>
        </w:rPr>
        <w:t>Rozporządzenia Rady Ministrów z dnia 21 października 2019 r. w sprawie szczegółowego sposobu gospodarowania składnikami rzeczowymi majątku ruchomego Skarbu Państwa</w:t>
      </w:r>
      <w:r w:rsidR="00B05EAE">
        <w:rPr>
          <w:rFonts w:ascii="Lato" w:eastAsia="Times New Roman" w:hAnsi="Lato" w:cs="Open Sans"/>
          <w:color w:val="1B1B1B"/>
          <w:kern w:val="0"/>
          <w:lang w:eastAsia="pl-PL"/>
          <w14:ligatures w14:val="none"/>
        </w:rPr>
        <w:t>, Ambasada RP w Abu Zabi</w:t>
      </w:r>
      <w:r w:rsidR="00F930AC" w:rsidRPr="00CB33DA">
        <w:rPr>
          <w:rFonts w:ascii="Lato" w:eastAsia="Times New Roman" w:hAnsi="Lato" w:cs="Open Sans"/>
          <w:color w:val="1B1B1B"/>
          <w:kern w:val="0"/>
          <w:lang w:eastAsia="pl-PL"/>
          <w14:ligatures w14:val="none"/>
        </w:rPr>
        <w:t xml:space="preserve"> informuje o zbędnych i zużytych składnikach majątku ruchomego przeznaczonych do sprzedaży. </w:t>
      </w:r>
    </w:p>
    <w:p w14:paraId="65094B13" w14:textId="34089E21" w:rsidR="00F930AC" w:rsidRPr="00CB33DA" w:rsidRDefault="00F930AC" w:rsidP="00CB33DA">
      <w:pPr>
        <w:shd w:val="clear" w:color="auto" w:fill="FFFFFF"/>
        <w:spacing w:after="240" w:line="240" w:lineRule="auto"/>
        <w:jc w:val="both"/>
        <w:textAlignment w:val="baseline"/>
        <w:rPr>
          <w:rFonts w:ascii="Lato" w:eastAsia="Times New Roman" w:hAnsi="Lato" w:cs="Open Sans"/>
          <w:color w:val="1B1B1B"/>
          <w:kern w:val="0"/>
          <w:lang w:eastAsia="pl-PL"/>
          <w14:ligatures w14:val="none"/>
        </w:rPr>
      </w:pPr>
      <w:r w:rsidRPr="00CB33DA">
        <w:rPr>
          <w:rFonts w:ascii="Lato" w:eastAsia="Times New Roman" w:hAnsi="Lato" w:cs="Open Sans"/>
          <w:color w:val="1B1B1B"/>
          <w:kern w:val="0"/>
          <w:lang w:eastAsia="pl-PL"/>
          <w14:ligatures w14:val="none"/>
        </w:rPr>
        <w:t>Wykaz składników majątkowych uznanych za zbędne lub zużyte znajduje się w załączniku nr 1 do ogłoszenia.</w:t>
      </w:r>
      <w:r w:rsidR="00CB33DA">
        <w:rPr>
          <w:rFonts w:ascii="Lato" w:eastAsia="Times New Roman" w:hAnsi="Lato" w:cs="Open Sans"/>
          <w:color w:val="1B1B1B"/>
          <w:kern w:val="0"/>
          <w:lang w:eastAsia="pl-PL"/>
          <w14:ligatures w14:val="none"/>
        </w:rPr>
        <w:t xml:space="preserve"> </w:t>
      </w:r>
      <w:r w:rsidRPr="00CB33DA">
        <w:rPr>
          <w:rFonts w:ascii="Lato" w:eastAsia="Times New Roman" w:hAnsi="Lato" w:cs="Open Sans"/>
          <w:color w:val="1B1B1B"/>
          <w:kern w:val="0"/>
          <w:lang w:eastAsia="pl-PL"/>
          <w14:ligatures w14:val="none"/>
        </w:rPr>
        <w:t> </w:t>
      </w:r>
    </w:p>
    <w:p w14:paraId="309209F2" w14:textId="77777777" w:rsidR="00F930AC" w:rsidRPr="00CB33DA" w:rsidRDefault="00F930AC" w:rsidP="00CB33DA">
      <w:pPr>
        <w:shd w:val="clear" w:color="auto" w:fill="FFFFFF"/>
        <w:spacing w:after="240" w:line="240" w:lineRule="auto"/>
        <w:jc w:val="both"/>
        <w:textAlignment w:val="baseline"/>
        <w:rPr>
          <w:rFonts w:ascii="Lato" w:eastAsia="Times New Roman" w:hAnsi="Lato" w:cs="Open Sans"/>
          <w:color w:val="1B1B1B"/>
          <w:kern w:val="0"/>
          <w:lang w:eastAsia="pl-PL"/>
          <w14:ligatures w14:val="none"/>
        </w:rPr>
      </w:pPr>
      <w:r w:rsidRPr="00CB33DA">
        <w:rPr>
          <w:rFonts w:ascii="Lato" w:eastAsia="Times New Roman" w:hAnsi="Lato" w:cs="Open Sans"/>
          <w:color w:val="1B1B1B"/>
          <w:kern w:val="0"/>
          <w:lang w:eastAsia="pl-PL"/>
          <w14:ligatures w14:val="none"/>
        </w:rPr>
        <w:t>Jednostki organizacyjne lub osoby fizyczne zainteresowane nabyciem poszczególnych składników majątku wymienionych w załączniku nr 1, mogą składać pisemne oferty zawierające:</w:t>
      </w:r>
    </w:p>
    <w:p w14:paraId="6D944DEC" w14:textId="77777777" w:rsidR="00F930AC" w:rsidRPr="00532102" w:rsidRDefault="00F930AC" w:rsidP="00532102">
      <w:pPr>
        <w:pStyle w:val="Akapitzlist"/>
        <w:numPr>
          <w:ilvl w:val="0"/>
          <w:numId w:val="4"/>
        </w:numPr>
        <w:shd w:val="clear" w:color="auto" w:fill="FFFFFF"/>
        <w:spacing w:after="0" w:line="240" w:lineRule="auto"/>
        <w:jc w:val="both"/>
        <w:textAlignment w:val="baseline"/>
        <w:rPr>
          <w:rFonts w:ascii="Lato" w:eastAsia="Times New Roman" w:hAnsi="Lato" w:cs="Open Sans"/>
          <w:color w:val="1B1B1B"/>
          <w:kern w:val="0"/>
          <w:lang w:eastAsia="pl-PL"/>
          <w14:ligatures w14:val="none"/>
        </w:rPr>
      </w:pPr>
      <w:r w:rsidRPr="00532102">
        <w:rPr>
          <w:rFonts w:ascii="Lato" w:eastAsia="Times New Roman" w:hAnsi="Lato" w:cs="Open Sans"/>
          <w:color w:val="1B1B1B"/>
          <w:kern w:val="0"/>
          <w:lang w:eastAsia="pl-PL"/>
          <w14:ligatures w14:val="none"/>
        </w:rPr>
        <w:t>imię, nazwisko i adres lub nazwę (firmę) i siedzibę oferenta, numer telefonu komórkowego oraz adres e-mail (według załączonego wzoru – załącznik nr 2);</w:t>
      </w:r>
    </w:p>
    <w:p w14:paraId="6D7E3BBC" w14:textId="77777777" w:rsidR="00F930AC" w:rsidRPr="00532102" w:rsidRDefault="00F930AC" w:rsidP="00532102">
      <w:pPr>
        <w:pStyle w:val="Akapitzlist"/>
        <w:numPr>
          <w:ilvl w:val="0"/>
          <w:numId w:val="4"/>
        </w:numPr>
        <w:shd w:val="clear" w:color="auto" w:fill="FFFFFF"/>
        <w:spacing w:after="0" w:line="240" w:lineRule="auto"/>
        <w:jc w:val="both"/>
        <w:textAlignment w:val="baseline"/>
        <w:rPr>
          <w:rFonts w:ascii="Lato" w:eastAsia="Times New Roman" w:hAnsi="Lato" w:cs="Open Sans"/>
          <w:color w:val="1B1B1B"/>
          <w:kern w:val="0"/>
          <w:lang w:eastAsia="pl-PL"/>
          <w14:ligatures w14:val="none"/>
        </w:rPr>
      </w:pPr>
      <w:r w:rsidRPr="00532102">
        <w:rPr>
          <w:rFonts w:ascii="Lato" w:eastAsia="Times New Roman" w:hAnsi="Lato" w:cs="Open Sans"/>
          <w:color w:val="1B1B1B"/>
          <w:kern w:val="0"/>
          <w:lang w:eastAsia="pl-PL"/>
          <w14:ligatures w14:val="none"/>
        </w:rPr>
        <w:t>oferowaną cenę, nie niższą niż cena wywoławcza i warunki jej zapłaty;</w:t>
      </w:r>
    </w:p>
    <w:p w14:paraId="1EC695CF" w14:textId="77777777" w:rsidR="00F930AC" w:rsidRPr="00532102" w:rsidRDefault="00F930AC" w:rsidP="00532102">
      <w:pPr>
        <w:pStyle w:val="Akapitzlist"/>
        <w:numPr>
          <w:ilvl w:val="0"/>
          <w:numId w:val="4"/>
        </w:numPr>
        <w:shd w:val="clear" w:color="auto" w:fill="FFFFFF"/>
        <w:spacing w:after="0" w:line="240" w:lineRule="auto"/>
        <w:jc w:val="both"/>
        <w:textAlignment w:val="baseline"/>
        <w:rPr>
          <w:rFonts w:ascii="Lato" w:eastAsia="Times New Roman" w:hAnsi="Lato" w:cs="Open Sans"/>
          <w:color w:val="1B1B1B"/>
          <w:kern w:val="0"/>
          <w:lang w:eastAsia="pl-PL"/>
          <w14:ligatures w14:val="none"/>
        </w:rPr>
      </w:pPr>
      <w:r w:rsidRPr="00532102">
        <w:rPr>
          <w:rFonts w:ascii="Lato" w:eastAsia="Times New Roman" w:hAnsi="Lato" w:cs="Open Sans"/>
          <w:color w:val="1B1B1B"/>
          <w:kern w:val="0"/>
          <w:lang w:eastAsia="pl-PL"/>
          <w14:ligatures w14:val="none"/>
        </w:rPr>
        <w:t>oświadczenie oferenta, że zapoznał się ze stanem przedmiotu przetargu lub, że ponosi odpowiedzialność za skutki wynikające z rezygnacji z oględzin;</w:t>
      </w:r>
    </w:p>
    <w:p w14:paraId="2C357A73" w14:textId="0FF36FC8" w:rsidR="00CB33DA" w:rsidRPr="00532102" w:rsidRDefault="00F930AC" w:rsidP="00532102">
      <w:pPr>
        <w:pStyle w:val="Akapitzlist"/>
        <w:numPr>
          <w:ilvl w:val="0"/>
          <w:numId w:val="4"/>
        </w:numPr>
        <w:shd w:val="clear" w:color="auto" w:fill="FFFFFF"/>
        <w:spacing w:after="0" w:line="240" w:lineRule="auto"/>
        <w:jc w:val="both"/>
        <w:textAlignment w:val="baseline"/>
        <w:rPr>
          <w:rFonts w:ascii="Lato" w:eastAsia="Times New Roman" w:hAnsi="Lato" w:cs="Open Sans"/>
          <w:color w:val="1B1B1B"/>
          <w:kern w:val="0"/>
          <w:lang w:eastAsia="pl-PL"/>
          <w14:ligatures w14:val="none"/>
        </w:rPr>
      </w:pPr>
      <w:r w:rsidRPr="00532102">
        <w:rPr>
          <w:rFonts w:ascii="Lato" w:eastAsia="Times New Roman" w:hAnsi="Lato" w:cs="Open Sans"/>
          <w:color w:val="1B1B1B"/>
          <w:kern w:val="0"/>
          <w:lang w:eastAsia="pl-PL"/>
          <w14:ligatures w14:val="none"/>
        </w:rPr>
        <w:t xml:space="preserve">oświadczenie dot. przetwarzania danych osobowych (RODO) na wzorze określonym </w:t>
      </w:r>
      <w:r w:rsidR="00003DCE" w:rsidRPr="00532102">
        <w:rPr>
          <w:rFonts w:ascii="Lato" w:eastAsia="Times New Roman" w:hAnsi="Lato" w:cs="Open Sans"/>
          <w:color w:val="1B1B1B"/>
          <w:kern w:val="0"/>
          <w:lang w:eastAsia="pl-PL"/>
          <w14:ligatures w14:val="none"/>
        </w:rPr>
        <w:br/>
      </w:r>
      <w:r w:rsidRPr="00532102">
        <w:rPr>
          <w:rFonts w:ascii="Lato" w:eastAsia="Times New Roman" w:hAnsi="Lato" w:cs="Open Sans"/>
          <w:color w:val="1B1B1B"/>
          <w:kern w:val="0"/>
          <w:lang w:eastAsia="pl-PL"/>
          <w14:ligatures w14:val="none"/>
        </w:rPr>
        <w:t>w załączniku nr 3 dołączonym do niniejszego ogłoszenia.</w:t>
      </w:r>
    </w:p>
    <w:p w14:paraId="091416BD" w14:textId="77777777" w:rsidR="00813F72" w:rsidRPr="00813F72" w:rsidRDefault="00813F72" w:rsidP="00813F72">
      <w:pPr>
        <w:shd w:val="clear" w:color="auto" w:fill="FFFFFF"/>
        <w:spacing w:after="0" w:line="240" w:lineRule="auto"/>
        <w:ind w:left="720"/>
        <w:jc w:val="both"/>
        <w:textAlignment w:val="baseline"/>
        <w:rPr>
          <w:rFonts w:ascii="Lato" w:eastAsia="Times New Roman" w:hAnsi="Lato" w:cs="Open Sans"/>
          <w:color w:val="1B1B1B"/>
          <w:kern w:val="0"/>
          <w:lang w:eastAsia="pl-PL"/>
          <w14:ligatures w14:val="none"/>
        </w:rPr>
      </w:pPr>
    </w:p>
    <w:p w14:paraId="682D948D" w14:textId="6D4D9107" w:rsidR="00F930AC" w:rsidRPr="00CB33DA" w:rsidRDefault="00F930AC" w:rsidP="00CB33DA">
      <w:pPr>
        <w:shd w:val="clear" w:color="auto" w:fill="FFFFFF"/>
        <w:spacing w:after="240" w:line="240" w:lineRule="auto"/>
        <w:jc w:val="both"/>
        <w:textAlignment w:val="baseline"/>
        <w:rPr>
          <w:rFonts w:ascii="Lato" w:eastAsia="Times New Roman" w:hAnsi="Lato" w:cs="Open Sans"/>
          <w:color w:val="1B1B1B"/>
          <w:kern w:val="0"/>
          <w:lang w:eastAsia="pl-PL"/>
          <w14:ligatures w14:val="none"/>
        </w:rPr>
      </w:pPr>
      <w:r w:rsidRPr="00CB33DA">
        <w:rPr>
          <w:rFonts w:ascii="Lato" w:eastAsia="Times New Roman" w:hAnsi="Lato" w:cs="Open Sans"/>
          <w:color w:val="1B1B1B"/>
          <w:kern w:val="0"/>
          <w:lang w:eastAsia="pl-PL"/>
          <w14:ligatures w14:val="none"/>
        </w:rPr>
        <w:t xml:space="preserve">Decydującą przesłanką przy zagospodarowaniu zbędnych lub zużytych składników majątku </w:t>
      </w:r>
      <w:r w:rsidR="00CB33DA">
        <w:rPr>
          <w:rFonts w:ascii="Lato" w:eastAsia="Times New Roman" w:hAnsi="Lato" w:cs="Open Sans"/>
          <w:color w:val="1B1B1B"/>
          <w:kern w:val="0"/>
          <w:lang w:eastAsia="pl-PL"/>
          <w14:ligatures w14:val="none"/>
        </w:rPr>
        <w:br/>
      </w:r>
      <w:r w:rsidRPr="00CB33DA">
        <w:rPr>
          <w:rFonts w:ascii="Lato" w:eastAsia="Times New Roman" w:hAnsi="Lato" w:cs="Open Sans"/>
          <w:color w:val="1B1B1B"/>
          <w:kern w:val="0"/>
          <w:lang w:eastAsia="pl-PL"/>
          <w14:ligatures w14:val="none"/>
        </w:rPr>
        <w:t>w drodze sprzedaży będzie najwyższa cena zaproponowana za poszczególne składniki majątku. W przypadku, gdy co najmniej dwóch oferentów zaproponuje tę samą cenę za dany składnik majątku, pomiędzy tymi oferentami moż</w:t>
      </w:r>
      <w:r w:rsidR="00B05EAE">
        <w:rPr>
          <w:rFonts w:ascii="Lato" w:eastAsia="Times New Roman" w:hAnsi="Lato" w:cs="Open Sans"/>
          <w:color w:val="1B1B1B"/>
          <w:kern w:val="0"/>
          <w:lang w:eastAsia="pl-PL"/>
          <w14:ligatures w14:val="none"/>
        </w:rPr>
        <w:t>na</w:t>
      </w:r>
      <w:r w:rsidRPr="00CB33DA">
        <w:rPr>
          <w:rFonts w:ascii="Lato" w:eastAsia="Times New Roman" w:hAnsi="Lato" w:cs="Open Sans"/>
          <w:color w:val="1B1B1B"/>
          <w:kern w:val="0"/>
          <w:lang w:eastAsia="pl-PL"/>
          <w14:ligatures w14:val="none"/>
        </w:rPr>
        <w:t xml:space="preserve"> przeprowadzić dodatkowo aukcję.</w:t>
      </w:r>
    </w:p>
    <w:p w14:paraId="37A8DF95" w14:textId="77777777" w:rsidR="00F930AC" w:rsidRPr="00CB33DA" w:rsidRDefault="00F930AC" w:rsidP="00CB33DA">
      <w:pPr>
        <w:shd w:val="clear" w:color="auto" w:fill="FFFFFF"/>
        <w:spacing w:after="240" w:line="240" w:lineRule="auto"/>
        <w:jc w:val="both"/>
        <w:textAlignment w:val="baseline"/>
        <w:rPr>
          <w:rFonts w:ascii="Lato" w:eastAsia="Times New Roman" w:hAnsi="Lato" w:cs="Open Sans"/>
          <w:color w:val="1B1B1B"/>
          <w:kern w:val="0"/>
          <w:lang w:eastAsia="pl-PL"/>
          <w14:ligatures w14:val="none"/>
        </w:rPr>
      </w:pPr>
      <w:r w:rsidRPr="00CB33DA">
        <w:rPr>
          <w:rFonts w:ascii="Lato" w:eastAsia="Times New Roman" w:hAnsi="Lato" w:cs="Open Sans"/>
          <w:color w:val="1B1B1B"/>
          <w:kern w:val="0"/>
          <w:lang w:eastAsia="pl-PL"/>
          <w14:ligatures w14:val="none"/>
        </w:rPr>
        <w:t>Warunkiem przejęcia składnika rzeczowego majątku przez nabywcę jest uiszczenie ceny nabycia.</w:t>
      </w:r>
    </w:p>
    <w:p w14:paraId="6496225B" w14:textId="262F68C0" w:rsidR="00F930AC" w:rsidRDefault="00F930AC" w:rsidP="00CB33DA">
      <w:pPr>
        <w:shd w:val="clear" w:color="auto" w:fill="FFFFFF"/>
        <w:spacing w:after="0" w:line="240" w:lineRule="auto"/>
        <w:jc w:val="both"/>
        <w:textAlignment w:val="baseline"/>
        <w:rPr>
          <w:rFonts w:ascii="Lato" w:eastAsia="Times New Roman" w:hAnsi="Lato" w:cs="Open Sans"/>
          <w:color w:val="1B1B1B"/>
          <w:kern w:val="0"/>
          <w:lang w:eastAsia="pl-PL"/>
          <w14:ligatures w14:val="none"/>
        </w:rPr>
      </w:pPr>
      <w:r w:rsidRPr="00CB33DA">
        <w:rPr>
          <w:rFonts w:ascii="Lato" w:eastAsia="Times New Roman" w:hAnsi="Lato" w:cs="Open Sans"/>
          <w:color w:val="1B1B1B"/>
          <w:kern w:val="0"/>
          <w:lang w:eastAsia="pl-PL"/>
          <w14:ligatures w14:val="none"/>
        </w:rPr>
        <w:t>Oferty zakupu należy przesyłać </w:t>
      </w:r>
      <w:r w:rsidRPr="00CB33DA">
        <w:rPr>
          <w:rFonts w:ascii="Lato" w:eastAsia="Times New Roman" w:hAnsi="Lato" w:cs="Open Sans"/>
          <w:b/>
          <w:bCs/>
          <w:color w:val="1B1B1B"/>
          <w:kern w:val="0"/>
          <w:lang w:eastAsia="pl-PL"/>
          <w14:ligatures w14:val="none"/>
        </w:rPr>
        <w:t xml:space="preserve">do dnia </w:t>
      </w:r>
      <w:r w:rsidR="003634F5">
        <w:rPr>
          <w:rFonts w:ascii="Lato" w:eastAsia="Times New Roman" w:hAnsi="Lato" w:cs="Open Sans"/>
          <w:b/>
          <w:bCs/>
          <w:color w:val="1B1B1B"/>
          <w:kern w:val="0"/>
          <w:lang w:eastAsia="pl-PL"/>
          <w14:ligatures w14:val="none"/>
        </w:rPr>
        <w:t>30</w:t>
      </w:r>
      <w:r w:rsidR="00B05EAE">
        <w:rPr>
          <w:rFonts w:ascii="Lato" w:eastAsia="Times New Roman" w:hAnsi="Lato" w:cs="Open Sans"/>
          <w:b/>
          <w:bCs/>
          <w:color w:val="1B1B1B"/>
          <w:kern w:val="0"/>
          <w:lang w:eastAsia="pl-PL"/>
          <w14:ligatures w14:val="none"/>
        </w:rPr>
        <w:t xml:space="preserve">.10.2026 r. </w:t>
      </w:r>
      <w:r w:rsidRPr="00CB33DA">
        <w:rPr>
          <w:rFonts w:ascii="Lato" w:eastAsia="Times New Roman" w:hAnsi="Lato" w:cs="Open Sans"/>
          <w:color w:val="1B1B1B"/>
          <w:kern w:val="0"/>
          <w:lang w:eastAsia="pl-PL"/>
          <w14:ligatures w14:val="none"/>
        </w:rPr>
        <w:t>na adres:</w:t>
      </w:r>
    </w:p>
    <w:p w14:paraId="3C14629A" w14:textId="77777777" w:rsidR="00813F72" w:rsidRDefault="00813F72" w:rsidP="00CB33DA">
      <w:pPr>
        <w:shd w:val="clear" w:color="auto" w:fill="FFFFFF"/>
        <w:spacing w:after="0" w:line="240" w:lineRule="auto"/>
        <w:jc w:val="both"/>
        <w:textAlignment w:val="baseline"/>
        <w:rPr>
          <w:rFonts w:ascii="Lato" w:eastAsia="Times New Roman" w:hAnsi="Lato" w:cs="Open Sans"/>
          <w:color w:val="1B1B1B"/>
          <w:kern w:val="0"/>
          <w:lang w:val="en-US" w:eastAsia="pl-PL"/>
          <w14:ligatures w14:val="none"/>
        </w:rPr>
      </w:pPr>
      <w:r w:rsidRPr="00813F72">
        <w:rPr>
          <w:rFonts w:ascii="Lato" w:eastAsia="Times New Roman" w:hAnsi="Lato" w:cs="Open Sans"/>
          <w:color w:val="1B1B1B"/>
          <w:kern w:val="0"/>
          <w:lang w:val="en-US" w:eastAsia="pl-PL"/>
          <w14:ligatures w14:val="none"/>
        </w:rPr>
        <w:t>CI Tower</w:t>
      </w:r>
    </w:p>
    <w:p w14:paraId="21794A70" w14:textId="60673369" w:rsidR="00813F72" w:rsidRDefault="00813F72" w:rsidP="00CB33DA">
      <w:pPr>
        <w:shd w:val="clear" w:color="auto" w:fill="FFFFFF"/>
        <w:spacing w:after="0" w:line="240" w:lineRule="auto"/>
        <w:jc w:val="both"/>
        <w:textAlignment w:val="baseline"/>
        <w:rPr>
          <w:rFonts w:ascii="Lato" w:eastAsia="Times New Roman" w:hAnsi="Lato" w:cs="Open Sans"/>
          <w:color w:val="1B1B1B"/>
          <w:kern w:val="0"/>
          <w:lang w:val="en-US" w:eastAsia="pl-PL"/>
          <w14:ligatures w14:val="none"/>
        </w:rPr>
      </w:pPr>
      <w:r w:rsidRPr="00813F72">
        <w:rPr>
          <w:rFonts w:ascii="Lato" w:eastAsia="Times New Roman" w:hAnsi="Lato" w:cs="Open Sans"/>
          <w:color w:val="1B1B1B"/>
          <w:kern w:val="0"/>
          <w:lang w:val="en-US" w:eastAsia="pl-PL"/>
          <w14:ligatures w14:val="none"/>
        </w:rPr>
        <w:t>Office 1502</w:t>
      </w:r>
    </w:p>
    <w:p w14:paraId="21F07AC1" w14:textId="77777777" w:rsidR="00813F72" w:rsidRDefault="00813F72" w:rsidP="00CB33DA">
      <w:pPr>
        <w:shd w:val="clear" w:color="auto" w:fill="FFFFFF"/>
        <w:spacing w:after="0" w:line="240" w:lineRule="auto"/>
        <w:jc w:val="both"/>
        <w:textAlignment w:val="baseline"/>
        <w:rPr>
          <w:rFonts w:ascii="Lato" w:eastAsia="Times New Roman" w:hAnsi="Lato" w:cs="Open Sans"/>
          <w:color w:val="1B1B1B"/>
          <w:kern w:val="0"/>
          <w:lang w:val="en-US" w:eastAsia="pl-PL"/>
          <w14:ligatures w14:val="none"/>
        </w:rPr>
      </w:pPr>
      <w:r w:rsidRPr="00813F72">
        <w:rPr>
          <w:rFonts w:ascii="Lato" w:eastAsia="Times New Roman" w:hAnsi="Lato" w:cs="Open Sans"/>
          <w:color w:val="1B1B1B"/>
          <w:kern w:val="0"/>
          <w:lang w:val="en-US" w:eastAsia="pl-PL"/>
          <w14:ligatures w14:val="none"/>
        </w:rPr>
        <w:t xml:space="preserve">Al Bateen Street, </w:t>
      </w:r>
    </w:p>
    <w:p w14:paraId="604A56A9" w14:textId="37A00B7E" w:rsidR="00813F72" w:rsidRDefault="00813F72" w:rsidP="00CB33DA">
      <w:pPr>
        <w:shd w:val="clear" w:color="auto" w:fill="FFFFFF"/>
        <w:spacing w:after="0" w:line="240" w:lineRule="auto"/>
        <w:jc w:val="both"/>
        <w:textAlignment w:val="baseline"/>
        <w:rPr>
          <w:rFonts w:ascii="Lato" w:eastAsia="Times New Roman" w:hAnsi="Lato" w:cs="Open Sans"/>
          <w:color w:val="1B1B1B"/>
          <w:kern w:val="0"/>
          <w:lang w:val="en-US" w:eastAsia="pl-PL"/>
          <w14:ligatures w14:val="none"/>
        </w:rPr>
      </w:pPr>
      <w:r w:rsidRPr="00813F72">
        <w:rPr>
          <w:rFonts w:ascii="Lato" w:eastAsia="Times New Roman" w:hAnsi="Lato" w:cs="Open Sans"/>
          <w:color w:val="1B1B1B"/>
          <w:kern w:val="0"/>
          <w:lang w:val="en-US" w:eastAsia="pl-PL"/>
          <w14:ligatures w14:val="none"/>
        </w:rPr>
        <w:t>Khalidiya</w:t>
      </w:r>
    </w:p>
    <w:p w14:paraId="48BCEBA0" w14:textId="5790183B" w:rsidR="00813F72" w:rsidRDefault="00813F72" w:rsidP="00CB33DA">
      <w:pPr>
        <w:shd w:val="clear" w:color="auto" w:fill="FFFFFF"/>
        <w:spacing w:after="0" w:line="240" w:lineRule="auto"/>
        <w:jc w:val="both"/>
        <w:textAlignment w:val="baseline"/>
        <w:rPr>
          <w:rFonts w:ascii="Lato" w:eastAsia="Times New Roman" w:hAnsi="Lato" w:cs="Open Sans"/>
          <w:color w:val="1B1B1B"/>
          <w:kern w:val="0"/>
          <w:lang w:val="en-US" w:eastAsia="pl-PL"/>
          <w14:ligatures w14:val="none"/>
        </w:rPr>
      </w:pPr>
      <w:r w:rsidRPr="00813F72">
        <w:rPr>
          <w:rFonts w:ascii="Lato" w:eastAsia="Times New Roman" w:hAnsi="Lato" w:cs="Open Sans"/>
          <w:color w:val="1B1B1B"/>
          <w:kern w:val="0"/>
          <w:lang w:val="en-US" w:eastAsia="pl-PL"/>
          <w14:ligatures w14:val="none"/>
        </w:rPr>
        <w:t>P.O. Box 2334</w:t>
      </w:r>
    </w:p>
    <w:p w14:paraId="1EB2EAC6" w14:textId="11E5C482" w:rsidR="00813F72" w:rsidRPr="00813F72" w:rsidRDefault="00813F72" w:rsidP="00CB33DA">
      <w:pPr>
        <w:shd w:val="clear" w:color="auto" w:fill="FFFFFF"/>
        <w:spacing w:after="0" w:line="240" w:lineRule="auto"/>
        <w:jc w:val="both"/>
        <w:textAlignment w:val="baseline"/>
        <w:rPr>
          <w:rFonts w:ascii="Lato" w:eastAsia="Times New Roman" w:hAnsi="Lato" w:cs="Open Sans"/>
          <w:color w:val="1B1B1B"/>
          <w:kern w:val="0"/>
          <w:lang w:val="en-US" w:eastAsia="pl-PL"/>
          <w14:ligatures w14:val="none"/>
        </w:rPr>
      </w:pPr>
      <w:r w:rsidRPr="00813F72">
        <w:rPr>
          <w:rFonts w:ascii="Lato" w:eastAsia="Times New Roman" w:hAnsi="Lato" w:cs="Open Sans"/>
          <w:color w:val="1B1B1B"/>
          <w:kern w:val="0"/>
          <w:lang w:val="en-US" w:eastAsia="pl-PL"/>
          <w14:ligatures w14:val="none"/>
        </w:rPr>
        <w:t>Abu Zabi</w:t>
      </w:r>
    </w:p>
    <w:p w14:paraId="0F712F6F" w14:textId="77777777" w:rsidR="00813F72" w:rsidRPr="00813F72" w:rsidRDefault="00813F72" w:rsidP="00CB33DA">
      <w:pPr>
        <w:shd w:val="clear" w:color="auto" w:fill="FFFFFF"/>
        <w:spacing w:after="0" w:line="240" w:lineRule="auto"/>
        <w:jc w:val="both"/>
        <w:textAlignment w:val="baseline"/>
        <w:rPr>
          <w:rFonts w:ascii="Lato" w:eastAsia="Times New Roman" w:hAnsi="Lato" w:cs="Open Sans"/>
          <w:color w:val="1B1B1B"/>
          <w:kern w:val="0"/>
          <w:lang w:val="en-US" w:eastAsia="pl-PL"/>
          <w14:ligatures w14:val="none"/>
        </w:rPr>
      </w:pPr>
    </w:p>
    <w:p w14:paraId="16E706C5" w14:textId="7E5E7E96" w:rsidR="00CB33DA" w:rsidRDefault="00F930AC" w:rsidP="00813F72">
      <w:pPr>
        <w:shd w:val="clear" w:color="auto" w:fill="FFFFFF"/>
        <w:spacing w:after="0" w:line="240" w:lineRule="auto"/>
        <w:jc w:val="both"/>
        <w:textAlignment w:val="baseline"/>
        <w:rPr>
          <w:rFonts w:ascii="Lato" w:eastAsia="Times New Roman" w:hAnsi="Lato" w:cs="Open Sans"/>
          <w:color w:val="1B1B1B"/>
          <w:kern w:val="0"/>
          <w:lang w:eastAsia="pl-PL"/>
          <w14:ligatures w14:val="none"/>
        </w:rPr>
      </w:pPr>
      <w:r w:rsidRPr="00CB33DA">
        <w:rPr>
          <w:rFonts w:ascii="Lato" w:eastAsia="Times New Roman" w:hAnsi="Lato" w:cs="Open Sans"/>
          <w:color w:val="1B1B1B"/>
          <w:kern w:val="0"/>
          <w:lang w:eastAsia="pl-PL"/>
          <w14:ligatures w14:val="none"/>
        </w:rPr>
        <w:t>Składniki majątku można oglądać w dniach </w:t>
      </w:r>
      <w:r w:rsidRPr="00CB33DA">
        <w:rPr>
          <w:rFonts w:ascii="Lato" w:eastAsia="Times New Roman" w:hAnsi="Lato" w:cs="Open Sans"/>
          <w:b/>
          <w:bCs/>
          <w:color w:val="1B1B1B"/>
          <w:kern w:val="0"/>
          <w:lang w:eastAsia="pl-PL"/>
          <w14:ligatures w14:val="none"/>
        </w:rPr>
        <w:t xml:space="preserve"> </w:t>
      </w:r>
      <w:r w:rsidR="00112B98">
        <w:rPr>
          <w:rFonts w:ascii="Lato" w:eastAsia="Times New Roman" w:hAnsi="Lato" w:cs="Open Sans"/>
          <w:b/>
          <w:bCs/>
          <w:color w:val="1B1B1B"/>
          <w:kern w:val="0"/>
          <w:lang w:eastAsia="pl-PL"/>
          <w14:ligatures w14:val="none"/>
        </w:rPr>
        <w:t>1</w:t>
      </w:r>
      <w:r w:rsidR="004725E3">
        <w:rPr>
          <w:rFonts w:ascii="Lato" w:eastAsia="Times New Roman" w:hAnsi="Lato" w:cs="Open Sans"/>
          <w:b/>
          <w:bCs/>
          <w:color w:val="1B1B1B"/>
          <w:kern w:val="0"/>
          <w:lang w:eastAsia="pl-PL"/>
          <w14:ligatures w14:val="none"/>
        </w:rPr>
        <w:t>9</w:t>
      </w:r>
      <w:r w:rsidR="00112B98">
        <w:rPr>
          <w:rFonts w:ascii="Lato" w:eastAsia="Times New Roman" w:hAnsi="Lato" w:cs="Open Sans"/>
          <w:b/>
          <w:bCs/>
          <w:color w:val="1B1B1B"/>
          <w:kern w:val="0"/>
          <w:lang w:eastAsia="pl-PL"/>
          <w14:ligatures w14:val="none"/>
        </w:rPr>
        <w:t>-29</w:t>
      </w:r>
      <w:r w:rsidR="00B05EAE">
        <w:rPr>
          <w:rFonts w:ascii="Lato" w:eastAsia="Times New Roman" w:hAnsi="Lato" w:cs="Open Sans"/>
          <w:b/>
          <w:bCs/>
          <w:color w:val="1B1B1B"/>
          <w:kern w:val="0"/>
          <w:lang w:eastAsia="pl-PL"/>
          <w14:ligatures w14:val="none"/>
        </w:rPr>
        <w:t xml:space="preserve">.10.2026 </w:t>
      </w:r>
      <w:r w:rsidRPr="00CB33DA">
        <w:rPr>
          <w:rFonts w:ascii="Lato" w:eastAsia="Times New Roman" w:hAnsi="Lato" w:cs="Open Sans"/>
          <w:b/>
          <w:bCs/>
          <w:color w:val="1B1B1B"/>
          <w:kern w:val="0"/>
          <w:lang w:eastAsia="pl-PL"/>
          <w14:ligatures w14:val="none"/>
        </w:rPr>
        <w:t xml:space="preserve">r. w godz. </w:t>
      </w:r>
      <w:r w:rsidR="00B05EAE">
        <w:rPr>
          <w:rFonts w:ascii="Lato" w:eastAsia="Times New Roman" w:hAnsi="Lato" w:cs="Open Sans"/>
          <w:b/>
          <w:bCs/>
          <w:color w:val="1B1B1B"/>
          <w:kern w:val="0"/>
          <w:lang w:eastAsia="pl-PL"/>
          <w14:ligatures w14:val="none"/>
        </w:rPr>
        <w:t>9:00-12:00</w:t>
      </w:r>
      <w:r w:rsidRPr="00CB33DA">
        <w:rPr>
          <w:rFonts w:ascii="Lato" w:eastAsia="Times New Roman" w:hAnsi="Lato" w:cs="Open Sans"/>
          <w:b/>
          <w:bCs/>
          <w:color w:val="1B1B1B"/>
          <w:kern w:val="0"/>
          <w:lang w:eastAsia="pl-PL"/>
          <w14:ligatures w14:val="none"/>
        </w:rPr>
        <w:t> </w:t>
      </w:r>
      <w:r w:rsidRPr="00CB33DA">
        <w:rPr>
          <w:rFonts w:ascii="Lato" w:eastAsia="Times New Roman" w:hAnsi="Lato" w:cs="Open Sans"/>
          <w:color w:val="1B1B1B"/>
          <w:kern w:val="0"/>
          <w:lang w:eastAsia="pl-PL"/>
          <w14:ligatures w14:val="none"/>
        </w:rPr>
        <w:t>po wcześniejszym uzgodnieniu telefonicznym pod nr. </w:t>
      </w:r>
      <w:r w:rsidR="00B05EAE" w:rsidRPr="00B05EAE">
        <w:rPr>
          <w:rFonts w:ascii="Lato" w:eastAsia="Times New Roman" w:hAnsi="Lato" w:cs="Open Sans"/>
          <w:color w:val="1B1B1B"/>
          <w:kern w:val="0"/>
          <w:lang w:eastAsia="pl-PL"/>
          <w14:ligatures w14:val="none"/>
        </w:rPr>
        <w:t>+97124465200</w:t>
      </w:r>
      <w:r w:rsidR="00B05EAE">
        <w:rPr>
          <w:rFonts w:ascii="Lato" w:eastAsia="Times New Roman" w:hAnsi="Lato" w:cs="Open Sans"/>
          <w:color w:val="1B1B1B"/>
          <w:kern w:val="0"/>
          <w:lang w:eastAsia="pl-PL"/>
          <w14:ligatures w14:val="none"/>
        </w:rPr>
        <w:t xml:space="preserve"> w </w:t>
      </w:r>
      <w:r w:rsidR="00112B98">
        <w:rPr>
          <w:rFonts w:ascii="Lato" w:eastAsia="Times New Roman" w:hAnsi="Lato" w:cs="Open Sans"/>
          <w:color w:val="1B1B1B"/>
          <w:kern w:val="0"/>
          <w:lang w:eastAsia="pl-PL"/>
          <w14:ligatures w14:val="none"/>
        </w:rPr>
        <w:t xml:space="preserve">siedzibie Ambasady </w:t>
      </w:r>
      <w:r w:rsidR="00B05EAE">
        <w:rPr>
          <w:rFonts w:ascii="Lato" w:eastAsia="Times New Roman" w:hAnsi="Lato" w:cs="Open Sans"/>
          <w:color w:val="1B1B1B"/>
          <w:kern w:val="0"/>
          <w:lang w:eastAsia="pl-PL"/>
          <w14:ligatures w14:val="none"/>
        </w:rPr>
        <w:t xml:space="preserve">w Abu Dhabi. </w:t>
      </w:r>
    </w:p>
    <w:p w14:paraId="3F9547A0" w14:textId="0834E36F" w:rsidR="00F930AC" w:rsidRPr="00B05EAE" w:rsidRDefault="00F930AC" w:rsidP="00B05EAE">
      <w:pPr>
        <w:shd w:val="clear" w:color="auto" w:fill="FFFFFF"/>
        <w:spacing w:after="240" w:line="240" w:lineRule="auto"/>
        <w:jc w:val="both"/>
        <w:textAlignment w:val="baseline"/>
        <w:rPr>
          <w:rFonts w:ascii="Lato" w:eastAsia="Times New Roman" w:hAnsi="Lato" w:cs="Open Sans"/>
          <w:color w:val="1B1B1B"/>
          <w:kern w:val="0"/>
          <w:lang w:eastAsia="pl-PL"/>
          <w14:ligatures w14:val="none"/>
        </w:rPr>
      </w:pPr>
      <w:r w:rsidRPr="00CB33DA">
        <w:rPr>
          <w:rFonts w:ascii="Lato" w:eastAsia="Times New Roman" w:hAnsi="Lato" w:cs="Open Sans"/>
          <w:color w:val="1B1B1B"/>
          <w:kern w:val="0"/>
          <w:lang w:eastAsia="pl-PL"/>
          <w14:ligatures w14:val="none"/>
        </w:rPr>
        <w:t>Szczegółowych informacji dotyczących rzeczowych składników majątku ruchomego udziela:</w:t>
      </w:r>
      <w:r w:rsidR="00B05EAE">
        <w:rPr>
          <w:rFonts w:ascii="Lato" w:eastAsia="Times New Roman" w:hAnsi="Lato" w:cs="Open Sans"/>
          <w:color w:val="1B1B1B"/>
          <w:kern w:val="0"/>
          <w:lang w:eastAsia="pl-PL"/>
          <w14:ligatures w14:val="none"/>
        </w:rPr>
        <w:t xml:space="preserve"> </w:t>
      </w:r>
      <w:r w:rsidR="00CB33DA">
        <w:rPr>
          <w:rFonts w:ascii="Lato" w:eastAsia="Times New Roman" w:hAnsi="Lato" w:cs="Open Sans"/>
          <w:color w:val="1B1B1B"/>
          <w:kern w:val="0"/>
          <w:lang w:eastAsia="pl-PL"/>
          <w14:ligatures w14:val="none"/>
        </w:rPr>
        <w:t xml:space="preserve">Pani </w:t>
      </w:r>
      <w:r w:rsidR="00B05EAE">
        <w:rPr>
          <w:rFonts w:ascii="Lato" w:eastAsia="Times New Roman" w:hAnsi="Lato" w:cs="Open Sans"/>
          <w:color w:val="1B1B1B"/>
          <w:kern w:val="0"/>
          <w:lang w:eastAsia="pl-PL"/>
          <w14:ligatures w14:val="none"/>
        </w:rPr>
        <w:t>Anna Bęczkowska-Gawin</w:t>
      </w:r>
      <w:r w:rsidRPr="00CB33DA">
        <w:rPr>
          <w:rFonts w:ascii="Lato" w:eastAsia="Times New Roman" w:hAnsi="Lato" w:cs="Open Sans"/>
          <w:color w:val="1B1B1B"/>
          <w:kern w:val="0"/>
          <w:lang w:eastAsia="pl-PL"/>
          <w14:ligatures w14:val="none"/>
        </w:rPr>
        <w:t>, tel. </w:t>
      </w:r>
      <w:bookmarkStart w:id="0" w:name="_Hlk242192690"/>
      <w:r w:rsidR="00B05EAE" w:rsidRPr="00532102">
        <w:rPr>
          <w:rFonts w:ascii="Lato" w:eastAsia="Times New Roman" w:hAnsi="Lato" w:cs="Open Sans"/>
          <w:color w:val="1B1B1B"/>
          <w:kern w:val="0"/>
          <w:lang w:eastAsia="pl-PL"/>
          <w14:ligatures w14:val="none"/>
        </w:rPr>
        <w:t>+97124465200</w:t>
      </w:r>
      <w:bookmarkEnd w:id="0"/>
      <w:r w:rsidR="00B05EAE" w:rsidRPr="00532102">
        <w:rPr>
          <w:rFonts w:ascii="Lato" w:eastAsia="Times New Roman" w:hAnsi="Lato" w:cs="Open Sans"/>
          <w:color w:val="1B1B1B"/>
          <w:kern w:val="0"/>
          <w:lang w:eastAsia="pl-PL"/>
          <w14:ligatures w14:val="none"/>
        </w:rPr>
        <w:t xml:space="preserve">, </w:t>
      </w:r>
      <w:r w:rsidR="00CB33DA" w:rsidRPr="00532102">
        <w:rPr>
          <w:rFonts w:ascii="Lato" w:eastAsia="Times New Roman" w:hAnsi="Lato" w:cs="Open Sans"/>
          <w:color w:val="1B1B1B"/>
          <w:kern w:val="0"/>
          <w:lang w:eastAsia="pl-PL"/>
          <w14:ligatures w14:val="none"/>
        </w:rPr>
        <w:t>e</w:t>
      </w:r>
      <w:r w:rsidRPr="00532102">
        <w:rPr>
          <w:rFonts w:ascii="Lato" w:eastAsia="Times New Roman" w:hAnsi="Lato" w:cs="Open Sans"/>
          <w:color w:val="1B1B1B"/>
          <w:kern w:val="0"/>
          <w:lang w:eastAsia="pl-PL"/>
          <w14:ligatures w14:val="none"/>
        </w:rPr>
        <w:t>-mail: </w:t>
      </w:r>
      <w:r w:rsidR="00CB33DA" w:rsidRPr="00532102">
        <w:rPr>
          <w:rFonts w:ascii="Lato" w:hAnsi="Lato"/>
        </w:rPr>
        <w:t xml:space="preserve"> </w:t>
      </w:r>
      <w:hyperlink r:id="rId5" w:history="1">
        <w:r w:rsidR="00B05EAE" w:rsidRPr="00532102">
          <w:rPr>
            <w:rStyle w:val="Hipercze"/>
            <w:rFonts w:ascii="Lato" w:hAnsi="Lato"/>
          </w:rPr>
          <w:t>anna.beczkowska-Gawin@msz.gov.pl</w:t>
        </w:r>
      </w:hyperlink>
      <w:r w:rsidR="00CB33DA" w:rsidRPr="00532102">
        <w:rPr>
          <w:rFonts w:ascii="Lato" w:hAnsi="Lato"/>
        </w:rPr>
        <w:t xml:space="preserve">   </w:t>
      </w:r>
    </w:p>
    <w:p w14:paraId="7A67A653" w14:textId="3DF875DD" w:rsidR="00BD65CF" w:rsidRDefault="00F930AC" w:rsidP="00CB33DA">
      <w:pPr>
        <w:shd w:val="clear" w:color="auto" w:fill="FFFFFF"/>
        <w:spacing w:after="240" w:line="240" w:lineRule="auto"/>
        <w:jc w:val="both"/>
        <w:textAlignment w:val="baseline"/>
        <w:rPr>
          <w:rFonts w:ascii="Lato" w:eastAsia="Times New Roman" w:hAnsi="Lato" w:cs="Open Sans"/>
          <w:color w:val="1B1B1B"/>
          <w:kern w:val="0"/>
          <w:lang w:eastAsia="pl-PL"/>
          <w14:ligatures w14:val="none"/>
        </w:rPr>
      </w:pPr>
      <w:r w:rsidRPr="00CB33DA">
        <w:rPr>
          <w:rFonts w:ascii="Lato" w:eastAsia="Times New Roman" w:hAnsi="Lato" w:cs="Open Sans"/>
          <w:color w:val="1B1B1B"/>
          <w:kern w:val="0"/>
          <w:lang w:eastAsia="pl-PL"/>
          <w14:ligatures w14:val="none"/>
        </w:rPr>
        <w:t>Wszelkie koszty, podatki i opłaty związane z przekazaniem składników majątku ponosi strona kupująca. Jednostka kupująca składniki majątku ruchomego wyraża zgodę i zobowiązuje się do opłacenia wszelkich podatków, ceł i opłat wymaganych przez władze Polski lub innego kraju, do którego trafią po przekazaniu. </w:t>
      </w:r>
    </w:p>
    <w:p w14:paraId="15A4791C" w14:textId="2F339B9D" w:rsidR="00532102" w:rsidRPr="00532102" w:rsidRDefault="00532102" w:rsidP="00532102">
      <w:pPr>
        <w:shd w:val="clear" w:color="auto" w:fill="FFFFFF"/>
        <w:spacing w:after="240" w:line="240" w:lineRule="auto"/>
        <w:jc w:val="both"/>
        <w:textAlignment w:val="baseline"/>
        <w:rPr>
          <w:rFonts w:ascii="Lato" w:hAnsi="Lato"/>
          <w:lang w:val="en-US"/>
        </w:rPr>
      </w:pPr>
      <w:r w:rsidRPr="00532102">
        <w:rPr>
          <w:rFonts w:ascii="Lato" w:hAnsi="Lato"/>
          <w:lang w:val="en-US"/>
        </w:rPr>
        <w:lastRenderedPageBreak/>
        <w:t xml:space="preserve">ANNOUNCEMENT NO. </w:t>
      </w:r>
      <w:r w:rsidR="00112B98">
        <w:rPr>
          <w:rFonts w:ascii="Lato" w:hAnsi="Lato"/>
          <w:lang w:val="en-US"/>
        </w:rPr>
        <w:t>2</w:t>
      </w:r>
      <w:r w:rsidRPr="00532102">
        <w:rPr>
          <w:rFonts w:ascii="Lato" w:hAnsi="Lato"/>
          <w:lang w:val="en-US"/>
        </w:rPr>
        <w:t>/2026 ON THE SALE OF MOVABLE TANGIBLE ASSETS BY THE EMBASSY OF THE REPUBLIC OF POLAND IN ABU DHABI</w:t>
      </w:r>
    </w:p>
    <w:p w14:paraId="61C6D567" w14:textId="77777777" w:rsidR="00532102" w:rsidRPr="00532102" w:rsidRDefault="00532102" w:rsidP="00532102">
      <w:pPr>
        <w:shd w:val="clear" w:color="auto" w:fill="FFFFFF"/>
        <w:spacing w:after="240" w:line="240" w:lineRule="auto"/>
        <w:jc w:val="both"/>
        <w:textAlignment w:val="baseline"/>
        <w:rPr>
          <w:rFonts w:ascii="Lato" w:hAnsi="Lato"/>
          <w:lang w:val="en-US"/>
        </w:rPr>
      </w:pPr>
    </w:p>
    <w:p w14:paraId="23F5AD08" w14:textId="77777777" w:rsidR="00532102" w:rsidRPr="00532102" w:rsidRDefault="00532102" w:rsidP="00532102">
      <w:pPr>
        <w:shd w:val="clear" w:color="auto" w:fill="FFFFFF"/>
        <w:spacing w:after="0" w:line="240" w:lineRule="auto"/>
        <w:jc w:val="both"/>
        <w:textAlignment w:val="baseline"/>
        <w:rPr>
          <w:rFonts w:ascii="Lato" w:hAnsi="Lato"/>
          <w:lang w:val="en-US"/>
        </w:rPr>
      </w:pPr>
      <w:r w:rsidRPr="00532102">
        <w:rPr>
          <w:rFonts w:ascii="Lato" w:hAnsi="Lato"/>
          <w:lang w:val="en-US"/>
        </w:rPr>
        <w:t>Pursuant to the Regulation of the Council of Ministers of 21 October 2019 on the detailed manner of managing movable tangible assets of the State Treasury, the Embassy of the Republic of Poland in Abu Dhabi hereby announces the sale of surplus and worn-out movable assets.</w:t>
      </w:r>
    </w:p>
    <w:p w14:paraId="31D542A6" w14:textId="77777777" w:rsidR="00532102" w:rsidRPr="00532102" w:rsidRDefault="00532102" w:rsidP="00532102">
      <w:pPr>
        <w:shd w:val="clear" w:color="auto" w:fill="FFFFFF"/>
        <w:spacing w:after="0" w:line="240" w:lineRule="auto"/>
        <w:jc w:val="both"/>
        <w:textAlignment w:val="baseline"/>
        <w:rPr>
          <w:rFonts w:ascii="Lato" w:hAnsi="Lato"/>
          <w:lang w:val="en-US"/>
        </w:rPr>
      </w:pPr>
      <w:r w:rsidRPr="00532102">
        <w:rPr>
          <w:rFonts w:ascii="Lato" w:hAnsi="Lato"/>
          <w:lang w:val="en-US"/>
        </w:rPr>
        <w:t>The list of assets deemed surplus or worn-out is provided in Annex No. 1 to this announcement.</w:t>
      </w:r>
    </w:p>
    <w:p w14:paraId="61E3FD3B" w14:textId="77777777" w:rsidR="00532102" w:rsidRPr="00532102" w:rsidRDefault="00532102" w:rsidP="00532102">
      <w:pPr>
        <w:shd w:val="clear" w:color="auto" w:fill="FFFFFF"/>
        <w:spacing w:after="0" w:line="240" w:lineRule="auto"/>
        <w:jc w:val="both"/>
        <w:textAlignment w:val="baseline"/>
        <w:rPr>
          <w:rFonts w:ascii="Lato" w:hAnsi="Lato"/>
          <w:lang w:val="en-US"/>
        </w:rPr>
      </w:pPr>
      <w:proofErr w:type="spellStart"/>
      <w:r w:rsidRPr="00532102">
        <w:rPr>
          <w:rFonts w:ascii="Lato" w:hAnsi="Lato"/>
          <w:lang w:val="en-US"/>
        </w:rPr>
        <w:t>Organisations</w:t>
      </w:r>
      <w:proofErr w:type="spellEnd"/>
      <w:r w:rsidRPr="00532102">
        <w:rPr>
          <w:rFonts w:ascii="Lato" w:hAnsi="Lato"/>
          <w:lang w:val="en-US"/>
        </w:rPr>
        <w:t xml:space="preserve"> or individuals interested in purchasing any of the items listed in Annex No. 1 may submit written offers containing:</w:t>
      </w:r>
    </w:p>
    <w:p w14:paraId="1F700E68" w14:textId="77777777" w:rsidR="00532102" w:rsidRPr="00532102" w:rsidRDefault="00532102" w:rsidP="00532102">
      <w:pPr>
        <w:pStyle w:val="Akapitzlist"/>
        <w:numPr>
          <w:ilvl w:val="0"/>
          <w:numId w:val="3"/>
        </w:numPr>
        <w:shd w:val="clear" w:color="auto" w:fill="FFFFFF"/>
        <w:spacing w:after="0" w:line="240" w:lineRule="auto"/>
        <w:jc w:val="both"/>
        <w:textAlignment w:val="baseline"/>
        <w:rPr>
          <w:rFonts w:ascii="Lato" w:hAnsi="Lato"/>
          <w:lang w:val="en-US"/>
        </w:rPr>
      </w:pPr>
      <w:r w:rsidRPr="00532102">
        <w:rPr>
          <w:rFonts w:ascii="Lato" w:hAnsi="Lato"/>
          <w:lang w:val="en-US"/>
        </w:rPr>
        <w:t>the bidder's full name and address, or company name and registered office, together with a mobile phone number and e-mail address (using the attached template, Annex No. 2);</w:t>
      </w:r>
    </w:p>
    <w:p w14:paraId="28E580FB" w14:textId="77777777" w:rsidR="00532102" w:rsidRPr="00532102" w:rsidRDefault="00532102" w:rsidP="00532102">
      <w:pPr>
        <w:pStyle w:val="Akapitzlist"/>
        <w:numPr>
          <w:ilvl w:val="0"/>
          <w:numId w:val="3"/>
        </w:numPr>
        <w:shd w:val="clear" w:color="auto" w:fill="FFFFFF"/>
        <w:spacing w:after="0" w:line="240" w:lineRule="auto"/>
        <w:jc w:val="both"/>
        <w:textAlignment w:val="baseline"/>
        <w:rPr>
          <w:rFonts w:ascii="Lato" w:hAnsi="Lato"/>
          <w:lang w:val="en-US"/>
        </w:rPr>
      </w:pPr>
      <w:r w:rsidRPr="00532102">
        <w:rPr>
          <w:rFonts w:ascii="Lato" w:hAnsi="Lato"/>
          <w:lang w:val="en-US"/>
        </w:rPr>
        <w:t>the price offered, which may not be lower than the reserve price, and the terms of payment;</w:t>
      </w:r>
    </w:p>
    <w:p w14:paraId="0791D575" w14:textId="77777777" w:rsidR="00532102" w:rsidRPr="00532102" w:rsidRDefault="00532102" w:rsidP="00532102">
      <w:pPr>
        <w:pStyle w:val="Akapitzlist"/>
        <w:numPr>
          <w:ilvl w:val="0"/>
          <w:numId w:val="3"/>
        </w:numPr>
        <w:shd w:val="clear" w:color="auto" w:fill="FFFFFF"/>
        <w:spacing w:after="0" w:line="240" w:lineRule="auto"/>
        <w:jc w:val="both"/>
        <w:textAlignment w:val="baseline"/>
        <w:rPr>
          <w:rFonts w:ascii="Lato" w:hAnsi="Lato"/>
          <w:lang w:val="en-US"/>
        </w:rPr>
      </w:pPr>
      <w:r w:rsidRPr="00532102">
        <w:rPr>
          <w:rFonts w:ascii="Lato" w:hAnsi="Lato"/>
          <w:lang w:val="en-US"/>
        </w:rPr>
        <w:t>a statement by the bidder confirming that they have inspected the condition of the item offered for sale, or that they accept responsibility for any consequences of not inspecting it;</w:t>
      </w:r>
    </w:p>
    <w:p w14:paraId="00B6ACCB" w14:textId="77777777" w:rsidR="00532102" w:rsidRPr="00532102" w:rsidRDefault="00532102" w:rsidP="00532102">
      <w:pPr>
        <w:pStyle w:val="Akapitzlist"/>
        <w:numPr>
          <w:ilvl w:val="0"/>
          <w:numId w:val="3"/>
        </w:numPr>
        <w:shd w:val="clear" w:color="auto" w:fill="FFFFFF"/>
        <w:spacing w:after="0" w:line="240" w:lineRule="auto"/>
        <w:jc w:val="both"/>
        <w:textAlignment w:val="baseline"/>
        <w:rPr>
          <w:rFonts w:ascii="Lato" w:hAnsi="Lato"/>
          <w:lang w:val="en-US"/>
        </w:rPr>
      </w:pPr>
      <w:r w:rsidRPr="00532102">
        <w:rPr>
          <w:rFonts w:ascii="Lato" w:hAnsi="Lato"/>
          <w:lang w:val="en-US"/>
        </w:rPr>
        <w:t>a statement on the processing of personal data (GDPR), using the template provided in Annex No. 3 to this announcement.</w:t>
      </w:r>
    </w:p>
    <w:p w14:paraId="7B0F9F90" w14:textId="77777777" w:rsidR="00532102" w:rsidRPr="00532102" w:rsidRDefault="00532102" w:rsidP="00532102">
      <w:pPr>
        <w:shd w:val="clear" w:color="auto" w:fill="FFFFFF"/>
        <w:spacing w:after="0" w:line="240" w:lineRule="auto"/>
        <w:jc w:val="both"/>
        <w:textAlignment w:val="baseline"/>
        <w:rPr>
          <w:rFonts w:ascii="Lato" w:hAnsi="Lato"/>
          <w:lang w:val="en-US"/>
        </w:rPr>
      </w:pPr>
    </w:p>
    <w:p w14:paraId="216963E2" w14:textId="77777777" w:rsidR="00532102" w:rsidRPr="00532102" w:rsidRDefault="00532102" w:rsidP="00532102">
      <w:pPr>
        <w:shd w:val="clear" w:color="auto" w:fill="FFFFFF"/>
        <w:spacing w:after="0" w:line="240" w:lineRule="auto"/>
        <w:jc w:val="both"/>
        <w:textAlignment w:val="baseline"/>
        <w:rPr>
          <w:rFonts w:ascii="Lato" w:hAnsi="Lato"/>
          <w:lang w:val="en-US"/>
        </w:rPr>
      </w:pPr>
      <w:r w:rsidRPr="00532102">
        <w:rPr>
          <w:rFonts w:ascii="Lato" w:hAnsi="Lato"/>
          <w:lang w:val="en-US"/>
        </w:rPr>
        <w:t>The decisive criterion for disposing of the surplus or worn-out assets by way of sale shall be the highest price offered for each individual item. Where two or more bidders offer the same price for a given item, an additional auction may be held between those bidders.</w:t>
      </w:r>
    </w:p>
    <w:p w14:paraId="63298AD3" w14:textId="77777777" w:rsidR="00532102" w:rsidRPr="00532102" w:rsidRDefault="00532102" w:rsidP="00532102">
      <w:pPr>
        <w:shd w:val="clear" w:color="auto" w:fill="FFFFFF"/>
        <w:spacing w:after="0" w:line="240" w:lineRule="auto"/>
        <w:jc w:val="both"/>
        <w:textAlignment w:val="baseline"/>
        <w:rPr>
          <w:rFonts w:ascii="Lato" w:hAnsi="Lato"/>
          <w:lang w:val="en-US"/>
        </w:rPr>
      </w:pPr>
    </w:p>
    <w:p w14:paraId="4BBFA38F" w14:textId="77777777" w:rsidR="00532102" w:rsidRPr="00532102" w:rsidRDefault="00532102" w:rsidP="00532102">
      <w:pPr>
        <w:shd w:val="clear" w:color="auto" w:fill="FFFFFF"/>
        <w:spacing w:after="0" w:line="240" w:lineRule="auto"/>
        <w:jc w:val="both"/>
        <w:textAlignment w:val="baseline"/>
        <w:rPr>
          <w:rFonts w:ascii="Lato" w:hAnsi="Lato"/>
          <w:lang w:val="en-US"/>
        </w:rPr>
      </w:pPr>
      <w:r w:rsidRPr="00532102">
        <w:rPr>
          <w:rFonts w:ascii="Lato" w:hAnsi="Lato"/>
          <w:lang w:val="en-US"/>
        </w:rPr>
        <w:t>The purchaser may take possession of an item only after paying the purchase price.</w:t>
      </w:r>
    </w:p>
    <w:p w14:paraId="11F275CD" w14:textId="77777777" w:rsidR="00532102" w:rsidRPr="00532102" w:rsidRDefault="00532102" w:rsidP="00532102">
      <w:pPr>
        <w:shd w:val="clear" w:color="auto" w:fill="FFFFFF"/>
        <w:spacing w:after="0" w:line="240" w:lineRule="auto"/>
        <w:jc w:val="both"/>
        <w:textAlignment w:val="baseline"/>
        <w:rPr>
          <w:rFonts w:ascii="Lato" w:hAnsi="Lato"/>
          <w:lang w:val="en-US"/>
        </w:rPr>
      </w:pPr>
    </w:p>
    <w:p w14:paraId="1D9DEC94" w14:textId="62BF485D" w:rsidR="00532102" w:rsidRPr="00532102" w:rsidRDefault="00532102" w:rsidP="00532102">
      <w:pPr>
        <w:shd w:val="clear" w:color="auto" w:fill="FFFFFF"/>
        <w:spacing w:after="0" w:line="240" w:lineRule="auto"/>
        <w:jc w:val="both"/>
        <w:textAlignment w:val="baseline"/>
        <w:rPr>
          <w:rFonts w:ascii="Lato" w:hAnsi="Lato"/>
          <w:lang w:val="en-US"/>
        </w:rPr>
      </w:pPr>
      <w:r w:rsidRPr="00532102">
        <w:rPr>
          <w:rFonts w:ascii="Lato" w:hAnsi="Lato"/>
          <w:lang w:val="en-US"/>
        </w:rPr>
        <w:t xml:space="preserve">Purchase offers must be submitted by </w:t>
      </w:r>
      <w:r w:rsidR="00112B98">
        <w:rPr>
          <w:rFonts w:ascii="Lato" w:hAnsi="Lato"/>
          <w:lang w:val="en-US"/>
        </w:rPr>
        <w:t>30</w:t>
      </w:r>
      <w:r w:rsidRPr="00532102">
        <w:rPr>
          <w:rFonts w:ascii="Lato" w:hAnsi="Lato"/>
          <w:lang w:val="en-US"/>
        </w:rPr>
        <w:t xml:space="preserve"> October 2026 to the following address:</w:t>
      </w:r>
    </w:p>
    <w:p w14:paraId="0FAFED37" w14:textId="77777777" w:rsidR="00532102" w:rsidRPr="00532102" w:rsidRDefault="00532102" w:rsidP="00532102">
      <w:pPr>
        <w:shd w:val="clear" w:color="auto" w:fill="FFFFFF"/>
        <w:spacing w:after="0" w:line="240" w:lineRule="auto"/>
        <w:jc w:val="both"/>
        <w:textAlignment w:val="baseline"/>
        <w:rPr>
          <w:rFonts w:ascii="Lato" w:hAnsi="Lato"/>
          <w:lang w:val="en-US"/>
        </w:rPr>
      </w:pPr>
      <w:r w:rsidRPr="00532102">
        <w:rPr>
          <w:rFonts w:ascii="Lato" w:hAnsi="Lato"/>
          <w:lang w:val="en-US"/>
        </w:rPr>
        <w:t>CI Tower</w:t>
      </w:r>
    </w:p>
    <w:p w14:paraId="6B2C2355" w14:textId="77777777" w:rsidR="00532102" w:rsidRPr="00532102" w:rsidRDefault="00532102" w:rsidP="00532102">
      <w:pPr>
        <w:shd w:val="clear" w:color="auto" w:fill="FFFFFF"/>
        <w:spacing w:after="0" w:line="240" w:lineRule="auto"/>
        <w:jc w:val="both"/>
        <w:textAlignment w:val="baseline"/>
        <w:rPr>
          <w:rFonts w:ascii="Lato" w:hAnsi="Lato"/>
          <w:lang w:val="en-US"/>
        </w:rPr>
      </w:pPr>
      <w:r w:rsidRPr="00532102">
        <w:rPr>
          <w:rFonts w:ascii="Lato" w:hAnsi="Lato"/>
          <w:lang w:val="en-US"/>
        </w:rPr>
        <w:t>Office 1502</w:t>
      </w:r>
    </w:p>
    <w:p w14:paraId="1754513E" w14:textId="77777777" w:rsidR="00532102" w:rsidRPr="00532102" w:rsidRDefault="00532102" w:rsidP="00532102">
      <w:pPr>
        <w:shd w:val="clear" w:color="auto" w:fill="FFFFFF"/>
        <w:spacing w:after="0" w:line="240" w:lineRule="auto"/>
        <w:jc w:val="both"/>
        <w:textAlignment w:val="baseline"/>
        <w:rPr>
          <w:rFonts w:ascii="Lato" w:hAnsi="Lato"/>
          <w:lang w:val="en-US"/>
        </w:rPr>
      </w:pPr>
      <w:r w:rsidRPr="00532102">
        <w:rPr>
          <w:rFonts w:ascii="Lato" w:hAnsi="Lato"/>
          <w:lang w:val="en-US"/>
        </w:rPr>
        <w:t>Al Bateen Street</w:t>
      </w:r>
    </w:p>
    <w:p w14:paraId="18BD7797" w14:textId="77777777" w:rsidR="00532102" w:rsidRPr="00532102" w:rsidRDefault="00532102" w:rsidP="00532102">
      <w:pPr>
        <w:shd w:val="clear" w:color="auto" w:fill="FFFFFF"/>
        <w:spacing w:after="0" w:line="240" w:lineRule="auto"/>
        <w:jc w:val="both"/>
        <w:textAlignment w:val="baseline"/>
        <w:rPr>
          <w:rFonts w:ascii="Lato" w:hAnsi="Lato"/>
          <w:lang w:val="en-US"/>
        </w:rPr>
      </w:pPr>
      <w:r w:rsidRPr="00532102">
        <w:rPr>
          <w:rFonts w:ascii="Lato" w:hAnsi="Lato"/>
          <w:lang w:val="en-US"/>
        </w:rPr>
        <w:t>Khalidiya</w:t>
      </w:r>
    </w:p>
    <w:p w14:paraId="37A19AF2" w14:textId="77777777" w:rsidR="00532102" w:rsidRPr="00532102" w:rsidRDefault="00532102" w:rsidP="00532102">
      <w:pPr>
        <w:shd w:val="clear" w:color="auto" w:fill="FFFFFF"/>
        <w:spacing w:after="0" w:line="240" w:lineRule="auto"/>
        <w:jc w:val="both"/>
        <w:textAlignment w:val="baseline"/>
        <w:rPr>
          <w:rFonts w:ascii="Lato" w:hAnsi="Lato"/>
          <w:lang w:val="en-US"/>
        </w:rPr>
      </w:pPr>
      <w:r w:rsidRPr="00532102">
        <w:rPr>
          <w:rFonts w:ascii="Lato" w:hAnsi="Lato"/>
          <w:lang w:val="en-US"/>
        </w:rPr>
        <w:t>P.O. Box 2334</w:t>
      </w:r>
    </w:p>
    <w:p w14:paraId="4DC20D81" w14:textId="77777777" w:rsidR="00532102" w:rsidRPr="00532102" w:rsidRDefault="00532102" w:rsidP="00532102">
      <w:pPr>
        <w:shd w:val="clear" w:color="auto" w:fill="FFFFFF"/>
        <w:spacing w:after="0" w:line="240" w:lineRule="auto"/>
        <w:jc w:val="both"/>
        <w:textAlignment w:val="baseline"/>
        <w:rPr>
          <w:rFonts w:ascii="Lato" w:hAnsi="Lato"/>
          <w:lang w:val="en-US"/>
        </w:rPr>
      </w:pPr>
      <w:r w:rsidRPr="00532102">
        <w:rPr>
          <w:rFonts w:ascii="Lato" w:hAnsi="Lato"/>
          <w:lang w:val="en-US"/>
        </w:rPr>
        <w:t>Abu Dhabi</w:t>
      </w:r>
    </w:p>
    <w:p w14:paraId="288CF4AB" w14:textId="77777777" w:rsidR="00532102" w:rsidRPr="00532102" w:rsidRDefault="00532102" w:rsidP="00532102">
      <w:pPr>
        <w:shd w:val="clear" w:color="auto" w:fill="FFFFFF"/>
        <w:spacing w:after="0" w:line="240" w:lineRule="auto"/>
        <w:jc w:val="both"/>
        <w:textAlignment w:val="baseline"/>
        <w:rPr>
          <w:rFonts w:ascii="Lato" w:hAnsi="Lato"/>
          <w:lang w:val="en-US"/>
        </w:rPr>
      </w:pPr>
    </w:p>
    <w:p w14:paraId="4292FFB0" w14:textId="3D600278" w:rsidR="00532102" w:rsidRPr="00532102" w:rsidRDefault="00532102" w:rsidP="00532102">
      <w:pPr>
        <w:shd w:val="clear" w:color="auto" w:fill="FFFFFF"/>
        <w:spacing w:after="0" w:line="240" w:lineRule="auto"/>
        <w:jc w:val="both"/>
        <w:textAlignment w:val="baseline"/>
        <w:rPr>
          <w:rFonts w:ascii="Lato" w:hAnsi="Lato"/>
          <w:lang w:val="en-US"/>
        </w:rPr>
      </w:pPr>
      <w:r w:rsidRPr="00532102">
        <w:rPr>
          <w:rFonts w:ascii="Lato" w:hAnsi="Lato"/>
          <w:lang w:val="en-US"/>
        </w:rPr>
        <w:t xml:space="preserve">The items may be inspected from </w:t>
      </w:r>
      <w:r w:rsidR="00112B98" w:rsidRPr="006D2C6D">
        <w:rPr>
          <w:rFonts w:ascii="Lato" w:hAnsi="Lato"/>
          <w:b/>
          <w:bCs/>
          <w:lang w:val="en-US"/>
        </w:rPr>
        <w:t>1</w:t>
      </w:r>
      <w:r w:rsidR="006D2C6D" w:rsidRPr="006D2C6D">
        <w:rPr>
          <w:rFonts w:ascii="Lato" w:hAnsi="Lato"/>
          <w:b/>
          <w:bCs/>
          <w:lang w:val="en-US"/>
        </w:rPr>
        <w:t>9</w:t>
      </w:r>
      <w:r w:rsidRPr="006D2C6D">
        <w:rPr>
          <w:rFonts w:ascii="Lato" w:hAnsi="Lato"/>
          <w:b/>
          <w:bCs/>
          <w:lang w:val="en-US"/>
        </w:rPr>
        <w:t xml:space="preserve"> to </w:t>
      </w:r>
      <w:r w:rsidR="00112B98" w:rsidRPr="006D2C6D">
        <w:rPr>
          <w:rFonts w:ascii="Lato" w:hAnsi="Lato"/>
          <w:b/>
          <w:bCs/>
          <w:lang w:val="en-US"/>
        </w:rPr>
        <w:t>29</w:t>
      </w:r>
      <w:r w:rsidRPr="006D2C6D">
        <w:rPr>
          <w:rFonts w:ascii="Lato" w:hAnsi="Lato"/>
          <w:b/>
          <w:bCs/>
          <w:lang w:val="en-US"/>
        </w:rPr>
        <w:t xml:space="preserve"> October 2026</w:t>
      </w:r>
      <w:r w:rsidRPr="00532102">
        <w:rPr>
          <w:rFonts w:ascii="Lato" w:hAnsi="Lato"/>
          <w:lang w:val="en-US"/>
        </w:rPr>
        <w:t>, between 9:00 and 12:00, by prior telephone appointment at +971 2 446 5200, at the Embassy in Abu Dhabi.</w:t>
      </w:r>
    </w:p>
    <w:p w14:paraId="1C67EC4A" w14:textId="77777777" w:rsidR="00532102" w:rsidRPr="00532102" w:rsidRDefault="00532102" w:rsidP="00532102">
      <w:pPr>
        <w:shd w:val="clear" w:color="auto" w:fill="FFFFFF"/>
        <w:spacing w:after="0" w:line="240" w:lineRule="auto"/>
        <w:jc w:val="both"/>
        <w:textAlignment w:val="baseline"/>
        <w:rPr>
          <w:rFonts w:ascii="Lato" w:hAnsi="Lato"/>
          <w:lang w:val="en-US"/>
        </w:rPr>
      </w:pPr>
    </w:p>
    <w:p w14:paraId="59E09531" w14:textId="112F9943" w:rsidR="00532102" w:rsidRPr="00532102" w:rsidRDefault="00532102" w:rsidP="00532102">
      <w:pPr>
        <w:shd w:val="clear" w:color="auto" w:fill="FFFFFF"/>
        <w:spacing w:after="0" w:line="240" w:lineRule="auto"/>
        <w:jc w:val="both"/>
        <w:textAlignment w:val="baseline"/>
        <w:rPr>
          <w:rFonts w:ascii="Lato" w:hAnsi="Lato"/>
          <w:lang w:val="en-US"/>
        </w:rPr>
      </w:pPr>
      <w:r w:rsidRPr="00532102">
        <w:rPr>
          <w:rFonts w:ascii="Lato" w:hAnsi="Lato"/>
          <w:lang w:val="en-US"/>
        </w:rPr>
        <w:t xml:space="preserve">Further information about the items may be obtained from </w:t>
      </w:r>
      <w:proofErr w:type="spellStart"/>
      <w:r w:rsidRPr="00532102">
        <w:rPr>
          <w:rFonts w:ascii="Lato" w:hAnsi="Lato"/>
          <w:lang w:val="en-US"/>
        </w:rPr>
        <w:t>Ms</w:t>
      </w:r>
      <w:proofErr w:type="spellEnd"/>
      <w:r w:rsidRPr="00532102">
        <w:rPr>
          <w:rFonts w:ascii="Lato" w:hAnsi="Lato"/>
          <w:lang w:val="en-US"/>
        </w:rPr>
        <w:t xml:space="preserve"> Anna Bęczkowska-Gawin, tel. +971 2 446 5200, e-mail: anna.beczkowska-</w:t>
      </w:r>
      <w:r w:rsidR="00873360">
        <w:rPr>
          <w:rFonts w:ascii="Lato" w:hAnsi="Lato"/>
          <w:lang w:val="en-US"/>
        </w:rPr>
        <w:t>g</w:t>
      </w:r>
      <w:r w:rsidRPr="00532102">
        <w:rPr>
          <w:rFonts w:ascii="Lato" w:hAnsi="Lato"/>
          <w:lang w:val="en-US"/>
        </w:rPr>
        <w:t>awin@msz.gov.pl</w:t>
      </w:r>
    </w:p>
    <w:p w14:paraId="17C86F7D" w14:textId="77777777" w:rsidR="00532102" w:rsidRPr="00532102" w:rsidRDefault="00532102" w:rsidP="00532102">
      <w:pPr>
        <w:shd w:val="clear" w:color="auto" w:fill="FFFFFF"/>
        <w:spacing w:after="0" w:line="240" w:lineRule="auto"/>
        <w:jc w:val="both"/>
        <w:textAlignment w:val="baseline"/>
        <w:rPr>
          <w:rFonts w:ascii="Lato" w:hAnsi="Lato"/>
          <w:lang w:val="en-US"/>
        </w:rPr>
      </w:pPr>
    </w:p>
    <w:p w14:paraId="72F80DFC" w14:textId="7F69DD75" w:rsidR="00532102" w:rsidRPr="00532102" w:rsidRDefault="00532102" w:rsidP="00532102">
      <w:pPr>
        <w:shd w:val="clear" w:color="auto" w:fill="FFFFFF"/>
        <w:spacing w:after="0" w:line="240" w:lineRule="auto"/>
        <w:jc w:val="both"/>
        <w:textAlignment w:val="baseline"/>
        <w:rPr>
          <w:rFonts w:ascii="Lato" w:hAnsi="Lato"/>
          <w:lang w:val="en-US"/>
        </w:rPr>
      </w:pPr>
      <w:r w:rsidRPr="00532102">
        <w:rPr>
          <w:rFonts w:ascii="Lato" w:hAnsi="Lato"/>
          <w:lang w:val="en-US"/>
        </w:rPr>
        <w:t>All costs, taxes and fees related to the transfer of the assets shall be borne by the purchaser. The purchaser of the movable assets agrees and undertakes to pay all taxes, customs duties and charges required by the authorities of Poland or of any other country to which the items are taken following the transfer.</w:t>
      </w:r>
    </w:p>
    <w:sectPr w:rsidR="00532102" w:rsidRPr="0053210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Lato">
    <w:panose1 w:val="020F0502020204030203"/>
    <w:charset w:val="EE"/>
    <w:family w:val="swiss"/>
    <w:pitch w:val="variable"/>
    <w:sig w:usb0="E10002FF" w:usb1="5000ECFF" w:usb2="00000021" w:usb3="00000000" w:csb0="0000019F" w:csb1="00000000"/>
  </w:font>
  <w:font w:name="Open Sans">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7272B2"/>
    <w:multiLevelType w:val="hybridMultilevel"/>
    <w:tmpl w:val="E76844F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20DD6F97"/>
    <w:multiLevelType w:val="multilevel"/>
    <w:tmpl w:val="3F6CA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77A1507"/>
    <w:multiLevelType w:val="multilevel"/>
    <w:tmpl w:val="C3ECC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7D56A59"/>
    <w:multiLevelType w:val="hybridMultilevel"/>
    <w:tmpl w:val="3F72546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869365277">
    <w:abstractNumId w:val="2"/>
  </w:num>
  <w:num w:numId="2" w16cid:durableId="1473718753">
    <w:abstractNumId w:val="1"/>
  </w:num>
  <w:num w:numId="3" w16cid:durableId="598753862">
    <w:abstractNumId w:val="0"/>
  </w:num>
  <w:num w:numId="4" w16cid:durableId="70032449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30AC"/>
    <w:rsid w:val="00003DCE"/>
    <w:rsid w:val="00112B98"/>
    <w:rsid w:val="001E30AF"/>
    <w:rsid w:val="003634F5"/>
    <w:rsid w:val="004725E3"/>
    <w:rsid w:val="004F626A"/>
    <w:rsid w:val="00532102"/>
    <w:rsid w:val="0060167C"/>
    <w:rsid w:val="006D2C6D"/>
    <w:rsid w:val="008120C5"/>
    <w:rsid w:val="00813F72"/>
    <w:rsid w:val="00873360"/>
    <w:rsid w:val="00A85E0F"/>
    <w:rsid w:val="00B05EAE"/>
    <w:rsid w:val="00B84A72"/>
    <w:rsid w:val="00BD65CF"/>
    <w:rsid w:val="00CB33DA"/>
    <w:rsid w:val="00EE30A0"/>
    <w:rsid w:val="00F930A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FED046"/>
  <w15:chartTrackingRefBased/>
  <w15:docId w15:val="{6A274DA5-E69D-4A7B-80A6-808389B79C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F930A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F930A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F930AC"/>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F930AC"/>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F930AC"/>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F930AC"/>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F930AC"/>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F930AC"/>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F930AC"/>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F930AC"/>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F930AC"/>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F930AC"/>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F930AC"/>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F930AC"/>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F930AC"/>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F930AC"/>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F930AC"/>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F930AC"/>
    <w:rPr>
      <w:rFonts w:eastAsiaTheme="majorEastAsia" w:cstheme="majorBidi"/>
      <w:color w:val="272727" w:themeColor="text1" w:themeTint="D8"/>
    </w:rPr>
  </w:style>
  <w:style w:type="paragraph" w:styleId="Tytu">
    <w:name w:val="Title"/>
    <w:basedOn w:val="Normalny"/>
    <w:next w:val="Normalny"/>
    <w:link w:val="TytuZnak"/>
    <w:uiPriority w:val="10"/>
    <w:qFormat/>
    <w:rsid w:val="00F930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F930AC"/>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F930AC"/>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F930AC"/>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F930AC"/>
    <w:pPr>
      <w:spacing w:before="160"/>
      <w:jc w:val="center"/>
    </w:pPr>
    <w:rPr>
      <w:i/>
      <w:iCs/>
      <w:color w:val="404040" w:themeColor="text1" w:themeTint="BF"/>
    </w:rPr>
  </w:style>
  <w:style w:type="character" w:customStyle="1" w:styleId="CytatZnak">
    <w:name w:val="Cytat Znak"/>
    <w:basedOn w:val="Domylnaczcionkaakapitu"/>
    <w:link w:val="Cytat"/>
    <w:uiPriority w:val="29"/>
    <w:rsid w:val="00F930AC"/>
    <w:rPr>
      <w:i/>
      <w:iCs/>
      <w:color w:val="404040" w:themeColor="text1" w:themeTint="BF"/>
    </w:rPr>
  </w:style>
  <w:style w:type="paragraph" w:styleId="Akapitzlist">
    <w:name w:val="List Paragraph"/>
    <w:basedOn w:val="Normalny"/>
    <w:uiPriority w:val="34"/>
    <w:qFormat/>
    <w:rsid w:val="00F930AC"/>
    <w:pPr>
      <w:ind w:left="720"/>
      <w:contextualSpacing/>
    </w:pPr>
  </w:style>
  <w:style w:type="character" w:styleId="Wyrnienieintensywne">
    <w:name w:val="Intense Emphasis"/>
    <w:basedOn w:val="Domylnaczcionkaakapitu"/>
    <w:uiPriority w:val="21"/>
    <w:qFormat/>
    <w:rsid w:val="00F930AC"/>
    <w:rPr>
      <w:i/>
      <w:iCs/>
      <w:color w:val="2F5496" w:themeColor="accent1" w:themeShade="BF"/>
    </w:rPr>
  </w:style>
  <w:style w:type="paragraph" w:styleId="Cytatintensywny">
    <w:name w:val="Intense Quote"/>
    <w:basedOn w:val="Normalny"/>
    <w:next w:val="Normalny"/>
    <w:link w:val="CytatintensywnyZnak"/>
    <w:uiPriority w:val="30"/>
    <w:qFormat/>
    <w:rsid w:val="00F930A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F930AC"/>
    <w:rPr>
      <w:i/>
      <w:iCs/>
      <w:color w:val="2F5496" w:themeColor="accent1" w:themeShade="BF"/>
    </w:rPr>
  </w:style>
  <w:style w:type="character" w:styleId="Odwoanieintensywne">
    <w:name w:val="Intense Reference"/>
    <w:basedOn w:val="Domylnaczcionkaakapitu"/>
    <w:uiPriority w:val="32"/>
    <w:qFormat/>
    <w:rsid w:val="00F930AC"/>
    <w:rPr>
      <w:b/>
      <w:bCs/>
      <w:smallCaps/>
      <w:color w:val="2F5496" w:themeColor="accent1" w:themeShade="BF"/>
      <w:spacing w:val="5"/>
    </w:rPr>
  </w:style>
  <w:style w:type="character" w:styleId="Hipercze">
    <w:name w:val="Hyperlink"/>
    <w:basedOn w:val="Domylnaczcionkaakapitu"/>
    <w:uiPriority w:val="99"/>
    <w:unhideWhenUsed/>
    <w:rsid w:val="00CB33DA"/>
    <w:rPr>
      <w:color w:val="0563C1" w:themeColor="hyperlink"/>
      <w:u w:val="single"/>
    </w:rPr>
  </w:style>
  <w:style w:type="character" w:styleId="Nierozpoznanawzmianka">
    <w:name w:val="Unresolved Mention"/>
    <w:basedOn w:val="Domylnaczcionkaakapitu"/>
    <w:uiPriority w:val="99"/>
    <w:semiHidden/>
    <w:unhideWhenUsed/>
    <w:rsid w:val="00CB33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nna.beczkowska-Gawin@msz.gov.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684</Words>
  <Characters>4108</Characters>
  <Application>Microsoft Office Word</Application>
  <DocSecurity>0</DocSecurity>
  <Lines>34</Lines>
  <Paragraphs>9</Paragraphs>
  <ScaleCrop>false</ScaleCrop>
  <HeadingPairs>
    <vt:vector size="2" baseType="variant">
      <vt:variant>
        <vt:lpstr>Tytuł</vt:lpstr>
      </vt:variant>
      <vt:variant>
        <vt:i4>1</vt:i4>
      </vt:variant>
    </vt:vector>
  </HeadingPairs>
  <TitlesOfParts>
    <vt:vector size="1" baseType="lpstr">
      <vt:lpstr/>
    </vt:vector>
  </TitlesOfParts>
  <Company>Ministerstwo Spraw Zagranicznych</Company>
  <LinksUpToDate>false</LinksUpToDate>
  <CharactersWithSpaces>4783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Ziółek Agnieszka</dc:creator>
  <cp:keywords/>
  <dc:description/>
  <cp:lastModifiedBy>Bęczkowska-Gawin Anna</cp:lastModifiedBy>
  <cp:revision>4</cp:revision>
  <dcterms:created xsi:type="dcterms:W3CDTF">2026-10-14T12:04:00Z</dcterms:created>
  <dcterms:modified xsi:type="dcterms:W3CDTF">2026-10-14T12:10:00Z</dcterms:modified>
</cp:coreProperties>
</file>