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2B19C0">
        <w:rPr>
          <w:rFonts w:ascii="Calibri" w:hAnsi="Calibri" w:cs="Calibri"/>
          <w:b/>
          <w:bCs/>
          <w:sz w:val="22"/>
          <w:szCs w:val="22"/>
          <w:lang w:eastAsia="pl-PL"/>
        </w:rPr>
        <w:t>8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2B19C0" w:rsidRPr="00E47545" w:rsidRDefault="002B19C0" w:rsidP="002B19C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B19C0" w:rsidRPr="00E47545" w:rsidRDefault="002B19C0" w:rsidP="002B19C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2B19C0" w:rsidRPr="00E47545" w:rsidRDefault="002B19C0" w:rsidP="002B19C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2B19C0" w:rsidRPr="00E47545" w:rsidRDefault="002B19C0" w:rsidP="002B19C0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z możliwością negocjacji wg ustawy Prawo zamówień publicznych pn. </w:t>
      </w:r>
      <w:r w:rsidRPr="00E47545">
        <w:rPr>
          <w:rFonts w:asciiTheme="minorHAnsi" w:hAnsiTheme="minorHAnsi" w:cstheme="minorHAnsi"/>
          <w:b/>
          <w:sz w:val="22"/>
          <w:szCs w:val="22"/>
        </w:rPr>
        <w:t>Zakup usługi wsparcia dla Systemu Finansowo-Kadrowego i świadczenie usług asysty wraz z udzieleniem licencji/sublicencji na okres 12 miesięcy oraz zakup licencji bezterminowych – BAG.261.13.2022.ICI</w:t>
      </w:r>
      <w:r w:rsidRPr="00E47545">
        <w:rPr>
          <w:rFonts w:asciiTheme="minorHAnsi" w:hAnsiTheme="minorHAnsi" w:cstheme="minorHAnsi"/>
          <w:sz w:val="22"/>
          <w:szCs w:val="22"/>
        </w:rPr>
        <w:t>, prowadzonego przez Główny Inspektorat Farmaceutyczny,</w:t>
      </w:r>
      <w:r w:rsidRPr="00E4754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47545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E47545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E47545">
        <w:rPr>
          <w:rFonts w:asciiTheme="minorHAnsi" w:hAnsiTheme="minorHAnsi" w:cstheme="minorHAnsi"/>
          <w:sz w:val="22"/>
          <w:szCs w:val="22"/>
        </w:rPr>
        <w:t xml:space="preserve"> (Dz. U. z 2022 r., poz. 835) </w:t>
      </w:r>
      <w:r w:rsidRPr="00E47545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2B19C0" w:rsidRPr="00E47545" w:rsidRDefault="002B19C0" w:rsidP="002B19C0">
      <w:pPr>
        <w:numPr>
          <w:ilvl w:val="1"/>
          <w:numId w:val="2"/>
        </w:numPr>
        <w:suppressAutoHyphens w:val="0"/>
        <w:spacing w:line="276" w:lineRule="auto"/>
        <w:ind w:left="567" w:hanging="567"/>
        <w:contextualSpacing/>
        <w:jc w:val="both"/>
        <w:textAlignment w:val="baseline"/>
        <w:rPr>
          <w:rFonts w:asciiTheme="minorHAnsi" w:eastAsia="Lucida Sans Unicode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eastAsia="Lucida Sans Unicode" w:hAnsiTheme="minorHAnsi" w:cstheme="minorHAnsi"/>
          <w:b/>
          <w:bCs/>
          <w:sz w:val="22"/>
          <w:szCs w:val="22"/>
        </w:rPr>
        <w:t>nie jestem</w:t>
      </w:r>
      <w:r w:rsidRPr="00E47545">
        <w:rPr>
          <w:rFonts w:asciiTheme="minorHAnsi" w:eastAsia="Lucida Sans Unicode" w:hAnsiTheme="minorHAnsi" w:cstheme="minorHAnsi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:rsidR="002B19C0" w:rsidRPr="00E47545" w:rsidRDefault="002B19C0" w:rsidP="002B19C0">
      <w:pPr>
        <w:numPr>
          <w:ilvl w:val="1"/>
          <w:numId w:val="2"/>
        </w:numPr>
        <w:suppressAutoHyphens w:val="0"/>
        <w:spacing w:line="276" w:lineRule="auto"/>
        <w:ind w:left="567" w:hanging="567"/>
        <w:contextualSpacing/>
        <w:jc w:val="both"/>
        <w:textAlignment w:val="baseline"/>
        <w:rPr>
          <w:rFonts w:asciiTheme="minorHAnsi" w:eastAsia="Lucida Sans Unicode" w:hAnsiTheme="minorHAnsi" w:cstheme="minorHAnsi"/>
          <w:sz w:val="22"/>
          <w:szCs w:val="22"/>
        </w:rPr>
      </w:pPr>
      <w:r w:rsidRPr="00E47545">
        <w:rPr>
          <w:rFonts w:asciiTheme="minorHAnsi" w:eastAsia="Lucida Sans Unicode" w:hAnsiTheme="minorHAnsi" w:cstheme="minorHAnsi"/>
          <w:sz w:val="22"/>
          <w:szCs w:val="22"/>
        </w:rPr>
        <w:t xml:space="preserve">beneficjentem rzeczywistym wykonawcy w rozumieniu ustawy z dnia 1 marca 2018 r. o przeciwdziałaniu praniu pieniędzy oraz finansowaniu terroryzmu (Dz. U. z 2022 r. poz. 593 i 655) </w:t>
      </w:r>
      <w:r w:rsidRPr="00E47545">
        <w:rPr>
          <w:rFonts w:asciiTheme="minorHAnsi" w:eastAsia="Lucida Sans Unicode" w:hAnsiTheme="minorHAnsi" w:cstheme="minorHAnsi"/>
          <w:b/>
          <w:bCs/>
          <w:sz w:val="22"/>
          <w:szCs w:val="22"/>
        </w:rPr>
        <w:t>nie jest</w:t>
      </w:r>
      <w:r w:rsidRPr="00E47545">
        <w:rPr>
          <w:rFonts w:asciiTheme="minorHAnsi" w:eastAsia="Lucida Sans Unicode" w:hAnsiTheme="minorHAnsi" w:cstheme="minorHAnsi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2B19C0" w:rsidRPr="00E47545" w:rsidRDefault="002B19C0" w:rsidP="002B19C0">
      <w:pPr>
        <w:numPr>
          <w:ilvl w:val="1"/>
          <w:numId w:val="2"/>
        </w:numPr>
        <w:suppressAutoHyphens w:val="0"/>
        <w:spacing w:line="276" w:lineRule="auto"/>
        <w:ind w:left="567" w:hanging="567"/>
        <w:contextualSpacing/>
        <w:jc w:val="both"/>
        <w:textAlignment w:val="baseline"/>
        <w:rPr>
          <w:rFonts w:asciiTheme="minorHAnsi" w:eastAsia="Lucida Sans Unicode" w:hAnsiTheme="minorHAnsi" w:cstheme="minorHAnsi"/>
          <w:sz w:val="22"/>
          <w:szCs w:val="22"/>
        </w:rPr>
      </w:pPr>
      <w:r w:rsidRPr="00E47545">
        <w:rPr>
          <w:rFonts w:asciiTheme="minorHAnsi" w:eastAsia="Lucida Sans Unicode" w:hAnsiTheme="minorHAnsi" w:cstheme="minorHAnsi"/>
          <w:sz w:val="22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E47545">
        <w:rPr>
          <w:rFonts w:asciiTheme="minorHAnsi" w:eastAsia="Lucida Sans Unicode" w:hAnsiTheme="minorHAnsi" w:cstheme="minorHAnsi"/>
          <w:b/>
          <w:bCs/>
          <w:sz w:val="22"/>
          <w:szCs w:val="22"/>
        </w:rPr>
        <w:t>nie jest</w:t>
      </w:r>
      <w:r w:rsidRPr="00E47545">
        <w:rPr>
          <w:rFonts w:asciiTheme="minorHAnsi" w:eastAsia="Lucida Sans Unicode" w:hAnsiTheme="minorHAnsi" w:cstheme="minorHAnsi"/>
          <w:sz w:val="22"/>
          <w:szCs w:val="22"/>
        </w:rPr>
        <w:t xml:space="preserve"> podmiot wymieniony w wykazach określonych w rozporządzeniu 765/2006 i rozporządzeniu 269/2014 albo wpisany na listę lub będący taką jednostką dominującą od dnia 24 lutego 2022 r., o ile został wpisany na listę na podstawie decyzji w sprawie wpisu na listę rozstrzygającej o zastosowaniu środka, o którym mowa w art. 1 pkt 3 ww. ustawy.</w:t>
      </w:r>
    </w:p>
    <w:p w:rsidR="002B19C0" w:rsidRPr="00E47545" w:rsidRDefault="002B19C0" w:rsidP="002B19C0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B19C0" w:rsidRPr="00E47545" w:rsidRDefault="002B19C0" w:rsidP="002B19C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2B19C0" w:rsidRPr="00E47545" w:rsidRDefault="002B19C0" w:rsidP="002B19C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2B19C0" w:rsidRPr="00E47545" w:rsidRDefault="002B19C0" w:rsidP="002B19C0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47545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</w:t>
      </w:r>
    </w:p>
    <w:p w:rsidR="00934C54" w:rsidRPr="00FF315B" w:rsidRDefault="00934C54" w:rsidP="002B19C0">
      <w:pPr>
        <w:spacing w:line="276" w:lineRule="auto"/>
        <w:jc w:val="center"/>
        <w:rPr>
          <w:rFonts w:asciiTheme="minorHAnsi" w:hAnsiTheme="minorHAnsi" w:cstheme="minorHAnsi"/>
          <w:bCs/>
        </w:rPr>
      </w:pPr>
      <w:bookmarkStart w:id="0" w:name="_GoBack"/>
      <w:bookmarkEnd w:id="0"/>
    </w:p>
    <w:sectPr w:rsidR="00934C54" w:rsidRPr="00FF315B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B1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2B19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2B19C0"/>
    <w:rsid w:val="00434D97"/>
    <w:rsid w:val="006D406D"/>
    <w:rsid w:val="008F0F9D"/>
    <w:rsid w:val="00934C54"/>
    <w:rsid w:val="00A857DF"/>
    <w:rsid w:val="00BE1192"/>
    <w:rsid w:val="00DD278C"/>
    <w:rsid w:val="00DF3DBF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9</cp:revision>
  <dcterms:created xsi:type="dcterms:W3CDTF">2021-07-20T13:39:00Z</dcterms:created>
  <dcterms:modified xsi:type="dcterms:W3CDTF">2022-07-21T08:57:00Z</dcterms:modified>
</cp:coreProperties>
</file>