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(Euvax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(Euvax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Engerix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r w:rsidR="00817D7A" w:rsidRPr="00DC2F5D">
              <w:rPr>
                <w:rFonts w:eastAsia="Times New Roman" w:cstheme="minorHAnsi"/>
                <w:bCs/>
                <w:sz w:val="20"/>
                <w:szCs w:val="20"/>
                <w:lang w:eastAsia="ar-SA"/>
              </w:rPr>
              <w:t>Engerix 20 mcg/1ml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Streptococcus pneumoniae (Synflorix)</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Streptococcus pneumoniae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r w:rsidRPr="00DC2F5D">
              <w:rPr>
                <w:rFonts w:eastAsia="Times New Roman" w:cstheme="minorHAnsi"/>
                <w:bCs/>
                <w:sz w:val="20"/>
                <w:szCs w:val="20"/>
                <w:lang w:eastAsia="ar-SA"/>
              </w:rPr>
              <w:t>Streptococcus pneumoniae (</w:t>
            </w:r>
            <w:bookmarkStart w:id="1" w:name="_Hlk217046268"/>
            <w:r w:rsidRPr="00DC2F5D">
              <w:rPr>
                <w:rFonts w:eastAsia="Times New Roman" w:cstheme="minorHAnsi"/>
                <w:bCs/>
                <w:sz w:val="20"/>
                <w:szCs w:val="20"/>
                <w:lang w:eastAsia="ar-SA"/>
              </w:rPr>
              <w:t>Vaxneuvance</w:t>
            </w:r>
            <w:bookmarkEnd w:id="1"/>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poliomyelitis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HiB</w:t>
            </w:r>
            <w:r w:rsidRPr="00DC2F5D">
              <w:rPr>
                <w:rFonts w:eastAsia="Times New Roman" w:cstheme="minorHAnsi"/>
                <w:bCs/>
                <w:sz w:val="20"/>
                <w:szCs w:val="20"/>
                <w:lang w:val="en-US" w:eastAsia="ar-SA"/>
              </w:rPr>
              <w:t xml:space="preserve"> - Haemophilus influenze</w:t>
            </w:r>
            <w:r w:rsidRPr="00DC2F5D">
              <w:rPr>
                <w:rFonts w:cstheme="minorHAnsi"/>
                <w:bCs/>
                <w:sz w:val="20"/>
                <w:szCs w:val="20"/>
                <w:lang w:val="en-US"/>
              </w:rPr>
              <w:t xml:space="preserve"> typ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DTwP -</w:t>
            </w:r>
            <w:r w:rsidRPr="00DC2F5D">
              <w:rPr>
                <w:rFonts w:eastAsia="Times New Roman" w:cstheme="minorHAnsi"/>
                <w:bCs/>
                <w:sz w:val="20"/>
                <w:szCs w:val="20"/>
                <w:lang w:eastAsia="ar-SA"/>
              </w:rPr>
              <w:t xml:space="preserve"> błonica, tężec, krztusiec (pełnokomórkowa)</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r w:rsidRPr="00DC2F5D">
              <w:rPr>
                <w:rFonts w:eastAsia="Times New Roman" w:cstheme="minorHAnsi"/>
                <w:bCs/>
                <w:sz w:val="20"/>
                <w:szCs w:val="20"/>
                <w:lang w:eastAsia="ar-SA"/>
              </w:rPr>
              <w:t xml:space="preserve">DTaP-HiB-IPV (5-w-1) </w:t>
            </w:r>
            <w:r w:rsidRPr="00DC2F5D">
              <w:rPr>
                <w:rFonts w:eastAsia="Times New Roman" w:cstheme="minorHAnsi"/>
                <w:b/>
                <w:sz w:val="20"/>
                <w:szCs w:val="20"/>
                <w:lang w:eastAsia="ar-SA"/>
              </w:rPr>
              <w:t>Pentaxim</w:t>
            </w:r>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DTaP-IPV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błonica, tężec, krztusiec, poliomyelitis</w:t>
            </w:r>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(Boostrix / Tdap)</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Boostrix</w:t>
            </w:r>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Td</w:t>
            </w:r>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p/wściekliznie</w:t>
            </w:r>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Cervarix</w:t>
            </w:r>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Cervarix</w:t>
            </w:r>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Cervarix</w:t>
            </w:r>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r w:rsidR="00A62826" w:rsidRPr="00DC2F5D">
        <w:rPr>
          <w:b/>
          <w:bCs/>
          <w:i/>
          <w:iCs/>
          <w:sz w:val="20"/>
          <w:szCs w:val="20"/>
        </w:rPr>
        <w:t>Streptococcus pneumoniae</w:t>
      </w:r>
      <w:r w:rsidR="00A62826" w:rsidRPr="00DC2F5D">
        <w:rPr>
          <w:b/>
          <w:bCs/>
          <w:sz w:val="20"/>
          <w:szCs w:val="20"/>
        </w:rPr>
        <w:t xml:space="preserve"> typu </w:t>
      </w:r>
      <w:r w:rsidRPr="00DC2F5D">
        <w:rPr>
          <w:b/>
          <w:bCs/>
          <w:sz w:val="20"/>
          <w:szCs w:val="20"/>
        </w:rPr>
        <w:t>PCV-13</w:t>
      </w:r>
      <w:r w:rsidRPr="00DC2F5D">
        <w:rPr>
          <w:sz w:val="20"/>
          <w:szCs w:val="20"/>
        </w:rPr>
        <w:t xml:space="preserve"> (Prevenar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(Synflorix).</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Szczepionka przeciw Streptococcus pneumoniae typu PCV-15</w:t>
      </w:r>
      <w:r w:rsidRPr="00DC2F5D">
        <w:rPr>
          <w:sz w:val="20"/>
          <w:szCs w:val="20"/>
        </w:rPr>
        <w:t xml:space="preserve"> (Vaxneuvance)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Vaxneuvance należy złożyć w części „zapotrzebowanie w trybie indywidualnym” (patrz 3. strona formularza). </w:t>
      </w:r>
      <w:r w:rsidR="005345B9" w:rsidRPr="00DC2F5D">
        <w:rPr>
          <w:sz w:val="20"/>
          <w:szCs w:val="20"/>
        </w:rPr>
        <w:t xml:space="preserve">W pozostałych przypadkach stacje sanitarno-epidemiologiczne wydają szczepionkę typu PCV-10 (Synflorix).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r w:rsidR="00A62826" w:rsidRPr="00DC2F5D">
        <w:rPr>
          <w:b/>
          <w:bCs/>
          <w:sz w:val="20"/>
          <w:szCs w:val="20"/>
        </w:rPr>
        <w:t>DTaP-HiB-IPV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r w:rsidR="00E914D5" w:rsidRPr="00DC2F5D">
        <w:rPr>
          <w:b/>
          <w:bCs/>
          <w:sz w:val="20"/>
          <w:szCs w:val="20"/>
        </w:rPr>
        <w:t>Boostrix</w:t>
      </w:r>
      <w:r w:rsidR="00E914D5" w:rsidRPr="00DC2F5D">
        <w:rPr>
          <w:sz w:val="20"/>
          <w:szCs w:val="20"/>
        </w:rPr>
        <w:t xml:space="preserve"> </w:t>
      </w:r>
      <w:r w:rsidR="006E74F7" w:rsidRPr="00DC2F5D">
        <w:rPr>
          <w:b/>
          <w:bCs/>
          <w:sz w:val="20"/>
          <w:szCs w:val="20"/>
        </w:rPr>
        <w:t xml:space="preserve">(szczepionka typu Tdap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C2F5D">
        <w:rPr>
          <w:sz w:val="20"/>
          <w:szCs w:val="20"/>
        </w:rPr>
        <w:t>PSSE</w:t>
      </w:r>
      <w:r w:rsidR="00F53132" w:rsidRPr="00DC2F5D">
        <w:rPr>
          <w:sz w:val="20"/>
          <w:szCs w:val="20"/>
        </w:rPr>
        <w:t>). Natomiast szczepionka Tdap jest przeznaczona do prowadzenia szczepień w 14 r.ż. i nie posiada w ChPL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022DE978">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r w:rsidRPr="003F7388">
              <w:rPr>
                <w:rFonts w:eastAsia="Times New Roman" w:cstheme="minorHAnsi"/>
                <w:b/>
                <w:sz w:val="20"/>
                <w:szCs w:val="20"/>
                <w:lang w:eastAsia="ar-SA"/>
              </w:rPr>
              <w:t xml:space="preserve">Vaxneuvance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które są przed lub po przeszczepieniu komórek krwiotwórczych, narządów wewnętrznych, splenektomii albo z asplenią,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72C7" w14:textId="77777777" w:rsidR="00E248AD" w:rsidRDefault="00E248AD" w:rsidP="00EB111A">
      <w:pPr>
        <w:spacing w:after="0" w:line="240" w:lineRule="auto"/>
      </w:pPr>
      <w:r>
        <w:separator/>
      </w:r>
    </w:p>
  </w:endnote>
  <w:endnote w:type="continuationSeparator" w:id="0">
    <w:p w14:paraId="5C1E6A9C" w14:textId="77777777" w:rsidR="00E248AD" w:rsidRDefault="00E248AD"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CD7E" w14:textId="77777777" w:rsidR="00E248AD" w:rsidRDefault="00E248AD" w:rsidP="00EB111A">
      <w:pPr>
        <w:spacing w:after="0" w:line="240" w:lineRule="auto"/>
      </w:pPr>
      <w:r>
        <w:separator/>
      </w:r>
    </w:p>
  </w:footnote>
  <w:footnote w:type="continuationSeparator" w:id="0">
    <w:p w14:paraId="35403789" w14:textId="77777777" w:rsidR="00E248AD" w:rsidRDefault="00E248AD"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454D0"/>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676E3"/>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248AD"/>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Piotrków Trybunalski - Sandra Sawicka</cp:lastModifiedBy>
  <cp:revision>2</cp:revision>
  <cp:lastPrinted>2023-08-11T10:38:00Z</cp:lastPrinted>
  <dcterms:created xsi:type="dcterms:W3CDTF">2026-01-07T07:32:00Z</dcterms:created>
  <dcterms:modified xsi:type="dcterms:W3CDTF">2026-01-07T07:32:00Z</dcterms:modified>
</cp:coreProperties>
</file>