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444AD" w14:textId="4232B173" w:rsidR="003B3B00" w:rsidRDefault="003B3B00" w:rsidP="00F30324">
      <w:pPr>
        <w:rPr>
          <w:sz w:val="22"/>
          <w:szCs w:val="22"/>
        </w:rPr>
      </w:pPr>
      <w:r w:rsidRPr="003B3B00">
        <w:rPr>
          <w:sz w:val="22"/>
          <w:szCs w:val="22"/>
        </w:rPr>
        <w:t>Załącznik B.66.</w:t>
      </w:r>
    </w:p>
    <w:p w14:paraId="2DCE4E3D" w14:textId="77777777" w:rsidR="00F30324" w:rsidRDefault="00F30324" w:rsidP="00F30324">
      <w:pPr>
        <w:rPr>
          <w:sz w:val="22"/>
          <w:szCs w:val="22"/>
        </w:rPr>
      </w:pPr>
    </w:p>
    <w:p w14:paraId="0ED2C695" w14:textId="754C5E79" w:rsidR="009A657B" w:rsidRPr="003B3B00" w:rsidRDefault="0055592E" w:rsidP="00F30324">
      <w:pPr>
        <w:spacing w:after="240"/>
        <w:rPr>
          <w:b/>
          <w:sz w:val="28"/>
          <w:szCs w:val="28"/>
        </w:rPr>
      </w:pPr>
      <w:r w:rsidRPr="004834B6">
        <w:rPr>
          <w:b/>
          <w:sz w:val="28"/>
          <w:szCs w:val="28"/>
        </w:rPr>
        <w:t>LECZENIE CHORYCH NA PIERWOTNE CHŁONIAKI SKÓRNE T – KOMÓRKOWE (ICD – 10: C</w:t>
      </w:r>
      <w:r w:rsidR="00A734B9">
        <w:rPr>
          <w:b/>
          <w:sz w:val="28"/>
          <w:szCs w:val="28"/>
        </w:rPr>
        <w:t xml:space="preserve"> </w:t>
      </w:r>
      <w:r w:rsidRPr="004834B6">
        <w:rPr>
          <w:b/>
          <w:sz w:val="28"/>
          <w:szCs w:val="28"/>
        </w:rPr>
        <w:t>84)</w:t>
      </w: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5949"/>
        <w:gridCol w:w="3825"/>
        <w:gridCol w:w="5614"/>
      </w:tblGrid>
      <w:tr w:rsidR="00EF5254" w:rsidRPr="00A27C75" w14:paraId="2422C684" w14:textId="77777777" w:rsidTr="007F5D21">
        <w:trPr>
          <w:trHeight w:val="56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718F95A" w14:textId="77777777" w:rsidR="00EF5254" w:rsidRPr="00A27C75" w:rsidRDefault="00EF5254" w:rsidP="007F5D21">
            <w:pPr>
              <w:jc w:val="center"/>
              <w:rPr>
                <w:b/>
                <w:sz w:val="20"/>
                <w:szCs w:val="20"/>
              </w:rPr>
            </w:pPr>
            <w:r w:rsidRPr="00A27C75">
              <w:rPr>
                <w:b/>
                <w:sz w:val="20"/>
                <w:szCs w:val="20"/>
              </w:rPr>
              <w:t>ZAKRES ŚWIADCZENIA GWARANTOWANEGO</w:t>
            </w:r>
          </w:p>
        </w:tc>
      </w:tr>
      <w:tr w:rsidR="009A657B" w:rsidRPr="00A27C75" w14:paraId="1133C9C5" w14:textId="77777777" w:rsidTr="007F5D21">
        <w:trPr>
          <w:trHeight w:val="56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6526811B" w14:textId="1164E66D" w:rsidR="0099418B" w:rsidRPr="00A27C75" w:rsidRDefault="009A657B" w:rsidP="007F5D21">
            <w:pPr>
              <w:jc w:val="center"/>
              <w:rPr>
                <w:b/>
                <w:sz w:val="20"/>
                <w:szCs w:val="20"/>
              </w:rPr>
            </w:pPr>
            <w:r>
              <w:rPr>
                <w:b/>
                <w:sz w:val="20"/>
                <w:szCs w:val="20"/>
              </w:rPr>
              <w:t xml:space="preserve">Część I. </w:t>
            </w:r>
            <w:r w:rsidRPr="003B3B00">
              <w:rPr>
                <w:b/>
                <w:sz w:val="28"/>
                <w:szCs w:val="28"/>
              </w:rPr>
              <w:t xml:space="preserve"> </w:t>
            </w:r>
            <w:r w:rsidRPr="009A657B">
              <w:rPr>
                <w:b/>
                <w:sz w:val="20"/>
                <w:szCs w:val="20"/>
              </w:rPr>
              <w:t>BEKSAROT</w:t>
            </w:r>
            <w:r w:rsidR="00DA696E">
              <w:rPr>
                <w:b/>
                <w:sz w:val="20"/>
                <w:szCs w:val="20"/>
              </w:rPr>
              <w:t>EN W LECZENIU C</w:t>
            </w:r>
            <w:r w:rsidR="0056449C">
              <w:rPr>
                <w:b/>
                <w:sz w:val="20"/>
                <w:szCs w:val="20"/>
              </w:rPr>
              <w:t>H</w:t>
            </w:r>
            <w:r w:rsidR="00DA696E">
              <w:rPr>
                <w:b/>
                <w:sz w:val="20"/>
                <w:szCs w:val="20"/>
              </w:rPr>
              <w:t xml:space="preserve">ORYCH </w:t>
            </w:r>
            <w:r w:rsidR="004834B6">
              <w:rPr>
                <w:b/>
                <w:sz w:val="20"/>
                <w:szCs w:val="20"/>
              </w:rPr>
              <w:t xml:space="preserve">NA </w:t>
            </w:r>
            <w:r w:rsidR="004834B6" w:rsidRPr="009A657B">
              <w:rPr>
                <w:b/>
                <w:sz w:val="20"/>
                <w:szCs w:val="20"/>
              </w:rPr>
              <w:t>ZIARNINIAKA</w:t>
            </w:r>
            <w:r w:rsidRPr="009A657B">
              <w:rPr>
                <w:b/>
                <w:sz w:val="20"/>
                <w:szCs w:val="20"/>
              </w:rPr>
              <w:t xml:space="preserve"> GRZYBIASTEGO LUB ZESP</w:t>
            </w:r>
            <w:r w:rsidR="00DA696E">
              <w:rPr>
                <w:b/>
                <w:sz w:val="20"/>
                <w:szCs w:val="20"/>
              </w:rPr>
              <w:t>Ó</w:t>
            </w:r>
            <w:r w:rsidRPr="009A657B">
              <w:rPr>
                <w:b/>
                <w:sz w:val="20"/>
                <w:szCs w:val="20"/>
              </w:rPr>
              <w:t>Ł SÉZARY’EGO (ICD-10: C 84.0, C 84.1)</w:t>
            </w:r>
          </w:p>
        </w:tc>
      </w:tr>
      <w:tr w:rsidR="004A0FCF" w:rsidRPr="00A27C75" w14:paraId="2C56EE5A" w14:textId="77777777" w:rsidTr="004A0FCF">
        <w:trPr>
          <w:trHeight w:val="567"/>
        </w:trPr>
        <w:tc>
          <w:tcPr>
            <w:tcW w:w="1933" w:type="pct"/>
            <w:tcBorders>
              <w:top w:val="single" w:sz="4" w:space="0" w:color="000000"/>
              <w:left w:val="single" w:sz="4" w:space="0" w:color="000000"/>
              <w:bottom w:val="single" w:sz="4" w:space="0" w:color="auto"/>
              <w:right w:val="single" w:sz="4" w:space="0" w:color="000000"/>
            </w:tcBorders>
            <w:vAlign w:val="center"/>
          </w:tcPr>
          <w:p w14:paraId="0AD03FB2" w14:textId="77777777" w:rsidR="00EF5254" w:rsidRPr="00A27C75" w:rsidRDefault="00EF5254" w:rsidP="007F5D21">
            <w:pPr>
              <w:jc w:val="center"/>
              <w:rPr>
                <w:b/>
                <w:sz w:val="20"/>
                <w:szCs w:val="20"/>
              </w:rPr>
            </w:pPr>
            <w:r w:rsidRPr="00A27C75">
              <w:rPr>
                <w:b/>
                <w:sz w:val="20"/>
                <w:szCs w:val="20"/>
              </w:rPr>
              <w:t>ŚWIADCZENIOBIORCY</w:t>
            </w:r>
          </w:p>
        </w:tc>
        <w:tc>
          <w:tcPr>
            <w:tcW w:w="1243" w:type="pct"/>
            <w:tcBorders>
              <w:top w:val="single" w:sz="4" w:space="0" w:color="000000"/>
              <w:left w:val="single" w:sz="4" w:space="0" w:color="000000"/>
              <w:bottom w:val="single" w:sz="4" w:space="0" w:color="auto"/>
              <w:right w:val="single" w:sz="4" w:space="0" w:color="000000"/>
            </w:tcBorders>
            <w:vAlign w:val="center"/>
          </w:tcPr>
          <w:p w14:paraId="72283AD2" w14:textId="1ED33E49" w:rsidR="00EF5254" w:rsidRPr="00A27C75" w:rsidRDefault="00EF5254" w:rsidP="004A0FCF">
            <w:pPr>
              <w:jc w:val="center"/>
              <w:rPr>
                <w:b/>
                <w:sz w:val="20"/>
                <w:szCs w:val="20"/>
              </w:rPr>
            </w:pPr>
            <w:r w:rsidRPr="00A27C75">
              <w:rPr>
                <w:b/>
                <w:sz w:val="20"/>
                <w:szCs w:val="20"/>
              </w:rPr>
              <w:t xml:space="preserve">SCHEMAT DAWKOWANIA </w:t>
            </w:r>
            <w:r w:rsidR="004A0FCF">
              <w:rPr>
                <w:b/>
                <w:sz w:val="20"/>
                <w:szCs w:val="20"/>
              </w:rPr>
              <w:t xml:space="preserve">LEKÓW </w:t>
            </w:r>
            <w:r w:rsidRPr="00A27C75">
              <w:rPr>
                <w:b/>
                <w:sz w:val="20"/>
                <w:szCs w:val="20"/>
              </w:rPr>
              <w:t>W PROGRAMIE</w:t>
            </w:r>
          </w:p>
        </w:tc>
        <w:tc>
          <w:tcPr>
            <w:tcW w:w="1824" w:type="pct"/>
            <w:tcBorders>
              <w:top w:val="single" w:sz="4" w:space="0" w:color="000000"/>
              <w:left w:val="single" w:sz="4" w:space="0" w:color="000000"/>
              <w:bottom w:val="single" w:sz="4" w:space="0" w:color="auto"/>
              <w:right w:val="single" w:sz="4" w:space="0" w:color="auto"/>
            </w:tcBorders>
            <w:vAlign w:val="center"/>
          </w:tcPr>
          <w:p w14:paraId="5076C7AC" w14:textId="77777777" w:rsidR="009C3BDE" w:rsidRDefault="00EF5254" w:rsidP="007F5D21">
            <w:pPr>
              <w:jc w:val="center"/>
              <w:rPr>
                <w:b/>
                <w:sz w:val="20"/>
                <w:szCs w:val="20"/>
              </w:rPr>
            </w:pPr>
            <w:r w:rsidRPr="00A27C75">
              <w:rPr>
                <w:b/>
                <w:sz w:val="20"/>
                <w:szCs w:val="20"/>
              </w:rPr>
              <w:t xml:space="preserve">BADANIA DIAGNOSTYCZNE WYKONYWANE </w:t>
            </w:r>
          </w:p>
          <w:p w14:paraId="0C657C1C" w14:textId="0BB24110" w:rsidR="00EF5254" w:rsidRPr="00A27C75" w:rsidRDefault="00EF5254" w:rsidP="007F5D21">
            <w:pPr>
              <w:jc w:val="center"/>
              <w:rPr>
                <w:b/>
                <w:sz w:val="20"/>
                <w:szCs w:val="20"/>
              </w:rPr>
            </w:pPr>
            <w:r w:rsidRPr="00A27C75">
              <w:rPr>
                <w:b/>
                <w:sz w:val="20"/>
                <w:szCs w:val="20"/>
              </w:rPr>
              <w:t>W RAMACH PROGRAMU</w:t>
            </w:r>
          </w:p>
        </w:tc>
      </w:tr>
      <w:tr w:rsidR="004A0FCF" w:rsidRPr="008328B6" w14:paraId="634B51EC" w14:textId="77777777" w:rsidTr="004A0FCF">
        <w:trPr>
          <w:trHeight w:val="20"/>
        </w:trPr>
        <w:tc>
          <w:tcPr>
            <w:tcW w:w="1933" w:type="pct"/>
            <w:tcBorders>
              <w:top w:val="single" w:sz="4" w:space="0" w:color="auto"/>
              <w:left w:val="single" w:sz="4" w:space="0" w:color="auto"/>
              <w:bottom w:val="single" w:sz="4" w:space="0" w:color="auto"/>
              <w:right w:val="single" w:sz="4" w:space="0" w:color="000000"/>
            </w:tcBorders>
          </w:tcPr>
          <w:p w14:paraId="1E02C4AB" w14:textId="2A84AA99" w:rsidR="00822D6E" w:rsidRPr="00F30324" w:rsidRDefault="00822D6E" w:rsidP="007F5D21">
            <w:pPr>
              <w:pStyle w:val="Akapitzlist"/>
              <w:numPr>
                <w:ilvl w:val="0"/>
                <w:numId w:val="24"/>
              </w:numPr>
              <w:spacing w:before="120" w:after="60"/>
              <w:contextualSpacing w:val="0"/>
              <w:jc w:val="both"/>
              <w:rPr>
                <w:b/>
                <w:sz w:val="20"/>
                <w:szCs w:val="20"/>
              </w:rPr>
            </w:pPr>
            <w:r w:rsidRPr="00F30324">
              <w:rPr>
                <w:b/>
                <w:sz w:val="20"/>
                <w:szCs w:val="20"/>
              </w:rPr>
              <w:t>Kryteria</w:t>
            </w:r>
            <w:r w:rsidR="00D0407A">
              <w:rPr>
                <w:b/>
                <w:sz w:val="20"/>
                <w:szCs w:val="20"/>
              </w:rPr>
              <w:t xml:space="preserve"> </w:t>
            </w:r>
            <w:r w:rsidRPr="00F30324">
              <w:rPr>
                <w:b/>
                <w:sz w:val="20"/>
                <w:szCs w:val="20"/>
              </w:rPr>
              <w:t>włączenia</w:t>
            </w:r>
            <w:r w:rsidR="00D0407A">
              <w:rPr>
                <w:b/>
                <w:sz w:val="20"/>
                <w:szCs w:val="20"/>
              </w:rPr>
              <w:t xml:space="preserve"> </w:t>
            </w:r>
            <w:r w:rsidRPr="00F30324">
              <w:rPr>
                <w:b/>
                <w:sz w:val="20"/>
                <w:szCs w:val="20"/>
              </w:rPr>
              <w:t>do</w:t>
            </w:r>
            <w:r w:rsidR="00D0407A">
              <w:rPr>
                <w:b/>
                <w:sz w:val="20"/>
                <w:szCs w:val="20"/>
              </w:rPr>
              <w:t xml:space="preserve"> </w:t>
            </w:r>
            <w:r w:rsidRPr="00F30324">
              <w:rPr>
                <w:b/>
                <w:sz w:val="20"/>
                <w:szCs w:val="20"/>
              </w:rPr>
              <w:t>programu</w:t>
            </w:r>
          </w:p>
          <w:p w14:paraId="035DDAED" w14:textId="38E055E9" w:rsidR="00822D6E" w:rsidRDefault="00822D6E" w:rsidP="007F5D21">
            <w:pPr>
              <w:numPr>
                <w:ilvl w:val="2"/>
                <w:numId w:val="24"/>
              </w:numPr>
              <w:spacing w:after="60"/>
              <w:jc w:val="both"/>
              <w:rPr>
                <w:sz w:val="20"/>
                <w:szCs w:val="20"/>
              </w:rPr>
            </w:pPr>
            <w:r w:rsidRPr="00822D6E">
              <w:rPr>
                <w:sz w:val="20"/>
                <w:szCs w:val="20"/>
              </w:rPr>
              <w:t>Do</w:t>
            </w:r>
            <w:r w:rsidR="00D0407A">
              <w:rPr>
                <w:sz w:val="20"/>
                <w:szCs w:val="20"/>
              </w:rPr>
              <w:t xml:space="preserve"> </w:t>
            </w:r>
            <w:r w:rsidRPr="00822D6E">
              <w:rPr>
                <w:sz w:val="20"/>
                <w:szCs w:val="20"/>
              </w:rPr>
              <w:t>leczenia</w:t>
            </w:r>
            <w:r w:rsidR="00D0407A">
              <w:rPr>
                <w:sz w:val="20"/>
                <w:szCs w:val="20"/>
              </w:rPr>
              <w:t xml:space="preserve"> </w:t>
            </w:r>
            <w:r w:rsidRPr="00822D6E">
              <w:rPr>
                <w:sz w:val="20"/>
                <w:szCs w:val="20"/>
              </w:rPr>
              <w:t>beksarotenem</w:t>
            </w:r>
            <w:r w:rsidR="00D0407A">
              <w:rPr>
                <w:sz w:val="20"/>
                <w:szCs w:val="20"/>
              </w:rPr>
              <w:t xml:space="preserve"> </w:t>
            </w:r>
            <w:r w:rsidRPr="00822D6E">
              <w:rPr>
                <w:sz w:val="20"/>
                <w:szCs w:val="20"/>
              </w:rPr>
              <w:t>w</w:t>
            </w:r>
            <w:r w:rsidR="00D0407A">
              <w:rPr>
                <w:sz w:val="20"/>
                <w:szCs w:val="20"/>
              </w:rPr>
              <w:t xml:space="preserve"> </w:t>
            </w:r>
            <w:r w:rsidRPr="00822D6E">
              <w:rPr>
                <w:sz w:val="20"/>
                <w:szCs w:val="20"/>
              </w:rPr>
              <w:t>ramach</w:t>
            </w:r>
            <w:r w:rsidR="00D0407A">
              <w:rPr>
                <w:sz w:val="20"/>
                <w:szCs w:val="20"/>
              </w:rPr>
              <w:t xml:space="preserve"> </w:t>
            </w:r>
            <w:r w:rsidRPr="00822D6E">
              <w:rPr>
                <w:sz w:val="20"/>
                <w:szCs w:val="20"/>
              </w:rPr>
              <w:t>programu</w:t>
            </w:r>
            <w:r w:rsidR="00D0407A">
              <w:rPr>
                <w:sz w:val="20"/>
                <w:szCs w:val="20"/>
              </w:rPr>
              <w:t xml:space="preserve"> </w:t>
            </w:r>
            <w:r w:rsidRPr="00822D6E">
              <w:rPr>
                <w:sz w:val="20"/>
                <w:szCs w:val="20"/>
              </w:rPr>
              <w:t>kwalifikują</w:t>
            </w:r>
            <w:r w:rsidR="00D0407A">
              <w:rPr>
                <w:sz w:val="20"/>
                <w:szCs w:val="20"/>
              </w:rPr>
              <w:t xml:space="preserve"> </w:t>
            </w:r>
            <w:r w:rsidRPr="00822D6E">
              <w:rPr>
                <w:sz w:val="20"/>
                <w:szCs w:val="20"/>
              </w:rPr>
              <w:t>się</w:t>
            </w:r>
            <w:r w:rsidR="00D0407A">
              <w:rPr>
                <w:sz w:val="20"/>
                <w:szCs w:val="20"/>
              </w:rPr>
              <w:t xml:space="preserve"> </w:t>
            </w:r>
            <w:r w:rsidRPr="00822D6E">
              <w:rPr>
                <w:sz w:val="20"/>
                <w:szCs w:val="20"/>
              </w:rPr>
              <w:t>świadczeniobiorcy</w:t>
            </w:r>
            <w:r w:rsidR="00D0407A">
              <w:rPr>
                <w:sz w:val="20"/>
                <w:szCs w:val="20"/>
              </w:rPr>
              <w:t xml:space="preserve"> </w:t>
            </w:r>
            <w:r w:rsidRPr="00822D6E">
              <w:rPr>
                <w:sz w:val="20"/>
                <w:szCs w:val="20"/>
              </w:rPr>
              <w:t>spełniający</w:t>
            </w:r>
            <w:r w:rsidR="00D0407A">
              <w:rPr>
                <w:sz w:val="20"/>
                <w:szCs w:val="20"/>
              </w:rPr>
              <w:t xml:space="preserve"> </w:t>
            </w:r>
            <w:r w:rsidR="0087786B">
              <w:rPr>
                <w:sz w:val="20"/>
                <w:szCs w:val="20"/>
              </w:rPr>
              <w:t>łącznie</w:t>
            </w:r>
            <w:r w:rsidR="00D0407A">
              <w:rPr>
                <w:sz w:val="20"/>
                <w:szCs w:val="20"/>
              </w:rPr>
              <w:t xml:space="preserve"> </w:t>
            </w:r>
            <w:r w:rsidRPr="00822D6E">
              <w:rPr>
                <w:sz w:val="20"/>
                <w:szCs w:val="20"/>
              </w:rPr>
              <w:t>następujące</w:t>
            </w:r>
            <w:r w:rsidR="00D0407A">
              <w:rPr>
                <w:sz w:val="20"/>
                <w:szCs w:val="20"/>
              </w:rPr>
              <w:t xml:space="preserve"> </w:t>
            </w:r>
            <w:r w:rsidRPr="00822D6E">
              <w:rPr>
                <w:sz w:val="20"/>
                <w:szCs w:val="20"/>
              </w:rPr>
              <w:t>kryteria:</w:t>
            </w:r>
          </w:p>
          <w:p w14:paraId="42A45CFC" w14:textId="794F5C9C" w:rsidR="0087786B" w:rsidRDefault="004B6BB7" w:rsidP="007F5D21">
            <w:pPr>
              <w:numPr>
                <w:ilvl w:val="3"/>
                <w:numId w:val="24"/>
              </w:numPr>
              <w:spacing w:after="60"/>
              <w:jc w:val="both"/>
              <w:rPr>
                <w:sz w:val="20"/>
                <w:szCs w:val="20"/>
              </w:rPr>
            </w:pPr>
            <w:r>
              <w:rPr>
                <w:sz w:val="20"/>
                <w:szCs w:val="20"/>
              </w:rPr>
              <w:t>w</w:t>
            </w:r>
            <w:r w:rsidR="00860C98">
              <w:rPr>
                <w:sz w:val="20"/>
                <w:szCs w:val="20"/>
              </w:rPr>
              <w:t>iek</w:t>
            </w:r>
            <w:r w:rsidR="00D0407A">
              <w:rPr>
                <w:sz w:val="20"/>
                <w:szCs w:val="20"/>
              </w:rPr>
              <w:t xml:space="preserve"> </w:t>
            </w:r>
            <w:r w:rsidR="00860C98">
              <w:rPr>
                <w:sz w:val="20"/>
                <w:szCs w:val="20"/>
              </w:rPr>
              <w:t>≥</w:t>
            </w:r>
            <w:r w:rsidR="00D0407A">
              <w:rPr>
                <w:sz w:val="20"/>
                <w:szCs w:val="20"/>
              </w:rPr>
              <w:t xml:space="preserve"> </w:t>
            </w:r>
            <w:r w:rsidR="00860C98">
              <w:rPr>
                <w:sz w:val="20"/>
                <w:szCs w:val="20"/>
              </w:rPr>
              <w:t>18</w:t>
            </w:r>
            <w:r w:rsidR="00D0407A">
              <w:rPr>
                <w:sz w:val="20"/>
                <w:szCs w:val="20"/>
              </w:rPr>
              <w:t xml:space="preserve"> </w:t>
            </w:r>
            <w:r w:rsidR="00860C98">
              <w:rPr>
                <w:sz w:val="20"/>
                <w:szCs w:val="20"/>
              </w:rPr>
              <w:t>lat,</w:t>
            </w:r>
          </w:p>
          <w:p w14:paraId="369013CD" w14:textId="2B834120" w:rsidR="0087786B" w:rsidRPr="00822D6E" w:rsidRDefault="004B6BB7" w:rsidP="007F5D21">
            <w:pPr>
              <w:numPr>
                <w:ilvl w:val="3"/>
                <w:numId w:val="24"/>
              </w:numPr>
              <w:spacing w:after="60"/>
              <w:jc w:val="both"/>
              <w:rPr>
                <w:sz w:val="20"/>
                <w:szCs w:val="20"/>
              </w:rPr>
            </w:pPr>
            <w:r>
              <w:rPr>
                <w:sz w:val="20"/>
                <w:szCs w:val="20"/>
              </w:rPr>
              <w:t>p</w:t>
            </w:r>
            <w:r w:rsidR="0087786B" w:rsidRPr="00822D6E">
              <w:rPr>
                <w:sz w:val="20"/>
                <w:szCs w:val="20"/>
              </w:rPr>
              <w:t>rawidłowa</w:t>
            </w:r>
            <w:r w:rsidR="00D0407A">
              <w:rPr>
                <w:sz w:val="20"/>
                <w:szCs w:val="20"/>
              </w:rPr>
              <w:t xml:space="preserve"> </w:t>
            </w:r>
            <w:r w:rsidR="0087786B" w:rsidRPr="00822D6E">
              <w:rPr>
                <w:sz w:val="20"/>
                <w:szCs w:val="20"/>
              </w:rPr>
              <w:t>funkcja</w:t>
            </w:r>
            <w:r w:rsidR="00D0407A">
              <w:rPr>
                <w:sz w:val="20"/>
                <w:szCs w:val="20"/>
              </w:rPr>
              <w:t xml:space="preserve"> </w:t>
            </w:r>
            <w:r w:rsidR="0087786B" w:rsidRPr="00822D6E">
              <w:rPr>
                <w:sz w:val="20"/>
                <w:szCs w:val="20"/>
              </w:rPr>
              <w:t>w</w:t>
            </w:r>
            <w:r w:rsidR="00860C98">
              <w:rPr>
                <w:sz w:val="20"/>
                <w:szCs w:val="20"/>
              </w:rPr>
              <w:t>ątroby,</w:t>
            </w:r>
            <w:r w:rsidR="00D0407A">
              <w:rPr>
                <w:sz w:val="20"/>
                <w:szCs w:val="20"/>
              </w:rPr>
              <w:t xml:space="preserve"> </w:t>
            </w:r>
            <w:r w:rsidR="00860C98">
              <w:rPr>
                <w:sz w:val="20"/>
                <w:szCs w:val="20"/>
              </w:rPr>
              <w:t>nerek</w:t>
            </w:r>
            <w:r w:rsidR="00D0407A">
              <w:rPr>
                <w:sz w:val="20"/>
                <w:szCs w:val="20"/>
              </w:rPr>
              <w:t xml:space="preserve"> </w:t>
            </w:r>
            <w:r w:rsidR="00860C98">
              <w:rPr>
                <w:sz w:val="20"/>
                <w:szCs w:val="20"/>
              </w:rPr>
              <w:t>i</w:t>
            </w:r>
            <w:r w:rsidR="00D0407A">
              <w:rPr>
                <w:sz w:val="20"/>
                <w:szCs w:val="20"/>
              </w:rPr>
              <w:t xml:space="preserve"> </w:t>
            </w:r>
            <w:r w:rsidR="00860C98">
              <w:rPr>
                <w:sz w:val="20"/>
                <w:szCs w:val="20"/>
              </w:rPr>
              <w:t>szpiku</w:t>
            </w:r>
            <w:r w:rsidR="00D0407A">
              <w:rPr>
                <w:sz w:val="20"/>
                <w:szCs w:val="20"/>
              </w:rPr>
              <w:t xml:space="preserve"> </w:t>
            </w:r>
            <w:r w:rsidR="00860C98">
              <w:rPr>
                <w:sz w:val="20"/>
                <w:szCs w:val="20"/>
              </w:rPr>
              <w:t>kostnego,</w:t>
            </w:r>
          </w:p>
          <w:p w14:paraId="50547AA9" w14:textId="1DA412E5" w:rsidR="00822D6E" w:rsidRPr="00822D6E" w:rsidRDefault="004B6BB7" w:rsidP="007F5D21">
            <w:pPr>
              <w:numPr>
                <w:ilvl w:val="3"/>
                <w:numId w:val="24"/>
              </w:numPr>
              <w:spacing w:after="60"/>
              <w:jc w:val="both"/>
              <w:rPr>
                <w:sz w:val="20"/>
                <w:szCs w:val="20"/>
              </w:rPr>
            </w:pPr>
            <w:r>
              <w:rPr>
                <w:sz w:val="20"/>
                <w:szCs w:val="20"/>
              </w:rPr>
              <w:t>p</w:t>
            </w:r>
            <w:r w:rsidR="00822D6E" w:rsidRPr="00822D6E">
              <w:rPr>
                <w:sz w:val="20"/>
                <w:szCs w:val="20"/>
              </w:rPr>
              <w:t>otwierdzona</w:t>
            </w:r>
            <w:r w:rsidR="00D0407A">
              <w:rPr>
                <w:sz w:val="20"/>
                <w:szCs w:val="20"/>
              </w:rPr>
              <w:t xml:space="preserve"> </w:t>
            </w:r>
            <w:r w:rsidR="00822D6E" w:rsidRPr="00822D6E">
              <w:rPr>
                <w:sz w:val="20"/>
                <w:szCs w:val="20"/>
              </w:rPr>
              <w:t>diagnoza</w:t>
            </w:r>
            <w:r w:rsidR="00D0407A">
              <w:rPr>
                <w:sz w:val="20"/>
                <w:szCs w:val="20"/>
              </w:rPr>
              <w:t xml:space="preserve"> </w:t>
            </w:r>
            <w:r w:rsidR="00822D6E" w:rsidRPr="00822D6E">
              <w:rPr>
                <w:sz w:val="20"/>
                <w:szCs w:val="20"/>
              </w:rPr>
              <w:t>zespołu</w:t>
            </w:r>
            <w:r w:rsidR="00D0407A">
              <w:rPr>
                <w:sz w:val="20"/>
                <w:szCs w:val="20"/>
              </w:rPr>
              <w:t xml:space="preserve"> </w:t>
            </w:r>
            <w:r w:rsidR="00822D6E" w:rsidRPr="00822D6E">
              <w:rPr>
                <w:sz w:val="20"/>
                <w:szCs w:val="20"/>
              </w:rPr>
              <w:t>S</w:t>
            </w:r>
            <w:r w:rsidR="00E20C8D">
              <w:rPr>
                <w:sz w:val="20"/>
                <w:szCs w:val="20"/>
              </w:rPr>
              <w:t>é</w:t>
            </w:r>
            <w:r w:rsidR="00822D6E" w:rsidRPr="00822D6E">
              <w:rPr>
                <w:sz w:val="20"/>
                <w:szCs w:val="20"/>
              </w:rPr>
              <w:t>zary’ego</w:t>
            </w:r>
            <w:r w:rsidR="00D0407A">
              <w:rPr>
                <w:sz w:val="20"/>
                <w:szCs w:val="20"/>
              </w:rPr>
              <w:t xml:space="preserve"> </w:t>
            </w:r>
            <w:r w:rsidR="00822D6E" w:rsidRPr="00822D6E">
              <w:rPr>
                <w:sz w:val="20"/>
                <w:szCs w:val="20"/>
              </w:rPr>
              <w:t>(w</w:t>
            </w:r>
            <w:r w:rsidR="00D0407A">
              <w:rPr>
                <w:sz w:val="20"/>
                <w:szCs w:val="20"/>
              </w:rPr>
              <w:t xml:space="preserve"> </w:t>
            </w:r>
            <w:r w:rsidR="00822D6E" w:rsidRPr="00822D6E">
              <w:rPr>
                <w:sz w:val="20"/>
                <w:szCs w:val="20"/>
              </w:rPr>
              <w:t>oparciu</w:t>
            </w:r>
            <w:r w:rsidR="00D0407A">
              <w:rPr>
                <w:sz w:val="20"/>
                <w:szCs w:val="20"/>
              </w:rPr>
              <w:t xml:space="preserve"> </w:t>
            </w:r>
            <w:r w:rsidR="00822D6E" w:rsidRPr="00822D6E">
              <w:rPr>
                <w:sz w:val="20"/>
                <w:szCs w:val="20"/>
              </w:rPr>
              <w:t>o</w:t>
            </w:r>
            <w:r w:rsidR="00D0407A">
              <w:rPr>
                <w:sz w:val="20"/>
                <w:szCs w:val="20"/>
              </w:rPr>
              <w:t xml:space="preserve"> </w:t>
            </w:r>
            <w:r w:rsidR="00C02902">
              <w:rPr>
                <w:sz w:val="20"/>
                <w:szCs w:val="20"/>
              </w:rPr>
              <w:t>wynik</w:t>
            </w:r>
            <w:r w:rsidR="00D0407A">
              <w:rPr>
                <w:sz w:val="20"/>
                <w:szCs w:val="20"/>
              </w:rPr>
              <w:t xml:space="preserve"> </w:t>
            </w:r>
            <w:r w:rsidR="00822D6E" w:rsidRPr="00822D6E">
              <w:rPr>
                <w:sz w:val="20"/>
                <w:szCs w:val="20"/>
              </w:rPr>
              <w:t>cytometri</w:t>
            </w:r>
            <w:r w:rsidR="00C02902">
              <w:rPr>
                <w:sz w:val="20"/>
                <w:szCs w:val="20"/>
              </w:rPr>
              <w:t>i</w:t>
            </w:r>
            <w:r w:rsidR="00822D6E" w:rsidRPr="00822D6E">
              <w:rPr>
                <w:sz w:val="20"/>
                <w:szCs w:val="20"/>
              </w:rPr>
              <w:t>)</w:t>
            </w:r>
            <w:r w:rsidR="00D0407A">
              <w:rPr>
                <w:sz w:val="20"/>
                <w:szCs w:val="20"/>
              </w:rPr>
              <w:t xml:space="preserve"> </w:t>
            </w:r>
            <w:r w:rsidR="00822D6E" w:rsidRPr="00822D6E">
              <w:rPr>
                <w:sz w:val="20"/>
                <w:szCs w:val="20"/>
              </w:rPr>
              <w:t>lub</w:t>
            </w:r>
            <w:r w:rsidR="00D0407A">
              <w:rPr>
                <w:sz w:val="20"/>
                <w:szCs w:val="20"/>
              </w:rPr>
              <w:t xml:space="preserve"> </w:t>
            </w:r>
            <w:r w:rsidR="00822D6E" w:rsidRPr="00822D6E">
              <w:rPr>
                <w:sz w:val="20"/>
                <w:szCs w:val="20"/>
              </w:rPr>
              <w:t>ziarniniaka</w:t>
            </w:r>
            <w:r w:rsidR="00D0407A">
              <w:rPr>
                <w:sz w:val="20"/>
                <w:szCs w:val="20"/>
              </w:rPr>
              <w:t xml:space="preserve"> </w:t>
            </w:r>
            <w:r w:rsidR="00822D6E" w:rsidRPr="00822D6E">
              <w:rPr>
                <w:sz w:val="20"/>
                <w:szCs w:val="20"/>
              </w:rPr>
              <w:t>grzybiastego</w:t>
            </w:r>
            <w:r w:rsidR="00D0407A">
              <w:rPr>
                <w:sz w:val="20"/>
                <w:szCs w:val="20"/>
              </w:rPr>
              <w:t xml:space="preserve"> </w:t>
            </w:r>
            <w:r w:rsidR="00822D6E" w:rsidRPr="00822D6E">
              <w:rPr>
                <w:sz w:val="20"/>
                <w:szCs w:val="20"/>
              </w:rPr>
              <w:t>(</w:t>
            </w:r>
            <w:r w:rsidR="00C02902">
              <w:rPr>
                <w:sz w:val="20"/>
                <w:szCs w:val="20"/>
              </w:rPr>
              <w:t>w</w:t>
            </w:r>
            <w:r w:rsidR="00D0407A">
              <w:rPr>
                <w:sz w:val="20"/>
                <w:szCs w:val="20"/>
              </w:rPr>
              <w:t xml:space="preserve"> </w:t>
            </w:r>
            <w:r w:rsidR="00C02902">
              <w:rPr>
                <w:sz w:val="20"/>
                <w:szCs w:val="20"/>
              </w:rPr>
              <w:t>oparciu</w:t>
            </w:r>
            <w:r w:rsidR="00D0407A">
              <w:rPr>
                <w:sz w:val="20"/>
                <w:szCs w:val="20"/>
              </w:rPr>
              <w:t xml:space="preserve"> </w:t>
            </w:r>
            <w:r w:rsidR="00C02902">
              <w:rPr>
                <w:sz w:val="20"/>
                <w:szCs w:val="20"/>
              </w:rPr>
              <w:t>o</w:t>
            </w:r>
            <w:r w:rsidR="00D0407A">
              <w:rPr>
                <w:sz w:val="20"/>
                <w:szCs w:val="20"/>
              </w:rPr>
              <w:t xml:space="preserve"> </w:t>
            </w:r>
            <w:r w:rsidR="00C02902">
              <w:rPr>
                <w:sz w:val="20"/>
                <w:szCs w:val="20"/>
              </w:rPr>
              <w:t>wynik</w:t>
            </w:r>
            <w:r w:rsidR="00D0407A">
              <w:rPr>
                <w:sz w:val="20"/>
                <w:szCs w:val="20"/>
              </w:rPr>
              <w:t xml:space="preserve"> </w:t>
            </w:r>
            <w:r w:rsidR="00822D6E" w:rsidRPr="00822D6E">
              <w:rPr>
                <w:sz w:val="20"/>
                <w:szCs w:val="20"/>
              </w:rPr>
              <w:t>badani</w:t>
            </w:r>
            <w:r w:rsidR="00C02902">
              <w:rPr>
                <w:sz w:val="20"/>
                <w:szCs w:val="20"/>
              </w:rPr>
              <w:t>a</w:t>
            </w:r>
            <w:r w:rsidR="00D0407A">
              <w:rPr>
                <w:sz w:val="20"/>
                <w:szCs w:val="20"/>
              </w:rPr>
              <w:t xml:space="preserve"> </w:t>
            </w:r>
            <w:r w:rsidR="00D36A10">
              <w:rPr>
                <w:sz w:val="20"/>
                <w:szCs w:val="20"/>
              </w:rPr>
              <w:t>histopatologicznego</w:t>
            </w:r>
            <w:r w:rsidR="00D0407A">
              <w:rPr>
                <w:sz w:val="20"/>
                <w:szCs w:val="20"/>
              </w:rPr>
              <w:t xml:space="preserve"> </w:t>
            </w:r>
            <w:r w:rsidR="00860C98">
              <w:rPr>
                <w:sz w:val="20"/>
                <w:szCs w:val="20"/>
              </w:rPr>
              <w:t>skóry),</w:t>
            </w:r>
          </w:p>
          <w:p w14:paraId="53F28168" w14:textId="774D17C7" w:rsidR="00822D6E" w:rsidRDefault="004B6BB7" w:rsidP="007F5D21">
            <w:pPr>
              <w:numPr>
                <w:ilvl w:val="3"/>
                <w:numId w:val="24"/>
              </w:numPr>
              <w:spacing w:after="60"/>
              <w:jc w:val="both"/>
              <w:rPr>
                <w:sz w:val="20"/>
                <w:szCs w:val="20"/>
              </w:rPr>
            </w:pPr>
            <w:r>
              <w:rPr>
                <w:sz w:val="20"/>
                <w:szCs w:val="20"/>
              </w:rPr>
              <w:t>s</w:t>
            </w:r>
            <w:r w:rsidR="00822D6E" w:rsidRPr="00822D6E">
              <w:rPr>
                <w:sz w:val="20"/>
                <w:szCs w:val="20"/>
              </w:rPr>
              <w:t>tadium</w:t>
            </w:r>
            <w:r w:rsidR="00D0407A">
              <w:rPr>
                <w:sz w:val="20"/>
                <w:szCs w:val="20"/>
              </w:rPr>
              <w:t xml:space="preserve"> </w:t>
            </w:r>
            <w:r w:rsidR="00822D6E" w:rsidRPr="00822D6E">
              <w:rPr>
                <w:sz w:val="20"/>
                <w:szCs w:val="20"/>
              </w:rPr>
              <w:t>zaawansowania</w:t>
            </w:r>
            <w:r w:rsidR="00D0407A">
              <w:rPr>
                <w:sz w:val="20"/>
                <w:szCs w:val="20"/>
              </w:rPr>
              <w:t xml:space="preserve"> </w:t>
            </w:r>
            <w:r w:rsidR="00822D6E" w:rsidRPr="00822D6E">
              <w:rPr>
                <w:sz w:val="20"/>
                <w:szCs w:val="20"/>
              </w:rPr>
              <w:t>choroby</w:t>
            </w:r>
            <w:r w:rsidR="00D0407A">
              <w:rPr>
                <w:sz w:val="20"/>
                <w:szCs w:val="20"/>
              </w:rPr>
              <w:t xml:space="preserve"> </w:t>
            </w:r>
            <w:r w:rsidR="003736D3">
              <w:rPr>
                <w:sz w:val="20"/>
                <w:szCs w:val="20"/>
              </w:rPr>
              <w:t>określone</w:t>
            </w:r>
            <w:r w:rsidR="00D0407A">
              <w:rPr>
                <w:sz w:val="20"/>
                <w:szCs w:val="20"/>
              </w:rPr>
              <w:t xml:space="preserve"> </w:t>
            </w:r>
            <w:r w:rsidR="003736D3">
              <w:rPr>
                <w:sz w:val="20"/>
                <w:szCs w:val="20"/>
              </w:rPr>
              <w:t>jako</w:t>
            </w:r>
            <w:r w:rsidR="00D0407A">
              <w:rPr>
                <w:sz w:val="20"/>
                <w:szCs w:val="20"/>
              </w:rPr>
              <w:t xml:space="preserve"> </w:t>
            </w:r>
            <w:r w:rsidR="00D36A10">
              <w:rPr>
                <w:sz w:val="20"/>
                <w:szCs w:val="20"/>
              </w:rPr>
              <w:t>I</w:t>
            </w:r>
            <w:r w:rsidR="00D0407A">
              <w:rPr>
                <w:sz w:val="20"/>
                <w:szCs w:val="20"/>
              </w:rPr>
              <w:t xml:space="preserve"> </w:t>
            </w:r>
            <w:r w:rsidR="00D64314">
              <w:rPr>
                <w:sz w:val="20"/>
                <w:szCs w:val="20"/>
              </w:rPr>
              <w:t>B</w:t>
            </w:r>
            <w:r w:rsidR="00D0407A">
              <w:rPr>
                <w:sz w:val="20"/>
                <w:szCs w:val="20"/>
              </w:rPr>
              <w:t xml:space="preserve"> </w:t>
            </w:r>
            <w:r w:rsidR="003736D3" w:rsidRPr="003736D3">
              <w:rPr>
                <w:sz w:val="20"/>
                <w:szCs w:val="20"/>
              </w:rPr>
              <w:t>lub</w:t>
            </w:r>
            <w:r w:rsidR="00D0407A">
              <w:rPr>
                <w:sz w:val="20"/>
                <w:szCs w:val="20"/>
              </w:rPr>
              <w:t xml:space="preserve"> </w:t>
            </w:r>
            <w:r w:rsidR="003736D3" w:rsidRPr="003736D3">
              <w:rPr>
                <w:sz w:val="20"/>
                <w:szCs w:val="20"/>
              </w:rPr>
              <w:t>powyżej</w:t>
            </w:r>
            <w:r w:rsidR="00860C98">
              <w:rPr>
                <w:sz w:val="20"/>
                <w:szCs w:val="20"/>
              </w:rPr>
              <w:t>,</w:t>
            </w:r>
            <w:r w:rsidR="00D0407A">
              <w:rPr>
                <w:sz w:val="20"/>
                <w:szCs w:val="20"/>
              </w:rPr>
              <w:t xml:space="preserve"> </w:t>
            </w:r>
            <w:r w:rsidR="00BF43E8" w:rsidRPr="00BF43E8">
              <w:rPr>
                <w:sz w:val="20"/>
                <w:szCs w:val="20"/>
              </w:rPr>
              <w:t>według</w:t>
            </w:r>
            <w:r w:rsidR="00D0407A">
              <w:rPr>
                <w:sz w:val="20"/>
                <w:szCs w:val="20"/>
              </w:rPr>
              <w:t xml:space="preserve"> </w:t>
            </w:r>
            <w:r w:rsidR="007423CC">
              <w:rPr>
                <w:sz w:val="20"/>
                <w:szCs w:val="20"/>
              </w:rPr>
              <w:t>stopnia</w:t>
            </w:r>
            <w:r w:rsidR="00D0407A">
              <w:rPr>
                <w:sz w:val="20"/>
                <w:szCs w:val="20"/>
              </w:rPr>
              <w:t xml:space="preserve"> </w:t>
            </w:r>
            <w:r w:rsidR="007423CC">
              <w:rPr>
                <w:sz w:val="20"/>
                <w:szCs w:val="20"/>
              </w:rPr>
              <w:t>zaawansowania</w:t>
            </w:r>
            <w:r w:rsidR="00D0407A">
              <w:rPr>
                <w:sz w:val="20"/>
                <w:szCs w:val="20"/>
              </w:rPr>
              <w:t xml:space="preserve"> </w:t>
            </w:r>
            <w:r w:rsidR="00BF43E8" w:rsidRPr="00BF43E8">
              <w:rPr>
                <w:sz w:val="20"/>
                <w:szCs w:val="20"/>
              </w:rPr>
              <w:t>TNM</w:t>
            </w:r>
            <w:r w:rsidR="00C4262F">
              <w:rPr>
                <w:sz w:val="20"/>
                <w:szCs w:val="20"/>
              </w:rPr>
              <w:t>B</w:t>
            </w:r>
            <w:r w:rsidR="00D0407A">
              <w:rPr>
                <w:sz w:val="20"/>
                <w:szCs w:val="20"/>
              </w:rPr>
              <w:t xml:space="preserve"> </w:t>
            </w:r>
            <w:r w:rsidR="007423CC">
              <w:rPr>
                <w:sz w:val="20"/>
                <w:szCs w:val="20"/>
              </w:rPr>
              <w:t>(klasyfikacja</w:t>
            </w:r>
            <w:r w:rsidR="00D0407A">
              <w:rPr>
                <w:sz w:val="20"/>
                <w:szCs w:val="20"/>
              </w:rPr>
              <w:t xml:space="preserve"> </w:t>
            </w:r>
            <w:r w:rsidR="007423CC">
              <w:rPr>
                <w:sz w:val="20"/>
                <w:szCs w:val="20"/>
              </w:rPr>
              <w:t>ISCL</w:t>
            </w:r>
            <w:r w:rsidR="00D0407A">
              <w:rPr>
                <w:sz w:val="20"/>
                <w:szCs w:val="20"/>
              </w:rPr>
              <w:t xml:space="preserve"> </w:t>
            </w:r>
            <w:r w:rsidR="007423CC">
              <w:rPr>
                <w:sz w:val="20"/>
                <w:szCs w:val="20"/>
              </w:rPr>
              <w:t>i</w:t>
            </w:r>
            <w:r w:rsidR="00D0407A">
              <w:rPr>
                <w:sz w:val="20"/>
                <w:szCs w:val="20"/>
              </w:rPr>
              <w:t xml:space="preserve"> </w:t>
            </w:r>
            <w:r w:rsidR="007423CC">
              <w:rPr>
                <w:sz w:val="20"/>
                <w:szCs w:val="20"/>
              </w:rPr>
              <w:t>EORTC</w:t>
            </w:r>
            <w:r w:rsidR="00010649">
              <w:rPr>
                <w:sz w:val="20"/>
                <w:szCs w:val="20"/>
              </w:rPr>
              <w:t>)</w:t>
            </w:r>
            <w:r w:rsidR="00D0407A">
              <w:rPr>
                <w:sz w:val="20"/>
                <w:szCs w:val="20"/>
              </w:rPr>
              <w:t xml:space="preserve"> </w:t>
            </w:r>
          </w:p>
          <w:p w14:paraId="195B4EB9" w14:textId="0373064A" w:rsidR="0087786B" w:rsidRPr="007F5D21" w:rsidRDefault="00BF43E8" w:rsidP="007F5D21">
            <w:pPr>
              <w:spacing w:after="60"/>
              <w:ind w:firstLine="188"/>
              <w:jc w:val="both"/>
              <w:rPr>
                <w:sz w:val="20"/>
                <w:szCs w:val="20"/>
              </w:rPr>
            </w:pPr>
            <w:r w:rsidRPr="007F5D21">
              <w:rPr>
                <w:sz w:val="20"/>
                <w:szCs w:val="20"/>
              </w:rPr>
              <w:t>o</w:t>
            </w:r>
            <w:r w:rsidR="0087786B" w:rsidRPr="007F5D21">
              <w:rPr>
                <w:sz w:val="20"/>
                <w:szCs w:val="20"/>
              </w:rPr>
              <w:t>raz</w:t>
            </w:r>
            <w:r w:rsidR="00D0407A" w:rsidRPr="007F5D21">
              <w:rPr>
                <w:sz w:val="20"/>
                <w:szCs w:val="20"/>
              </w:rPr>
              <w:t xml:space="preserve"> </w:t>
            </w:r>
            <w:r w:rsidRPr="007F5D21">
              <w:rPr>
                <w:sz w:val="20"/>
                <w:szCs w:val="20"/>
              </w:rPr>
              <w:t>jedno</w:t>
            </w:r>
            <w:r w:rsidR="00D0407A" w:rsidRPr="007F5D21">
              <w:rPr>
                <w:sz w:val="20"/>
                <w:szCs w:val="20"/>
              </w:rPr>
              <w:t xml:space="preserve"> </w:t>
            </w:r>
            <w:r w:rsidRPr="007F5D21">
              <w:rPr>
                <w:sz w:val="20"/>
                <w:szCs w:val="20"/>
              </w:rPr>
              <w:t>z</w:t>
            </w:r>
            <w:r w:rsidR="00D0407A" w:rsidRPr="007F5D21">
              <w:rPr>
                <w:sz w:val="20"/>
                <w:szCs w:val="20"/>
              </w:rPr>
              <w:t xml:space="preserve"> </w:t>
            </w:r>
            <w:r w:rsidRPr="007F5D21">
              <w:rPr>
                <w:sz w:val="20"/>
                <w:szCs w:val="20"/>
              </w:rPr>
              <w:t>poniższych</w:t>
            </w:r>
            <w:r w:rsidR="00D0407A" w:rsidRPr="007F5D21">
              <w:rPr>
                <w:sz w:val="20"/>
                <w:szCs w:val="20"/>
              </w:rPr>
              <w:t xml:space="preserve"> </w:t>
            </w:r>
            <w:r w:rsidRPr="007F5D21">
              <w:rPr>
                <w:sz w:val="20"/>
                <w:szCs w:val="20"/>
              </w:rPr>
              <w:t>kryteriów:</w:t>
            </w:r>
          </w:p>
          <w:p w14:paraId="5EE7BDD0" w14:textId="1A77AA38" w:rsidR="00822D6E" w:rsidRDefault="003E12B5" w:rsidP="007F5D21">
            <w:pPr>
              <w:numPr>
                <w:ilvl w:val="3"/>
                <w:numId w:val="29"/>
              </w:numPr>
              <w:spacing w:after="60"/>
              <w:jc w:val="both"/>
              <w:rPr>
                <w:sz w:val="20"/>
                <w:szCs w:val="20"/>
              </w:rPr>
            </w:pPr>
            <w:r>
              <w:rPr>
                <w:sz w:val="20"/>
                <w:szCs w:val="20"/>
              </w:rPr>
              <w:t>p</w:t>
            </w:r>
            <w:r w:rsidR="00822D6E" w:rsidRPr="00822D6E">
              <w:rPr>
                <w:sz w:val="20"/>
                <w:szCs w:val="20"/>
              </w:rPr>
              <w:t>rogresja</w:t>
            </w:r>
            <w:r w:rsidR="00D0407A">
              <w:rPr>
                <w:sz w:val="20"/>
                <w:szCs w:val="20"/>
              </w:rPr>
              <w:t xml:space="preserve"> </w:t>
            </w:r>
            <w:r w:rsidR="00822D6E" w:rsidRPr="00822D6E">
              <w:rPr>
                <w:sz w:val="20"/>
                <w:szCs w:val="20"/>
              </w:rPr>
              <w:t>choroby</w:t>
            </w:r>
            <w:r w:rsidR="00D0407A">
              <w:rPr>
                <w:sz w:val="20"/>
                <w:szCs w:val="20"/>
              </w:rPr>
              <w:t xml:space="preserve"> </w:t>
            </w:r>
            <w:r w:rsidR="00822D6E" w:rsidRPr="00822D6E">
              <w:rPr>
                <w:sz w:val="20"/>
                <w:szCs w:val="20"/>
              </w:rPr>
              <w:t>w</w:t>
            </w:r>
            <w:r w:rsidR="00D0407A">
              <w:rPr>
                <w:sz w:val="20"/>
                <w:szCs w:val="20"/>
              </w:rPr>
              <w:t xml:space="preserve"> </w:t>
            </w:r>
            <w:r w:rsidR="00822D6E" w:rsidRPr="00822D6E">
              <w:rPr>
                <w:sz w:val="20"/>
                <w:szCs w:val="20"/>
              </w:rPr>
              <w:t>trakcie</w:t>
            </w:r>
            <w:r w:rsidR="00D0407A">
              <w:rPr>
                <w:sz w:val="20"/>
                <w:szCs w:val="20"/>
              </w:rPr>
              <w:t xml:space="preserve"> </w:t>
            </w:r>
            <w:r w:rsidR="00822D6E" w:rsidRPr="00822D6E">
              <w:rPr>
                <w:sz w:val="20"/>
                <w:szCs w:val="20"/>
              </w:rPr>
              <w:t>leczenia</w:t>
            </w:r>
            <w:r w:rsidR="00D0407A">
              <w:rPr>
                <w:sz w:val="20"/>
                <w:szCs w:val="20"/>
              </w:rPr>
              <w:t xml:space="preserve"> </w:t>
            </w:r>
            <w:r w:rsidR="00822D6E" w:rsidRPr="00822D6E">
              <w:rPr>
                <w:sz w:val="20"/>
                <w:szCs w:val="20"/>
              </w:rPr>
              <w:t>metotreksatem</w:t>
            </w:r>
            <w:r w:rsidR="00D0407A">
              <w:rPr>
                <w:sz w:val="20"/>
                <w:szCs w:val="20"/>
              </w:rPr>
              <w:t xml:space="preserve"> </w:t>
            </w:r>
            <w:r w:rsidR="00822D6E" w:rsidRPr="00822D6E">
              <w:rPr>
                <w:sz w:val="20"/>
                <w:szCs w:val="20"/>
              </w:rPr>
              <w:t>(MTX)</w:t>
            </w:r>
            <w:r w:rsidR="00D0407A">
              <w:rPr>
                <w:sz w:val="20"/>
                <w:szCs w:val="20"/>
              </w:rPr>
              <w:t xml:space="preserve"> </w:t>
            </w:r>
            <w:r w:rsidR="00822D6E" w:rsidRPr="00822D6E">
              <w:rPr>
                <w:sz w:val="20"/>
                <w:szCs w:val="20"/>
              </w:rPr>
              <w:t>lub</w:t>
            </w:r>
            <w:r w:rsidR="00D0407A">
              <w:rPr>
                <w:sz w:val="20"/>
                <w:szCs w:val="20"/>
              </w:rPr>
              <w:t xml:space="preserve"> </w:t>
            </w:r>
            <w:r w:rsidR="00822D6E" w:rsidRPr="00822D6E">
              <w:rPr>
                <w:sz w:val="20"/>
                <w:szCs w:val="20"/>
              </w:rPr>
              <w:t>interferonem</w:t>
            </w:r>
            <w:r w:rsidR="00D0407A">
              <w:rPr>
                <w:sz w:val="20"/>
                <w:szCs w:val="20"/>
              </w:rPr>
              <w:t xml:space="preserve"> </w:t>
            </w:r>
            <w:r w:rsidR="00822D6E" w:rsidRPr="00822D6E">
              <w:rPr>
                <w:sz w:val="20"/>
                <w:szCs w:val="20"/>
              </w:rPr>
              <w:t>(IFN</w:t>
            </w:r>
            <w:r w:rsidR="00010649">
              <w:rPr>
                <w:sz w:val="20"/>
                <w:szCs w:val="20"/>
              </w:rPr>
              <w:t>)</w:t>
            </w:r>
            <w:r w:rsidR="00D0407A">
              <w:rPr>
                <w:sz w:val="20"/>
                <w:szCs w:val="20"/>
              </w:rPr>
              <w:t xml:space="preserve"> </w:t>
            </w:r>
            <w:r>
              <w:rPr>
                <w:sz w:val="20"/>
                <w:szCs w:val="20"/>
              </w:rPr>
              <w:t>prowadzonego</w:t>
            </w:r>
            <w:r w:rsidR="00D0407A">
              <w:rPr>
                <w:sz w:val="20"/>
                <w:szCs w:val="20"/>
              </w:rPr>
              <w:t xml:space="preserve"> </w:t>
            </w:r>
            <w:r>
              <w:rPr>
                <w:sz w:val="20"/>
                <w:szCs w:val="20"/>
              </w:rPr>
              <w:t>przez</w:t>
            </w:r>
            <w:r w:rsidR="00D0407A">
              <w:rPr>
                <w:sz w:val="20"/>
                <w:szCs w:val="20"/>
              </w:rPr>
              <w:t xml:space="preserve"> </w:t>
            </w:r>
            <w:r w:rsidR="00822D6E" w:rsidRPr="00822D6E">
              <w:rPr>
                <w:sz w:val="20"/>
                <w:szCs w:val="20"/>
              </w:rPr>
              <w:t>minimum</w:t>
            </w:r>
            <w:r w:rsidR="00D0407A">
              <w:rPr>
                <w:sz w:val="20"/>
                <w:szCs w:val="20"/>
              </w:rPr>
              <w:t xml:space="preserve"> </w:t>
            </w:r>
            <w:r w:rsidR="00822D6E" w:rsidRPr="00822D6E">
              <w:rPr>
                <w:sz w:val="20"/>
                <w:szCs w:val="20"/>
              </w:rPr>
              <w:t>3</w:t>
            </w:r>
            <w:r w:rsidR="00D0407A">
              <w:rPr>
                <w:sz w:val="20"/>
                <w:szCs w:val="20"/>
              </w:rPr>
              <w:t xml:space="preserve"> </w:t>
            </w:r>
            <w:r w:rsidR="00822D6E" w:rsidRPr="00822D6E">
              <w:rPr>
                <w:sz w:val="20"/>
                <w:szCs w:val="20"/>
              </w:rPr>
              <w:t>miesiące,</w:t>
            </w:r>
            <w:r w:rsidR="00D0407A">
              <w:rPr>
                <w:sz w:val="20"/>
                <w:szCs w:val="20"/>
              </w:rPr>
              <w:t xml:space="preserve"> </w:t>
            </w:r>
            <w:r w:rsidR="00010649">
              <w:rPr>
                <w:sz w:val="20"/>
                <w:szCs w:val="20"/>
              </w:rPr>
              <w:t>pot</w:t>
            </w:r>
            <w:r w:rsidR="00822D6E" w:rsidRPr="00822D6E">
              <w:rPr>
                <w:sz w:val="20"/>
                <w:szCs w:val="20"/>
              </w:rPr>
              <w:t>wierdzona</w:t>
            </w:r>
            <w:r w:rsidR="00D0407A">
              <w:rPr>
                <w:sz w:val="20"/>
                <w:szCs w:val="20"/>
              </w:rPr>
              <w:t xml:space="preserve"> </w:t>
            </w:r>
            <w:r w:rsidR="00822D6E" w:rsidRPr="00822D6E">
              <w:rPr>
                <w:sz w:val="20"/>
                <w:szCs w:val="20"/>
              </w:rPr>
              <w:t>w</w:t>
            </w:r>
            <w:r w:rsidR="00D0407A">
              <w:rPr>
                <w:sz w:val="20"/>
                <w:szCs w:val="20"/>
              </w:rPr>
              <w:t xml:space="preserve"> </w:t>
            </w:r>
            <w:r w:rsidR="009D7615">
              <w:rPr>
                <w:sz w:val="20"/>
                <w:szCs w:val="20"/>
              </w:rPr>
              <w:t>trakcie</w:t>
            </w:r>
            <w:r w:rsidR="00D0407A">
              <w:rPr>
                <w:sz w:val="20"/>
                <w:szCs w:val="20"/>
              </w:rPr>
              <w:t xml:space="preserve"> </w:t>
            </w:r>
            <w:r w:rsidR="009D7615">
              <w:rPr>
                <w:sz w:val="20"/>
                <w:szCs w:val="20"/>
              </w:rPr>
              <w:t>co</w:t>
            </w:r>
            <w:r w:rsidR="00D0407A">
              <w:rPr>
                <w:sz w:val="20"/>
                <w:szCs w:val="20"/>
              </w:rPr>
              <w:t xml:space="preserve"> </w:t>
            </w:r>
            <w:r w:rsidR="009D7615">
              <w:rPr>
                <w:sz w:val="20"/>
                <w:szCs w:val="20"/>
              </w:rPr>
              <w:t>najmniej</w:t>
            </w:r>
            <w:r w:rsidR="00D0407A">
              <w:rPr>
                <w:sz w:val="20"/>
                <w:szCs w:val="20"/>
              </w:rPr>
              <w:t xml:space="preserve"> </w:t>
            </w:r>
            <w:r w:rsidR="00822D6E" w:rsidRPr="00822D6E">
              <w:rPr>
                <w:sz w:val="20"/>
                <w:szCs w:val="20"/>
              </w:rPr>
              <w:t>dwóch</w:t>
            </w:r>
            <w:r w:rsidR="00D0407A">
              <w:rPr>
                <w:sz w:val="20"/>
                <w:szCs w:val="20"/>
              </w:rPr>
              <w:t xml:space="preserve"> </w:t>
            </w:r>
            <w:r w:rsidR="00822D6E" w:rsidRPr="00822D6E">
              <w:rPr>
                <w:sz w:val="20"/>
                <w:szCs w:val="20"/>
              </w:rPr>
              <w:t>kolejnych</w:t>
            </w:r>
            <w:r w:rsidR="00D0407A">
              <w:rPr>
                <w:sz w:val="20"/>
                <w:szCs w:val="20"/>
              </w:rPr>
              <w:t xml:space="preserve"> </w:t>
            </w:r>
            <w:r w:rsidR="009D7615">
              <w:rPr>
                <w:sz w:val="20"/>
                <w:szCs w:val="20"/>
              </w:rPr>
              <w:t>wizyt</w:t>
            </w:r>
            <w:r w:rsidR="00D0407A">
              <w:rPr>
                <w:sz w:val="20"/>
                <w:szCs w:val="20"/>
              </w:rPr>
              <w:t xml:space="preserve"> </w:t>
            </w:r>
            <w:r w:rsidR="00010649">
              <w:rPr>
                <w:sz w:val="20"/>
                <w:szCs w:val="20"/>
              </w:rPr>
              <w:t>lekarskich</w:t>
            </w:r>
            <w:r w:rsidR="00D0407A">
              <w:rPr>
                <w:sz w:val="20"/>
                <w:szCs w:val="20"/>
              </w:rPr>
              <w:t xml:space="preserve"> </w:t>
            </w:r>
            <w:r w:rsidR="0087786B">
              <w:rPr>
                <w:sz w:val="20"/>
                <w:szCs w:val="20"/>
              </w:rPr>
              <w:t>lub</w:t>
            </w:r>
          </w:p>
          <w:p w14:paraId="7B69ADA6" w14:textId="0D594A91" w:rsidR="0087786B" w:rsidRPr="004B6BB7" w:rsidRDefault="00C02902" w:rsidP="007F5D21">
            <w:pPr>
              <w:numPr>
                <w:ilvl w:val="3"/>
                <w:numId w:val="29"/>
              </w:numPr>
              <w:spacing w:after="60"/>
              <w:jc w:val="both"/>
              <w:rPr>
                <w:sz w:val="20"/>
                <w:szCs w:val="20"/>
              </w:rPr>
            </w:pPr>
            <w:r w:rsidRPr="004B6BB7">
              <w:rPr>
                <w:sz w:val="20"/>
                <w:szCs w:val="20"/>
              </w:rPr>
              <w:t>nieakceptowalna</w:t>
            </w:r>
            <w:r w:rsidR="00D0407A">
              <w:rPr>
                <w:sz w:val="20"/>
                <w:szCs w:val="20"/>
              </w:rPr>
              <w:t xml:space="preserve"> </w:t>
            </w:r>
            <w:r w:rsidR="003736D3">
              <w:rPr>
                <w:sz w:val="20"/>
                <w:szCs w:val="20"/>
              </w:rPr>
              <w:t>(</w:t>
            </w:r>
            <w:r w:rsidR="00C447DC">
              <w:rPr>
                <w:sz w:val="20"/>
                <w:szCs w:val="20"/>
              </w:rPr>
              <w:t>w</w:t>
            </w:r>
            <w:r w:rsidR="00D0407A">
              <w:rPr>
                <w:sz w:val="20"/>
                <w:szCs w:val="20"/>
              </w:rPr>
              <w:t xml:space="preserve"> </w:t>
            </w:r>
            <w:r w:rsidR="00C447DC">
              <w:rPr>
                <w:sz w:val="20"/>
                <w:szCs w:val="20"/>
              </w:rPr>
              <w:t>stopniu</w:t>
            </w:r>
            <w:r w:rsidR="00D0407A">
              <w:rPr>
                <w:sz w:val="20"/>
                <w:szCs w:val="20"/>
              </w:rPr>
              <w:t xml:space="preserve"> </w:t>
            </w:r>
            <w:r w:rsidR="00C447DC">
              <w:rPr>
                <w:sz w:val="20"/>
                <w:szCs w:val="20"/>
              </w:rPr>
              <w:t>3</w:t>
            </w:r>
            <w:r w:rsidR="00D0407A">
              <w:rPr>
                <w:sz w:val="20"/>
                <w:szCs w:val="20"/>
              </w:rPr>
              <w:t xml:space="preserve"> </w:t>
            </w:r>
            <w:r w:rsidR="00C447DC">
              <w:rPr>
                <w:sz w:val="20"/>
                <w:szCs w:val="20"/>
              </w:rPr>
              <w:t>lub</w:t>
            </w:r>
            <w:r w:rsidR="00D0407A">
              <w:rPr>
                <w:sz w:val="20"/>
                <w:szCs w:val="20"/>
              </w:rPr>
              <w:t xml:space="preserve"> </w:t>
            </w:r>
            <w:r w:rsidR="00C447DC">
              <w:rPr>
                <w:sz w:val="20"/>
                <w:szCs w:val="20"/>
              </w:rPr>
              <w:t>4</w:t>
            </w:r>
            <w:r w:rsidR="00D0407A">
              <w:rPr>
                <w:sz w:val="20"/>
                <w:szCs w:val="20"/>
              </w:rPr>
              <w:t xml:space="preserve"> </w:t>
            </w:r>
            <w:r w:rsidR="00C447DC">
              <w:rPr>
                <w:sz w:val="20"/>
                <w:szCs w:val="20"/>
              </w:rPr>
              <w:t>wg</w:t>
            </w:r>
            <w:r w:rsidR="00D0407A">
              <w:rPr>
                <w:sz w:val="20"/>
                <w:szCs w:val="20"/>
              </w:rPr>
              <w:t xml:space="preserve"> </w:t>
            </w:r>
            <w:r w:rsidR="00C447DC">
              <w:rPr>
                <w:sz w:val="20"/>
                <w:szCs w:val="20"/>
              </w:rPr>
              <w:t>klasyfikacji</w:t>
            </w:r>
            <w:r w:rsidR="00D0407A">
              <w:rPr>
                <w:sz w:val="20"/>
                <w:szCs w:val="20"/>
              </w:rPr>
              <w:t xml:space="preserve"> </w:t>
            </w:r>
            <w:r w:rsidR="00C447DC">
              <w:rPr>
                <w:sz w:val="20"/>
                <w:szCs w:val="20"/>
              </w:rPr>
              <w:t>WHO</w:t>
            </w:r>
            <w:r w:rsidR="003736D3">
              <w:rPr>
                <w:sz w:val="20"/>
                <w:szCs w:val="20"/>
              </w:rPr>
              <w:t>)</w:t>
            </w:r>
            <w:r w:rsidR="00D0407A">
              <w:rPr>
                <w:sz w:val="20"/>
                <w:szCs w:val="20"/>
              </w:rPr>
              <w:t xml:space="preserve"> </w:t>
            </w:r>
            <w:r w:rsidR="00010649">
              <w:rPr>
                <w:sz w:val="20"/>
                <w:szCs w:val="20"/>
              </w:rPr>
              <w:t>oraz</w:t>
            </w:r>
            <w:r w:rsidR="00D0407A">
              <w:rPr>
                <w:sz w:val="20"/>
                <w:szCs w:val="20"/>
              </w:rPr>
              <w:t xml:space="preserve"> </w:t>
            </w:r>
            <w:r w:rsidRPr="004B6BB7">
              <w:rPr>
                <w:sz w:val="20"/>
                <w:szCs w:val="20"/>
              </w:rPr>
              <w:t>nawracająca</w:t>
            </w:r>
            <w:r w:rsidR="00D0407A">
              <w:rPr>
                <w:sz w:val="20"/>
                <w:szCs w:val="20"/>
              </w:rPr>
              <w:t xml:space="preserve"> </w:t>
            </w:r>
            <w:r w:rsidRPr="004B6BB7">
              <w:rPr>
                <w:sz w:val="20"/>
                <w:szCs w:val="20"/>
              </w:rPr>
              <w:t>pomimo</w:t>
            </w:r>
            <w:r w:rsidR="00D0407A">
              <w:rPr>
                <w:sz w:val="20"/>
                <w:szCs w:val="20"/>
              </w:rPr>
              <w:t xml:space="preserve"> </w:t>
            </w:r>
            <w:r w:rsidRPr="004B6BB7">
              <w:rPr>
                <w:sz w:val="20"/>
                <w:szCs w:val="20"/>
              </w:rPr>
              <w:t>modyfikacji</w:t>
            </w:r>
            <w:r w:rsidR="00D0407A">
              <w:rPr>
                <w:sz w:val="20"/>
                <w:szCs w:val="20"/>
              </w:rPr>
              <w:t xml:space="preserve"> </w:t>
            </w:r>
            <w:r w:rsidRPr="004B6BB7">
              <w:rPr>
                <w:sz w:val="20"/>
                <w:szCs w:val="20"/>
              </w:rPr>
              <w:t>dawkowania</w:t>
            </w:r>
            <w:r w:rsidR="00D0407A">
              <w:rPr>
                <w:sz w:val="20"/>
                <w:szCs w:val="20"/>
              </w:rPr>
              <w:t xml:space="preserve"> </w:t>
            </w:r>
            <w:r w:rsidRPr="004B6BB7">
              <w:rPr>
                <w:sz w:val="20"/>
                <w:szCs w:val="20"/>
              </w:rPr>
              <w:t>toksyczność</w:t>
            </w:r>
            <w:r w:rsidR="00D0407A">
              <w:rPr>
                <w:sz w:val="20"/>
                <w:szCs w:val="20"/>
              </w:rPr>
              <w:t xml:space="preserve"> </w:t>
            </w:r>
            <w:r w:rsidR="003736D3">
              <w:rPr>
                <w:sz w:val="20"/>
                <w:szCs w:val="20"/>
              </w:rPr>
              <w:t>terapii</w:t>
            </w:r>
            <w:r w:rsidR="00D0407A">
              <w:rPr>
                <w:sz w:val="20"/>
                <w:szCs w:val="20"/>
              </w:rPr>
              <w:t xml:space="preserve"> </w:t>
            </w:r>
            <w:r w:rsidR="00010649">
              <w:rPr>
                <w:sz w:val="20"/>
                <w:szCs w:val="20"/>
              </w:rPr>
              <w:t>metotreksatem</w:t>
            </w:r>
            <w:r w:rsidR="00D0407A">
              <w:rPr>
                <w:sz w:val="20"/>
                <w:szCs w:val="20"/>
              </w:rPr>
              <w:t xml:space="preserve"> </w:t>
            </w:r>
            <w:r w:rsidR="00010649">
              <w:rPr>
                <w:sz w:val="20"/>
                <w:szCs w:val="20"/>
              </w:rPr>
              <w:t>(MTX)</w:t>
            </w:r>
            <w:r w:rsidR="00D0407A">
              <w:rPr>
                <w:sz w:val="20"/>
                <w:szCs w:val="20"/>
              </w:rPr>
              <w:t xml:space="preserve"> </w:t>
            </w:r>
            <w:r w:rsidR="004B6BB7" w:rsidRPr="004B6BB7">
              <w:rPr>
                <w:sz w:val="20"/>
                <w:szCs w:val="20"/>
              </w:rPr>
              <w:t>lub</w:t>
            </w:r>
            <w:r w:rsidR="00D0407A">
              <w:rPr>
                <w:sz w:val="20"/>
                <w:szCs w:val="20"/>
              </w:rPr>
              <w:t xml:space="preserve"> </w:t>
            </w:r>
            <w:r w:rsidR="004B6BB7" w:rsidRPr="004B6BB7">
              <w:rPr>
                <w:sz w:val="20"/>
                <w:szCs w:val="20"/>
              </w:rPr>
              <w:t>interferonem</w:t>
            </w:r>
            <w:r w:rsidR="00D0407A">
              <w:rPr>
                <w:sz w:val="20"/>
                <w:szCs w:val="20"/>
              </w:rPr>
              <w:t xml:space="preserve"> </w:t>
            </w:r>
            <w:r w:rsidR="004B6BB7" w:rsidRPr="004B6BB7">
              <w:rPr>
                <w:sz w:val="20"/>
                <w:szCs w:val="20"/>
              </w:rPr>
              <w:t>(IFN)</w:t>
            </w:r>
            <w:r w:rsidR="00D0407A">
              <w:rPr>
                <w:sz w:val="20"/>
                <w:szCs w:val="20"/>
              </w:rPr>
              <w:t xml:space="preserve"> </w:t>
            </w:r>
            <w:r w:rsidR="004B6BB7" w:rsidRPr="004B6BB7">
              <w:rPr>
                <w:sz w:val="20"/>
                <w:szCs w:val="20"/>
              </w:rPr>
              <w:t>w</w:t>
            </w:r>
            <w:r w:rsidR="00D0407A">
              <w:rPr>
                <w:sz w:val="20"/>
                <w:szCs w:val="20"/>
              </w:rPr>
              <w:t xml:space="preserve"> </w:t>
            </w:r>
            <w:r w:rsidR="004B6BB7" w:rsidRPr="004B6BB7">
              <w:rPr>
                <w:sz w:val="20"/>
                <w:szCs w:val="20"/>
              </w:rPr>
              <w:t>pierwszej</w:t>
            </w:r>
            <w:r w:rsidR="00D0407A">
              <w:rPr>
                <w:sz w:val="20"/>
                <w:szCs w:val="20"/>
              </w:rPr>
              <w:t xml:space="preserve"> </w:t>
            </w:r>
            <w:r w:rsidR="004B6BB7" w:rsidRPr="004B6BB7">
              <w:rPr>
                <w:sz w:val="20"/>
                <w:szCs w:val="20"/>
              </w:rPr>
              <w:t>linii</w:t>
            </w:r>
            <w:r w:rsidR="00010649">
              <w:rPr>
                <w:sz w:val="20"/>
                <w:szCs w:val="20"/>
              </w:rPr>
              <w:t>,</w:t>
            </w:r>
            <w:r w:rsidR="00D0407A">
              <w:rPr>
                <w:sz w:val="20"/>
                <w:szCs w:val="20"/>
              </w:rPr>
              <w:t xml:space="preserve"> </w:t>
            </w:r>
            <w:r w:rsidR="0087786B" w:rsidRPr="004B6BB7">
              <w:rPr>
                <w:sz w:val="20"/>
                <w:szCs w:val="20"/>
              </w:rPr>
              <w:t>lub</w:t>
            </w:r>
          </w:p>
          <w:p w14:paraId="2037B863" w14:textId="46F7BA06" w:rsidR="00822D6E" w:rsidRDefault="00010649" w:rsidP="007F5D21">
            <w:pPr>
              <w:numPr>
                <w:ilvl w:val="3"/>
                <w:numId w:val="29"/>
              </w:numPr>
              <w:spacing w:after="60"/>
              <w:jc w:val="both"/>
              <w:rPr>
                <w:sz w:val="20"/>
                <w:szCs w:val="20"/>
              </w:rPr>
            </w:pPr>
            <w:r>
              <w:rPr>
                <w:sz w:val="20"/>
                <w:szCs w:val="20"/>
              </w:rPr>
              <w:t>n</w:t>
            </w:r>
            <w:r w:rsidR="00822D6E" w:rsidRPr="00822D6E">
              <w:rPr>
                <w:sz w:val="20"/>
                <w:szCs w:val="20"/>
              </w:rPr>
              <w:t>awrót</w:t>
            </w:r>
            <w:r w:rsidR="00D0407A">
              <w:rPr>
                <w:sz w:val="20"/>
                <w:szCs w:val="20"/>
              </w:rPr>
              <w:t xml:space="preserve"> </w:t>
            </w:r>
            <w:r w:rsidR="00822D6E" w:rsidRPr="00822D6E">
              <w:rPr>
                <w:sz w:val="20"/>
                <w:szCs w:val="20"/>
              </w:rPr>
              <w:t>choroby</w:t>
            </w:r>
            <w:r w:rsidR="00D0407A">
              <w:rPr>
                <w:sz w:val="20"/>
                <w:szCs w:val="20"/>
              </w:rPr>
              <w:t xml:space="preserve"> </w:t>
            </w:r>
            <w:r w:rsidR="00822D6E" w:rsidRPr="00822D6E">
              <w:rPr>
                <w:sz w:val="20"/>
                <w:szCs w:val="20"/>
              </w:rPr>
              <w:t>po</w:t>
            </w:r>
            <w:r w:rsidR="00D0407A">
              <w:rPr>
                <w:sz w:val="20"/>
                <w:szCs w:val="20"/>
              </w:rPr>
              <w:t xml:space="preserve"> </w:t>
            </w:r>
            <w:r w:rsidR="00822D6E" w:rsidRPr="00822D6E">
              <w:rPr>
                <w:sz w:val="20"/>
                <w:szCs w:val="20"/>
              </w:rPr>
              <w:t>okresie</w:t>
            </w:r>
            <w:r w:rsidR="00D0407A">
              <w:rPr>
                <w:sz w:val="20"/>
                <w:szCs w:val="20"/>
              </w:rPr>
              <w:t xml:space="preserve"> </w:t>
            </w:r>
            <w:r w:rsidR="00822D6E" w:rsidRPr="00822D6E">
              <w:rPr>
                <w:sz w:val="20"/>
                <w:szCs w:val="20"/>
              </w:rPr>
              <w:t>remisji</w:t>
            </w:r>
            <w:r w:rsidR="00D0407A">
              <w:rPr>
                <w:sz w:val="20"/>
                <w:szCs w:val="20"/>
              </w:rPr>
              <w:t xml:space="preserve"> </w:t>
            </w:r>
            <w:r w:rsidR="00822D6E" w:rsidRPr="00822D6E">
              <w:rPr>
                <w:sz w:val="20"/>
                <w:szCs w:val="20"/>
              </w:rPr>
              <w:t>wywołanej</w:t>
            </w:r>
            <w:r w:rsidR="00D0407A">
              <w:rPr>
                <w:sz w:val="20"/>
                <w:szCs w:val="20"/>
              </w:rPr>
              <w:t xml:space="preserve"> </w:t>
            </w:r>
            <w:r w:rsidR="00822D6E" w:rsidRPr="00822D6E">
              <w:rPr>
                <w:sz w:val="20"/>
                <w:szCs w:val="20"/>
              </w:rPr>
              <w:t>wcześniejszym</w:t>
            </w:r>
            <w:r w:rsidR="00D0407A">
              <w:rPr>
                <w:sz w:val="20"/>
                <w:szCs w:val="20"/>
              </w:rPr>
              <w:t xml:space="preserve"> </w:t>
            </w:r>
            <w:r w:rsidR="00822D6E" w:rsidRPr="00822D6E">
              <w:rPr>
                <w:sz w:val="20"/>
                <w:szCs w:val="20"/>
              </w:rPr>
              <w:t>leczeniem</w:t>
            </w:r>
            <w:r w:rsidR="00D0407A">
              <w:rPr>
                <w:sz w:val="20"/>
                <w:szCs w:val="20"/>
              </w:rPr>
              <w:t xml:space="preserve"> </w:t>
            </w:r>
            <w:r w:rsidR="007423CC">
              <w:rPr>
                <w:sz w:val="20"/>
                <w:szCs w:val="20"/>
              </w:rPr>
              <w:t>systemowym</w:t>
            </w:r>
            <w:r w:rsidR="00822D6E" w:rsidRPr="00822D6E">
              <w:rPr>
                <w:sz w:val="20"/>
                <w:szCs w:val="20"/>
              </w:rPr>
              <w:t>.</w:t>
            </w:r>
            <w:r w:rsidR="00D0407A">
              <w:rPr>
                <w:sz w:val="20"/>
                <w:szCs w:val="20"/>
              </w:rPr>
              <w:t xml:space="preserve"> </w:t>
            </w:r>
          </w:p>
          <w:p w14:paraId="14A963D7" w14:textId="77777777" w:rsidR="00AD20A5" w:rsidRDefault="00AD20A5" w:rsidP="007F5D21">
            <w:pPr>
              <w:spacing w:after="60"/>
              <w:jc w:val="both"/>
              <w:rPr>
                <w:sz w:val="20"/>
                <w:szCs w:val="20"/>
              </w:rPr>
            </w:pPr>
          </w:p>
          <w:p w14:paraId="4167F996" w14:textId="32452E0E" w:rsidR="005B556E" w:rsidRDefault="005B556E" w:rsidP="007F5D21">
            <w:pPr>
              <w:numPr>
                <w:ilvl w:val="2"/>
                <w:numId w:val="29"/>
              </w:numPr>
              <w:spacing w:after="60"/>
              <w:jc w:val="both"/>
              <w:rPr>
                <w:sz w:val="20"/>
                <w:szCs w:val="20"/>
              </w:rPr>
            </w:pPr>
            <w:r w:rsidRPr="005B556E">
              <w:rPr>
                <w:sz w:val="20"/>
                <w:szCs w:val="20"/>
              </w:rPr>
              <w:lastRenderedPageBreak/>
              <w:t>W</w:t>
            </w:r>
            <w:r w:rsidR="00D0407A">
              <w:rPr>
                <w:sz w:val="20"/>
                <w:szCs w:val="20"/>
              </w:rPr>
              <w:t xml:space="preserve"> </w:t>
            </w:r>
            <w:r w:rsidRPr="005B556E">
              <w:rPr>
                <w:sz w:val="20"/>
                <w:szCs w:val="20"/>
              </w:rPr>
              <w:t>przypadku</w:t>
            </w:r>
            <w:r w:rsidR="00D0407A">
              <w:rPr>
                <w:sz w:val="20"/>
                <w:szCs w:val="20"/>
              </w:rPr>
              <w:t xml:space="preserve"> </w:t>
            </w:r>
            <w:r w:rsidRPr="005B556E">
              <w:rPr>
                <w:sz w:val="20"/>
                <w:szCs w:val="20"/>
              </w:rPr>
              <w:t>kobiet</w:t>
            </w:r>
            <w:r w:rsidR="00D0407A">
              <w:rPr>
                <w:sz w:val="20"/>
                <w:szCs w:val="20"/>
              </w:rPr>
              <w:t xml:space="preserve"> </w:t>
            </w:r>
            <w:r w:rsidRPr="005B556E">
              <w:rPr>
                <w:sz w:val="20"/>
                <w:szCs w:val="20"/>
              </w:rPr>
              <w:t>wymagana</w:t>
            </w:r>
            <w:r w:rsidR="00D0407A">
              <w:rPr>
                <w:sz w:val="20"/>
                <w:szCs w:val="20"/>
              </w:rPr>
              <w:t xml:space="preserve"> </w:t>
            </w:r>
            <w:r w:rsidRPr="005B556E">
              <w:rPr>
                <w:sz w:val="20"/>
                <w:szCs w:val="20"/>
              </w:rPr>
              <w:t>jest</w:t>
            </w:r>
            <w:r w:rsidR="00D0407A">
              <w:rPr>
                <w:sz w:val="20"/>
                <w:szCs w:val="20"/>
              </w:rPr>
              <w:t xml:space="preserve"> </w:t>
            </w:r>
            <w:r w:rsidRPr="005B556E">
              <w:rPr>
                <w:sz w:val="20"/>
                <w:szCs w:val="20"/>
              </w:rPr>
              <w:t>zgoda</w:t>
            </w:r>
            <w:r w:rsidR="00D0407A">
              <w:rPr>
                <w:sz w:val="20"/>
                <w:szCs w:val="20"/>
              </w:rPr>
              <w:t xml:space="preserve"> </w:t>
            </w:r>
            <w:r w:rsidRPr="005B556E">
              <w:rPr>
                <w:sz w:val="20"/>
                <w:szCs w:val="20"/>
              </w:rPr>
              <w:t>na</w:t>
            </w:r>
            <w:r w:rsidR="00D0407A">
              <w:rPr>
                <w:sz w:val="20"/>
                <w:szCs w:val="20"/>
              </w:rPr>
              <w:t xml:space="preserve"> </w:t>
            </w:r>
            <w:r w:rsidRPr="005B556E">
              <w:rPr>
                <w:sz w:val="20"/>
                <w:szCs w:val="20"/>
              </w:rPr>
              <w:t>świadomą</w:t>
            </w:r>
            <w:r w:rsidR="00D0407A">
              <w:rPr>
                <w:sz w:val="20"/>
                <w:szCs w:val="20"/>
              </w:rPr>
              <w:t xml:space="preserve"> </w:t>
            </w:r>
            <w:r w:rsidRPr="005B556E">
              <w:rPr>
                <w:sz w:val="20"/>
                <w:szCs w:val="20"/>
              </w:rPr>
              <w:t>kontrolę</w:t>
            </w:r>
            <w:r w:rsidR="00D0407A">
              <w:rPr>
                <w:sz w:val="20"/>
                <w:szCs w:val="20"/>
              </w:rPr>
              <w:t xml:space="preserve"> </w:t>
            </w:r>
            <w:r w:rsidRPr="005B556E">
              <w:rPr>
                <w:sz w:val="20"/>
                <w:szCs w:val="20"/>
              </w:rPr>
              <w:t>urodzeń</w:t>
            </w:r>
            <w:r w:rsidR="00D0407A">
              <w:t xml:space="preserve"> </w:t>
            </w:r>
            <w:r>
              <w:t>(</w:t>
            </w:r>
            <w:r w:rsidRPr="005B556E">
              <w:rPr>
                <w:sz w:val="20"/>
                <w:szCs w:val="20"/>
              </w:rPr>
              <w:t>stosowanie</w:t>
            </w:r>
            <w:r w:rsidR="00D0407A">
              <w:rPr>
                <w:sz w:val="20"/>
                <w:szCs w:val="20"/>
              </w:rPr>
              <w:t xml:space="preserve"> </w:t>
            </w:r>
            <w:r w:rsidRPr="005B556E">
              <w:rPr>
                <w:sz w:val="20"/>
                <w:szCs w:val="20"/>
              </w:rPr>
              <w:t>skutecznych</w:t>
            </w:r>
            <w:r w:rsidR="00D0407A">
              <w:rPr>
                <w:sz w:val="20"/>
                <w:szCs w:val="20"/>
              </w:rPr>
              <w:t xml:space="preserve"> </w:t>
            </w:r>
            <w:r w:rsidRPr="005B556E">
              <w:rPr>
                <w:sz w:val="20"/>
                <w:szCs w:val="20"/>
              </w:rPr>
              <w:t>niehormonalnych</w:t>
            </w:r>
            <w:r w:rsidR="00D0407A">
              <w:rPr>
                <w:sz w:val="20"/>
                <w:szCs w:val="20"/>
              </w:rPr>
              <w:t xml:space="preserve"> </w:t>
            </w:r>
            <w:r w:rsidRPr="005B556E">
              <w:rPr>
                <w:sz w:val="20"/>
                <w:szCs w:val="20"/>
              </w:rPr>
              <w:t>środków</w:t>
            </w:r>
            <w:r w:rsidR="00D0407A">
              <w:rPr>
                <w:sz w:val="20"/>
                <w:szCs w:val="20"/>
              </w:rPr>
              <w:t xml:space="preserve"> </w:t>
            </w:r>
            <w:r w:rsidRPr="005B556E">
              <w:rPr>
                <w:sz w:val="20"/>
                <w:szCs w:val="20"/>
              </w:rPr>
              <w:t>antykoncepcyjnych</w:t>
            </w:r>
            <w:r>
              <w:rPr>
                <w:sz w:val="20"/>
                <w:szCs w:val="20"/>
              </w:rPr>
              <w:t>)</w:t>
            </w:r>
            <w:r w:rsidR="00D0407A">
              <w:rPr>
                <w:sz w:val="20"/>
                <w:szCs w:val="20"/>
              </w:rPr>
              <w:t xml:space="preserve"> </w:t>
            </w:r>
            <w:r w:rsidRPr="005B556E">
              <w:rPr>
                <w:sz w:val="20"/>
                <w:szCs w:val="20"/>
              </w:rPr>
              <w:t>przez</w:t>
            </w:r>
            <w:r w:rsidR="00D0407A">
              <w:rPr>
                <w:sz w:val="20"/>
                <w:szCs w:val="20"/>
              </w:rPr>
              <w:t xml:space="preserve"> </w:t>
            </w:r>
            <w:r w:rsidRPr="005B556E">
              <w:rPr>
                <w:sz w:val="20"/>
                <w:szCs w:val="20"/>
              </w:rPr>
              <w:t>okres</w:t>
            </w:r>
            <w:r w:rsidR="00D0407A">
              <w:rPr>
                <w:sz w:val="20"/>
                <w:szCs w:val="20"/>
              </w:rPr>
              <w:t xml:space="preserve"> </w:t>
            </w:r>
            <w:r w:rsidRPr="005B556E">
              <w:rPr>
                <w:sz w:val="20"/>
                <w:szCs w:val="20"/>
              </w:rPr>
              <w:t>leczenia</w:t>
            </w:r>
            <w:r w:rsidR="00D0407A">
              <w:rPr>
                <w:sz w:val="20"/>
                <w:szCs w:val="20"/>
              </w:rPr>
              <w:t xml:space="preserve"> </w:t>
            </w:r>
            <w:r w:rsidRPr="005B556E">
              <w:rPr>
                <w:sz w:val="20"/>
                <w:szCs w:val="20"/>
              </w:rPr>
              <w:t>i</w:t>
            </w:r>
            <w:r w:rsidR="00D0407A">
              <w:rPr>
                <w:sz w:val="20"/>
                <w:szCs w:val="20"/>
              </w:rPr>
              <w:t xml:space="preserve"> </w:t>
            </w:r>
            <w:r w:rsidRPr="005B556E">
              <w:rPr>
                <w:sz w:val="20"/>
                <w:szCs w:val="20"/>
              </w:rPr>
              <w:t>do</w:t>
            </w:r>
            <w:r w:rsidR="00D0407A">
              <w:rPr>
                <w:sz w:val="20"/>
                <w:szCs w:val="20"/>
              </w:rPr>
              <w:t xml:space="preserve"> </w:t>
            </w:r>
            <w:r w:rsidR="003F21BB">
              <w:rPr>
                <w:sz w:val="20"/>
                <w:szCs w:val="20"/>
              </w:rPr>
              <w:t>24</w:t>
            </w:r>
            <w:r w:rsidR="00D0407A">
              <w:rPr>
                <w:sz w:val="20"/>
                <w:szCs w:val="20"/>
              </w:rPr>
              <w:t xml:space="preserve"> </w:t>
            </w:r>
            <w:r w:rsidRPr="005B556E">
              <w:rPr>
                <w:sz w:val="20"/>
                <w:szCs w:val="20"/>
              </w:rPr>
              <w:t>miesięcy</w:t>
            </w:r>
            <w:r w:rsidR="00D0407A">
              <w:rPr>
                <w:sz w:val="20"/>
                <w:szCs w:val="20"/>
              </w:rPr>
              <w:t xml:space="preserve"> </w:t>
            </w:r>
            <w:r w:rsidRPr="005B556E">
              <w:rPr>
                <w:sz w:val="20"/>
                <w:szCs w:val="20"/>
              </w:rPr>
              <w:t>po</w:t>
            </w:r>
            <w:r w:rsidR="00D0407A">
              <w:rPr>
                <w:sz w:val="20"/>
                <w:szCs w:val="20"/>
              </w:rPr>
              <w:t xml:space="preserve"> </w:t>
            </w:r>
            <w:r w:rsidRPr="005B556E">
              <w:rPr>
                <w:sz w:val="20"/>
                <w:szCs w:val="20"/>
              </w:rPr>
              <w:t>zastosowaniu</w:t>
            </w:r>
            <w:r w:rsidR="00D0407A">
              <w:rPr>
                <w:sz w:val="20"/>
                <w:szCs w:val="20"/>
              </w:rPr>
              <w:t xml:space="preserve"> </w:t>
            </w:r>
            <w:r w:rsidRPr="005B556E">
              <w:rPr>
                <w:sz w:val="20"/>
                <w:szCs w:val="20"/>
              </w:rPr>
              <w:t>ostatniej</w:t>
            </w:r>
            <w:r w:rsidR="00D0407A">
              <w:rPr>
                <w:sz w:val="20"/>
                <w:szCs w:val="20"/>
              </w:rPr>
              <w:t xml:space="preserve"> </w:t>
            </w:r>
            <w:r w:rsidRPr="005B556E">
              <w:rPr>
                <w:sz w:val="20"/>
                <w:szCs w:val="20"/>
              </w:rPr>
              <w:t>dawki</w:t>
            </w:r>
            <w:r w:rsidR="00D0407A">
              <w:rPr>
                <w:sz w:val="20"/>
                <w:szCs w:val="20"/>
              </w:rPr>
              <w:t xml:space="preserve"> </w:t>
            </w:r>
            <w:r>
              <w:rPr>
                <w:sz w:val="20"/>
                <w:szCs w:val="20"/>
              </w:rPr>
              <w:t>beksarotenu.</w:t>
            </w:r>
          </w:p>
          <w:p w14:paraId="4CDEB819" w14:textId="77777777" w:rsidR="00822D6E" w:rsidRPr="00822D6E" w:rsidRDefault="00822D6E" w:rsidP="007F5D21">
            <w:pPr>
              <w:spacing w:after="60"/>
              <w:jc w:val="both"/>
              <w:rPr>
                <w:sz w:val="20"/>
                <w:szCs w:val="20"/>
              </w:rPr>
            </w:pPr>
          </w:p>
          <w:p w14:paraId="1749714C" w14:textId="3E917E55" w:rsidR="005B556E" w:rsidRPr="00F30324" w:rsidRDefault="005B556E" w:rsidP="007F5D21">
            <w:pPr>
              <w:pStyle w:val="Akapitzlist"/>
              <w:numPr>
                <w:ilvl w:val="0"/>
                <w:numId w:val="29"/>
              </w:numPr>
              <w:spacing w:after="60"/>
              <w:contextualSpacing w:val="0"/>
              <w:jc w:val="both"/>
              <w:rPr>
                <w:b/>
                <w:sz w:val="20"/>
                <w:szCs w:val="20"/>
              </w:rPr>
            </w:pPr>
            <w:r w:rsidRPr="00F30324">
              <w:rPr>
                <w:b/>
                <w:sz w:val="20"/>
                <w:szCs w:val="20"/>
              </w:rPr>
              <w:t>Określenie</w:t>
            </w:r>
            <w:r w:rsidR="00D0407A">
              <w:rPr>
                <w:b/>
                <w:sz w:val="20"/>
                <w:szCs w:val="20"/>
              </w:rPr>
              <w:t xml:space="preserve"> </w:t>
            </w:r>
            <w:r w:rsidRPr="00F30324">
              <w:rPr>
                <w:b/>
                <w:sz w:val="20"/>
                <w:szCs w:val="20"/>
              </w:rPr>
              <w:t>czasu</w:t>
            </w:r>
            <w:r w:rsidR="00D0407A">
              <w:rPr>
                <w:b/>
                <w:sz w:val="20"/>
                <w:szCs w:val="20"/>
              </w:rPr>
              <w:t xml:space="preserve"> </w:t>
            </w:r>
            <w:r w:rsidRPr="00F30324">
              <w:rPr>
                <w:b/>
                <w:sz w:val="20"/>
                <w:szCs w:val="20"/>
              </w:rPr>
              <w:t>leczenia</w:t>
            </w:r>
            <w:r w:rsidR="00D0407A">
              <w:rPr>
                <w:b/>
                <w:sz w:val="20"/>
                <w:szCs w:val="20"/>
              </w:rPr>
              <w:t xml:space="preserve"> </w:t>
            </w:r>
            <w:r w:rsidRPr="00F30324">
              <w:rPr>
                <w:b/>
                <w:sz w:val="20"/>
                <w:szCs w:val="20"/>
              </w:rPr>
              <w:t>w</w:t>
            </w:r>
            <w:r w:rsidR="00D0407A">
              <w:rPr>
                <w:b/>
                <w:sz w:val="20"/>
                <w:szCs w:val="20"/>
              </w:rPr>
              <w:t xml:space="preserve"> </w:t>
            </w:r>
            <w:r w:rsidRPr="00F30324">
              <w:rPr>
                <w:b/>
                <w:sz w:val="20"/>
                <w:szCs w:val="20"/>
              </w:rPr>
              <w:t>programie</w:t>
            </w:r>
          </w:p>
          <w:p w14:paraId="5DD6615F" w14:textId="3EEB8378" w:rsidR="00822D6E" w:rsidRPr="007F5D21" w:rsidRDefault="005B556E" w:rsidP="007F5D21">
            <w:pPr>
              <w:spacing w:after="60"/>
              <w:jc w:val="both"/>
              <w:rPr>
                <w:sz w:val="20"/>
                <w:szCs w:val="20"/>
              </w:rPr>
            </w:pPr>
            <w:r w:rsidRPr="007F5D21">
              <w:rPr>
                <w:sz w:val="20"/>
                <w:szCs w:val="20"/>
              </w:rPr>
              <w:t>Czas</w:t>
            </w:r>
            <w:r w:rsidR="00D0407A" w:rsidRPr="007F5D21">
              <w:rPr>
                <w:sz w:val="20"/>
                <w:szCs w:val="20"/>
              </w:rPr>
              <w:t xml:space="preserve"> </w:t>
            </w:r>
            <w:r w:rsidRPr="007F5D21">
              <w:rPr>
                <w:sz w:val="20"/>
                <w:szCs w:val="20"/>
              </w:rPr>
              <w:t>leczenia</w:t>
            </w:r>
            <w:r w:rsidR="00D0407A" w:rsidRPr="007F5D21">
              <w:rPr>
                <w:sz w:val="20"/>
                <w:szCs w:val="20"/>
              </w:rPr>
              <w:t xml:space="preserve"> </w:t>
            </w:r>
            <w:r w:rsidRPr="007F5D21">
              <w:rPr>
                <w:sz w:val="20"/>
                <w:szCs w:val="20"/>
              </w:rPr>
              <w:t>w</w:t>
            </w:r>
            <w:r w:rsidR="00D0407A" w:rsidRPr="007F5D21">
              <w:rPr>
                <w:sz w:val="20"/>
                <w:szCs w:val="20"/>
              </w:rPr>
              <w:t xml:space="preserve"> </w:t>
            </w:r>
            <w:r w:rsidRPr="007F5D21">
              <w:rPr>
                <w:sz w:val="20"/>
                <w:szCs w:val="20"/>
              </w:rPr>
              <w:t>programie</w:t>
            </w:r>
            <w:r w:rsidR="00D0407A" w:rsidRPr="007F5D21">
              <w:rPr>
                <w:sz w:val="20"/>
                <w:szCs w:val="20"/>
              </w:rPr>
              <w:t xml:space="preserve"> </w:t>
            </w:r>
            <w:r w:rsidRPr="007F5D21">
              <w:rPr>
                <w:sz w:val="20"/>
                <w:szCs w:val="20"/>
              </w:rPr>
              <w:t>określa</w:t>
            </w:r>
            <w:r w:rsidR="00D0407A" w:rsidRPr="007F5D21">
              <w:rPr>
                <w:sz w:val="20"/>
                <w:szCs w:val="20"/>
              </w:rPr>
              <w:t xml:space="preserve"> </w:t>
            </w:r>
            <w:r w:rsidRPr="007F5D21">
              <w:rPr>
                <w:sz w:val="20"/>
                <w:szCs w:val="20"/>
              </w:rPr>
              <w:t>lekarz</w:t>
            </w:r>
            <w:r w:rsidR="00D0407A" w:rsidRPr="007F5D21">
              <w:rPr>
                <w:sz w:val="20"/>
                <w:szCs w:val="20"/>
              </w:rPr>
              <w:t xml:space="preserve"> </w:t>
            </w:r>
            <w:r w:rsidRPr="007F5D21">
              <w:rPr>
                <w:sz w:val="20"/>
                <w:szCs w:val="20"/>
              </w:rPr>
              <w:t>na</w:t>
            </w:r>
            <w:r w:rsidR="00D0407A" w:rsidRPr="007F5D21">
              <w:rPr>
                <w:sz w:val="20"/>
                <w:szCs w:val="20"/>
              </w:rPr>
              <w:t xml:space="preserve"> </w:t>
            </w:r>
            <w:r w:rsidRPr="007F5D21">
              <w:rPr>
                <w:sz w:val="20"/>
                <w:szCs w:val="20"/>
              </w:rPr>
              <w:t>podstawie</w:t>
            </w:r>
            <w:r w:rsidR="00D0407A" w:rsidRPr="007F5D21">
              <w:rPr>
                <w:sz w:val="20"/>
                <w:szCs w:val="20"/>
              </w:rPr>
              <w:t xml:space="preserve"> </w:t>
            </w:r>
            <w:r w:rsidRPr="007F5D21">
              <w:rPr>
                <w:sz w:val="20"/>
                <w:szCs w:val="20"/>
              </w:rPr>
              <w:t>kryteriów</w:t>
            </w:r>
            <w:r w:rsidR="007F5D21" w:rsidRPr="007F5D21">
              <w:rPr>
                <w:sz w:val="20"/>
                <w:szCs w:val="20"/>
              </w:rPr>
              <w:t xml:space="preserve"> </w:t>
            </w:r>
            <w:r w:rsidRPr="007F5D21">
              <w:rPr>
                <w:sz w:val="20"/>
                <w:szCs w:val="20"/>
              </w:rPr>
              <w:t>włączenia</w:t>
            </w:r>
            <w:r w:rsidR="00D0407A" w:rsidRPr="007F5D21">
              <w:rPr>
                <w:sz w:val="20"/>
                <w:szCs w:val="20"/>
              </w:rPr>
              <w:t xml:space="preserve"> </w:t>
            </w:r>
            <w:r w:rsidRPr="007F5D21">
              <w:rPr>
                <w:sz w:val="20"/>
                <w:szCs w:val="20"/>
              </w:rPr>
              <w:t>i</w:t>
            </w:r>
            <w:r w:rsidR="00D0407A" w:rsidRPr="007F5D21">
              <w:rPr>
                <w:sz w:val="20"/>
                <w:szCs w:val="20"/>
              </w:rPr>
              <w:t xml:space="preserve"> </w:t>
            </w:r>
            <w:r w:rsidRPr="007F5D21">
              <w:rPr>
                <w:sz w:val="20"/>
                <w:szCs w:val="20"/>
              </w:rPr>
              <w:t>kryteriów</w:t>
            </w:r>
            <w:r w:rsidR="00D0407A" w:rsidRPr="007F5D21">
              <w:rPr>
                <w:sz w:val="20"/>
                <w:szCs w:val="20"/>
              </w:rPr>
              <w:t xml:space="preserve"> </w:t>
            </w:r>
            <w:r w:rsidRPr="007F5D21">
              <w:rPr>
                <w:sz w:val="20"/>
                <w:szCs w:val="20"/>
              </w:rPr>
              <w:t>wyłączenia</w:t>
            </w:r>
            <w:r w:rsidR="00D0407A" w:rsidRPr="007F5D21">
              <w:rPr>
                <w:sz w:val="20"/>
                <w:szCs w:val="20"/>
              </w:rPr>
              <w:t xml:space="preserve"> </w:t>
            </w:r>
            <w:r w:rsidRPr="007F5D21">
              <w:rPr>
                <w:sz w:val="20"/>
                <w:szCs w:val="20"/>
              </w:rPr>
              <w:t>z</w:t>
            </w:r>
            <w:r w:rsidR="00D0407A" w:rsidRPr="007F5D21">
              <w:rPr>
                <w:sz w:val="20"/>
                <w:szCs w:val="20"/>
              </w:rPr>
              <w:t xml:space="preserve"> </w:t>
            </w:r>
            <w:r w:rsidRPr="007F5D21">
              <w:rPr>
                <w:sz w:val="20"/>
                <w:szCs w:val="20"/>
              </w:rPr>
              <w:t>programu.</w:t>
            </w:r>
            <w:r w:rsidR="00D0407A" w:rsidRPr="007F5D21">
              <w:rPr>
                <w:sz w:val="20"/>
                <w:szCs w:val="20"/>
              </w:rPr>
              <w:t xml:space="preserve"> </w:t>
            </w:r>
          </w:p>
          <w:p w14:paraId="046267F6" w14:textId="77777777" w:rsidR="00822D6E" w:rsidRPr="00822D6E" w:rsidRDefault="00822D6E" w:rsidP="007F5D21">
            <w:pPr>
              <w:spacing w:after="60"/>
              <w:jc w:val="both"/>
              <w:rPr>
                <w:sz w:val="20"/>
                <w:szCs w:val="20"/>
              </w:rPr>
            </w:pPr>
          </w:p>
          <w:p w14:paraId="4E3AF1CD" w14:textId="19434C4E" w:rsidR="00822D6E" w:rsidRPr="00F30324" w:rsidRDefault="00822D6E" w:rsidP="007F5D21">
            <w:pPr>
              <w:pStyle w:val="Akapitzlist"/>
              <w:numPr>
                <w:ilvl w:val="0"/>
                <w:numId w:val="29"/>
              </w:numPr>
              <w:spacing w:after="60"/>
              <w:contextualSpacing w:val="0"/>
              <w:jc w:val="both"/>
              <w:rPr>
                <w:b/>
                <w:sz w:val="20"/>
                <w:szCs w:val="20"/>
              </w:rPr>
            </w:pPr>
            <w:r w:rsidRPr="00F30324">
              <w:rPr>
                <w:b/>
                <w:sz w:val="20"/>
                <w:szCs w:val="20"/>
              </w:rPr>
              <w:t>Kryteria</w:t>
            </w:r>
            <w:r w:rsidR="00D0407A">
              <w:rPr>
                <w:b/>
                <w:sz w:val="20"/>
                <w:szCs w:val="20"/>
              </w:rPr>
              <w:t xml:space="preserve"> </w:t>
            </w:r>
            <w:r w:rsidRPr="00F30324">
              <w:rPr>
                <w:b/>
                <w:sz w:val="20"/>
                <w:szCs w:val="20"/>
              </w:rPr>
              <w:t>wyłączenia</w:t>
            </w:r>
            <w:r w:rsidR="00D0407A">
              <w:rPr>
                <w:b/>
                <w:sz w:val="20"/>
                <w:szCs w:val="20"/>
              </w:rPr>
              <w:t xml:space="preserve"> </w:t>
            </w:r>
            <w:r w:rsidRPr="00F30324">
              <w:rPr>
                <w:b/>
                <w:sz w:val="20"/>
                <w:szCs w:val="20"/>
              </w:rPr>
              <w:t>z</w:t>
            </w:r>
            <w:r w:rsidR="00D0407A">
              <w:rPr>
                <w:b/>
                <w:sz w:val="20"/>
                <w:szCs w:val="20"/>
              </w:rPr>
              <w:t xml:space="preserve"> </w:t>
            </w:r>
            <w:r w:rsidRPr="00F30324">
              <w:rPr>
                <w:b/>
                <w:sz w:val="20"/>
                <w:szCs w:val="20"/>
              </w:rPr>
              <w:t>programu</w:t>
            </w:r>
          </w:p>
          <w:p w14:paraId="335F541F" w14:textId="5879C4BC" w:rsidR="00822D6E" w:rsidRPr="00822D6E" w:rsidRDefault="00860C98" w:rsidP="007F5D21">
            <w:pPr>
              <w:numPr>
                <w:ilvl w:val="2"/>
                <w:numId w:val="29"/>
              </w:numPr>
              <w:spacing w:after="60"/>
              <w:jc w:val="both"/>
              <w:rPr>
                <w:sz w:val="20"/>
                <w:szCs w:val="20"/>
              </w:rPr>
            </w:pPr>
            <w:r>
              <w:rPr>
                <w:sz w:val="20"/>
                <w:szCs w:val="20"/>
              </w:rPr>
              <w:t>w</w:t>
            </w:r>
            <w:r w:rsidR="00822D6E" w:rsidRPr="00822D6E">
              <w:rPr>
                <w:sz w:val="20"/>
                <w:szCs w:val="20"/>
              </w:rPr>
              <w:t>ystąpienie</w:t>
            </w:r>
            <w:r w:rsidR="00D0407A">
              <w:rPr>
                <w:sz w:val="20"/>
                <w:szCs w:val="20"/>
              </w:rPr>
              <w:t xml:space="preserve"> </w:t>
            </w:r>
            <w:r w:rsidR="00822D6E" w:rsidRPr="00822D6E">
              <w:rPr>
                <w:sz w:val="20"/>
                <w:szCs w:val="20"/>
              </w:rPr>
              <w:t>objawów</w:t>
            </w:r>
            <w:r w:rsidR="00D0407A">
              <w:rPr>
                <w:sz w:val="20"/>
                <w:szCs w:val="20"/>
              </w:rPr>
              <w:t xml:space="preserve"> </w:t>
            </w:r>
            <w:r w:rsidR="00822D6E" w:rsidRPr="00822D6E">
              <w:rPr>
                <w:sz w:val="20"/>
                <w:szCs w:val="20"/>
              </w:rPr>
              <w:t>nadwrażliwości</w:t>
            </w:r>
            <w:r w:rsidR="00D0407A">
              <w:rPr>
                <w:sz w:val="20"/>
                <w:szCs w:val="20"/>
              </w:rPr>
              <w:t xml:space="preserve"> </w:t>
            </w:r>
            <w:r w:rsidR="00822D6E" w:rsidRPr="00822D6E">
              <w:rPr>
                <w:sz w:val="20"/>
                <w:szCs w:val="20"/>
              </w:rPr>
              <w:t>na</w:t>
            </w:r>
            <w:r w:rsidR="00D0407A">
              <w:rPr>
                <w:sz w:val="20"/>
                <w:szCs w:val="20"/>
              </w:rPr>
              <w:t xml:space="preserve"> </w:t>
            </w:r>
            <w:r w:rsidR="00566E19">
              <w:rPr>
                <w:sz w:val="20"/>
                <w:szCs w:val="20"/>
              </w:rPr>
              <w:t>substancję</w:t>
            </w:r>
            <w:r w:rsidR="00D0407A">
              <w:rPr>
                <w:sz w:val="20"/>
                <w:szCs w:val="20"/>
              </w:rPr>
              <w:t xml:space="preserve"> </w:t>
            </w:r>
            <w:r w:rsidR="00566E19">
              <w:rPr>
                <w:sz w:val="20"/>
                <w:szCs w:val="20"/>
              </w:rPr>
              <w:t>czynną</w:t>
            </w:r>
            <w:r w:rsidR="00D0407A">
              <w:rPr>
                <w:sz w:val="20"/>
                <w:szCs w:val="20"/>
              </w:rPr>
              <w:t xml:space="preserve"> </w:t>
            </w:r>
            <w:r w:rsidR="00566E19">
              <w:rPr>
                <w:sz w:val="20"/>
                <w:szCs w:val="20"/>
              </w:rPr>
              <w:t>lub</w:t>
            </w:r>
            <w:r w:rsidR="00D0407A">
              <w:rPr>
                <w:sz w:val="20"/>
                <w:szCs w:val="20"/>
              </w:rPr>
              <w:t xml:space="preserve"> </w:t>
            </w:r>
            <w:r w:rsidR="00566E19">
              <w:rPr>
                <w:sz w:val="20"/>
                <w:szCs w:val="20"/>
              </w:rPr>
              <w:t>substancje</w:t>
            </w:r>
            <w:r w:rsidR="00D0407A">
              <w:rPr>
                <w:sz w:val="20"/>
                <w:szCs w:val="20"/>
              </w:rPr>
              <w:t xml:space="preserve"> </w:t>
            </w:r>
            <w:r w:rsidR="00566E19">
              <w:rPr>
                <w:sz w:val="20"/>
                <w:szCs w:val="20"/>
              </w:rPr>
              <w:t>pomocnicze</w:t>
            </w:r>
            <w:r>
              <w:rPr>
                <w:sz w:val="20"/>
                <w:szCs w:val="20"/>
              </w:rPr>
              <w:t>;</w:t>
            </w:r>
          </w:p>
          <w:p w14:paraId="6B2AEBA5" w14:textId="18254128" w:rsidR="00822D6E" w:rsidRPr="00822D6E" w:rsidRDefault="00860C98" w:rsidP="007F5D21">
            <w:pPr>
              <w:numPr>
                <w:ilvl w:val="2"/>
                <w:numId w:val="29"/>
              </w:numPr>
              <w:spacing w:after="60"/>
              <w:jc w:val="both"/>
              <w:rPr>
                <w:sz w:val="20"/>
                <w:szCs w:val="20"/>
              </w:rPr>
            </w:pPr>
            <w:r>
              <w:rPr>
                <w:sz w:val="20"/>
                <w:szCs w:val="20"/>
              </w:rPr>
              <w:t>w</w:t>
            </w:r>
            <w:r w:rsidR="00822D6E" w:rsidRPr="00822D6E">
              <w:rPr>
                <w:sz w:val="20"/>
                <w:szCs w:val="20"/>
              </w:rPr>
              <w:t>ystąpienie</w:t>
            </w:r>
            <w:r w:rsidR="00D0407A">
              <w:rPr>
                <w:sz w:val="20"/>
                <w:szCs w:val="20"/>
              </w:rPr>
              <w:t xml:space="preserve"> </w:t>
            </w:r>
            <w:r w:rsidR="00822D6E" w:rsidRPr="00822D6E">
              <w:rPr>
                <w:sz w:val="20"/>
                <w:szCs w:val="20"/>
              </w:rPr>
              <w:t>objawów</w:t>
            </w:r>
            <w:r w:rsidR="00D0407A">
              <w:rPr>
                <w:sz w:val="20"/>
                <w:szCs w:val="20"/>
              </w:rPr>
              <w:t xml:space="preserve"> </w:t>
            </w:r>
            <w:r w:rsidR="00822D6E" w:rsidRPr="00822D6E">
              <w:rPr>
                <w:sz w:val="20"/>
                <w:szCs w:val="20"/>
              </w:rPr>
              <w:t>toksyczności</w:t>
            </w:r>
            <w:r w:rsidR="00D0407A">
              <w:rPr>
                <w:sz w:val="20"/>
                <w:szCs w:val="20"/>
              </w:rPr>
              <w:t xml:space="preserve"> </w:t>
            </w:r>
            <w:r w:rsidR="00822D6E" w:rsidRPr="00822D6E">
              <w:rPr>
                <w:sz w:val="20"/>
                <w:szCs w:val="20"/>
              </w:rPr>
              <w:t>w</w:t>
            </w:r>
            <w:r w:rsidR="00D0407A">
              <w:rPr>
                <w:sz w:val="20"/>
                <w:szCs w:val="20"/>
              </w:rPr>
              <w:t xml:space="preserve"> </w:t>
            </w:r>
            <w:r w:rsidR="00C447DC">
              <w:rPr>
                <w:sz w:val="20"/>
                <w:szCs w:val="20"/>
              </w:rPr>
              <w:t>stopniu</w:t>
            </w:r>
            <w:r w:rsidR="00D0407A">
              <w:rPr>
                <w:sz w:val="20"/>
                <w:szCs w:val="20"/>
              </w:rPr>
              <w:t xml:space="preserve"> </w:t>
            </w:r>
            <w:r w:rsidR="00822D6E" w:rsidRPr="00822D6E">
              <w:rPr>
                <w:sz w:val="20"/>
                <w:szCs w:val="20"/>
              </w:rPr>
              <w:t>3</w:t>
            </w:r>
            <w:r w:rsidR="00D0407A">
              <w:rPr>
                <w:sz w:val="20"/>
                <w:szCs w:val="20"/>
              </w:rPr>
              <w:t xml:space="preserve"> </w:t>
            </w:r>
            <w:r w:rsidR="00822D6E" w:rsidRPr="00822D6E">
              <w:rPr>
                <w:sz w:val="20"/>
                <w:szCs w:val="20"/>
              </w:rPr>
              <w:t>lub</w:t>
            </w:r>
            <w:r w:rsidR="00D0407A">
              <w:rPr>
                <w:sz w:val="20"/>
                <w:szCs w:val="20"/>
              </w:rPr>
              <w:t xml:space="preserve"> </w:t>
            </w:r>
            <w:r w:rsidR="00822D6E" w:rsidRPr="00822D6E">
              <w:rPr>
                <w:sz w:val="20"/>
                <w:szCs w:val="20"/>
              </w:rPr>
              <w:t>4</w:t>
            </w:r>
            <w:r w:rsidR="00D0407A">
              <w:rPr>
                <w:sz w:val="20"/>
                <w:szCs w:val="20"/>
              </w:rPr>
              <w:t xml:space="preserve"> </w:t>
            </w:r>
            <w:r w:rsidR="00C447DC">
              <w:rPr>
                <w:sz w:val="20"/>
                <w:szCs w:val="20"/>
              </w:rPr>
              <w:t>wg</w:t>
            </w:r>
            <w:r w:rsidR="00D0407A">
              <w:rPr>
                <w:sz w:val="20"/>
                <w:szCs w:val="20"/>
              </w:rPr>
              <w:t xml:space="preserve"> </w:t>
            </w:r>
            <w:r w:rsidR="00C447DC">
              <w:rPr>
                <w:sz w:val="20"/>
                <w:szCs w:val="20"/>
              </w:rPr>
              <w:t>klasyfikacji</w:t>
            </w:r>
            <w:r w:rsidR="00D0407A">
              <w:rPr>
                <w:sz w:val="20"/>
                <w:szCs w:val="20"/>
              </w:rPr>
              <w:t xml:space="preserve"> </w:t>
            </w:r>
            <w:r w:rsidR="00C447DC">
              <w:rPr>
                <w:sz w:val="20"/>
                <w:szCs w:val="20"/>
              </w:rPr>
              <w:t>WHO</w:t>
            </w:r>
            <w:r w:rsidR="00D0407A">
              <w:rPr>
                <w:sz w:val="20"/>
                <w:szCs w:val="20"/>
              </w:rPr>
              <w:t xml:space="preserve"> </w:t>
            </w:r>
            <w:r w:rsidR="00822D6E" w:rsidRPr="00822D6E">
              <w:rPr>
                <w:sz w:val="20"/>
                <w:szCs w:val="20"/>
              </w:rPr>
              <w:t>w</w:t>
            </w:r>
            <w:r w:rsidR="00D0407A">
              <w:rPr>
                <w:sz w:val="20"/>
                <w:szCs w:val="20"/>
              </w:rPr>
              <w:t xml:space="preserve"> </w:t>
            </w:r>
            <w:r w:rsidR="00822D6E" w:rsidRPr="00822D6E">
              <w:rPr>
                <w:sz w:val="20"/>
                <w:szCs w:val="20"/>
              </w:rPr>
              <w:t>przypadku</w:t>
            </w:r>
            <w:r w:rsidR="00C447DC">
              <w:rPr>
                <w:sz w:val="20"/>
                <w:szCs w:val="20"/>
              </w:rPr>
              <w:t>,</w:t>
            </w:r>
            <w:r w:rsidR="00D0407A">
              <w:rPr>
                <w:sz w:val="20"/>
                <w:szCs w:val="20"/>
              </w:rPr>
              <w:t xml:space="preserve"> </w:t>
            </w:r>
            <w:r w:rsidR="00822D6E" w:rsidRPr="00822D6E">
              <w:rPr>
                <w:sz w:val="20"/>
                <w:szCs w:val="20"/>
              </w:rPr>
              <w:t>gdy</w:t>
            </w:r>
            <w:r w:rsidR="00D0407A">
              <w:rPr>
                <w:sz w:val="20"/>
                <w:szCs w:val="20"/>
              </w:rPr>
              <w:t xml:space="preserve"> </w:t>
            </w:r>
            <w:r w:rsidR="00822D6E" w:rsidRPr="00822D6E">
              <w:rPr>
                <w:sz w:val="20"/>
                <w:szCs w:val="20"/>
              </w:rPr>
              <w:t>nie</w:t>
            </w:r>
            <w:r w:rsidR="00D0407A">
              <w:rPr>
                <w:sz w:val="20"/>
                <w:szCs w:val="20"/>
              </w:rPr>
              <w:t xml:space="preserve"> </w:t>
            </w:r>
            <w:r w:rsidR="00822D6E" w:rsidRPr="00822D6E">
              <w:rPr>
                <w:sz w:val="20"/>
                <w:szCs w:val="20"/>
              </w:rPr>
              <w:t>dochodzi</w:t>
            </w:r>
            <w:r w:rsidR="00D0407A">
              <w:rPr>
                <w:sz w:val="20"/>
                <w:szCs w:val="20"/>
              </w:rPr>
              <w:t xml:space="preserve"> </w:t>
            </w:r>
            <w:r w:rsidR="00822D6E" w:rsidRPr="00822D6E">
              <w:rPr>
                <w:sz w:val="20"/>
                <w:szCs w:val="20"/>
              </w:rPr>
              <w:t>do</w:t>
            </w:r>
            <w:r w:rsidR="00D0407A">
              <w:rPr>
                <w:sz w:val="20"/>
                <w:szCs w:val="20"/>
              </w:rPr>
              <w:t xml:space="preserve"> </w:t>
            </w:r>
            <w:r w:rsidR="00822D6E" w:rsidRPr="00822D6E">
              <w:rPr>
                <w:sz w:val="20"/>
                <w:szCs w:val="20"/>
              </w:rPr>
              <w:t>poprawy</w:t>
            </w:r>
            <w:r w:rsidR="00D0407A">
              <w:rPr>
                <w:sz w:val="20"/>
                <w:szCs w:val="20"/>
              </w:rPr>
              <w:t xml:space="preserve"> </w:t>
            </w:r>
            <w:r w:rsidR="00822D6E" w:rsidRPr="00822D6E">
              <w:rPr>
                <w:sz w:val="20"/>
                <w:szCs w:val="20"/>
              </w:rPr>
              <w:t>stanu</w:t>
            </w:r>
            <w:r w:rsidR="00D0407A">
              <w:rPr>
                <w:sz w:val="20"/>
                <w:szCs w:val="20"/>
              </w:rPr>
              <w:t xml:space="preserve"> </w:t>
            </w:r>
            <w:r w:rsidR="00822D6E" w:rsidRPr="00822D6E">
              <w:rPr>
                <w:sz w:val="20"/>
                <w:szCs w:val="20"/>
              </w:rPr>
              <w:t>zdrowia</w:t>
            </w:r>
            <w:r w:rsidR="00D0407A">
              <w:rPr>
                <w:sz w:val="20"/>
                <w:szCs w:val="20"/>
              </w:rPr>
              <w:t xml:space="preserve"> </w:t>
            </w:r>
            <w:r w:rsidR="00011F07">
              <w:rPr>
                <w:sz w:val="20"/>
                <w:szCs w:val="20"/>
              </w:rPr>
              <w:t>lub</w:t>
            </w:r>
            <w:r w:rsidR="00D0407A">
              <w:rPr>
                <w:sz w:val="20"/>
                <w:szCs w:val="20"/>
              </w:rPr>
              <w:t xml:space="preserve"> </w:t>
            </w:r>
            <w:r w:rsidR="00A66AAE">
              <w:rPr>
                <w:sz w:val="20"/>
                <w:szCs w:val="20"/>
              </w:rPr>
              <w:t>gdy</w:t>
            </w:r>
            <w:r w:rsidR="00D0407A">
              <w:rPr>
                <w:sz w:val="20"/>
                <w:szCs w:val="20"/>
              </w:rPr>
              <w:t xml:space="preserve"> </w:t>
            </w:r>
            <w:r w:rsidR="00566E19">
              <w:rPr>
                <w:sz w:val="20"/>
                <w:szCs w:val="20"/>
              </w:rPr>
              <w:t>objawy</w:t>
            </w:r>
            <w:r w:rsidR="00D0407A">
              <w:rPr>
                <w:sz w:val="20"/>
                <w:szCs w:val="20"/>
              </w:rPr>
              <w:t xml:space="preserve"> </w:t>
            </w:r>
            <w:r w:rsidR="00566E19">
              <w:rPr>
                <w:sz w:val="20"/>
                <w:szCs w:val="20"/>
              </w:rPr>
              <w:t>toksyczne</w:t>
            </w:r>
            <w:r w:rsidR="00D0407A">
              <w:rPr>
                <w:sz w:val="20"/>
                <w:szCs w:val="20"/>
              </w:rPr>
              <w:t xml:space="preserve"> </w:t>
            </w:r>
            <w:r w:rsidR="00566E19">
              <w:rPr>
                <w:sz w:val="20"/>
                <w:szCs w:val="20"/>
              </w:rPr>
              <w:t>nie</w:t>
            </w:r>
            <w:r w:rsidR="00D0407A">
              <w:rPr>
                <w:sz w:val="20"/>
                <w:szCs w:val="20"/>
              </w:rPr>
              <w:t xml:space="preserve"> </w:t>
            </w:r>
            <w:r w:rsidR="00566E19">
              <w:rPr>
                <w:sz w:val="20"/>
                <w:szCs w:val="20"/>
              </w:rPr>
              <w:t>ustępują</w:t>
            </w:r>
            <w:r w:rsidR="00D0407A">
              <w:rPr>
                <w:sz w:val="20"/>
                <w:szCs w:val="20"/>
              </w:rPr>
              <w:t xml:space="preserve"> </w:t>
            </w:r>
            <w:r w:rsidR="00566E19">
              <w:rPr>
                <w:sz w:val="20"/>
                <w:szCs w:val="20"/>
              </w:rPr>
              <w:t>mimo</w:t>
            </w:r>
            <w:r w:rsidR="00D0407A">
              <w:rPr>
                <w:sz w:val="20"/>
                <w:szCs w:val="20"/>
              </w:rPr>
              <w:t xml:space="preserve"> </w:t>
            </w:r>
            <w:r w:rsidR="00A66AAE">
              <w:rPr>
                <w:sz w:val="20"/>
                <w:szCs w:val="20"/>
              </w:rPr>
              <w:t>modyfikacji</w:t>
            </w:r>
            <w:r w:rsidR="00D0407A">
              <w:rPr>
                <w:sz w:val="20"/>
                <w:szCs w:val="20"/>
              </w:rPr>
              <w:t xml:space="preserve"> </w:t>
            </w:r>
            <w:r w:rsidR="00A66AAE">
              <w:rPr>
                <w:sz w:val="20"/>
                <w:szCs w:val="20"/>
              </w:rPr>
              <w:t>dawkowania</w:t>
            </w:r>
            <w:r w:rsidR="00D0407A">
              <w:rPr>
                <w:sz w:val="20"/>
                <w:szCs w:val="20"/>
              </w:rPr>
              <w:t xml:space="preserve"> </w:t>
            </w:r>
            <w:r w:rsidR="00A66AAE">
              <w:rPr>
                <w:sz w:val="20"/>
                <w:szCs w:val="20"/>
              </w:rPr>
              <w:t>albo</w:t>
            </w:r>
            <w:r w:rsidR="00D0407A">
              <w:rPr>
                <w:sz w:val="20"/>
                <w:szCs w:val="20"/>
              </w:rPr>
              <w:t xml:space="preserve"> </w:t>
            </w:r>
            <w:r w:rsidR="00A66AAE">
              <w:rPr>
                <w:sz w:val="20"/>
                <w:szCs w:val="20"/>
              </w:rPr>
              <w:t>po</w:t>
            </w:r>
            <w:r w:rsidR="00D0407A">
              <w:rPr>
                <w:sz w:val="20"/>
                <w:szCs w:val="20"/>
              </w:rPr>
              <w:t xml:space="preserve"> </w:t>
            </w:r>
            <w:r w:rsidR="0038356E">
              <w:rPr>
                <w:sz w:val="20"/>
                <w:szCs w:val="20"/>
              </w:rPr>
              <w:t>odstawieniu</w:t>
            </w:r>
            <w:r w:rsidR="00D0407A">
              <w:rPr>
                <w:sz w:val="20"/>
                <w:szCs w:val="20"/>
              </w:rPr>
              <w:t xml:space="preserve"> </w:t>
            </w:r>
            <w:r w:rsidR="00566E19">
              <w:rPr>
                <w:sz w:val="20"/>
                <w:szCs w:val="20"/>
              </w:rPr>
              <w:t>leku</w:t>
            </w:r>
            <w:r>
              <w:rPr>
                <w:sz w:val="20"/>
                <w:szCs w:val="20"/>
              </w:rPr>
              <w:t>;</w:t>
            </w:r>
          </w:p>
          <w:p w14:paraId="689F1698" w14:textId="34D08E11" w:rsidR="00822D6E" w:rsidRPr="00822D6E" w:rsidRDefault="00860C98" w:rsidP="007F5D21">
            <w:pPr>
              <w:numPr>
                <w:ilvl w:val="2"/>
                <w:numId w:val="29"/>
              </w:numPr>
              <w:spacing w:after="60"/>
              <w:jc w:val="both"/>
              <w:rPr>
                <w:sz w:val="20"/>
                <w:szCs w:val="20"/>
              </w:rPr>
            </w:pPr>
            <w:r>
              <w:rPr>
                <w:sz w:val="20"/>
                <w:szCs w:val="20"/>
              </w:rPr>
              <w:t>p</w:t>
            </w:r>
            <w:r w:rsidR="00822D6E" w:rsidRPr="00822D6E">
              <w:rPr>
                <w:sz w:val="20"/>
                <w:szCs w:val="20"/>
              </w:rPr>
              <w:t>rogresja</w:t>
            </w:r>
            <w:r w:rsidR="00D0407A">
              <w:rPr>
                <w:sz w:val="20"/>
                <w:szCs w:val="20"/>
              </w:rPr>
              <w:t xml:space="preserve"> </w:t>
            </w:r>
            <w:r w:rsidR="00822D6E" w:rsidRPr="00822D6E">
              <w:rPr>
                <w:sz w:val="20"/>
                <w:szCs w:val="20"/>
              </w:rPr>
              <w:t>choroby</w:t>
            </w:r>
            <w:r w:rsidR="00D0407A">
              <w:rPr>
                <w:sz w:val="20"/>
                <w:szCs w:val="20"/>
              </w:rPr>
              <w:t xml:space="preserve"> </w:t>
            </w:r>
            <w:r w:rsidR="00822D6E" w:rsidRPr="00822D6E">
              <w:rPr>
                <w:sz w:val="20"/>
                <w:szCs w:val="20"/>
              </w:rPr>
              <w:t>w</w:t>
            </w:r>
            <w:r w:rsidR="00D0407A">
              <w:rPr>
                <w:sz w:val="20"/>
                <w:szCs w:val="20"/>
              </w:rPr>
              <w:t xml:space="preserve"> </w:t>
            </w:r>
            <w:r w:rsidR="00822D6E" w:rsidRPr="00822D6E">
              <w:rPr>
                <w:sz w:val="20"/>
                <w:szCs w:val="20"/>
              </w:rPr>
              <w:t>trakcie</w:t>
            </w:r>
            <w:r w:rsidR="00D0407A">
              <w:rPr>
                <w:sz w:val="20"/>
                <w:szCs w:val="20"/>
              </w:rPr>
              <w:t xml:space="preserve"> </w:t>
            </w:r>
            <w:r w:rsidR="00822D6E" w:rsidRPr="00822D6E">
              <w:rPr>
                <w:sz w:val="20"/>
                <w:szCs w:val="20"/>
              </w:rPr>
              <w:t>leczenia</w:t>
            </w:r>
            <w:r>
              <w:rPr>
                <w:sz w:val="20"/>
                <w:szCs w:val="20"/>
              </w:rPr>
              <w:t>,</w:t>
            </w:r>
            <w:r w:rsidR="00D0407A">
              <w:rPr>
                <w:sz w:val="20"/>
                <w:szCs w:val="20"/>
              </w:rPr>
              <w:t xml:space="preserve"> </w:t>
            </w:r>
            <w:r>
              <w:rPr>
                <w:sz w:val="20"/>
                <w:szCs w:val="20"/>
              </w:rPr>
              <w:t>przy</w:t>
            </w:r>
            <w:r w:rsidR="00D0407A">
              <w:rPr>
                <w:sz w:val="20"/>
                <w:szCs w:val="20"/>
              </w:rPr>
              <w:t xml:space="preserve"> </w:t>
            </w:r>
            <w:r>
              <w:rPr>
                <w:sz w:val="20"/>
                <w:szCs w:val="20"/>
              </w:rPr>
              <w:t>czym</w:t>
            </w:r>
            <w:r w:rsidR="00D0407A">
              <w:rPr>
                <w:sz w:val="20"/>
                <w:szCs w:val="20"/>
              </w:rPr>
              <w:t xml:space="preserve"> </w:t>
            </w:r>
            <w:r>
              <w:rPr>
                <w:sz w:val="20"/>
                <w:szCs w:val="20"/>
              </w:rPr>
              <w:t>w</w:t>
            </w:r>
            <w:r w:rsidR="00D0407A">
              <w:rPr>
                <w:sz w:val="20"/>
                <w:szCs w:val="20"/>
              </w:rPr>
              <w:t xml:space="preserve"> </w:t>
            </w:r>
            <w:r>
              <w:rPr>
                <w:sz w:val="20"/>
                <w:szCs w:val="20"/>
              </w:rPr>
              <w:t>celu</w:t>
            </w:r>
            <w:r w:rsidR="00D0407A">
              <w:rPr>
                <w:sz w:val="20"/>
                <w:szCs w:val="20"/>
              </w:rPr>
              <w:t xml:space="preserve"> </w:t>
            </w:r>
            <w:r>
              <w:rPr>
                <w:sz w:val="20"/>
                <w:szCs w:val="20"/>
              </w:rPr>
              <w:t>potwierdzenia</w:t>
            </w:r>
            <w:r w:rsidR="00D0407A">
              <w:rPr>
                <w:sz w:val="20"/>
                <w:szCs w:val="20"/>
              </w:rPr>
              <w:t xml:space="preserve"> </w:t>
            </w:r>
            <w:r>
              <w:rPr>
                <w:sz w:val="20"/>
                <w:szCs w:val="20"/>
              </w:rPr>
              <w:t>progresji</w:t>
            </w:r>
            <w:r w:rsidR="00D0407A">
              <w:rPr>
                <w:sz w:val="20"/>
                <w:szCs w:val="20"/>
              </w:rPr>
              <w:t xml:space="preserve"> </w:t>
            </w:r>
            <w:r w:rsidR="00011F07">
              <w:rPr>
                <w:sz w:val="20"/>
                <w:szCs w:val="20"/>
              </w:rPr>
              <w:t>wymagany</w:t>
            </w:r>
            <w:r w:rsidR="00D0407A">
              <w:rPr>
                <w:sz w:val="20"/>
                <w:szCs w:val="20"/>
              </w:rPr>
              <w:t xml:space="preserve"> </w:t>
            </w:r>
            <w:r>
              <w:rPr>
                <w:sz w:val="20"/>
                <w:szCs w:val="20"/>
              </w:rPr>
              <w:t>jest</w:t>
            </w:r>
            <w:r w:rsidR="00D0407A">
              <w:rPr>
                <w:sz w:val="20"/>
                <w:szCs w:val="20"/>
              </w:rPr>
              <w:t xml:space="preserve"> </w:t>
            </w:r>
            <w:r w:rsidR="00011F07">
              <w:rPr>
                <w:sz w:val="20"/>
                <w:szCs w:val="20"/>
              </w:rPr>
              <w:t>okres</w:t>
            </w:r>
            <w:r w:rsidR="00D0407A">
              <w:rPr>
                <w:sz w:val="20"/>
                <w:szCs w:val="20"/>
              </w:rPr>
              <w:t xml:space="preserve"> </w:t>
            </w:r>
            <w:r w:rsidR="00011F07">
              <w:rPr>
                <w:sz w:val="20"/>
                <w:szCs w:val="20"/>
              </w:rPr>
              <w:t>dwumiesięcznej</w:t>
            </w:r>
            <w:r w:rsidR="00D0407A">
              <w:rPr>
                <w:sz w:val="20"/>
                <w:szCs w:val="20"/>
              </w:rPr>
              <w:t xml:space="preserve"> </w:t>
            </w:r>
            <w:r w:rsidR="00011F07">
              <w:rPr>
                <w:sz w:val="20"/>
                <w:szCs w:val="20"/>
              </w:rPr>
              <w:t>obserwacji</w:t>
            </w:r>
            <w:r>
              <w:rPr>
                <w:sz w:val="20"/>
                <w:szCs w:val="20"/>
              </w:rPr>
              <w:t>;</w:t>
            </w:r>
          </w:p>
          <w:p w14:paraId="3A32B696" w14:textId="5CA50C26" w:rsidR="00822D6E" w:rsidRPr="00822D6E" w:rsidRDefault="00860C98" w:rsidP="007F5D21">
            <w:pPr>
              <w:numPr>
                <w:ilvl w:val="2"/>
                <w:numId w:val="29"/>
              </w:numPr>
              <w:spacing w:after="60"/>
              <w:jc w:val="both"/>
              <w:rPr>
                <w:sz w:val="20"/>
                <w:szCs w:val="20"/>
              </w:rPr>
            </w:pPr>
            <w:r>
              <w:rPr>
                <w:sz w:val="20"/>
                <w:szCs w:val="20"/>
              </w:rPr>
              <w:t>p</w:t>
            </w:r>
            <w:r w:rsidR="00822D6E" w:rsidRPr="00822D6E">
              <w:rPr>
                <w:sz w:val="20"/>
                <w:szCs w:val="20"/>
              </w:rPr>
              <w:t>ojawienie</w:t>
            </w:r>
            <w:r w:rsidR="00D0407A">
              <w:rPr>
                <w:sz w:val="20"/>
                <w:szCs w:val="20"/>
              </w:rPr>
              <w:t xml:space="preserve"> </w:t>
            </w:r>
            <w:r w:rsidR="00822D6E" w:rsidRPr="00822D6E">
              <w:rPr>
                <w:sz w:val="20"/>
                <w:szCs w:val="20"/>
              </w:rPr>
              <w:t>się</w:t>
            </w:r>
            <w:r w:rsidR="00D0407A">
              <w:rPr>
                <w:sz w:val="20"/>
                <w:szCs w:val="20"/>
              </w:rPr>
              <w:t xml:space="preserve"> </w:t>
            </w:r>
            <w:r w:rsidR="00822D6E" w:rsidRPr="00822D6E">
              <w:rPr>
                <w:sz w:val="20"/>
                <w:szCs w:val="20"/>
              </w:rPr>
              <w:t>schorzeń</w:t>
            </w:r>
            <w:r w:rsidR="00D0407A">
              <w:rPr>
                <w:sz w:val="20"/>
                <w:szCs w:val="20"/>
              </w:rPr>
              <w:t xml:space="preserve"> </w:t>
            </w:r>
            <w:r w:rsidR="00822D6E" w:rsidRPr="00822D6E">
              <w:rPr>
                <w:sz w:val="20"/>
                <w:szCs w:val="20"/>
              </w:rPr>
              <w:t>współistniejących</w:t>
            </w:r>
            <w:r w:rsidR="00D0407A">
              <w:rPr>
                <w:sz w:val="20"/>
                <w:szCs w:val="20"/>
              </w:rPr>
              <w:t xml:space="preserve"> </w:t>
            </w:r>
            <w:r w:rsidR="00822D6E" w:rsidRPr="00822D6E">
              <w:rPr>
                <w:sz w:val="20"/>
                <w:szCs w:val="20"/>
              </w:rPr>
              <w:t>stanowiących</w:t>
            </w:r>
            <w:r w:rsidR="00D0407A">
              <w:rPr>
                <w:sz w:val="20"/>
                <w:szCs w:val="20"/>
              </w:rPr>
              <w:t xml:space="preserve"> </w:t>
            </w:r>
            <w:r w:rsidR="00822D6E" w:rsidRPr="00822D6E">
              <w:rPr>
                <w:sz w:val="20"/>
                <w:szCs w:val="20"/>
              </w:rPr>
              <w:t>przeciwskazanie</w:t>
            </w:r>
            <w:r w:rsidR="00D0407A">
              <w:rPr>
                <w:sz w:val="20"/>
                <w:szCs w:val="20"/>
              </w:rPr>
              <w:t xml:space="preserve"> </w:t>
            </w:r>
            <w:r w:rsidR="00822D6E" w:rsidRPr="00822D6E">
              <w:rPr>
                <w:sz w:val="20"/>
                <w:szCs w:val="20"/>
              </w:rPr>
              <w:t>do</w:t>
            </w:r>
            <w:r w:rsidR="00D0407A">
              <w:rPr>
                <w:sz w:val="20"/>
                <w:szCs w:val="20"/>
              </w:rPr>
              <w:t xml:space="preserve"> </w:t>
            </w:r>
            <w:r w:rsidR="00822D6E" w:rsidRPr="00822D6E">
              <w:rPr>
                <w:sz w:val="20"/>
                <w:szCs w:val="20"/>
              </w:rPr>
              <w:t>kontynuacji</w:t>
            </w:r>
            <w:r w:rsidR="00D0407A">
              <w:rPr>
                <w:sz w:val="20"/>
                <w:szCs w:val="20"/>
              </w:rPr>
              <w:t xml:space="preserve"> </w:t>
            </w:r>
            <w:r w:rsidR="00566E19">
              <w:rPr>
                <w:sz w:val="20"/>
                <w:szCs w:val="20"/>
              </w:rPr>
              <w:t>leczenia</w:t>
            </w:r>
            <w:r>
              <w:rPr>
                <w:sz w:val="20"/>
                <w:szCs w:val="20"/>
              </w:rPr>
              <w:t>;</w:t>
            </w:r>
          </w:p>
          <w:p w14:paraId="46936B83" w14:textId="0A3EE310" w:rsidR="00822D6E" w:rsidRPr="00822D6E" w:rsidRDefault="00860C98" w:rsidP="007F5D21">
            <w:pPr>
              <w:numPr>
                <w:ilvl w:val="2"/>
                <w:numId w:val="29"/>
              </w:numPr>
              <w:spacing w:after="60"/>
              <w:jc w:val="both"/>
              <w:rPr>
                <w:sz w:val="20"/>
                <w:szCs w:val="20"/>
              </w:rPr>
            </w:pPr>
            <w:r>
              <w:rPr>
                <w:sz w:val="20"/>
                <w:szCs w:val="20"/>
              </w:rPr>
              <w:t>ciąża,</w:t>
            </w:r>
            <w:r w:rsidR="00D0407A">
              <w:rPr>
                <w:sz w:val="20"/>
                <w:szCs w:val="20"/>
              </w:rPr>
              <w:t xml:space="preserve"> </w:t>
            </w:r>
            <w:r>
              <w:rPr>
                <w:sz w:val="20"/>
                <w:szCs w:val="20"/>
              </w:rPr>
              <w:t>okres</w:t>
            </w:r>
            <w:r w:rsidR="00D0407A">
              <w:rPr>
                <w:sz w:val="20"/>
                <w:szCs w:val="20"/>
              </w:rPr>
              <w:t xml:space="preserve"> </w:t>
            </w:r>
            <w:r>
              <w:rPr>
                <w:sz w:val="20"/>
                <w:szCs w:val="20"/>
              </w:rPr>
              <w:t>karmienia</w:t>
            </w:r>
            <w:r w:rsidR="00D0407A">
              <w:rPr>
                <w:sz w:val="20"/>
                <w:szCs w:val="20"/>
              </w:rPr>
              <w:t xml:space="preserve"> </w:t>
            </w:r>
            <w:r>
              <w:rPr>
                <w:sz w:val="20"/>
                <w:szCs w:val="20"/>
              </w:rPr>
              <w:t>piersią</w:t>
            </w:r>
            <w:r w:rsidR="00822D6E" w:rsidRPr="00822D6E">
              <w:rPr>
                <w:sz w:val="20"/>
                <w:szCs w:val="20"/>
              </w:rPr>
              <w:t>.</w:t>
            </w:r>
          </w:p>
          <w:p w14:paraId="20906452" w14:textId="77777777" w:rsidR="00822D6E" w:rsidRPr="00822D6E" w:rsidRDefault="00822D6E" w:rsidP="007F5D21">
            <w:pPr>
              <w:spacing w:after="60"/>
              <w:jc w:val="both"/>
              <w:rPr>
                <w:sz w:val="20"/>
                <w:szCs w:val="20"/>
              </w:rPr>
            </w:pPr>
          </w:p>
          <w:p w14:paraId="5E656E8F" w14:textId="598DA297" w:rsidR="00EF5254" w:rsidRPr="00F30324" w:rsidRDefault="00710292" w:rsidP="007F5D21">
            <w:pPr>
              <w:pStyle w:val="Akapitzlist"/>
              <w:numPr>
                <w:ilvl w:val="0"/>
                <w:numId w:val="29"/>
              </w:numPr>
              <w:spacing w:after="60"/>
              <w:contextualSpacing w:val="0"/>
              <w:jc w:val="both"/>
              <w:rPr>
                <w:b/>
                <w:sz w:val="20"/>
                <w:szCs w:val="20"/>
              </w:rPr>
            </w:pPr>
            <w:r w:rsidRPr="00F30324">
              <w:rPr>
                <w:b/>
                <w:sz w:val="20"/>
                <w:szCs w:val="20"/>
              </w:rPr>
              <w:t>Kontynuacja</w:t>
            </w:r>
            <w:r w:rsidR="00D0407A">
              <w:rPr>
                <w:b/>
                <w:sz w:val="20"/>
                <w:szCs w:val="20"/>
              </w:rPr>
              <w:t xml:space="preserve"> </w:t>
            </w:r>
            <w:r w:rsidRPr="00F30324">
              <w:rPr>
                <w:b/>
                <w:sz w:val="20"/>
                <w:szCs w:val="20"/>
              </w:rPr>
              <w:t>leczenia</w:t>
            </w:r>
            <w:r w:rsidR="00D0407A">
              <w:rPr>
                <w:b/>
                <w:sz w:val="20"/>
                <w:szCs w:val="20"/>
              </w:rPr>
              <w:t xml:space="preserve"> </w:t>
            </w:r>
            <w:r w:rsidRPr="00F30324">
              <w:rPr>
                <w:b/>
                <w:sz w:val="20"/>
                <w:szCs w:val="20"/>
              </w:rPr>
              <w:t>pacjentów</w:t>
            </w:r>
            <w:r w:rsidR="00D0407A">
              <w:rPr>
                <w:b/>
                <w:sz w:val="20"/>
                <w:szCs w:val="20"/>
              </w:rPr>
              <w:t xml:space="preserve"> </w:t>
            </w:r>
            <w:r w:rsidRPr="00F30324">
              <w:rPr>
                <w:b/>
                <w:sz w:val="20"/>
                <w:szCs w:val="20"/>
              </w:rPr>
              <w:t>po</w:t>
            </w:r>
            <w:r w:rsidR="00D0407A">
              <w:rPr>
                <w:b/>
                <w:sz w:val="20"/>
                <w:szCs w:val="20"/>
              </w:rPr>
              <w:t xml:space="preserve"> </w:t>
            </w:r>
            <w:r w:rsidRPr="00F30324">
              <w:rPr>
                <w:b/>
                <w:sz w:val="20"/>
                <w:szCs w:val="20"/>
              </w:rPr>
              <w:t>zakończeniu</w:t>
            </w:r>
            <w:r w:rsidR="00D0407A">
              <w:rPr>
                <w:b/>
                <w:sz w:val="20"/>
                <w:szCs w:val="20"/>
              </w:rPr>
              <w:t xml:space="preserve"> </w:t>
            </w:r>
            <w:r w:rsidRPr="00F30324">
              <w:rPr>
                <w:b/>
                <w:sz w:val="20"/>
                <w:szCs w:val="20"/>
              </w:rPr>
              <w:t>finansowania</w:t>
            </w:r>
            <w:r w:rsidR="00D0407A">
              <w:rPr>
                <w:b/>
                <w:sz w:val="20"/>
                <w:szCs w:val="20"/>
              </w:rPr>
              <w:t xml:space="preserve"> </w:t>
            </w:r>
            <w:r w:rsidRPr="00F30324">
              <w:rPr>
                <w:b/>
                <w:sz w:val="20"/>
                <w:szCs w:val="20"/>
              </w:rPr>
              <w:t>w</w:t>
            </w:r>
            <w:r w:rsidR="00D0407A">
              <w:rPr>
                <w:b/>
                <w:sz w:val="20"/>
                <w:szCs w:val="20"/>
              </w:rPr>
              <w:t xml:space="preserve"> </w:t>
            </w:r>
            <w:r w:rsidRPr="00F30324">
              <w:rPr>
                <w:b/>
                <w:sz w:val="20"/>
                <w:szCs w:val="20"/>
              </w:rPr>
              <w:t>ramach</w:t>
            </w:r>
            <w:r w:rsidR="00D0407A">
              <w:rPr>
                <w:b/>
                <w:sz w:val="20"/>
                <w:szCs w:val="20"/>
              </w:rPr>
              <w:t xml:space="preserve"> </w:t>
            </w:r>
            <w:r w:rsidRPr="00F30324">
              <w:rPr>
                <w:b/>
                <w:sz w:val="20"/>
                <w:szCs w:val="20"/>
              </w:rPr>
              <w:t>chemioterapii</w:t>
            </w:r>
            <w:r w:rsidR="00D0407A">
              <w:rPr>
                <w:b/>
                <w:sz w:val="20"/>
                <w:szCs w:val="20"/>
              </w:rPr>
              <w:t xml:space="preserve"> </w:t>
            </w:r>
            <w:r w:rsidRPr="00F30324">
              <w:rPr>
                <w:b/>
                <w:sz w:val="20"/>
                <w:szCs w:val="20"/>
              </w:rPr>
              <w:t>niestandardowej</w:t>
            </w:r>
          </w:p>
          <w:p w14:paraId="744F5CCE" w14:textId="78CC5B16" w:rsidR="00710292" w:rsidRPr="00D77BBE" w:rsidRDefault="00710292" w:rsidP="007F5D21">
            <w:pPr>
              <w:numPr>
                <w:ilvl w:val="2"/>
                <w:numId w:val="29"/>
              </w:numPr>
              <w:autoSpaceDE w:val="0"/>
              <w:autoSpaceDN w:val="0"/>
              <w:adjustRightInd w:val="0"/>
              <w:spacing w:after="60"/>
              <w:jc w:val="both"/>
              <w:rPr>
                <w:sz w:val="20"/>
                <w:szCs w:val="20"/>
              </w:rPr>
            </w:pPr>
            <w:r w:rsidRPr="00D77BBE">
              <w:rPr>
                <w:sz w:val="20"/>
                <w:szCs w:val="20"/>
              </w:rPr>
              <w:t>Z</w:t>
            </w:r>
            <w:r w:rsidR="00D0407A">
              <w:rPr>
                <w:sz w:val="20"/>
                <w:szCs w:val="20"/>
              </w:rPr>
              <w:t xml:space="preserve"> </w:t>
            </w:r>
            <w:r w:rsidRPr="00D77BBE">
              <w:rPr>
                <w:sz w:val="20"/>
                <w:szCs w:val="20"/>
              </w:rPr>
              <w:t>dniem</w:t>
            </w:r>
            <w:r w:rsidR="00D0407A">
              <w:rPr>
                <w:sz w:val="20"/>
                <w:szCs w:val="20"/>
              </w:rPr>
              <w:t xml:space="preserve"> </w:t>
            </w:r>
            <w:r w:rsidRPr="00D77BBE">
              <w:rPr>
                <w:sz w:val="20"/>
                <w:szCs w:val="20"/>
              </w:rPr>
              <w:t>1</w:t>
            </w:r>
            <w:r w:rsidR="00D0407A">
              <w:rPr>
                <w:sz w:val="20"/>
                <w:szCs w:val="20"/>
              </w:rPr>
              <w:t xml:space="preserve"> </w:t>
            </w:r>
            <w:r w:rsidRPr="00D77BBE">
              <w:rPr>
                <w:sz w:val="20"/>
                <w:szCs w:val="20"/>
              </w:rPr>
              <w:t>kwietnia</w:t>
            </w:r>
            <w:r w:rsidR="00D0407A">
              <w:rPr>
                <w:sz w:val="20"/>
                <w:szCs w:val="20"/>
              </w:rPr>
              <w:t xml:space="preserve"> </w:t>
            </w:r>
            <w:r w:rsidRPr="00D77BBE">
              <w:rPr>
                <w:sz w:val="20"/>
                <w:szCs w:val="20"/>
              </w:rPr>
              <w:t>2018</w:t>
            </w:r>
            <w:r w:rsidR="00D0407A">
              <w:rPr>
                <w:sz w:val="20"/>
                <w:szCs w:val="20"/>
              </w:rPr>
              <w:t xml:space="preserve"> </w:t>
            </w:r>
            <w:r w:rsidRPr="00D77BBE">
              <w:rPr>
                <w:sz w:val="20"/>
                <w:szCs w:val="20"/>
              </w:rPr>
              <w:t>roku</w:t>
            </w:r>
            <w:r w:rsidR="00D0407A">
              <w:rPr>
                <w:sz w:val="20"/>
                <w:szCs w:val="20"/>
              </w:rPr>
              <w:t xml:space="preserve"> </w:t>
            </w:r>
            <w:r w:rsidRPr="00D77BBE">
              <w:rPr>
                <w:sz w:val="20"/>
                <w:szCs w:val="20"/>
              </w:rPr>
              <w:t>do</w:t>
            </w:r>
            <w:r w:rsidR="00D0407A">
              <w:rPr>
                <w:sz w:val="20"/>
                <w:szCs w:val="20"/>
              </w:rPr>
              <w:t xml:space="preserve"> </w:t>
            </w:r>
            <w:r w:rsidRPr="00D77BBE">
              <w:rPr>
                <w:sz w:val="20"/>
                <w:szCs w:val="20"/>
              </w:rPr>
              <w:t>programu</w:t>
            </w:r>
            <w:r w:rsidR="00D0407A">
              <w:rPr>
                <w:sz w:val="20"/>
                <w:szCs w:val="20"/>
              </w:rPr>
              <w:t xml:space="preserve"> </w:t>
            </w:r>
            <w:r w:rsidRPr="00D77BBE">
              <w:rPr>
                <w:sz w:val="20"/>
                <w:szCs w:val="20"/>
              </w:rPr>
              <w:t>kwalifikowani</w:t>
            </w:r>
            <w:r w:rsidR="00D0407A">
              <w:rPr>
                <w:sz w:val="20"/>
                <w:szCs w:val="20"/>
              </w:rPr>
              <w:t xml:space="preserve"> </w:t>
            </w:r>
            <w:r w:rsidRPr="00D77BBE">
              <w:rPr>
                <w:sz w:val="20"/>
                <w:szCs w:val="20"/>
              </w:rPr>
              <w:t>mogą</w:t>
            </w:r>
            <w:r w:rsidR="00D0407A">
              <w:rPr>
                <w:sz w:val="20"/>
                <w:szCs w:val="20"/>
              </w:rPr>
              <w:t xml:space="preserve"> </w:t>
            </w:r>
            <w:r w:rsidRPr="00D77BBE">
              <w:rPr>
                <w:sz w:val="20"/>
                <w:szCs w:val="20"/>
              </w:rPr>
              <w:t>być</w:t>
            </w:r>
            <w:r w:rsidR="00D0407A">
              <w:rPr>
                <w:sz w:val="20"/>
                <w:szCs w:val="20"/>
              </w:rPr>
              <w:t xml:space="preserve"> </w:t>
            </w:r>
            <w:r w:rsidRPr="00D77BBE">
              <w:rPr>
                <w:sz w:val="20"/>
                <w:szCs w:val="20"/>
              </w:rPr>
              <w:t>pacjenci,</w:t>
            </w:r>
            <w:r w:rsidR="00D0407A">
              <w:rPr>
                <w:sz w:val="20"/>
                <w:szCs w:val="20"/>
              </w:rPr>
              <w:t xml:space="preserve"> </w:t>
            </w:r>
            <w:r w:rsidRPr="00D77BBE">
              <w:rPr>
                <w:sz w:val="20"/>
                <w:szCs w:val="20"/>
              </w:rPr>
              <w:t>których</w:t>
            </w:r>
            <w:r w:rsidR="00D0407A">
              <w:rPr>
                <w:sz w:val="20"/>
                <w:szCs w:val="20"/>
              </w:rPr>
              <w:t xml:space="preserve"> </w:t>
            </w:r>
            <w:r w:rsidRPr="00D77BBE">
              <w:rPr>
                <w:sz w:val="20"/>
                <w:szCs w:val="20"/>
              </w:rPr>
              <w:t>leczenie</w:t>
            </w:r>
            <w:r w:rsidR="00D0407A">
              <w:rPr>
                <w:sz w:val="20"/>
                <w:szCs w:val="20"/>
              </w:rPr>
              <w:t xml:space="preserve"> </w:t>
            </w:r>
            <w:r w:rsidRPr="00D77BBE">
              <w:rPr>
                <w:sz w:val="20"/>
                <w:szCs w:val="20"/>
              </w:rPr>
              <w:t>było</w:t>
            </w:r>
            <w:r w:rsidR="00D0407A">
              <w:rPr>
                <w:sz w:val="20"/>
                <w:szCs w:val="20"/>
              </w:rPr>
              <w:t xml:space="preserve"> </w:t>
            </w:r>
            <w:r w:rsidRPr="00D77BBE">
              <w:rPr>
                <w:sz w:val="20"/>
                <w:szCs w:val="20"/>
              </w:rPr>
              <w:t>finansowane</w:t>
            </w:r>
            <w:r w:rsidR="00D0407A">
              <w:rPr>
                <w:sz w:val="20"/>
                <w:szCs w:val="20"/>
              </w:rPr>
              <w:t xml:space="preserve"> </w:t>
            </w:r>
            <w:r w:rsidRPr="00D77BBE">
              <w:rPr>
                <w:sz w:val="20"/>
                <w:szCs w:val="20"/>
              </w:rPr>
              <w:t>do</w:t>
            </w:r>
            <w:r w:rsidR="00D0407A">
              <w:rPr>
                <w:sz w:val="20"/>
                <w:szCs w:val="20"/>
              </w:rPr>
              <w:t xml:space="preserve"> </w:t>
            </w:r>
            <w:r w:rsidRPr="00D77BBE">
              <w:rPr>
                <w:sz w:val="20"/>
                <w:szCs w:val="20"/>
              </w:rPr>
              <w:t>tego</w:t>
            </w:r>
            <w:r w:rsidR="00D0407A">
              <w:rPr>
                <w:sz w:val="20"/>
                <w:szCs w:val="20"/>
              </w:rPr>
              <w:t xml:space="preserve"> </w:t>
            </w:r>
            <w:r w:rsidRPr="00D77BBE">
              <w:rPr>
                <w:sz w:val="20"/>
                <w:szCs w:val="20"/>
              </w:rPr>
              <w:t>dnia</w:t>
            </w:r>
            <w:r w:rsidR="00D0407A">
              <w:rPr>
                <w:sz w:val="20"/>
                <w:szCs w:val="20"/>
              </w:rPr>
              <w:t xml:space="preserve"> </w:t>
            </w:r>
            <w:r w:rsidRPr="00D77BBE">
              <w:rPr>
                <w:sz w:val="20"/>
                <w:szCs w:val="20"/>
              </w:rPr>
              <w:t>w</w:t>
            </w:r>
            <w:r w:rsidR="00D0407A">
              <w:rPr>
                <w:sz w:val="20"/>
                <w:szCs w:val="20"/>
              </w:rPr>
              <w:t xml:space="preserve"> </w:t>
            </w:r>
            <w:r w:rsidRPr="00D77BBE">
              <w:rPr>
                <w:sz w:val="20"/>
                <w:szCs w:val="20"/>
              </w:rPr>
              <w:t>ramach</w:t>
            </w:r>
            <w:r w:rsidR="00D0407A">
              <w:rPr>
                <w:sz w:val="20"/>
                <w:szCs w:val="20"/>
              </w:rPr>
              <w:t xml:space="preserve"> </w:t>
            </w:r>
            <w:r w:rsidRPr="00D77BBE">
              <w:rPr>
                <w:sz w:val="20"/>
                <w:szCs w:val="20"/>
              </w:rPr>
              <w:t>programu</w:t>
            </w:r>
            <w:r w:rsidR="00D0407A">
              <w:rPr>
                <w:sz w:val="20"/>
                <w:szCs w:val="20"/>
              </w:rPr>
              <w:t xml:space="preserve"> </w:t>
            </w:r>
            <w:r w:rsidRPr="00D77BBE">
              <w:rPr>
                <w:sz w:val="20"/>
                <w:szCs w:val="20"/>
              </w:rPr>
              <w:t>chemioterapii</w:t>
            </w:r>
            <w:r w:rsidR="00D0407A">
              <w:rPr>
                <w:sz w:val="20"/>
                <w:szCs w:val="20"/>
              </w:rPr>
              <w:t xml:space="preserve"> </w:t>
            </w:r>
            <w:r w:rsidRPr="00D77BBE">
              <w:rPr>
                <w:sz w:val="20"/>
                <w:szCs w:val="20"/>
              </w:rPr>
              <w:t>niestandardowej.</w:t>
            </w:r>
          </w:p>
          <w:p w14:paraId="23A84A84" w14:textId="42C01939" w:rsidR="00710292" w:rsidRPr="00D77BBE" w:rsidRDefault="00710292" w:rsidP="007F5D21">
            <w:pPr>
              <w:numPr>
                <w:ilvl w:val="2"/>
                <w:numId w:val="29"/>
              </w:numPr>
              <w:autoSpaceDE w:val="0"/>
              <w:autoSpaceDN w:val="0"/>
              <w:adjustRightInd w:val="0"/>
              <w:spacing w:after="60"/>
              <w:jc w:val="both"/>
              <w:rPr>
                <w:sz w:val="20"/>
                <w:szCs w:val="20"/>
              </w:rPr>
            </w:pPr>
            <w:r w:rsidRPr="00D77BBE">
              <w:rPr>
                <w:sz w:val="20"/>
                <w:szCs w:val="20"/>
              </w:rPr>
              <w:t>Kwalifikacja,</w:t>
            </w:r>
            <w:r w:rsidR="00D0407A">
              <w:rPr>
                <w:sz w:val="20"/>
                <w:szCs w:val="20"/>
              </w:rPr>
              <w:t xml:space="preserve"> </w:t>
            </w:r>
            <w:r w:rsidRPr="00D77BBE">
              <w:rPr>
                <w:sz w:val="20"/>
                <w:szCs w:val="20"/>
              </w:rPr>
              <w:t>o</w:t>
            </w:r>
            <w:r w:rsidR="00D0407A">
              <w:rPr>
                <w:sz w:val="20"/>
                <w:szCs w:val="20"/>
              </w:rPr>
              <w:t xml:space="preserve"> </w:t>
            </w:r>
            <w:r w:rsidRPr="00D77BBE">
              <w:rPr>
                <w:sz w:val="20"/>
                <w:szCs w:val="20"/>
              </w:rPr>
              <w:t>której</w:t>
            </w:r>
            <w:r w:rsidR="00D0407A">
              <w:rPr>
                <w:sz w:val="20"/>
                <w:szCs w:val="20"/>
              </w:rPr>
              <w:t xml:space="preserve"> </w:t>
            </w:r>
            <w:r w:rsidRPr="00D77BBE">
              <w:rPr>
                <w:sz w:val="20"/>
                <w:szCs w:val="20"/>
              </w:rPr>
              <w:t>mowa</w:t>
            </w:r>
            <w:r w:rsidR="00D0407A">
              <w:rPr>
                <w:sz w:val="20"/>
                <w:szCs w:val="20"/>
              </w:rPr>
              <w:t xml:space="preserve"> </w:t>
            </w:r>
            <w:r w:rsidRPr="00D77BBE">
              <w:rPr>
                <w:sz w:val="20"/>
                <w:szCs w:val="20"/>
              </w:rPr>
              <w:t>w</w:t>
            </w:r>
            <w:r w:rsidR="00D0407A">
              <w:rPr>
                <w:sz w:val="20"/>
                <w:szCs w:val="20"/>
              </w:rPr>
              <w:t xml:space="preserve"> </w:t>
            </w:r>
            <w:r w:rsidRPr="00D77BBE">
              <w:rPr>
                <w:sz w:val="20"/>
                <w:szCs w:val="20"/>
              </w:rPr>
              <w:t>pkt.</w:t>
            </w:r>
            <w:r w:rsidR="00D0407A">
              <w:rPr>
                <w:sz w:val="20"/>
                <w:szCs w:val="20"/>
              </w:rPr>
              <w:t xml:space="preserve"> </w:t>
            </w:r>
            <w:r w:rsidRPr="00D77BBE">
              <w:rPr>
                <w:sz w:val="20"/>
                <w:szCs w:val="20"/>
              </w:rPr>
              <w:t>1,</w:t>
            </w:r>
            <w:r w:rsidR="00D0407A">
              <w:rPr>
                <w:sz w:val="20"/>
                <w:szCs w:val="20"/>
              </w:rPr>
              <w:t xml:space="preserve"> </w:t>
            </w:r>
            <w:r w:rsidRPr="00D77BBE">
              <w:rPr>
                <w:sz w:val="20"/>
                <w:szCs w:val="20"/>
              </w:rPr>
              <w:t>dotyczy</w:t>
            </w:r>
            <w:r w:rsidR="00D0407A">
              <w:rPr>
                <w:sz w:val="20"/>
                <w:szCs w:val="20"/>
              </w:rPr>
              <w:t xml:space="preserve"> </w:t>
            </w:r>
            <w:r w:rsidRPr="00D77BBE">
              <w:rPr>
                <w:sz w:val="20"/>
                <w:szCs w:val="20"/>
              </w:rPr>
              <w:t>leczenia</w:t>
            </w:r>
            <w:r w:rsidR="00D0407A">
              <w:rPr>
                <w:sz w:val="20"/>
                <w:szCs w:val="20"/>
              </w:rPr>
              <w:t xml:space="preserve"> </w:t>
            </w:r>
            <w:r w:rsidRPr="00D77BBE">
              <w:rPr>
                <w:sz w:val="20"/>
                <w:szCs w:val="20"/>
              </w:rPr>
              <w:t>tą</w:t>
            </w:r>
            <w:r w:rsidR="00D0407A">
              <w:rPr>
                <w:sz w:val="20"/>
                <w:szCs w:val="20"/>
              </w:rPr>
              <w:t xml:space="preserve"> </w:t>
            </w:r>
            <w:r w:rsidRPr="00D77BBE">
              <w:rPr>
                <w:sz w:val="20"/>
                <w:szCs w:val="20"/>
              </w:rPr>
              <w:t>samą</w:t>
            </w:r>
            <w:r w:rsidR="00D0407A">
              <w:rPr>
                <w:sz w:val="20"/>
                <w:szCs w:val="20"/>
              </w:rPr>
              <w:t xml:space="preserve"> </w:t>
            </w:r>
            <w:r w:rsidRPr="00D77BBE">
              <w:rPr>
                <w:sz w:val="20"/>
                <w:szCs w:val="20"/>
              </w:rPr>
              <w:t>substancją</w:t>
            </w:r>
            <w:r w:rsidR="00D0407A">
              <w:rPr>
                <w:sz w:val="20"/>
                <w:szCs w:val="20"/>
              </w:rPr>
              <w:t xml:space="preserve"> </w:t>
            </w:r>
            <w:r w:rsidRPr="00D77BBE">
              <w:rPr>
                <w:sz w:val="20"/>
                <w:szCs w:val="20"/>
              </w:rPr>
              <w:t>czynną,</w:t>
            </w:r>
            <w:r w:rsidR="00D0407A">
              <w:rPr>
                <w:sz w:val="20"/>
                <w:szCs w:val="20"/>
              </w:rPr>
              <w:t xml:space="preserve"> </w:t>
            </w:r>
            <w:r w:rsidRPr="00D77BBE">
              <w:rPr>
                <w:sz w:val="20"/>
                <w:szCs w:val="20"/>
              </w:rPr>
              <w:t>która</w:t>
            </w:r>
            <w:r w:rsidR="00D0407A">
              <w:rPr>
                <w:sz w:val="20"/>
                <w:szCs w:val="20"/>
              </w:rPr>
              <w:t xml:space="preserve"> </w:t>
            </w:r>
            <w:r w:rsidRPr="00D77BBE">
              <w:rPr>
                <w:sz w:val="20"/>
                <w:szCs w:val="20"/>
              </w:rPr>
              <w:t>była</w:t>
            </w:r>
            <w:r w:rsidR="00D0407A">
              <w:rPr>
                <w:sz w:val="20"/>
                <w:szCs w:val="20"/>
              </w:rPr>
              <w:t xml:space="preserve"> </w:t>
            </w:r>
            <w:r w:rsidRPr="00D77BBE">
              <w:rPr>
                <w:sz w:val="20"/>
                <w:szCs w:val="20"/>
              </w:rPr>
              <w:t>finansowana</w:t>
            </w:r>
            <w:r w:rsidR="00D0407A">
              <w:rPr>
                <w:sz w:val="20"/>
                <w:szCs w:val="20"/>
              </w:rPr>
              <w:t xml:space="preserve"> </w:t>
            </w:r>
            <w:r w:rsidRPr="00D77BBE">
              <w:rPr>
                <w:sz w:val="20"/>
                <w:szCs w:val="20"/>
              </w:rPr>
              <w:t>w</w:t>
            </w:r>
            <w:r w:rsidR="00D0407A">
              <w:rPr>
                <w:sz w:val="20"/>
                <w:szCs w:val="20"/>
              </w:rPr>
              <w:t xml:space="preserve"> </w:t>
            </w:r>
            <w:r w:rsidRPr="00D77BBE">
              <w:rPr>
                <w:sz w:val="20"/>
                <w:szCs w:val="20"/>
              </w:rPr>
              <w:t>ramach</w:t>
            </w:r>
            <w:r w:rsidR="00D0407A">
              <w:rPr>
                <w:sz w:val="20"/>
                <w:szCs w:val="20"/>
              </w:rPr>
              <w:t xml:space="preserve"> </w:t>
            </w:r>
            <w:r w:rsidRPr="00D77BBE">
              <w:rPr>
                <w:sz w:val="20"/>
                <w:szCs w:val="20"/>
              </w:rPr>
              <w:t>programu</w:t>
            </w:r>
            <w:r w:rsidR="00D0407A">
              <w:rPr>
                <w:sz w:val="20"/>
                <w:szCs w:val="20"/>
              </w:rPr>
              <w:t xml:space="preserve"> </w:t>
            </w:r>
            <w:r w:rsidRPr="00D77BBE">
              <w:rPr>
                <w:sz w:val="20"/>
                <w:szCs w:val="20"/>
              </w:rPr>
              <w:t>chemioterapii</w:t>
            </w:r>
            <w:r w:rsidR="00D0407A">
              <w:rPr>
                <w:sz w:val="20"/>
                <w:szCs w:val="20"/>
              </w:rPr>
              <w:t xml:space="preserve"> </w:t>
            </w:r>
            <w:r w:rsidRPr="00D77BBE">
              <w:rPr>
                <w:sz w:val="20"/>
                <w:szCs w:val="20"/>
              </w:rPr>
              <w:t>niestandardowej.</w:t>
            </w:r>
          </w:p>
          <w:p w14:paraId="0A3F7137" w14:textId="4D458557" w:rsidR="00710292" w:rsidRPr="00D77BBE" w:rsidRDefault="00710292" w:rsidP="007F5D21">
            <w:pPr>
              <w:numPr>
                <w:ilvl w:val="2"/>
                <w:numId w:val="29"/>
              </w:numPr>
              <w:autoSpaceDE w:val="0"/>
              <w:autoSpaceDN w:val="0"/>
              <w:adjustRightInd w:val="0"/>
              <w:spacing w:after="60"/>
              <w:jc w:val="both"/>
              <w:rPr>
                <w:sz w:val="20"/>
                <w:szCs w:val="20"/>
              </w:rPr>
            </w:pPr>
            <w:r w:rsidRPr="00D77BBE">
              <w:rPr>
                <w:sz w:val="20"/>
                <w:szCs w:val="20"/>
              </w:rPr>
              <w:t>Pacjenci,</w:t>
            </w:r>
            <w:r w:rsidR="00D0407A">
              <w:rPr>
                <w:sz w:val="20"/>
                <w:szCs w:val="20"/>
              </w:rPr>
              <w:t xml:space="preserve"> </w:t>
            </w:r>
            <w:r w:rsidRPr="00D77BBE">
              <w:rPr>
                <w:sz w:val="20"/>
                <w:szCs w:val="20"/>
              </w:rPr>
              <w:t>o</w:t>
            </w:r>
            <w:r w:rsidR="00D0407A">
              <w:rPr>
                <w:sz w:val="20"/>
                <w:szCs w:val="20"/>
              </w:rPr>
              <w:t xml:space="preserve"> </w:t>
            </w:r>
            <w:r w:rsidRPr="00D77BBE">
              <w:rPr>
                <w:sz w:val="20"/>
                <w:szCs w:val="20"/>
              </w:rPr>
              <w:t>których</w:t>
            </w:r>
            <w:r w:rsidR="00D0407A">
              <w:rPr>
                <w:sz w:val="20"/>
                <w:szCs w:val="20"/>
              </w:rPr>
              <w:t xml:space="preserve"> </w:t>
            </w:r>
            <w:r w:rsidRPr="00D77BBE">
              <w:rPr>
                <w:sz w:val="20"/>
                <w:szCs w:val="20"/>
              </w:rPr>
              <w:t>mowa</w:t>
            </w:r>
            <w:r w:rsidR="00D0407A">
              <w:rPr>
                <w:sz w:val="20"/>
                <w:szCs w:val="20"/>
              </w:rPr>
              <w:t xml:space="preserve"> </w:t>
            </w:r>
            <w:r w:rsidRPr="00D77BBE">
              <w:rPr>
                <w:sz w:val="20"/>
                <w:szCs w:val="20"/>
              </w:rPr>
              <w:t>w</w:t>
            </w:r>
            <w:r w:rsidR="00D0407A">
              <w:rPr>
                <w:sz w:val="20"/>
                <w:szCs w:val="20"/>
              </w:rPr>
              <w:t xml:space="preserve"> </w:t>
            </w:r>
            <w:r w:rsidRPr="00D77BBE">
              <w:rPr>
                <w:sz w:val="20"/>
                <w:szCs w:val="20"/>
              </w:rPr>
              <w:t>pkt.</w:t>
            </w:r>
            <w:r w:rsidR="00D0407A">
              <w:rPr>
                <w:sz w:val="20"/>
                <w:szCs w:val="20"/>
              </w:rPr>
              <w:t xml:space="preserve"> </w:t>
            </w:r>
            <w:r w:rsidRPr="00D77BBE">
              <w:rPr>
                <w:sz w:val="20"/>
                <w:szCs w:val="20"/>
              </w:rPr>
              <w:t>1</w:t>
            </w:r>
            <w:r w:rsidR="00D0407A">
              <w:rPr>
                <w:sz w:val="20"/>
                <w:szCs w:val="20"/>
              </w:rPr>
              <w:t xml:space="preserve"> </w:t>
            </w:r>
            <w:r w:rsidRPr="00D77BBE">
              <w:rPr>
                <w:sz w:val="20"/>
                <w:szCs w:val="20"/>
              </w:rPr>
              <w:t>nie</w:t>
            </w:r>
            <w:r w:rsidR="00D0407A">
              <w:rPr>
                <w:sz w:val="20"/>
                <w:szCs w:val="20"/>
              </w:rPr>
              <w:t xml:space="preserve"> </w:t>
            </w:r>
            <w:r w:rsidRPr="00D77BBE">
              <w:rPr>
                <w:sz w:val="20"/>
                <w:szCs w:val="20"/>
              </w:rPr>
              <w:t>muszą</w:t>
            </w:r>
            <w:r w:rsidR="00D0407A">
              <w:rPr>
                <w:sz w:val="20"/>
                <w:szCs w:val="20"/>
              </w:rPr>
              <w:t xml:space="preserve"> </w:t>
            </w:r>
            <w:r w:rsidRPr="00D77BBE">
              <w:rPr>
                <w:sz w:val="20"/>
                <w:szCs w:val="20"/>
              </w:rPr>
              <w:t>spełniać</w:t>
            </w:r>
            <w:r w:rsidR="00D0407A">
              <w:rPr>
                <w:sz w:val="20"/>
                <w:szCs w:val="20"/>
              </w:rPr>
              <w:t xml:space="preserve"> </w:t>
            </w:r>
            <w:r w:rsidRPr="00D77BBE">
              <w:rPr>
                <w:sz w:val="20"/>
                <w:szCs w:val="20"/>
              </w:rPr>
              <w:t>w</w:t>
            </w:r>
            <w:r w:rsidR="00D0407A">
              <w:rPr>
                <w:sz w:val="20"/>
                <w:szCs w:val="20"/>
              </w:rPr>
              <w:t xml:space="preserve"> </w:t>
            </w:r>
            <w:r w:rsidRPr="00D77BBE">
              <w:rPr>
                <w:sz w:val="20"/>
                <w:szCs w:val="20"/>
              </w:rPr>
              <w:t>chwili</w:t>
            </w:r>
            <w:r w:rsidR="00D0407A">
              <w:rPr>
                <w:sz w:val="20"/>
                <w:szCs w:val="20"/>
              </w:rPr>
              <w:t xml:space="preserve"> </w:t>
            </w:r>
            <w:r w:rsidRPr="00D77BBE">
              <w:rPr>
                <w:sz w:val="20"/>
                <w:szCs w:val="20"/>
              </w:rPr>
              <w:t>kwalifikacji,</w:t>
            </w:r>
            <w:r w:rsidR="00D0407A">
              <w:rPr>
                <w:sz w:val="20"/>
                <w:szCs w:val="20"/>
              </w:rPr>
              <w:t xml:space="preserve"> </w:t>
            </w:r>
            <w:r w:rsidRPr="00D77BBE">
              <w:rPr>
                <w:sz w:val="20"/>
                <w:szCs w:val="20"/>
              </w:rPr>
              <w:t>innych</w:t>
            </w:r>
            <w:r w:rsidR="00D0407A">
              <w:rPr>
                <w:sz w:val="20"/>
                <w:szCs w:val="20"/>
              </w:rPr>
              <w:t xml:space="preserve"> </w:t>
            </w:r>
            <w:r w:rsidRPr="00D77BBE">
              <w:rPr>
                <w:sz w:val="20"/>
                <w:szCs w:val="20"/>
              </w:rPr>
              <w:t>kryteriów</w:t>
            </w:r>
            <w:r w:rsidR="00D0407A">
              <w:rPr>
                <w:sz w:val="20"/>
                <w:szCs w:val="20"/>
              </w:rPr>
              <w:t xml:space="preserve"> </w:t>
            </w:r>
            <w:r w:rsidRPr="00D77BBE">
              <w:rPr>
                <w:sz w:val="20"/>
                <w:szCs w:val="20"/>
              </w:rPr>
              <w:t>wymaganych</w:t>
            </w:r>
            <w:r w:rsidR="00D0407A">
              <w:rPr>
                <w:sz w:val="20"/>
                <w:szCs w:val="20"/>
              </w:rPr>
              <w:t xml:space="preserve"> </w:t>
            </w:r>
            <w:r w:rsidRPr="00D77BBE">
              <w:rPr>
                <w:sz w:val="20"/>
                <w:szCs w:val="20"/>
              </w:rPr>
              <w:t>do</w:t>
            </w:r>
            <w:r w:rsidR="00D0407A">
              <w:rPr>
                <w:sz w:val="20"/>
                <w:szCs w:val="20"/>
              </w:rPr>
              <w:t xml:space="preserve"> </w:t>
            </w:r>
            <w:r w:rsidRPr="00D77BBE">
              <w:rPr>
                <w:sz w:val="20"/>
                <w:szCs w:val="20"/>
              </w:rPr>
              <w:t>włączenia</w:t>
            </w:r>
            <w:r w:rsidR="00D0407A">
              <w:rPr>
                <w:sz w:val="20"/>
                <w:szCs w:val="20"/>
              </w:rPr>
              <w:t xml:space="preserve"> </w:t>
            </w:r>
            <w:r w:rsidRPr="00D77BBE">
              <w:rPr>
                <w:sz w:val="20"/>
                <w:szCs w:val="20"/>
              </w:rPr>
              <w:t>do</w:t>
            </w:r>
            <w:r w:rsidR="00D0407A">
              <w:rPr>
                <w:sz w:val="20"/>
                <w:szCs w:val="20"/>
              </w:rPr>
              <w:t xml:space="preserve"> </w:t>
            </w:r>
            <w:r w:rsidRPr="00D77BBE">
              <w:rPr>
                <w:sz w:val="20"/>
                <w:szCs w:val="20"/>
              </w:rPr>
              <w:t>programu.</w:t>
            </w:r>
          </w:p>
          <w:p w14:paraId="4A566F9E" w14:textId="77777777" w:rsidR="00710292" w:rsidRDefault="00710292" w:rsidP="007F5D21">
            <w:pPr>
              <w:numPr>
                <w:ilvl w:val="2"/>
                <w:numId w:val="29"/>
              </w:numPr>
              <w:autoSpaceDE w:val="0"/>
              <w:autoSpaceDN w:val="0"/>
              <w:adjustRightInd w:val="0"/>
              <w:spacing w:after="60"/>
              <w:jc w:val="both"/>
              <w:rPr>
                <w:sz w:val="20"/>
                <w:szCs w:val="20"/>
              </w:rPr>
            </w:pPr>
            <w:r w:rsidRPr="00D77BBE">
              <w:rPr>
                <w:sz w:val="20"/>
                <w:szCs w:val="20"/>
              </w:rPr>
              <w:lastRenderedPageBreak/>
              <w:t>Pacjenci,</w:t>
            </w:r>
            <w:r w:rsidR="00D0407A">
              <w:rPr>
                <w:sz w:val="20"/>
                <w:szCs w:val="20"/>
              </w:rPr>
              <w:t xml:space="preserve"> </w:t>
            </w:r>
            <w:r w:rsidRPr="00D77BBE">
              <w:rPr>
                <w:sz w:val="20"/>
                <w:szCs w:val="20"/>
              </w:rPr>
              <w:t>o</w:t>
            </w:r>
            <w:r w:rsidR="00D0407A">
              <w:rPr>
                <w:sz w:val="20"/>
                <w:szCs w:val="20"/>
              </w:rPr>
              <w:t xml:space="preserve"> </w:t>
            </w:r>
            <w:r w:rsidRPr="00D77BBE">
              <w:rPr>
                <w:sz w:val="20"/>
                <w:szCs w:val="20"/>
              </w:rPr>
              <w:t>których</w:t>
            </w:r>
            <w:r w:rsidR="00D0407A">
              <w:rPr>
                <w:sz w:val="20"/>
                <w:szCs w:val="20"/>
              </w:rPr>
              <w:t xml:space="preserve"> </w:t>
            </w:r>
            <w:r w:rsidRPr="00D77BBE">
              <w:rPr>
                <w:sz w:val="20"/>
                <w:szCs w:val="20"/>
              </w:rPr>
              <w:t>mowa</w:t>
            </w:r>
            <w:r w:rsidR="00D0407A">
              <w:rPr>
                <w:sz w:val="20"/>
                <w:szCs w:val="20"/>
              </w:rPr>
              <w:t xml:space="preserve"> </w:t>
            </w:r>
            <w:r w:rsidRPr="00D77BBE">
              <w:rPr>
                <w:sz w:val="20"/>
                <w:szCs w:val="20"/>
              </w:rPr>
              <w:t>w</w:t>
            </w:r>
            <w:r w:rsidR="00D0407A">
              <w:rPr>
                <w:sz w:val="20"/>
                <w:szCs w:val="20"/>
              </w:rPr>
              <w:t xml:space="preserve"> </w:t>
            </w:r>
            <w:r w:rsidRPr="00D77BBE">
              <w:rPr>
                <w:sz w:val="20"/>
                <w:szCs w:val="20"/>
              </w:rPr>
              <w:t>pkt.</w:t>
            </w:r>
            <w:r w:rsidR="00D0407A">
              <w:rPr>
                <w:sz w:val="20"/>
                <w:szCs w:val="20"/>
              </w:rPr>
              <w:t xml:space="preserve"> </w:t>
            </w:r>
            <w:r w:rsidRPr="00D77BBE">
              <w:rPr>
                <w:sz w:val="20"/>
                <w:szCs w:val="20"/>
              </w:rPr>
              <w:t>1</w:t>
            </w:r>
            <w:r w:rsidR="00D0407A">
              <w:rPr>
                <w:sz w:val="20"/>
                <w:szCs w:val="20"/>
              </w:rPr>
              <w:t xml:space="preserve"> </w:t>
            </w:r>
            <w:r w:rsidRPr="00D77BBE">
              <w:rPr>
                <w:sz w:val="20"/>
                <w:szCs w:val="20"/>
              </w:rPr>
              <w:t>kontynuują</w:t>
            </w:r>
            <w:r w:rsidR="00D0407A">
              <w:rPr>
                <w:sz w:val="20"/>
                <w:szCs w:val="20"/>
              </w:rPr>
              <w:t xml:space="preserve"> </w:t>
            </w:r>
            <w:r w:rsidRPr="00D77BBE">
              <w:rPr>
                <w:sz w:val="20"/>
                <w:szCs w:val="20"/>
              </w:rPr>
              <w:t>leczenie</w:t>
            </w:r>
            <w:r w:rsidR="00D0407A">
              <w:rPr>
                <w:sz w:val="20"/>
                <w:szCs w:val="20"/>
              </w:rPr>
              <w:t xml:space="preserve"> </w:t>
            </w:r>
            <w:r w:rsidRPr="00D77BBE">
              <w:rPr>
                <w:sz w:val="20"/>
                <w:szCs w:val="20"/>
              </w:rPr>
              <w:t>w</w:t>
            </w:r>
            <w:r w:rsidR="00D0407A">
              <w:rPr>
                <w:sz w:val="20"/>
                <w:szCs w:val="20"/>
              </w:rPr>
              <w:t xml:space="preserve"> </w:t>
            </w:r>
            <w:r w:rsidRPr="00D77BBE">
              <w:rPr>
                <w:sz w:val="20"/>
                <w:szCs w:val="20"/>
              </w:rPr>
              <w:t>ramach</w:t>
            </w:r>
            <w:r w:rsidR="00D0407A">
              <w:rPr>
                <w:sz w:val="20"/>
                <w:szCs w:val="20"/>
              </w:rPr>
              <w:t xml:space="preserve"> </w:t>
            </w:r>
            <w:r w:rsidRPr="00D77BBE">
              <w:rPr>
                <w:sz w:val="20"/>
                <w:szCs w:val="20"/>
              </w:rPr>
              <w:t>programu</w:t>
            </w:r>
            <w:r w:rsidR="00D0407A">
              <w:rPr>
                <w:sz w:val="20"/>
                <w:szCs w:val="20"/>
              </w:rPr>
              <w:t xml:space="preserve"> </w:t>
            </w:r>
            <w:r w:rsidRPr="00D77BBE">
              <w:rPr>
                <w:sz w:val="20"/>
                <w:szCs w:val="20"/>
              </w:rPr>
              <w:t>do</w:t>
            </w:r>
            <w:r w:rsidR="00D0407A">
              <w:rPr>
                <w:sz w:val="20"/>
                <w:szCs w:val="20"/>
              </w:rPr>
              <w:t xml:space="preserve"> </w:t>
            </w:r>
            <w:r w:rsidRPr="00D77BBE">
              <w:rPr>
                <w:sz w:val="20"/>
                <w:szCs w:val="20"/>
              </w:rPr>
              <w:t>momentu</w:t>
            </w:r>
            <w:r w:rsidR="00D0407A">
              <w:rPr>
                <w:sz w:val="20"/>
                <w:szCs w:val="20"/>
              </w:rPr>
              <w:t xml:space="preserve"> </w:t>
            </w:r>
            <w:r w:rsidRPr="00D77BBE">
              <w:rPr>
                <w:sz w:val="20"/>
                <w:szCs w:val="20"/>
              </w:rPr>
              <w:t>podjęcia</w:t>
            </w:r>
            <w:r w:rsidR="00D0407A">
              <w:rPr>
                <w:sz w:val="20"/>
                <w:szCs w:val="20"/>
              </w:rPr>
              <w:t xml:space="preserve"> </w:t>
            </w:r>
            <w:r w:rsidRPr="00D77BBE">
              <w:rPr>
                <w:sz w:val="20"/>
                <w:szCs w:val="20"/>
              </w:rPr>
              <w:t>decyzji</w:t>
            </w:r>
            <w:r w:rsidR="00D0407A">
              <w:rPr>
                <w:sz w:val="20"/>
                <w:szCs w:val="20"/>
              </w:rPr>
              <w:t xml:space="preserve"> </w:t>
            </w:r>
            <w:r w:rsidRPr="00D77BBE">
              <w:rPr>
                <w:sz w:val="20"/>
                <w:szCs w:val="20"/>
              </w:rPr>
              <w:t>przez</w:t>
            </w:r>
            <w:r w:rsidR="00D0407A">
              <w:rPr>
                <w:sz w:val="20"/>
                <w:szCs w:val="20"/>
              </w:rPr>
              <w:t xml:space="preserve"> </w:t>
            </w:r>
            <w:r w:rsidRPr="00D77BBE">
              <w:rPr>
                <w:sz w:val="20"/>
                <w:szCs w:val="20"/>
              </w:rPr>
              <w:t>lekarza</w:t>
            </w:r>
            <w:r w:rsidR="00D0407A">
              <w:rPr>
                <w:sz w:val="20"/>
                <w:szCs w:val="20"/>
              </w:rPr>
              <w:t xml:space="preserve"> </w:t>
            </w:r>
            <w:r w:rsidRPr="00D77BBE">
              <w:rPr>
                <w:sz w:val="20"/>
                <w:szCs w:val="20"/>
              </w:rPr>
              <w:t>prowadzącego</w:t>
            </w:r>
            <w:r w:rsidR="00D0407A">
              <w:rPr>
                <w:sz w:val="20"/>
                <w:szCs w:val="20"/>
              </w:rPr>
              <w:t xml:space="preserve"> </w:t>
            </w:r>
            <w:r w:rsidRPr="00D77BBE">
              <w:rPr>
                <w:sz w:val="20"/>
                <w:szCs w:val="20"/>
              </w:rPr>
              <w:t>o</w:t>
            </w:r>
            <w:r w:rsidR="00D0407A">
              <w:rPr>
                <w:sz w:val="20"/>
                <w:szCs w:val="20"/>
              </w:rPr>
              <w:t xml:space="preserve"> </w:t>
            </w:r>
            <w:r w:rsidRPr="00D77BBE">
              <w:rPr>
                <w:sz w:val="20"/>
                <w:szCs w:val="20"/>
              </w:rPr>
              <w:t>zakończeniu</w:t>
            </w:r>
            <w:r w:rsidR="00D0407A">
              <w:rPr>
                <w:sz w:val="20"/>
                <w:szCs w:val="20"/>
              </w:rPr>
              <w:t xml:space="preserve"> </w:t>
            </w:r>
            <w:r w:rsidRPr="00D77BBE">
              <w:rPr>
                <w:sz w:val="20"/>
                <w:szCs w:val="20"/>
              </w:rPr>
              <w:t>leczenia</w:t>
            </w:r>
            <w:r w:rsidR="00D0407A">
              <w:rPr>
                <w:sz w:val="20"/>
                <w:szCs w:val="20"/>
              </w:rPr>
              <w:t xml:space="preserve"> </w:t>
            </w:r>
            <w:r w:rsidRPr="00D77BBE">
              <w:rPr>
                <w:sz w:val="20"/>
                <w:szCs w:val="20"/>
              </w:rPr>
              <w:t>danym</w:t>
            </w:r>
            <w:r w:rsidR="00D0407A">
              <w:rPr>
                <w:sz w:val="20"/>
                <w:szCs w:val="20"/>
              </w:rPr>
              <w:t xml:space="preserve"> </w:t>
            </w:r>
            <w:r w:rsidRPr="00D77BBE">
              <w:rPr>
                <w:sz w:val="20"/>
                <w:szCs w:val="20"/>
              </w:rPr>
              <w:t>lekiem.</w:t>
            </w:r>
          </w:p>
          <w:p w14:paraId="3EE6F47E" w14:textId="45D2FD91" w:rsidR="007F5D21" w:rsidRPr="00710292" w:rsidRDefault="007F5D21" w:rsidP="007F5D21">
            <w:pPr>
              <w:autoSpaceDE w:val="0"/>
              <w:autoSpaceDN w:val="0"/>
              <w:adjustRightInd w:val="0"/>
              <w:spacing w:after="60"/>
              <w:ind w:left="397"/>
              <w:jc w:val="both"/>
              <w:rPr>
                <w:sz w:val="20"/>
                <w:szCs w:val="20"/>
              </w:rPr>
            </w:pPr>
          </w:p>
        </w:tc>
        <w:tc>
          <w:tcPr>
            <w:tcW w:w="1243" w:type="pct"/>
            <w:tcBorders>
              <w:top w:val="single" w:sz="4" w:space="0" w:color="auto"/>
              <w:left w:val="single" w:sz="4" w:space="0" w:color="000000"/>
              <w:bottom w:val="single" w:sz="4" w:space="0" w:color="auto"/>
              <w:right w:val="single" w:sz="4" w:space="0" w:color="000000"/>
            </w:tcBorders>
          </w:tcPr>
          <w:p w14:paraId="3D3E5160" w14:textId="7DE0EF3C" w:rsidR="00A27DD0" w:rsidRPr="007F5D21" w:rsidRDefault="00A27DD0" w:rsidP="007F5D21">
            <w:pPr>
              <w:spacing w:before="120" w:after="60"/>
              <w:jc w:val="both"/>
              <w:rPr>
                <w:b/>
                <w:sz w:val="20"/>
                <w:szCs w:val="20"/>
              </w:rPr>
            </w:pPr>
            <w:r w:rsidRPr="007F5D21">
              <w:rPr>
                <w:b/>
                <w:sz w:val="20"/>
                <w:szCs w:val="20"/>
              </w:rPr>
              <w:lastRenderedPageBreak/>
              <w:t>Dawkowanie</w:t>
            </w:r>
          </w:p>
          <w:p w14:paraId="0744F0EC" w14:textId="23F09DCD" w:rsidR="0087786B" w:rsidRPr="0099418B" w:rsidRDefault="00822D6E" w:rsidP="007F5D21">
            <w:pPr>
              <w:numPr>
                <w:ilvl w:val="2"/>
                <w:numId w:val="30"/>
              </w:numPr>
              <w:spacing w:after="60"/>
              <w:jc w:val="both"/>
              <w:rPr>
                <w:sz w:val="20"/>
                <w:szCs w:val="20"/>
              </w:rPr>
            </w:pPr>
            <w:r w:rsidRPr="00822D6E">
              <w:rPr>
                <w:sz w:val="20"/>
                <w:szCs w:val="20"/>
              </w:rPr>
              <w:t>Leczenie</w:t>
            </w:r>
            <w:r w:rsidR="00D0407A">
              <w:rPr>
                <w:sz w:val="20"/>
                <w:szCs w:val="20"/>
              </w:rPr>
              <w:t xml:space="preserve"> </w:t>
            </w:r>
            <w:r w:rsidRPr="00822D6E">
              <w:rPr>
                <w:sz w:val="20"/>
                <w:szCs w:val="20"/>
              </w:rPr>
              <w:t>powinno</w:t>
            </w:r>
            <w:r w:rsidR="00D0407A">
              <w:rPr>
                <w:sz w:val="20"/>
                <w:szCs w:val="20"/>
              </w:rPr>
              <w:t xml:space="preserve"> </w:t>
            </w:r>
            <w:r w:rsidRPr="00822D6E">
              <w:rPr>
                <w:sz w:val="20"/>
                <w:szCs w:val="20"/>
              </w:rPr>
              <w:t>być</w:t>
            </w:r>
            <w:r w:rsidR="00D0407A">
              <w:rPr>
                <w:sz w:val="20"/>
                <w:szCs w:val="20"/>
              </w:rPr>
              <w:t xml:space="preserve"> </w:t>
            </w:r>
            <w:r w:rsidRPr="00822D6E">
              <w:rPr>
                <w:sz w:val="20"/>
                <w:szCs w:val="20"/>
              </w:rPr>
              <w:t>prowadzone</w:t>
            </w:r>
            <w:r w:rsidR="00D0407A">
              <w:rPr>
                <w:sz w:val="20"/>
                <w:szCs w:val="20"/>
              </w:rPr>
              <w:t xml:space="preserve"> </w:t>
            </w:r>
            <w:r w:rsidRPr="00822D6E">
              <w:rPr>
                <w:sz w:val="20"/>
                <w:szCs w:val="20"/>
              </w:rPr>
              <w:t>zgodnie</w:t>
            </w:r>
            <w:r w:rsidR="00D0407A">
              <w:rPr>
                <w:sz w:val="20"/>
                <w:szCs w:val="20"/>
              </w:rPr>
              <w:t xml:space="preserve"> </w:t>
            </w:r>
            <w:r w:rsidR="000F1FC8">
              <w:rPr>
                <w:sz w:val="20"/>
                <w:szCs w:val="20"/>
              </w:rPr>
              <w:t xml:space="preserve">z </w:t>
            </w:r>
            <w:r w:rsidRPr="00822D6E">
              <w:rPr>
                <w:sz w:val="20"/>
                <w:szCs w:val="20"/>
              </w:rPr>
              <w:t>Charakterystyką</w:t>
            </w:r>
            <w:r w:rsidR="00D0407A">
              <w:rPr>
                <w:sz w:val="20"/>
                <w:szCs w:val="20"/>
              </w:rPr>
              <w:t xml:space="preserve"> </w:t>
            </w:r>
            <w:r w:rsidRPr="00822D6E">
              <w:rPr>
                <w:sz w:val="20"/>
                <w:szCs w:val="20"/>
              </w:rPr>
              <w:t>Produktu</w:t>
            </w:r>
            <w:r w:rsidR="00D0407A">
              <w:rPr>
                <w:sz w:val="20"/>
                <w:szCs w:val="20"/>
              </w:rPr>
              <w:t xml:space="preserve"> </w:t>
            </w:r>
            <w:r w:rsidRPr="00822D6E">
              <w:rPr>
                <w:sz w:val="20"/>
                <w:szCs w:val="20"/>
              </w:rPr>
              <w:t>Leczniczego</w:t>
            </w:r>
            <w:r w:rsidR="00D0407A">
              <w:rPr>
                <w:sz w:val="20"/>
                <w:szCs w:val="20"/>
              </w:rPr>
              <w:t xml:space="preserve"> </w:t>
            </w:r>
            <w:r w:rsidR="00097402" w:rsidRPr="0099418B">
              <w:rPr>
                <w:sz w:val="20"/>
                <w:szCs w:val="20"/>
              </w:rPr>
              <w:t>aktualną</w:t>
            </w:r>
            <w:r w:rsidR="00D0407A">
              <w:rPr>
                <w:sz w:val="20"/>
                <w:szCs w:val="20"/>
              </w:rPr>
              <w:t xml:space="preserve"> </w:t>
            </w:r>
            <w:r w:rsidR="00097402" w:rsidRPr="0099418B">
              <w:rPr>
                <w:sz w:val="20"/>
                <w:szCs w:val="20"/>
              </w:rPr>
              <w:t>na</w:t>
            </w:r>
            <w:r w:rsidR="00D0407A">
              <w:rPr>
                <w:sz w:val="20"/>
                <w:szCs w:val="20"/>
              </w:rPr>
              <w:t xml:space="preserve"> </w:t>
            </w:r>
            <w:r w:rsidR="00097402" w:rsidRPr="0099418B">
              <w:rPr>
                <w:sz w:val="20"/>
                <w:szCs w:val="20"/>
              </w:rPr>
              <w:t>dzień</w:t>
            </w:r>
            <w:r w:rsidR="00D0407A">
              <w:rPr>
                <w:sz w:val="20"/>
                <w:szCs w:val="20"/>
              </w:rPr>
              <w:t xml:space="preserve"> </w:t>
            </w:r>
            <w:r w:rsidR="00097402" w:rsidRPr="0099418B">
              <w:rPr>
                <w:sz w:val="20"/>
                <w:szCs w:val="20"/>
              </w:rPr>
              <w:t>wydania</w:t>
            </w:r>
            <w:r w:rsidR="00D0407A">
              <w:rPr>
                <w:sz w:val="20"/>
                <w:szCs w:val="20"/>
              </w:rPr>
              <w:t xml:space="preserve"> </w:t>
            </w:r>
            <w:r w:rsidR="00097402" w:rsidRPr="0099418B">
              <w:rPr>
                <w:sz w:val="20"/>
                <w:szCs w:val="20"/>
              </w:rPr>
              <w:t>decyzji</w:t>
            </w:r>
            <w:r w:rsidR="0087786B" w:rsidRPr="0099418B">
              <w:rPr>
                <w:sz w:val="20"/>
                <w:szCs w:val="20"/>
              </w:rPr>
              <w:t>.</w:t>
            </w:r>
          </w:p>
          <w:p w14:paraId="7ADB3B23" w14:textId="333806B3" w:rsidR="00822D6E" w:rsidRPr="00822D6E" w:rsidRDefault="0087786B" w:rsidP="007F5D21">
            <w:pPr>
              <w:numPr>
                <w:ilvl w:val="2"/>
                <w:numId w:val="30"/>
              </w:numPr>
              <w:spacing w:after="60"/>
              <w:jc w:val="both"/>
              <w:rPr>
                <w:sz w:val="20"/>
                <w:szCs w:val="20"/>
              </w:rPr>
            </w:pPr>
            <w:r>
              <w:rPr>
                <w:sz w:val="20"/>
                <w:szCs w:val="20"/>
              </w:rPr>
              <w:t>W</w:t>
            </w:r>
            <w:r w:rsidR="00D0407A">
              <w:rPr>
                <w:sz w:val="20"/>
                <w:szCs w:val="20"/>
              </w:rPr>
              <w:t xml:space="preserve"> </w:t>
            </w:r>
            <w:r>
              <w:rPr>
                <w:sz w:val="20"/>
                <w:szCs w:val="20"/>
              </w:rPr>
              <w:t>ramach</w:t>
            </w:r>
            <w:r w:rsidR="00D0407A">
              <w:rPr>
                <w:sz w:val="20"/>
                <w:szCs w:val="20"/>
              </w:rPr>
              <w:t xml:space="preserve"> </w:t>
            </w:r>
            <w:r>
              <w:rPr>
                <w:sz w:val="20"/>
                <w:szCs w:val="20"/>
              </w:rPr>
              <w:t>programu</w:t>
            </w:r>
            <w:r w:rsidR="00D0407A">
              <w:rPr>
                <w:sz w:val="20"/>
                <w:szCs w:val="20"/>
              </w:rPr>
              <w:t xml:space="preserve"> </w:t>
            </w:r>
            <w:r>
              <w:rPr>
                <w:sz w:val="20"/>
                <w:szCs w:val="20"/>
              </w:rPr>
              <w:t>dopuszczalne</w:t>
            </w:r>
            <w:r w:rsidR="00D0407A">
              <w:rPr>
                <w:sz w:val="20"/>
                <w:szCs w:val="20"/>
              </w:rPr>
              <w:t xml:space="preserve"> </w:t>
            </w:r>
            <w:r>
              <w:rPr>
                <w:sz w:val="20"/>
                <w:szCs w:val="20"/>
              </w:rPr>
              <w:t>jest</w:t>
            </w:r>
            <w:r w:rsidR="00D0407A">
              <w:rPr>
                <w:sz w:val="20"/>
                <w:szCs w:val="20"/>
              </w:rPr>
              <w:t xml:space="preserve"> </w:t>
            </w:r>
            <w:r w:rsidR="00822D6E" w:rsidRPr="00822D6E">
              <w:rPr>
                <w:sz w:val="20"/>
                <w:szCs w:val="20"/>
              </w:rPr>
              <w:t>rozpoczę</w:t>
            </w:r>
            <w:r>
              <w:rPr>
                <w:sz w:val="20"/>
                <w:szCs w:val="20"/>
              </w:rPr>
              <w:t>ci</w:t>
            </w:r>
            <w:r w:rsidR="00822D6E" w:rsidRPr="00822D6E">
              <w:rPr>
                <w:sz w:val="20"/>
                <w:szCs w:val="20"/>
              </w:rPr>
              <w:t>e</w:t>
            </w:r>
            <w:r w:rsidR="00D0407A">
              <w:rPr>
                <w:sz w:val="20"/>
                <w:szCs w:val="20"/>
              </w:rPr>
              <w:t xml:space="preserve"> </w:t>
            </w:r>
            <w:r w:rsidR="00011F07">
              <w:rPr>
                <w:sz w:val="20"/>
                <w:szCs w:val="20"/>
              </w:rPr>
              <w:t>terapii</w:t>
            </w:r>
            <w:r w:rsidR="00D0407A">
              <w:rPr>
                <w:sz w:val="20"/>
                <w:szCs w:val="20"/>
              </w:rPr>
              <w:t xml:space="preserve"> </w:t>
            </w:r>
            <w:r w:rsidR="00822D6E" w:rsidRPr="00822D6E">
              <w:rPr>
                <w:sz w:val="20"/>
                <w:szCs w:val="20"/>
              </w:rPr>
              <w:t>od</w:t>
            </w:r>
            <w:r w:rsidR="00D0407A">
              <w:rPr>
                <w:sz w:val="20"/>
                <w:szCs w:val="20"/>
              </w:rPr>
              <w:t xml:space="preserve"> </w:t>
            </w:r>
            <w:r w:rsidR="00822D6E" w:rsidRPr="00822D6E">
              <w:rPr>
                <w:sz w:val="20"/>
                <w:szCs w:val="20"/>
              </w:rPr>
              <w:t>dawki</w:t>
            </w:r>
            <w:r w:rsidR="00D0407A">
              <w:rPr>
                <w:sz w:val="20"/>
                <w:szCs w:val="20"/>
              </w:rPr>
              <w:t xml:space="preserve"> </w:t>
            </w:r>
            <w:r w:rsidR="00822D6E" w:rsidRPr="00822D6E">
              <w:rPr>
                <w:sz w:val="20"/>
                <w:szCs w:val="20"/>
              </w:rPr>
              <w:t>150</w:t>
            </w:r>
            <w:r w:rsidR="00D0407A">
              <w:rPr>
                <w:sz w:val="20"/>
                <w:szCs w:val="20"/>
              </w:rPr>
              <w:t xml:space="preserve"> </w:t>
            </w:r>
            <w:r w:rsidR="00822D6E" w:rsidRPr="00822D6E">
              <w:rPr>
                <w:sz w:val="20"/>
                <w:szCs w:val="20"/>
              </w:rPr>
              <w:t>mg/m</w:t>
            </w:r>
            <w:r w:rsidR="00822D6E" w:rsidRPr="00011F07">
              <w:rPr>
                <w:sz w:val="20"/>
                <w:szCs w:val="20"/>
                <w:vertAlign w:val="superscript"/>
              </w:rPr>
              <w:t>2</w:t>
            </w:r>
            <w:r w:rsidR="00822D6E" w:rsidRPr="00822D6E">
              <w:rPr>
                <w:sz w:val="20"/>
                <w:szCs w:val="20"/>
              </w:rPr>
              <w:t>p</w:t>
            </w:r>
            <w:r w:rsidR="00011F07">
              <w:rPr>
                <w:sz w:val="20"/>
                <w:szCs w:val="20"/>
              </w:rPr>
              <w:t>.</w:t>
            </w:r>
            <w:r w:rsidR="00822D6E" w:rsidRPr="00822D6E">
              <w:rPr>
                <w:sz w:val="20"/>
                <w:szCs w:val="20"/>
              </w:rPr>
              <w:t>c./dobę</w:t>
            </w:r>
            <w:r w:rsidR="00641335">
              <w:rPr>
                <w:sz w:val="20"/>
                <w:szCs w:val="20"/>
              </w:rPr>
              <w:t>,</w:t>
            </w:r>
            <w:r w:rsidR="00D0407A">
              <w:rPr>
                <w:sz w:val="20"/>
                <w:szCs w:val="20"/>
              </w:rPr>
              <w:t xml:space="preserve"> </w:t>
            </w:r>
            <w:r w:rsidR="00011F07">
              <w:rPr>
                <w:sz w:val="20"/>
                <w:szCs w:val="20"/>
              </w:rPr>
              <w:t>podawanej</w:t>
            </w:r>
            <w:r w:rsidR="00D0407A">
              <w:rPr>
                <w:sz w:val="20"/>
                <w:szCs w:val="20"/>
              </w:rPr>
              <w:t xml:space="preserve"> </w:t>
            </w:r>
            <w:r w:rsidR="00822D6E" w:rsidRPr="00822D6E">
              <w:rPr>
                <w:sz w:val="20"/>
                <w:szCs w:val="20"/>
              </w:rPr>
              <w:t>przez</w:t>
            </w:r>
            <w:r w:rsidR="00D0407A">
              <w:rPr>
                <w:sz w:val="20"/>
                <w:szCs w:val="20"/>
              </w:rPr>
              <w:t xml:space="preserve"> </w:t>
            </w:r>
            <w:r w:rsidR="00822D6E" w:rsidRPr="00822D6E">
              <w:rPr>
                <w:sz w:val="20"/>
                <w:szCs w:val="20"/>
              </w:rPr>
              <w:t>okres</w:t>
            </w:r>
            <w:r w:rsidR="00D0407A">
              <w:rPr>
                <w:sz w:val="20"/>
                <w:szCs w:val="20"/>
              </w:rPr>
              <w:t xml:space="preserve"> </w:t>
            </w:r>
            <w:r w:rsidR="00822D6E" w:rsidRPr="00822D6E">
              <w:rPr>
                <w:sz w:val="20"/>
                <w:szCs w:val="20"/>
              </w:rPr>
              <w:t>14</w:t>
            </w:r>
            <w:r w:rsidR="00D0407A">
              <w:rPr>
                <w:sz w:val="20"/>
                <w:szCs w:val="20"/>
              </w:rPr>
              <w:t xml:space="preserve"> </w:t>
            </w:r>
            <w:r w:rsidR="00822D6E" w:rsidRPr="00822D6E">
              <w:rPr>
                <w:sz w:val="20"/>
                <w:szCs w:val="20"/>
              </w:rPr>
              <w:t>dni,</w:t>
            </w:r>
            <w:r w:rsidR="00D0407A">
              <w:rPr>
                <w:sz w:val="20"/>
                <w:szCs w:val="20"/>
              </w:rPr>
              <w:t xml:space="preserve"> </w:t>
            </w:r>
            <w:r w:rsidR="00822D6E" w:rsidRPr="00822D6E">
              <w:rPr>
                <w:sz w:val="20"/>
                <w:szCs w:val="20"/>
              </w:rPr>
              <w:t>po</w:t>
            </w:r>
            <w:r w:rsidR="00D0407A">
              <w:rPr>
                <w:sz w:val="20"/>
                <w:szCs w:val="20"/>
              </w:rPr>
              <w:t xml:space="preserve"> </w:t>
            </w:r>
            <w:r w:rsidR="00822D6E" w:rsidRPr="00822D6E">
              <w:rPr>
                <w:sz w:val="20"/>
                <w:szCs w:val="20"/>
              </w:rPr>
              <w:t>których</w:t>
            </w:r>
            <w:r w:rsidR="00D0407A">
              <w:rPr>
                <w:sz w:val="20"/>
                <w:szCs w:val="20"/>
              </w:rPr>
              <w:t xml:space="preserve"> </w:t>
            </w:r>
            <w:r w:rsidR="00822D6E" w:rsidRPr="00822D6E">
              <w:rPr>
                <w:sz w:val="20"/>
                <w:szCs w:val="20"/>
              </w:rPr>
              <w:t>należy</w:t>
            </w:r>
            <w:r w:rsidR="00D0407A">
              <w:rPr>
                <w:sz w:val="20"/>
                <w:szCs w:val="20"/>
              </w:rPr>
              <w:t xml:space="preserve"> </w:t>
            </w:r>
            <w:r w:rsidR="00822D6E" w:rsidRPr="00822D6E">
              <w:rPr>
                <w:sz w:val="20"/>
                <w:szCs w:val="20"/>
              </w:rPr>
              <w:t>zwiększyć</w:t>
            </w:r>
            <w:r w:rsidR="00D0407A">
              <w:rPr>
                <w:sz w:val="20"/>
                <w:szCs w:val="20"/>
              </w:rPr>
              <w:t xml:space="preserve"> </w:t>
            </w:r>
            <w:r w:rsidR="00822D6E" w:rsidRPr="00822D6E">
              <w:rPr>
                <w:sz w:val="20"/>
                <w:szCs w:val="20"/>
              </w:rPr>
              <w:t>dawkę</w:t>
            </w:r>
            <w:r w:rsidR="00D0407A">
              <w:rPr>
                <w:sz w:val="20"/>
                <w:szCs w:val="20"/>
              </w:rPr>
              <w:t xml:space="preserve"> </w:t>
            </w:r>
            <w:r w:rsidR="00822D6E" w:rsidRPr="00822D6E">
              <w:rPr>
                <w:sz w:val="20"/>
                <w:szCs w:val="20"/>
              </w:rPr>
              <w:t>do</w:t>
            </w:r>
            <w:r w:rsidR="00D0407A">
              <w:rPr>
                <w:sz w:val="20"/>
                <w:szCs w:val="20"/>
              </w:rPr>
              <w:t xml:space="preserve"> </w:t>
            </w:r>
            <w:r w:rsidR="00822D6E" w:rsidRPr="00822D6E">
              <w:rPr>
                <w:sz w:val="20"/>
                <w:szCs w:val="20"/>
              </w:rPr>
              <w:t>300</w:t>
            </w:r>
            <w:r w:rsidR="00D0407A">
              <w:rPr>
                <w:sz w:val="20"/>
                <w:szCs w:val="20"/>
              </w:rPr>
              <w:t xml:space="preserve"> </w:t>
            </w:r>
            <w:r w:rsidR="00822D6E" w:rsidRPr="00822D6E">
              <w:rPr>
                <w:sz w:val="20"/>
                <w:szCs w:val="20"/>
              </w:rPr>
              <w:t>mg/m</w:t>
            </w:r>
            <w:r w:rsidR="00822D6E" w:rsidRPr="00011F07">
              <w:rPr>
                <w:sz w:val="20"/>
                <w:szCs w:val="20"/>
                <w:vertAlign w:val="superscript"/>
              </w:rPr>
              <w:t>2</w:t>
            </w:r>
            <w:r w:rsidR="00822D6E" w:rsidRPr="00822D6E">
              <w:rPr>
                <w:sz w:val="20"/>
                <w:szCs w:val="20"/>
              </w:rPr>
              <w:t>p</w:t>
            </w:r>
            <w:r w:rsidR="00011F07">
              <w:rPr>
                <w:sz w:val="20"/>
                <w:szCs w:val="20"/>
              </w:rPr>
              <w:t>.</w:t>
            </w:r>
            <w:r w:rsidR="00822D6E" w:rsidRPr="00822D6E">
              <w:rPr>
                <w:sz w:val="20"/>
                <w:szCs w:val="20"/>
              </w:rPr>
              <w:t>c./dobę.</w:t>
            </w:r>
            <w:r w:rsidR="00D0407A">
              <w:rPr>
                <w:sz w:val="20"/>
                <w:szCs w:val="20"/>
              </w:rPr>
              <w:t xml:space="preserve"> </w:t>
            </w:r>
          </w:p>
          <w:p w14:paraId="4778B0C4" w14:textId="77777777" w:rsidR="00EF5254" w:rsidRPr="008328B6" w:rsidRDefault="00EF5254" w:rsidP="007F5D21">
            <w:pPr>
              <w:spacing w:after="60"/>
              <w:jc w:val="both"/>
              <w:rPr>
                <w:sz w:val="20"/>
                <w:szCs w:val="20"/>
              </w:rPr>
            </w:pPr>
          </w:p>
        </w:tc>
        <w:tc>
          <w:tcPr>
            <w:tcW w:w="1824" w:type="pct"/>
            <w:tcBorders>
              <w:top w:val="single" w:sz="4" w:space="0" w:color="auto"/>
              <w:left w:val="single" w:sz="4" w:space="0" w:color="000000"/>
              <w:bottom w:val="single" w:sz="4" w:space="0" w:color="auto"/>
              <w:right w:val="single" w:sz="4" w:space="0" w:color="auto"/>
            </w:tcBorders>
          </w:tcPr>
          <w:p w14:paraId="7C221D33" w14:textId="0ABC8903" w:rsidR="00822D6E" w:rsidRPr="00F30324" w:rsidRDefault="00822D6E" w:rsidP="007F5D21">
            <w:pPr>
              <w:pStyle w:val="Akapitzlist"/>
              <w:numPr>
                <w:ilvl w:val="0"/>
                <w:numId w:val="31"/>
              </w:numPr>
              <w:spacing w:before="120" w:after="60"/>
              <w:contextualSpacing w:val="0"/>
              <w:jc w:val="both"/>
              <w:rPr>
                <w:b/>
                <w:sz w:val="20"/>
                <w:szCs w:val="20"/>
              </w:rPr>
            </w:pPr>
            <w:r w:rsidRPr="00F30324">
              <w:rPr>
                <w:b/>
                <w:sz w:val="20"/>
                <w:szCs w:val="20"/>
              </w:rPr>
              <w:t>Badania</w:t>
            </w:r>
            <w:r w:rsidR="00D0407A">
              <w:rPr>
                <w:b/>
                <w:sz w:val="20"/>
                <w:szCs w:val="20"/>
              </w:rPr>
              <w:t xml:space="preserve"> </w:t>
            </w:r>
            <w:r w:rsidRPr="00F30324">
              <w:rPr>
                <w:b/>
                <w:sz w:val="20"/>
                <w:szCs w:val="20"/>
              </w:rPr>
              <w:t>przy</w:t>
            </w:r>
            <w:r w:rsidR="00D0407A">
              <w:rPr>
                <w:b/>
                <w:sz w:val="20"/>
                <w:szCs w:val="20"/>
              </w:rPr>
              <w:t xml:space="preserve"> </w:t>
            </w:r>
            <w:r w:rsidRPr="00F30324">
              <w:rPr>
                <w:b/>
                <w:sz w:val="20"/>
                <w:szCs w:val="20"/>
              </w:rPr>
              <w:t>kwalifikacji</w:t>
            </w:r>
          </w:p>
          <w:p w14:paraId="4BB38AC9" w14:textId="2F8CF1A2" w:rsidR="00B4149C" w:rsidRDefault="00822D6E" w:rsidP="007F5D21">
            <w:pPr>
              <w:numPr>
                <w:ilvl w:val="2"/>
                <w:numId w:val="31"/>
              </w:numPr>
              <w:spacing w:after="60"/>
              <w:jc w:val="both"/>
              <w:rPr>
                <w:sz w:val="20"/>
                <w:szCs w:val="20"/>
              </w:rPr>
            </w:pPr>
            <w:r w:rsidRPr="00822D6E">
              <w:rPr>
                <w:sz w:val="20"/>
                <w:szCs w:val="20"/>
              </w:rPr>
              <w:t>morfologia</w:t>
            </w:r>
            <w:r w:rsidR="00D0407A">
              <w:rPr>
                <w:sz w:val="20"/>
                <w:szCs w:val="20"/>
              </w:rPr>
              <w:t xml:space="preserve"> </w:t>
            </w:r>
            <w:r w:rsidR="00B4149C">
              <w:rPr>
                <w:sz w:val="20"/>
                <w:szCs w:val="20"/>
              </w:rPr>
              <w:t>krwi</w:t>
            </w:r>
            <w:r w:rsidR="00D0407A">
              <w:rPr>
                <w:sz w:val="20"/>
                <w:szCs w:val="20"/>
              </w:rPr>
              <w:t xml:space="preserve"> </w:t>
            </w:r>
            <w:r w:rsidR="00011F07">
              <w:rPr>
                <w:sz w:val="20"/>
                <w:szCs w:val="20"/>
              </w:rPr>
              <w:t>z</w:t>
            </w:r>
            <w:r w:rsidR="00D0407A">
              <w:rPr>
                <w:sz w:val="20"/>
                <w:szCs w:val="20"/>
              </w:rPr>
              <w:t xml:space="preserve"> </w:t>
            </w:r>
            <w:r w:rsidR="00011F07">
              <w:rPr>
                <w:sz w:val="20"/>
                <w:szCs w:val="20"/>
              </w:rPr>
              <w:t>rozmazem</w:t>
            </w:r>
            <w:r w:rsidR="0038356E">
              <w:rPr>
                <w:sz w:val="20"/>
                <w:szCs w:val="20"/>
              </w:rPr>
              <w:t>;</w:t>
            </w:r>
          </w:p>
          <w:p w14:paraId="4E565160" w14:textId="2B1D0671" w:rsidR="00822D6E" w:rsidRPr="00822D6E" w:rsidRDefault="00B4149C" w:rsidP="007F5D21">
            <w:pPr>
              <w:numPr>
                <w:ilvl w:val="2"/>
                <w:numId w:val="31"/>
              </w:numPr>
              <w:spacing w:after="60"/>
              <w:jc w:val="both"/>
              <w:rPr>
                <w:sz w:val="20"/>
                <w:szCs w:val="20"/>
              </w:rPr>
            </w:pPr>
            <w:r w:rsidRPr="00B4149C">
              <w:rPr>
                <w:sz w:val="20"/>
                <w:szCs w:val="20"/>
              </w:rPr>
              <w:t>stężenie</w:t>
            </w:r>
            <w:r w:rsidR="00D0407A">
              <w:rPr>
                <w:sz w:val="20"/>
                <w:szCs w:val="20"/>
              </w:rPr>
              <w:t xml:space="preserve"> </w:t>
            </w:r>
            <w:r w:rsidRPr="00B4149C">
              <w:rPr>
                <w:sz w:val="20"/>
                <w:szCs w:val="20"/>
              </w:rPr>
              <w:t>kreatyniny</w:t>
            </w:r>
            <w:r w:rsidR="0038356E">
              <w:rPr>
                <w:sz w:val="20"/>
                <w:szCs w:val="20"/>
              </w:rPr>
              <w:t>;</w:t>
            </w:r>
          </w:p>
          <w:p w14:paraId="607CBCF8" w14:textId="2A63EAB1" w:rsidR="00822D6E" w:rsidRPr="00822D6E" w:rsidRDefault="003E5BDC" w:rsidP="007F5D21">
            <w:pPr>
              <w:numPr>
                <w:ilvl w:val="2"/>
                <w:numId w:val="31"/>
              </w:numPr>
              <w:spacing w:after="60"/>
              <w:jc w:val="both"/>
              <w:rPr>
                <w:sz w:val="20"/>
                <w:szCs w:val="20"/>
              </w:rPr>
            </w:pPr>
            <w:r>
              <w:rPr>
                <w:sz w:val="20"/>
                <w:szCs w:val="20"/>
              </w:rPr>
              <w:t>stężenie</w:t>
            </w:r>
            <w:r w:rsidR="00D0407A">
              <w:rPr>
                <w:sz w:val="20"/>
                <w:szCs w:val="20"/>
              </w:rPr>
              <w:t xml:space="preserve"> </w:t>
            </w:r>
            <w:r w:rsidR="00822D6E" w:rsidRPr="00822D6E">
              <w:rPr>
                <w:sz w:val="20"/>
                <w:szCs w:val="20"/>
              </w:rPr>
              <w:t>glukoz</w:t>
            </w:r>
            <w:r w:rsidR="00B4149C">
              <w:rPr>
                <w:sz w:val="20"/>
                <w:szCs w:val="20"/>
              </w:rPr>
              <w:t>y</w:t>
            </w:r>
            <w:r w:rsidR="00D0407A">
              <w:rPr>
                <w:sz w:val="20"/>
                <w:szCs w:val="20"/>
              </w:rPr>
              <w:t xml:space="preserve"> </w:t>
            </w:r>
            <w:r w:rsidR="00822D6E" w:rsidRPr="00822D6E">
              <w:rPr>
                <w:sz w:val="20"/>
                <w:szCs w:val="20"/>
              </w:rPr>
              <w:t>we</w:t>
            </w:r>
            <w:r w:rsidR="00D0407A">
              <w:rPr>
                <w:sz w:val="20"/>
                <w:szCs w:val="20"/>
              </w:rPr>
              <w:t xml:space="preserve"> </w:t>
            </w:r>
            <w:r w:rsidR="00822D6E" w:rsidRPr="00822D6E">
              <w:rPr>
                <w:sz w:val="20"/>
                <w:szCs w:val="20"/>
              </w:rPr>
              <w:t>krwi</w:t>
            </w:r>
            <w:r w:rsidR="0038356E">
              <w:rPr>
                <w:sz w:val="20"/>
                <w:szCs w:val="20"/>
              </w:rPr>
              <w:t>;</w:t>
            </w:r>
          </w:p>
          <w:p w14:paraId="2C6A61EB" w14:textId="5EB5F58A" w:rsidR="00B4149C" w:rsidRDefault="003E5BDC" w:rsidP="007F5D21">
            <w:pPr>
              <w:numPr>
                <w:ilvl w:val="2"/>
                <w:numId w:val="31"/>
              </w:numPr>
              <w:spacing w:after="60"/>
              <w:jc w:val="both"/>
              <w:rPr>
                <w:sz w:val="20"/>
                <w:szCs w:val="20"/>
              </w:rPr>
            </w:pPr>
            <w:r w:rsidRPr="00213EA6">
              <w:rPr>
                <w:sz w:val="20"/>
                <w:szCs w:val="20"/>
              </w:rPr>
              <w:t>aktywnoś</w:t>
            </w:r>
            <w:r>
              <w:rPr>
                <w:sz w:val="20"/>
                <w:szCs w:val="20"/>
              </w:rPr>
              <w:t>ć</w:t>
            </w:r>
            <w:r w:rsidR="00D0407A">
              <w:rPr>
                <w:sz w:val="20"/>
                <w:szCs w:val="20"/>
              </w:rPr>
              <w:t xml:space="preserve"> </w:t>
            </w:r>
            <w:r w:rsidRPr="00213EA6">
              <w:rPr>
                <w:sz w:val="20"/>
                <w:szCs w:val="20"/>
              </w:rPr>
              <w:t>aminotransferaz</w:t>
            </w:r>
            <w:r w:rsidR="00D0407A">
              <w:rPr>
                <w:sz w:val="20"/>
                <w:szCs w:val="20"/>
              </w:rPr>
              <w:t xml:space="preserve"> </w:t>
            </w:r>
            <w:r w:rsidRPr="00213EA6">
              <w:rPr>
                <w:sz w:val="20"/>
                <w:szCs w:val="20"/>
              </w:rPr>
              <w:t>(AspAT,</w:t>
            </w:r>
            <w:r w:rsidR="00D0407A">
              <w:rPr>
                <w:sz w:val="20"/>
                <w:szCs w:val="20"/>
              </w:rPr>
              <w:t xml:space="preserve"> </w:t>
            </w:r>
            <w:r w:rsidRPr="00213EA6">
              <w:rPr>
                <w:sz w:val="20"/>
                <w:szCs w:val="20"/>
              </w:rPr>
              <w:t>AlAT)</w:t>
            </w:r>
            <w:r w:rsidR="00D0407A">
              <w:rPr>
                <w:sz w:val="20"/>
                <w:szCs w:val="20"/>
              </w:rPr>
              <w:t xml:space="preserve"> </w:t>
            </w:r>
            <w:r w:rsidRPr="00213EA6">
              <w:rPr>
                <w:sz w:val="20"/>
                <w:szCs w:val="20"/>
              </w:rPr>
              <w:t>oraz</w:t>
            </w:r>
            <w:r w:rsidR="00D0407A">
              <w:rPr>
                <w:sz w:val="20"/>
                <w:szCs w:val="20"/>
              </w:rPr>
              <w:t xml:space="preserve"> </w:t>
            </w:r>
            <w:r w:rsidRPr="00213EA6">
              <w:rPr>
                <w:sz w:val="20"/>
                <w:szCs w:val="20"/>
              </w:rPr>
              <w:t>stężenie</w:t>
            </w:r>
            <w:r w:rsidR="00D0407A">
              <w:rPr>
                <w:sz w:val="20"/>
                <w:szCs w:val="20"/>
              </w:rPr>
              <w:t xml:space="preserve"> </w:t>
            </w:r>
            <w:r w:rsidRPr="00213EA6">
              <w:rPr>
                <w:sz w:val="20"/>
                <w:szCs w:val="20"/>
              </w:rPr>
              <w:t>bilirubiny</w:t>
            </w:r>
            <w:r w:rsidR="00D0407A">
              <w:rPr>
                <w:sz w:val="20"/>
                <w:szCs w:val="20"/>
              </w:rPr>
              <w:t xml:space="preserve"> </w:t>
            </w:r>
            <w:r w:rsidRPr="00213EA6">
              <w:rPr>
                <w:sz w:val="20"/>
                <w:szCs w:val="20"/>
              </w:rPr>
              <w:t>całkowitej</w:t>
            </w:r>
            <w:r w:rsidR="00D0407A">
              <w:rPr>
                <w:sz w:val="20"/>
                <w:szCs w:val="20"/>
              </w:rPr>
              <w:t xml:space="preserve"> </w:t>
            </w:r>
          </w:p>
          <w:p w14:paraId="703BB3EE" w14:textId="7052B8B0" w:rsidR="00822D6E" w:rsidRPr="00822D6E" w:rsidRDefault="005D0298" w:rsidP="007F5D21">
            <w:pPr>
              <w:numPr>
                <w:ilvl w:val="2"/>
                <w:numId w:val="31"/>
              </w:numPr>
              <w:spacing w:after="60"/>
              <w:jc w:val="both"/>
              <w:rPr>
                <w:sz w:val="20"/>
                <w:szCs w:val="20"/>
              </w:rPr>
            </w:pPr>
            <w:r>
              <w:rPr>
                <w:sz w:val="20"/>
                <w:szCs w:val="20"/>
              </w:rPr>
              <w:t>stężenie</w:t>
            </w:r>
            <w:r w:rsidR="00D0407A">
              <w:rPr>
                <w:sz w:val="20"/>
                <w:szCs w:val="20"/>
              </w:rPr>
              <w:t xml:space="preserve"> </w:t>
            </w:r>
            <w:r w:rsidR="00822D6E" w:rsidRPr="00822D6E">
              <w:rPr>
                <w:sz w:val="20"/>
                <w:szCs w:val="20"/>
              </w:rPr>
              <w:t>TSH</w:t>
            </w:r>
            <w:r w:rsidR="00D0407A">
              <w:rPr>
                <w:sz w:val="20"/>
                <w:szCs w:val="20"/>
              </w:rPr>
              <w:t xml:space="preserve"> </w:t>
            </w:r>
            <w:r w:rsidR="00822D6E" w:rsidRPr="00822D6E">
              <w:rPr>
                <w:sz w:val="20"/>
                <w:szCs w:val="20"/>
              </w:rPr>
              <w:t>oraz</w:t>
            </w:r>
            <w:r w:rsidR="00D0407A">
              <w:rPr>
                <w:sz w:val="20"/>
                <w:szCs w:val="20"/>
              </w:rPr>
              <w:t xml:space="preserve"> </w:t>
            </w:r>
            <w:r w:rsidR="00822D6E" w:rsidRPr="00822D6E">
              <w:rPr>
                <w:sz w:val="20"/>
                <w:szCs w:val="20"/>
              </w:rPr>
              <w:t>fT4</w:t>
            </w:r>
            <w:r w:rsidR="0038356E">
              <w:rPr>
                <w:sz w:val="20"/>
                <w:szCs w:val="20"/>
              </w:rPr>
              <w:t>;</w:t>
            </w:r>
          </w:p>
          <w:p w14:paraId="3D72A261" w14:textId="7BC50FBE" w:rsidR="00822D6E" w:rsidRDefault="00822D6E" w:rsidP="007F5D21">
            <w:pPr>
              <w:numPr>
                <w:ilvl w:val="2"/>
                <w:numId w:val="31"/>
              </w:numPr>
              <w:spacing w:after="60"/>
              <w:jc w:val="both"/>
              <w:rPr>
                <w:sz w:val="20"/>
                <w:szCs w:val="20"/>
              </w:rPr>
            </w:pPr>
            <w:r w:rsidRPr="00822D6E">
              <w:rPr>
                <w:sz w:val="20"/>
                <w:szCs w:val="20"/>
              </w:rPr>
              <w:t>lipidogram</w:t>
            </w:r>
            <w:r w:rsidR="00D0407A">
              <w:rPr>
                <w:sz w:val="20"/>
                <w:szCs w:val="20"/>
              </w:rPr>
              <w:t xml:space="preserve"> </w:t>
            </w:r>
            <w:r w:rsidRPr="00822D6E">
              <w:rPr>
                <w:sz w:val="20"/>
                <w:szCs w:val="20"/>
              </w:rPr>
              <w:t>(triglicerydy,</w:t>
            </w:r>
            <w:r w:rsidR="00D0407A">
              <w:rPr>
                <w:sz w:val="20"/>
                <w:szCs w:val="20"/>
              </w:rPr>
              <w:t xml:space="preserve"> </w:t>
            </w:r>
            <w:r w:rsidRPr="00822D6E">
              <w:rPr>
                <w:sz w:val="20"/>
                <w:szCs w:val="20"/>
              </w:rPr>
              <w:t>cholesterol</w:t>
            </w:r>
            <w:r w:rsidR="00D0407A">
              <w:rPr>
                <w:sz w:val="20"/>
                <w:szCs w:val="20"/>
              </w:rPr>
              <w:t xml:space="preserve"> </w:t>
            </w:r>
            <w:r w:rsidRPr="00822D6E">
              <w:rPr>
                <w:sz w:val="20"/>
                <w:szCs w:val="20"/>
              </w:rPr>
              <w:t>całkowity,</w:t>
            </w:r>
            <w:r w:rsidR="00D0407A">
              <w:rPr>
                <w:sz w:val="20"/>
                <w:szCs w:val="20"/>
              </w:rPr>
              <w:t xml:space="preserve"> </w:t>
            </w:r>
            <w:r w:rsidRPr="00822D6E">
              <w:rPr>
                <w:sz w:val="20"/>
                <w:szCs w:val="20"/>
              </w:rPr>
              <w:t>frakcja</w:t>
            </w:r>
            <w:r w:rsidR="00D0407A">
              <w:rPr>
                <w:sz w:val="20"/>
                <w:szCs w:val="20"/>
              </w:rPr>
              <w:t xml:space="preserve"> </w:t>
            </w:r>
            <w:r w:rsidRPr="00822D6E">
              <w:rPr>
                <w:sz w:val="20"/>
                <w:szCs w:val="20"/>
              </w:rPr>
              <w:t>HDL</w:t>
            </w:r>
            <w:r w:rsidR="00D0407A">
              <w:rPr>
                <w:sz w:val="20"/>
                <w:szCs w:val="20"/>
              </w:rPr>
              <w:t xml:space="preserve"> </w:t>
            </w:r>
            <w:r w:rsidRPr="00822D6E">
              <w:rPr>
                <w:sz w:val="20"/>
                <w:szCs w:val="20"/>
              </w:rPr>
              <w:t>i</w:t>
            </w:r>
            <w:r w:rsidR="00D0407A">
              <w:rPr>
                <w:sz w:val="20"/>
                <w:szCs w:val="20"/>
              </w:rPr>
              <w:t xml:space="preserve"> </w:t>
            </w:r>
            <w:r w:rsidRPr="00822D6E">
              <w:rPr>
                <w:sz w:val="20"/>
                <w:szCs w:val="20"/>
              </w:rPr>
              <w:t>LDL)</w:t>
            </w:r>
            <w:r w:rsidR="0038356E">
              <w:rPr>
                <w:sz w:val="20"/>
                <w:szCs w:val="20"/>
              </w:rPr>
              <w:t>;</w:t>
            </w:r>
          </w:p>
          <w:p w14:paraId="3D4C1FD7" w14:textId="36D45C43" w:rsidR="003E5BDC" w:rsidRPr="00213EA6" w:rsidRDefault="003E5BDC" w:rsidP="007F5D21">
            <w:pPr>
              <w:pStyle w:val="Akapitzlist"/>
              <w:numPr>
                <w:ilvl w:val="2"/>
                <w:numId w:val="31"/>
              </w:numPr>
              <w:spacing w:after="60"/>
              <w:contextualSpacing w:val="0"/>
              <w:jc w:val="both"/>
              <w:rPr>
                <w:sz w:val="20"/>
                <w:szCs w:val="20"/>
              </w:rPr>
            </w:pPr>
            <w:r w:rsidRPr="00213EA6">
              <w:rPr>
                <w:sz w:val="20"/>
                <w:szCs w:val="20"/>
              </w:rPr>
              <w:t>tomografia</w:t>
            </w:r>
            <w:r w:rsidR="00D0407A">
              <w:rPr>
                <w:sz w:val="20"/>
                <w:szCs w:val="20"/>
              </w:rPr>
              <w:t xml:space="preserve"> </w:t>
            </w:r>
            <w:r w:rsidRPr="00213EA6">
              <w:rPr>
                <w:sz w:val="20"/>
                <w:szCs w:val="20"/>
              </w:rPr>
              <w:t>komputerowa</w:t>
            </w:r>
            <w:r w:rsidR="00D0407A">
              <w:rPr>
                <w:sz w:val="20"/>
                <w:szCs w:val="20"/>
              </w:rPr>
              <w:t xml:space="preserve"> </w:t>
            </w:r>
            <w:r w:rsidRPr="00213EA6">
              <w:rPr>
                <w:sz w:val="20"/>
                <w:szCs w:val="20"/>
              </w:rPr>
              <w:t>(TK)</w:t>
            </w:r>
            <w:r w:rsidR="00D0407A">
              <w:rPr>
                <w:sz w:val="20"/>
                <w:szCs w:val="20"/>
              </w:rPr>
              <w:t xml:space="preserve"> </w:t>
            </w:r>
            <w:r w:rsidRPr="00213EA6">
              <w:rPr>
                <w:sz w:val="20"/>
                <w:szCs w:val="20"/>
              </w:rPr>
              <w:t>klatki</w:t>
            </w:r>
            <w:r w:rsidR="00D0407A">
              <w:rPr>
                <w:sz w:val="20"/>
                <w:szCs w:val="20"/>
              </w:rPr>
              <w:t xml:space="preserve"> </w:t>
            </w:r>
            <w:r w:rsidRPr="00213EA6">
              <w:rPr>
                <w:sz w:val="20"/>
                <w:szCs w:val="20"/>
              </w:rPr>
              <w:t>piersiowej</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jamy</w:t>
            </w:r>
            <w:r w:rsidR="00D0407A">
              <w:rPr>
                <w:sz w:val="20"/>
                <w:szCs w:val="20"/>
              </w:rPr>
              <w:t xml:space="preserve"> </w:t>
            </w:r>
            <w:r w:rsidRPr="00213EA6">
              <w:rPr>
                <w:sz w:val="20"/>
                <w:szCs w:val="20"/>
              </w:rPr>
              <w:t>br</w:t>
            </w:r>
            <w:r w:rsidR="0087558C">
              <w:rPr>
                <w:sz w:val="20"/>
                <w:szCs w:val="20"/>
              </w:rPr>
              <w:t>zusznej</w:t>
            </w:r>
            <w:r w:rsidR="00D0407A">
              <w:rPr>
                <w:sz w:val="20"/>
                <w:szCs w:val="20"/>
              </w:rPr>
              <w:t xml:space="preserve"> </w:t>
            </w:r>
            <w:r w:rsidR="0087558C">
              <w:rPr>
                <w:sz w:val="20"/>
                <w:szCs w:val="20"/>
              </w:rPr>
              <w:t>lub</w:t>
            </w:r>
            <w:r w:rsidR="00D0407A">
              <w:rPr>
                <w:sz w:val="20"/>
                <w:szCs w:val="20"/>
              </w:rPr>
              <w:t xml:space="preserve"> </w:t>
            </w:r>
            <w:r w:rsidRPr="00213EA6">
              <w:rPr>
                <w:sz w:val="20"/>
                <w:szCs w:val="20"/>
              </w:rPr>
              <w:t>rtg</w:t>
            </w:r>
            <w:r w:rsidR="00D0407A">
              <w:rPr>
                <w:sz w:val="20"/>
                <w:szCs w:val="20"/>
              </w:rPr>
              <w:t xml:space="preserve"> </w:t>
            </w:r>
            <w:r w:rsidRPr="00213EA6">
              <w:rPr>
                <w:sz w:val="20"/>
                <w:szCs w:val="20"/>
              </w:rPr>
              <w:t>klatki</w:t>
            </w:r>
            <w:r w:rsidR="00D0407A">
              <w:rPr>
                <w:sz w:val="20"/>
                <w:szCs w:val="20"/>
              </w:rPr>
              <w:t xml:space="preserve"> </w:t>
            </w:r>
            <w:r w:rsidRPr="00213EA6">
              <w:rPr>
                <w:sz w:val="20"/>
                <w:szCs w:val="20"/>
              </w:rPr>
              <w:t>piersiowej</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usg</w:t>
            </w:r>
            <w:r w:rsidR="00D0407A">
              <w:rPr>
                <w:sz w:val="20"/>
                <w:szCs w:val="20"/>
              </w:rPr>
              <w:t xml:space="preserve"> </w:t>
            </w:r>
            <w:r w:rsidRPr="00213EA6">
              <w:rPr>
                <w:sz w:val="20"/>
                <w:szCs w:val="20"/>
              </w:rPr>
              <w:t>jamy</w:t>
            </w:r>
            <w:r w:rsidR="00D0407A">
              <w:rPr>
                <w:sz w:val="20"/>
                <w:szCs w:val="20"/>
              </w:rPr>
              <w:t xml:space="preserve"> </w:t>
            </w:r>
            <w:r w:rsidRPr="00213EA6">
              <w:rPr>
                <w:sz w:val="20"/>
                <w:szCs w:val="20"/>
              </w:rPr>
              <w:t>brzusznej</w:t>
            </w:r>
            <w:r w:rsidR="00D0407A">
              <w:rPr>
                <w:sz w:val="20"/>
                <w:szCs w:val="20"/>
              </w:rPr>
              <w:t xml:space="preserve"> </w:t>
            </w:r>
            <w:r>
              <w:rPr>
                <w:sz w:val="20"/>
                <w:szCs w:val="20"/>
              </w:rPr>
              <w:t>(</w:t>
            </w:r>
            <w:r w:rsidRPr="00781109">
              <w:rPr>
                <w:sz w:val="20"/>
                <w:szCs w:val="20"/>
              </w:rPr>
              <w:t>maksymalnie</w:t>
            </w:r>
            <w:r w:rsidR="00D0407A">
              <w:rPr>
                <w:sz w:val="20"/>
                <w:szCs w:val="20"/>
              </w:rPr>
              <w:t xml:space="preserve"> </w:t>
            </w:r>
            <w:r w:rsidRPr="00781109">
              <w:rPr>
                <w:sz w:val="20"/>
                <w:szCs w:val="20"/>
              </w:rPr>
              <w:t>do</w:t>
            </w:r>
            <w:r w:rsidR="00D0407A">
              <w:rPr>
                <w:sz w:val="20"/>
                <w:szCs w:val="20"/>
              </w:rPr>
              <w:t xml:space="preserve"> </w:t>
            </w:r>
            <w:r w:rsidRPr="00781109">
              <w:rPr>
                <w:sz w:val="20"/>
                <w:szCs w:val="20"/>
              </w:rPr>
              <w:t>3</w:t>
            </w:r>
            <w:r w:rsidR="00D0407A">
              <w:rPr>
                <w:sz w:val="20"/>
                <w:szCs w:val="20"/>
              </w:rPr>
              <w:t xml:space="preserve"> </w:t>
            </w:r>
            <w:r w:rsidRPr="00781109">
              <w:rPr>
                <w:sz w:val="20"/>
                <w:szCs w:val="20"/>
              </w:rPr>
              <w:t>miesięcy</w:t>
            </w:r>
            <w:r w:rsidR="00D0407A">
              <w:rPr>
                <w:sz w:val="20"/>
                <w:szCs w:val="20"/>
              </w:rPr>
              <w:t xml:space="preserve"> </w:t>
            </w:r>
            <w:r w:rsidRPr="00781109">
              <w:rPr>
                <w:sz w:val="20"/>
                <w:szCs w:val="20"/>
              </w:rPr>
              <w:t>przed</w:t>
            </w:r>
            <w:r w:rsidR="00D0407A">
              <w:rPr>
                <w:sz w:val="20"/>
                <w:szCs w:val="20"/>
              </w:rPr>
              <w:t xml:space="preserve"> </w:t>
            </w:r>
            <w:r w:rsidRPr="00781109">
              <w:rPr>
                <w:sz w:val="20"/>
                <w:szCs w:val="20"/>
              </w:rPr>
              <w:t>kwalifikacją</w:t>
            </w:r>
            <w:r>
              <w:rPr>
                <w:sz w:val="20"/>
                <w:szCs w:val="20"/>
              </w:rPr>
              <w:t>)</w:t>
            </w:r>
          </w:p>
          <w:p w14:paraId="41C90B87" w14:textId="3A218D7F" w:rsidR="005D0298" w:rsidRDefault="005D0298" w:rsidP="007F5D21">
            <w:pPr>
              <w:numPr>
                <w:ilvl w:val="2"/>
                <w:numId w:val="31"/>
              </w:numPr>
              <w:spacing w:after="60"/>
              <w:jc w:val="both"/>
              <w:rPr>
                <w:sz w:val="20"/>
                <w:szCs w:val="20"/>
              </w:rPr>
            </w:pPr>
            <w:r w:rsidRPr="005D0298">
              <w:rPr>
                <w:sz w:val="20"/>
                <w:szCs w:val="20"/>
              </w:rPr>
              <w:t>EKG</w:t>
            </w:r>
            <w:r w:rsidR="00D0407A">
              <w:rPr>
                <w:sz w:val="20"/>
                <w:szCs w:val="20"/>
              </w:rPr>
              <w:t xml:space="preserve"> </w:t>
            </w:r>
            <w:r w:rsidR="0038356E">
              <w:rPr>
                <w:sz w:val="20"/>
                <w:szCs w:val="20"/>
              </w:rPr>
              <w:t>z</w:t>
            </w:r>
            <w:r w:rsidR="00D0407A">
              <w:rPr>
                <w:sz w:val="20"/>
                <w:szCs w:val="20"/>
              </w:rPr>
              <w:t xml:space="preserve"> </w:t>
            </w:r>
            <w:r w:rsidR="0038356E">
              <w:rPr>
                <w:sz w:val="20"/>
                <w:szCs w:val="20"/>
              </w:rPr>
              <w:t>opisem;</w:t>
            </w:r>
          </w:p>
          <w:p w14:paraId="25D93128" w14:textId="0125AFF6" w:rsidR="005D0298" w:rsidRPr="00822D6E" w:rsidRDefault="00F10BE6" w:rsidP="007F5D21">
            <w:pPr>
              <w:numPr>
                <w:ilvl w:val="2"/>
                <w:numId w:val="31"/>
              </w:numPr>
              <w:spacing w:after="60"/>
              <w:jc w:val="both"/>
              <w:rPr>
                <w:sz w:val="20"/>
                <w:szCs w:val="20"/>
              </w:rPr>
            </w:pPr>
            <w:r>
              <w:rPr>
                <w:sz w:val="20"/>
                <w:szCs w:val="20"/>
              </w:rPr>
              <w:t>o</w:t>
            </w:r>
            <w:r w:rsidR="005D0298" w:rsidRPr="005D0298">
              <w:rPr>
                <w:sz w:val="20"/>
                <w:szCs w:val="20"/>
              </w:rPr>
              <w:t>kreślenie</w:t>
            </w:r>
            <w:r w:rsidR="00D0407A">
              <w:rPr>
                <w:sz w:val="20"/>
                <w:szCs w:val="20"/>
              </w:rPr>
              <w:t xml:space="preserve"> </w:t>
            </w:r>
            <w:r w:rsidR="005D0298" w:rsidRPr="005D0298">
              <w:rPr>
                <w:sz w:val="20"/>
                <w:szCs w:val="20"/>
              </w:rPr>
              <w:t>TNMB</w:t>
            </w:r>
            <w:r w:rsidR="00D0407A">
              <w:rPr>
                <w:sz w:val="20"/>
                <w:szCs w:val="20"/>
              </w:rPr>
              <w:t xml:space="preserve"> </w:t>
            </w:r>
            <w:r w:rsidR="005D0298" w:rsidRPr="005D0298">
              <w:rPr>
                <w:sz w:val="20"/>
                <w:szCs w:val="20"/>
              </w:rPr>
              <w:t>i</w:t>
            </w:r>
            <w:r w:rsidR="00D0407A">
              <w:rPr>
                <w:sz w:val="20"/>
                <w:szCs w:val="20"/>
              </w:rPr>
              <w:t xml:space="preserve"> </w:t>
            </w:r>
            <w:r w:rsidR="001E6B29">
              <w:rPr>
                <w:sz w:val="20"/>
                <w:szCs w:val="20"/>
              </w:rPr>
              <w:t>m</w:t>
            </w:r>
            <w:r w:rsidR="005D0298" w:rsidRPr="005D0298">
              <w:rPr>
                <w:sz w:val="20"/>
                <w:szCs w:val="20"/>
              </w:rPr>
              <w:t>SWAT</w:t>
            </w:r>
            <w:r w:rsidR="0038356E">
              <w:rPr>
                <w:sz w:val="20"/>
                <w:szCs w:val="20"/>
              </w:rPr>
              <w:t>;</w:t>
            </w:r>
          </w:p>
          <w:p w14:paraId="183FA1A0" w14:textId="59D18229" w:rsidR="00822D6E" w:rsidRDefault="00781109" w:rsidP="007F5D21">
            <w:pPr>
              <w:numPr>
                <w:ilvl w:val="2"/>
                <w:numId w:val="31"/>
              </w:numPr>
              <w:spacing w:after="60"/>
              <w:jc w:val="both"/>
              <w:rPr>
                <w:sz w:val="20"/>
                <w:szCs w:val="20"/>
              </w:rPr>
            </w:pPr>
            <w:r>
              <w:rPr>
                <w:sz w:val="20"/>
                <w:szCs w:val="20"/>
              </w:rPr>
              <w:t>wykluczenie</w:t>
            </w:r>
            <w:r w:rsidR="00D0407A">
              <w:rPr>
                <w:sz w:val="20"/>
                <w:szCs w:val="20"/>
              </w:rPr>
              <w:t xml:space="preserve"> </w:t>
            </w:r>
            <w:r>
              <w:rPr>
                <w:sz w:val="20"/>
                <w:szCs w:val="20"/>
              </w:rPr>
              <w:t>ciąży</w:t>
            </w:r>
            <w:r w:rsidR="00D0407A">
              <w:rPr>
                <w:sz w:val="20"/>
                <w:szCs w:val="20"/>
              </w:rPr>
              <w:t xml:space="preserve"> </w:t>
            </w:r>
            <w:r>
              <w:rPr>
                <w:sz w:val="20"/>
                <w:szCs w:val="20"/>
              </w:rPr>
              <w:t>-</w:t>
            </w:r>
            <w:r w:rsidR="00D0407A">
              <w:rPr>
                <w:sz w:val="20"/>
                <w:szCs w:val="20"/>
              </w:rPr>
              <w:t xml:space="preserve"> </w:t>
            </w:r>
            <w:r>
              <w:rPr>
                <w:sz w:val="20"/>
                <w:szCs w:val="20"/>
              </w:rPr>
              <w:t>w</w:t>
            </w:r>
            <w:r w:rsidR="00D0407A">
              <w:rPr>
                <w:sz w:val="20"/>
                <w:szCs w:val="20"/>
              </w:rPr>
              <w:t xml:space="preserve"> </w:t>
            </w:r>
            <w:r>
              <w:rPr>
                <w:sz w:val="20"/>
                <w:szCs w:val="20"/>
              </w:rPr>
              <w:t>przypadku</w:t>
            </w:r>
            <w:r w:rsidR="00D0407A">
              <w:rPr>
                <w:sz w:val="20"/>
                <w:szCs w:val="20"/>
              </w:rPr>
              <w:t xml:space="preserve"> </w:t>
            </w:r>
            <w:r w:rsidR="00822D6E" w:rsidRPr="00822D6E">
              <w:rPr>
                <w:sz w:val="20"/>
                <w:szCs w:val="20"/>
              </w:rPr>
              <w:t>kobiet</w:t>
            </w:r>
            <w:r w:rsidR="00D0407A">
              <w:rPr>
                <w:sz w:val="20"/>
                <w:szCs w:val="20"/>
              </w:rPr>
              <w:t xml:space="preserve"> </w:t>
            </w:r>
            <w:r w:rsidR="00822D6E" w:rsidRPr="00822D6E">
              <w:rPr>
                <w:sz w:val="20"/>
                <w:szCs w:val="20"/>
              </w:rPr>
              <w:t>w</w:t>
            </w:r>
            <w:r w:rsidR="00D0407A">
              <w:rPr>
                <w:sz w:val="20"/>
                <w:szCs w:val="20"/>
              </w:rPr>
              <w:t xml:space="preserve"> </w:t>
            </w:r>
            <w:r w:rsidR="00822D6E" w:rsidRPr="00822D6E">
              <w:rPr>
                <w:sz w:val="20"/>
                <w:szCs w:val="20"/>
              </w:rPr>
              <w:t>wieku</w:t>
            </w:r>
            <w:r w:rsidR="00D0407A">
              <w:rPr>
                <w:sz w:val="20"/>
                <w:szCs w:val="20"/>
              </w:rPr>
              <w:t xml:space="preserve"> </w:t>
            </w:r>
            <w:r w:rsidR="00822D6E" w:rsidRPr="00822D6E">
              <w:rPr>
                <w:sz w:val="20"/>
                <w:szCs w:val="20"/>
              </w:rPr>
              <w:t>rozrodczym</w:t>
            </w:r>
            <w:r>
              <w:rPr>
                <w:sz w:val="20"/>
                <w:szCs w:val="20"/>
              </w:rPr>
              <w:t>.</w:t>
            </w:r>
          </w:p>
          <w:p w14:paraId="5C2845A6" w14:textId="77777777" w:rsidR="00011F07" w:rsidRPr="00822D6E" w:rsidRDefault="00011F07" w:rsidP="007F5D21">
            <w:pPr>
              <w:spacing w:after="60"/>
              <w:jc w:val="both"/>
              <w:rPr>
                <w:sz w:val="20"/>
                <w:szCs w:val="20"/>
              </w:rPr>
            </w:pPr>
          </w:p>
          <w:p w14:paraId="1004D8EF" w14:textId="3946C503" w:rsidR="00822D6E" w:rsidRPr="00F30324" w:rsidRDefault="00822D6E" w:rsidP="007F5D21">
            <w:pPr>
              <w:pStyle w:val="Akapitzlist"/>
              <w:numPr>
                <w:ilvl w:val="0"/>
                <w:numId w:val="31"/>
              </w:numPr>
              <w:spacing w:after="60"/>
              <w:contextualSpacing w:val="0"/>
              <w:jc w:val="both"/>
              <w:rPr>
                <w:b/>
                <w:sz w:val="20"/>
                <w:szCs w:val="20"/>
              </w:rPr>
            </w:pPr>
            <w:r w:rsidRPr="00F30324">
              <w:rPr>
                <w:b/>
                <w:sz w:val="20"/>
                <w:szCs w:val="20"/>
              </w:rPr>
              <w:t>Monitorowanie</w:t>
            </w:r>
            <w:r w:rsidR="00D0407A">
              <w:rPr>
                <w:b/>
                <w:sz w:val="20"/>
                <w:szCs w:val="20"/>
              </w:rPr>
              <w:t xml:space="preserve"> </w:t>
            </w:r>
            <w:r w:rsidRPr="00F30324">
              <w:rPr>
                <w:b/>
                <w:sz w:val="20"/>
                <w:szCs w:val="20"/>
              </w:rPr>
              <w:t>leczenia</w:t>
            </w:r>
          </w:p>
          <w:p w14:paraId="7FC979CE" w14:textId="78808D5D" w:rsidR="00822D6E" w:rsidRPr="00F30324" w:rsidRDefault="00822D6E" w:rsidP="007F5D21">
            <w:pPr>
              <w:pStyle w:val="Akapitzlist"/>
              <w:numPr>
                <w:ilvl w:val="2"/>
                <w:numId w:val="31"/>
              </w:numPr>
              <w:spacing w:after="60"/>
              <w:contextualSpacing w:val="0"/>
              <w:jc w:val="both"/>
              <w:rPr>
                <w:sz w:val="20"/>
                <w:szCs w:val="20"/>
              </w:rPr>
            </w:pPr>
            <w:r w:rsidRPr="00F30324">
              <w:rPr>
                <w:sz w:val="20"/>
                <w:szCs w:val="20"/>
              </w:rPr>
              <w:t>Badania</w:t>
            </w:r>
            <w:r w:rsidR="00D0407A">
              <w:rPr>
                <w:sz w:val="20"/>
                <w:szCs w:val="20"/>
              </w:rPr>
              <w:t xml:space="preserve"> </w:t>
            </w:r>
            <w:r w:rsidRPr="00F30324">
              <w:rPr>
                <w:sz w:val="20"/>
                <w:szCs w:val="20"/>
              </w:rPr>
              <w:t>przeprowadzane</w:t>
            </w:r>
            <w:r w:rsidR="00D0407A">
              <w:rPr>
                <w:sz w:val="20"/>
                <w:szCs w:val="20"/>
              </w:rPr>
              <w:t xml:space="preserve"> </w:t>
            </w:r>
            <w:r w:rsidRPr="00F30324">
              <w:rPr>
                <w:sz w:val="20"/>
                <w:szCs w:val="20"/>
              </w:rPr>
              <w:t>2</w:t>
            </w:r>
            <w:r w:rsidR="00D0407A">
              <w:rPr>
                <w:sz w:val="20"/>
                <w:szCs w:val="20"/>
              </w:rPr>
              <w:t xml:space="preserve"> </w:t>
            </w:r>
            <w:r w:rsidRPr="00F30324">
              <w:rPr>
                <w:sz w:val="20"/>
                <w:szCs w:val="20"/>
              </w:rPr>
              <w:t>razy</w:t>
            </w:r>
            <w:r w:rsidR="00D0407A">
              <w:rPr>
                <w:sz w:val="20"/>
                <w:szCs w:val="20"/>
              </w:rPr>
              <w:t xml:space="preserve"> </w:t>
            </w:r>
            <w:r w:rsidRPr="00F30324">
              <w:rPr>
                <w:sz w:val="20"/>
                <w:szCs w:val="20"/>
              </w:rPr>
              <w:t>w</w:t>
            </w:r>
            <w:r w:rsidR="00D0407A">
              <w:rPr>
                <w:sz w:val="20"/>
                <w:szCs w:val="20"/>
              </w:rPr>
              <w:t xml:space="preserve"> </w:t>
            </w:r>
            <w:r w:rsidRPr="00F30324">
              <w:rPr>
                <w:sz w:val="20"/>
                <w:szCs w:val="20"/>
              </w:rPr>
              <w:t>ciągu</w:t>
            </w:r>
            <w:r w:rsidR="00D0407A">
              <w:rPr>
                <w:sz w:val="20"/>
                <w:szCs w:val="20"/>
              </w:rPr>
              <w:t xml:space="preserve"> </w:t>
            </w:r>
            <w:r w:rsidRPr="00F30324">
              <w:rPr>
                <w:sz w:val="20"/>
                <w:szCs w:val="20"/>
              </w:rPr>
              <w:t>pierwszych</w:t>
            </w:r>
            <w:r w:rsidR="00D0407A">
              <w:rPr>
                <w:sz w:val="20"/>
                <w:szCs w:val="20"/>
              </w:rPr>
              <w:t xml:space="preserve"> </w:t>
            </w:r>
            <w:r w:rsidRPr="00F30324">
              <w:rPr>
                <w:sz w:val="20"/>
                <w:szCs w:val="20"/>
              </w:rPr>
              <w:t>30</w:t>
            </w:r>
            <w:r w:rsidR="00D0407A">
              <w:rPr>
                <w:sz w:val="20"/>
                <w:szCs w:val="20"/>
              </w:rPr>
              <w:t xml:space="preserve"> </w:t>
            </w:r>
            <w:r w:rsidRPr="00F30324">
              <w:rPr>
                <w:sz w:val="20"/>
                <w:szCs w:val="20"/>
              </w:rPr>
              <w:t>dni</w:t>
            </w:r>
            <w:r w:rsidR="00D0407A">
              <w:rPr>
                <w:sz w:val="20"/>
                <w:szCs w:val="20"/>
              </w:rPr>
              <w:t xml:space="preserve"> </w:t>
            </w:r>
            <w:r w:rsidRPr="00F30324">
              <w:rPr>
                <w:sz w:val="20"/>
                <w:szCs w:val="20"/>
              </w:rPr>
              <w:t>terapii</w:t>
            </w:r>
            <w:r w:rsidR="00D0407A">
              <w:rPr>
                <w:sz w:val="20"/>
                <w:szCs w:val="20"/>
              </w:rPr>
              <w:t xml:space="preserve"> </w:t>
            </w:r>
            <w:r w:rsidRPr="00F30324">
              <w:rPr>
                <w:sz w:val="20"/>
                <w:szCs w:val="20"/>
              </w:rPr>
              <w:t>oraz</w:t>
            </w:r>
            <w:r w:rsidR="00D0407A">
              <w:rPr>
                <w:sz w:val="20"/>
                <w:szCs w:val="20"/>
              </w:rPr>
              <w:t xml:space="preserve"> </w:t>
            </w:r>
            <w:r w:rsidRPr="00F30324">
              <w:rPr>
                <w:sz w:val="20"/>
                <w:szCs w:val="20"/>
              </w:rPr>
              <w:t>1</w:t>
            </w:r>
            <w:r w:rsidR="00D0407A">
              <w:rPr>
                <w:sz w:val="20"/>
                <w:szCs w:val="20"/>
              </w:rPr>
              <w:t xml:space="preserve"> </w:t>
            </w:r>
            <w:r w:rsidRPr="00F30324">
              <w:rPr>
                <w:sz w:val="20"/>
                <w:szCs w:val="20"/>
              </w:rPr>
              <w:t>raz</w:t>
            </w:r>
            <w:r w:rsidR="00D0407A">
              <w:rPr>
                <w:sz w:val="20"/>
                <w:szCs w:val="20"/>
              </w:rPr>
              <w:t xml:space="preserve"> </w:t>
            </w:r>
            <w:r w:rsidRPr="00F30324">
              <w:rPr>
                <w:sz w:val="20"/>
                <w:szCs w:val="20"/>
              </w:rPr>
              <w:t>w</w:t>
            </w:r>
            <w:r w:rsidR="00D0407A">
              <w:rPr>
                <w:sz w:val="20"/>
                <w:szCs w:val="20"/>
              </w:rPr>
              <w:t xml:space="preserve"> </w:t>
            </w:r>
            <w:r w:rsidR="003736D3" w:rsidRPr="00F30324">
              <w:rPr>
                <w:sz w:val="20"/>
                <w:szCs w:val="20"/>
              </w:rPr>
              <w:t>każdym</w:t>
            </w:r>
            <w:r w:rsidR="00D0407A">
              <w:rPr>
                <w:sz w:val="20"/>
                <w:szCs w:val="20"/>
              </w:rPr>
              <w:t xml:space="preserve"> </w:t>
            </w:r>
            <w:r w:rsidRPr="00F30324">
              <w:rPr>
                <w:sz w:val="20"/>
                <w:szCs w:val="20"/>
              </w:rPr>
              <w:t>kolejny</w:t>
            </w:r>
            <w:r w:rsidR="003736D3" w:rsidRPr="00F30324">
              <w:rPr>
                <w:sz w:val="20"/>
                <w:szCs w:val="20"/>
              </w:rPr>
              <w:t>m</w:t>
            </w:r>
            <w:r w:rsidR="00D0407A">
              <w:rPr>
                <w:sz w:val="20"/>
                <w:szCs w:val="20"/>
              </w:rPr>
              <w:t xml:space="preserve"> </w:t>
            </w:r>
            <w:r w:rsidRPr="00F30324">
              <w:rPr>
                <w:sz w:val="20"/>
                <w:szCs w:val="20"/>
              </w:rPr>
              <w:t>miesiąc</w:t>
            </w:r>
            <w:r w:rsidR="003736D3" w:rsidRPr="00F30324">
              <w:rPr>
                <w:sz w:val="20"/>
                <w:szCs w:val="20"/>
              </w:rPr>
              <w:t>u</w:t>
            </w:r>
            <w:r w:rsidR="00D0407A">
              <w:rPr>
                <w:sz w:val="20"/>
                <w:szCs w:val="20"/>
              </w:rPr>
              <w:t xml:space="preserve"> </w:t>
            </w:r>
            <w:r w:rsidR="003736D3" w:rsidRPr="00F30324">
              <w:rPr>
                <w:sz w:val="20"/>
                <w:szCs w:val="20"/>
              </w:rPr>
              <w:t>terapii</w:t>
            </w:r>
            <w:r w:rsidR="00D0407A">
              <w:rPr>
                <w:sz w:val="20"/>
                <w:szCs w:val="20"/>
              </w:rPr>
              <w:t xml:space="preserve"> </w:t>
            </w:r>
            <w:r w:rsidRPr="00F30324">
              <w:rPr>
                <w:sz w:val="20"/>
                <w:szCs w:val="20"/>
              </w:rPr>
              <w:t>(przy</w:t>
            </w:r>
            <w:r w:rsidR="00D0407A">
              <w:rPr>
                <w:sz w:val="20"/>
                <w:szCs w:val="20"/>
              </w:rPr>
              <w:t xml:space="preserve"> </w:t>
            </w:r>
            <w:r w:rsidRPr="00F30324">
              <w:rPr>
                <w:sz w:val="20"/>
                <w:szCs w:val="20"/>
              </w:rPr>
              <w:t>wydawaniu</w:t>
            </w:r>
            <w:r w:rsidR="00D0407A">
              <w:rPr>
                <w:sz w:val="20"/>
                <w:szCs w:val="20"/>
              </w:rPr>
              <w:t xml:space="preserve"> </w:t>
            </w:r>
            <w:r w:rsidRPr="00F30324">
              <w:rPr>
                <w:sz w:val="20"/>
                <w:szCs w:val="20"/>
              </w:rPr>
              <w:t>leku)</w:t>
            </w:r>
            <w:r w:rsidR="003736D3" w:rsidRPr="00F30324">
              <w:rPr>
                <w:sz w:val="20"/>
                <w:szCs w:val="20"/>
              </w:rPr>
              <w:t>:</w:t>
            </w:r>
          </w:p>
          <w:p w14:paraId="6F52C0A1" w14:textId="2D2F5035" w:rsidR="00F10BE6" w:rsidRPr="00F30324" w:rsidRDefault="00822D6E" w:rsidP="009C3BDE">
            <w:pPr>
              <w:pStyle w:val="Akapitzlist"/>
              <w:numPr>
                <w:ilvl w:val="3"/>
                <w:numId w:val="31"/>
              </w:numPr>
              <w:spacing w:after="60"/>
              <w:contextualSpacing w:val="0"/>
              <w:jc w:val="both"/>
              <w:rPr>
                <w:sz w:val="20"/>
                <w:szCs w:val="20"/>
              </w:rPr>
            </w:pPr>
            <w:r w:rsidRPr="00F30324">
              <w:rPr>
                <w:sz w:val="20"/>
                <w:szCs w:val="20"/>
              </w:rPr>
              <w:t>morfologia</w:t>
            </w:r>
            <w:r w:rsidR="00D0407A">
              <w:rPr>
                <w:sz w:val="20"/>
                <w:szCs w:val="20"/>
              </w:rPr>
              <w:t xml:space="preserve"> </w:t>
            </w:r>
            <w:r w:rsidR="00F10BE6" w:rsidRPr="00F30324">
              <w:rPr>
                <w:sz w:val="20"/>
                <w:szCs w:val="20"/>
              </w:rPr>
              <w:t>krwi</w:t>
            </w:r>
            <w:r w:rsidR="0038356E" w:rsidRPr="00F30324">
              <w:rPr>
                <w:sz w:val="20"/>
                <w:szCs w:val="20"/>
              </w:rPr>
              <w:t>,</w:t>
            </w:r>
          </w:p>
          <w:p w14:paraId="38A1491F" w14:textId="1AF9B2D0" w:rsidR="00822D6E" w:rsidRPr="00F30324" w:rsidRDefault="0038356E" w:rsidP="009C3BDE">
            <w:pPr>
              <w:pStyle w:val="Akapitzlist"/>
              <w:numPr>
                <w:ilvl w:val="3"/>
                <w:numId w:val="31"/>
              </w:numPr>
              <w:spacing w:after="60"/>
              <w:contextualSpacing w:val="0"/>
              <w:jc w:val="both"/>
              <w:rPr>
                <w:sz w:val="20"/>
                <w:szCs w:val="20"/>
              </w:rPr>
            </w:pPr>
            <w:r w:rsidRPr="00F30324">
              <w:rPr>
                <w:sz w:val="20"/>
                <w:szCs w:val="20"/>
              </w:rPr>
              <w:lastRenderedPageBreak/>
              <w:t>stężenie</w:t>
            </w:r>
            <w:r w:rsidR="00D0407A">
              <w:rPr>
                <w:sz w:val="20"/>
                <w:szCs w:val="20"/>
              </w:rPr>
              <w:t xml:space="preserve"> </w:t>
            </w:r>
            <w:r w:rsidRPr="00F30324">
              <w:rPr>
                <w:sz w:val="20"/>
                <w:szCs w:val="20"/>
              </w:rPr>
              <w:t>kreatyniny</w:t>
            </w:r>
            <w:r w:rsidR="00822D6E" w:rsidRPr="00F30324">
              <w:rPr>
                <w:sz w:val="20"/>
                <w:szCs w:val="20"/>
              </w:rPr>
              <w:t>,</w:t>
            </w:r>
          </w:p>
          <w:p w14:paraId="1E7EEB27" w14:textId="5862A484" w:rsidR="00822D6E" w:rsidRPr="00F30324" w:rsidRDefault="003E5BDC" w:rsidP="009C3BDE">
            <w:pPr>
              <w:pStyle w:val="Akapitzlist"/>
              <w:numPr>
                <w:ilvl w:val="3"/>
                <w:numId w:val="31"/>
              </w:numPr>
              <w:tabs>
                <w:tab w:val="left" w:pos="672"/>
              </w:tabs>
              <w:spacing w:after="60"/>
              <w:contextualSpacing w:val="0"/>
              <w:jc w:val="both"/>
              <w:rPr>
                <w:sz w:val="20"/>
                <w:szCs w:val="20"/>
              </w:rPr>
            </w:pPr>
            <w:r w:rsidRPr="00F30324">
              <w:rPr>
                <w:sz w:val="20"/>
                <w:szCs w:val="20"/>
              </w:rPr>
              <w:t>stężenie</w:t>
            </w:r>
            <w:r w:rsidR="00D0407A">
              <w:rPr>
                <w:sz w:val="20"/>
                <w:szCs w:val="20"/>
              </w:rPr>
              <w:t xml:space="preserve"> </w:t>
            </w:r>
            <w:r w:rsidR="0052615D" w:rsidRPr="00F30324">
              <w:rPr>
                <w:sz w:val="20"/>
                <w:szCs w:val="20"/>
              </w:rPr>
              <w:t>glukozy</w:t>
            </w:r>
            <w:r w:rsidR="00D0407A">
              <w:rPr>
                <w:sz w:val="20"/>
                <w:szCs w:val="20"/>
              </w:rPr>
              <w:t xml:space="preserve"> </w:t>
            </w:r>
            <w:r w:rsidR="0052615D" w:rsidRPr="00F30324">
              <w:rPr>
                <w:sz w:val="20"/>
                <w:szCs w:val="20"/>
              </w:rPr>
              <w:t>we</w:t>
            </w:r>
            <w:r w:rsidR="00D0407A">
              <w:rPr>
                <w:sz w:val="20"/>
                <w:szCs w:val="20"/>
              </w:rPr>
              <w:t xml:space="preserve"> </w:t>
            </w:r>
            <w:r w:rsidR="0052615D" w:rsidRPr="00F30324">
              <w:rPr>
                <w:sz w:val="20"/>
                <w:szCs w:val="20"/>
              </w:rPr>
              <w:t>krwi</w:t>
            </w:r>
            <w:r w:rsidR="00822D6E" w:rsidRPr="00F30324">
              <w:rPr>
                <w:sz w:val="20"/>
                <w:szCs w:val="20"/>
              </w:rPr>
              <w:t>,</w:t>
            </w:r>
          </w:p>
          <w:p w14:paraId="060FF630" w14:textId="451213A8" w:rsidR="001F7710" w:rsidRPr="00F30324" w:rsidRDefault="003E5BDC" w:rsidP="009C3BDE">
            <w:pPr>
              <w:pStyle w:val="Akapitzlist"/>
              <w:numPr>
                <w:ilvl w:val="3"/>
                <w:numId w:val="31"/>
              </w:numPr>
              <w:spacing w:after="60"/>
              <w:contextualSpacing w:val="0"/>
              <w:jc w:val="both"/>
              <w:rPr>
                <w:sz w:val="20"/>
                <w:szCs w:val="20"/>
              </w:rPr>
            </w:pPr>
            <w:r w:rsidRPr="00F30324">
              <w:rPr>
                <w:sz w:val="20"/>
                <w:szCs w:val="20"/>
              </w:rPr>
              <w:t>aktywność</w:t>
            </w:r>
            <w:r w:rsidR="00D0407A">
              <w:rPr>
                <w:sz w:val="20"/>
                <w:szCs w:val="20"/>
              </w:rPr>
              <w:t xml:space="preserve"> </w:t>
            </w:r>
            <w:r w:rsidRPr="00F30324">
              <w:rPr>
                <w:sz w:val="20"/>
                <w:szCs w:val="20"/>
              </w:rPr>
              <w:t>aminotransferaz</w:t>
            </w:r>
            <w:r w:rsidR="00D0407A">
              <w:rPr>
                <w:sz w:val="20"/>
                <w:szCs w:val="20"/>
              </w:rPr>
              <w:t xml:space="preserve"> </w:t>
            </w:r>
            <w:r w:rsidRPr="00F30324">
              <w:rPr>
                <w:sz w:val="20"/>
                <w:szCs w:val="20"/>
              </w:rPr>
              <w:t>(AspAT,</w:t>
            </w:r>
            <w:r w:rsidR="00D0407A">
              <w:rPr>
                <w:sz w:val="20"/>
                <w:szCs w:val="20"/>
              </w:rPr>
              <w:t xml:space="preserve"> </w:t>
            </w:r>
            <w:r w:rsidRPr="00F30324">
              <w:rPr>
                <w:sz w:val="20"/>
                <w:szCs w:val="20"/>
              </w:rPr>
              <w:t>AlAT)</w:t>
            </w:r>
            <w:r w:rsidR="00D0407A">
              <w:rPr>
                <w:sz w:val="20"/>
                <w:szCs w:val="20"/>
              </w:rPr>
              <w:t xml:space="preserve"> </w:t>
            </w:r>
            <w:r w:rsidRPr="00F30324">
              <w:rPr>
                <w:sz w:val="20"/>
                <w:szCs w:val="20"/>
              </w:rPr>
              <w:t>oraz</w:t>
            </w:r>
            <w:r w:rsidR="00D0407A">
              <w:rPr>
                <w:sz w:val="20"/>
                <w:szCs w:val="20"/>
              </w:rPr>
              <w:t xml:space="preserve"> </w:t>
            </w:r>
            <w:r w:rsidRPr="00F30324">
              <w:rPr>
                <w:sz w:val="20"/>
                <w:szCs w:val="20"/>
              </w:rPr>
              <w:t>stężenie</w:t>
            </w:r>
            <w:r w:rsidR="00D0407A">
              <w:rPr>
                <w:sz w:val="20"/>
                <w:szCs w:val="20"/>
              </w:rPr>
              <w:t xml:space="preserve"> </w:t>
            </w:r>
            <w:r w:rsidRPr="00F30324">
              <w:rPr>
                <w:sz w:val="20"/>
                <w:szCs w:val="20"/>
              </w:rPr>
              <w:t>bilirubiny</w:t>
            </w:r>
            <w:r w:rsidR="00D0407A">
              <w:rPr>
                <w:sz w:val="20"/>
                <w:szCs w:val="20"/>
              </w:rPr>
              <w:t xml:space="preserve"> </w:t>
            </w:r>
            <w:r w:rsidRPr="00F30324">
              <w:rPr>
                <w:sz w:val="20"/>
                <w:szCs w:val="20"/>
              </w:rPr>
              <w:t>całkowitej</w:t>
            </w:r>
            <w:r w:rsidR="00D0407A">
              <w:rPr>
                <w:sz w:val="20"/>
                <w:szCs w:val="20"/>
              </w:rPr>
              <w:t xml:space="preserve"> </w:t>
            </w:r>
          </w:p>
          <w:p w14:paraId="01B4F80E" w14:textId="0BB41F3A" w:rsidR="00822D6E" w:rsidRPr="00F30324" w:rsidRDefault="0052615D" w:rsidP="009C3BDE">
            <w:pPr>
              <w:pStyle w:val="Akapitzlist"/>
              <w:numPr>
                <w:ilvl w:val="3"/>
                <w:numId w:val="31"/>
              </w:numPr>
              <w:spacing w:after="60"/>
              <w:contextualSpacing w:val="0"/>
              <w:jc w:val="both"/>
              <w:rPr>
                <w:sz w:val="20"/>
                <w:szCs w:val="20"/>
              </w:rPr>
            </w:pPr>
            <w:r w:rsidRPr="00F30324">
              <w:rPr>
                <w:sz w:val="20"/>
                <w:szCs w:val="20"/>
              </w:rPr>
              <w:t>stężenie</w:t>
            </w:r>
            <w:r w:rsidR="00D0407A">
              <w:rPr>
                <w:sz w:val="20"/>
                <w:szCs w:val="20"/>
              </w:rPr>
              <w:t xml:space="preserve"> </w:t>
            </w:r>
            <w:r w:rsidR="00822D6E" w:rsidRPr="00F30324">
              <w:rPr>
                <w:sz w:val="20"/>
                <w:szCs w:val="20"/>
              </w:rPr>
              <w:t>TSH</w:t>
            </w:r>
            <w:r w:rsidR="00D0407A">
              <w:rPr>
                <w:sz w:val="20"/>
                <w:szCs w:val="20"/>
              </w:rPr>
              <w:t xml:space="preserve"> </w:t>
            </w:r>
            <w:r w:rsidR="00822D6E" w:rsidRPr="00F30324">
              <w:rPr>
                <w:sz w:val="20"/>
                <w:szCs w:val="20"/>
              </w:rPr>
              <w:t>oraz</w:t>
            </w:r>
            <w:r w:rsidR="00D0407A">
              <w:rPr>
                <w:sz w:val="20"/>
                <w:szCs w:val="20"/>
              </w:rPr>
              <w:t xml:space="preserve"> </w:t>
            </w:r>
            <w:r w:rsidR="00822D6E" w:rsidRPr="00F30324">
              <w:rPr>
                <w:sz w:val="20"/>
                <w:szCs w:val="20"/>
              </w:rPr>
              <w:t>fT4,</w:t>
            </w:r>
          </w:p>
          <w:p w14:paraId="169CD162" w14:textId="61ECA3E0" w:rsidR="00822D6E" w:rsidRPr="00F30324" w:rsidRDefault="00822D6E" w:rsidP="009C3BDE">
            <w:pPr>
              <w:pStyle w:val="Akapitzlist"/>
              <w:numPr>
                <w:ilvl w:val="3"/>
                <w:numId w:val="31"/>
              </w:numPr>
              <w:spacing w:after="60"/>
              <w:contextualSpacing w:val="0"/>
              <w:jc w:val="both"/>
              <w:rPr>
                <w:sz w:val="20"/>
                <w:szCs w:val="20"/>
              </w:rPr>
            </w:pPr>
            <w:r w:rsidRPr="00F30324">
              <w:rPr>
                <w:sz w:val="20"/>
                <w:szCs w:val="20"/>
              </w:rPr>
              <w:t>lipidogram</w:t>
            </w:r>
            <w:r w:rsidR="00D0407A">
              <w:rPr>
                <w:sz w:val="20"/>
                <w:szCs w:val="20"/>
              </w:rPr>
              <w:t xml:space="preserve"> </w:t>
            </w:r>
            <w:r w:rsidRPr="00F30324">
              <w:rPr>
                <w:sz w:val="20"/>
                <w:szCs w:val="20"/>
              </w:rPr>
              <w:t>(triglicerydy,</w:t>
            </w:r>
            <w:r w:rsidR="00D0407A">
              <w:rPr>
                <w:sz w:val="20"/>
                <w:szCs w:val="20"/>
              </w:rPr>
              <w:t xml:space="preserve"> </w:t>
            </w:r>
            <w:r w:rsidRPr="00F30324">
              <w:rPr>
                <w:sz w:val="20"/>
                <w:szCs w:val="20"/>
              </w:rPr>
              <w:t>cholestero</w:t>
            </w:r>
            <w:r w:rsidR="0038356E" w:rsidRPr="00F30324">
              <w:rPr>
                <w:sz w:val="20"/>
                <w:szCs w:val="20"/>
              </w:rPr>
              <w:t>l</w:t>
            </w:r>
            <w:r w:rsidR="00D0407A">
              <w:rPr>
                <w:sz w:val="20"/>
                <w:szCs w:val="20"/>
              </w:rPr>
              <w:t xml:space="preserve"> </w:t>
            </w:r>
            <w:r w:rsidR="0038356E" w:rsidRPr="00F30324">
              <w:rPr>
                <w:sz w:val="20"/>
                <w:szCs w:val="20"/>
              </w:rPr>
              <w:t>całkowity,</w:t>
            </w:r>
            <w:r w:rsidR="00D0407A">
              <w:rPr>
                <w:sz w:val="20"/>
                <w:szCs w:val="20"/>
              </w:rPr>
              <w:t xml:space="preserve"> </w:t>
            </w:r>
            <w:r w:rsidR="0038356E" w:rsidRPr="00F30324">
              <w:rPr>
                <w:sz w:val="20"/>
                <w:szCs w:val="20"/>
              </w:rPr>
              <w:t>frakcja</w:t>
            </w:r>
            <w:r w:rsidR="00D0407A">
              <w:rPr>
                <w:sz w:val="20"/>
                <w:szCs w:val="20"/>
              </w:rPr>
              <w:t xml:space="preserve"> </w:t>
            </w:r>
            <w:r w:rsidR="0038356E" w:rsidRPr="00F30324">
              <w:rPr>
                <w:sz w:val="20"/>
                <w:szCs w:val="20"/>
              </w:rPr>
              <w:t>HDL</w:t>
            </w:r>
            <w:r w:rsidR="00D0407A">
              <w:rPr>
                <w:sz w:val="20"/>
                <w:szCs w:val="20"/>
              </w:rPr>
              <w:t xml:space="preserve"> </w:t>
            </w:r>
            <w:r w:rsidR="0038356E" w:rsidRPr="00F30324">
              <w:rPr>
                <w:sz w:val="20"/>
                <w:szCs w:val="20"/>
              </w:rPr>
              <w:t>i</w:t>
            </w:r>
            <w:r w:rsidR="00D0407A">
              <w:rPr>
                <w:sz w:val="20"/>
                <w:szCs w:val="20"/>
              </w:rPr>
              <w:t xml:space="preserve"> </w:t>
            </w:r>
            <w:r w:rsidR="0038356E" w:rsidRPr="00F30324">
              <w:rPr>
                <w:sz w:val="20"/>
                <w:szCs w:val="20"/>
              </w:rPr>
              <w:t>LDL),</w:t>
            </w:r>
          </w:p>
          <w:p w14:paraId="19195B19" w14:textId="1DF05BDB" w:rsidR="00822D6E" w:rsidRPr="00F30324" w:rsidRDefault="00822D6E" w:rsidP="00B14F45">
            <w:pPr>
              <w:pStyle w:val="Akapitzlist"/>
              <w:numPr>
                <w:ilvl w:val="3"/>
                <w:numId w:val="31"/>
              </w:numPr>
              <w:spacing w:after="60"/>
              <w:contextualSpacing w:val="0"/>
              <w:jc w:val="both"/>
              <w:rPr>
                <w:sz w:val="20"/>
                <w:szCs w:val="20"/>
              </w:rPr>
            </w:pPr>
            <w:r w:rsidRPr="00F30324">
              <w:rPr>
                <w:sz w:val="20"/>
                <w:szCs w:val="20"/>
              </w:rPr>
              <w:t>wy</w:t>
            </w:r>
            <w:r w:rsidR="004834B6" w:rsidRPr="00F30324">
              <w:rPr>
                <w:sz w:val="20"/>
                <w:szCs w:val="20"/>
              </w:rPr>
              <w:t>konanie</w:t>
            </w:r>
            <w:r w:rsidR="00D0407A">
              <w:rPr>
                <w:sz w:val="20"/>
                <w:szCs w:val="20"/>
              </w:rPr>
              <w:t xml:space="preserve"> </w:t>
            </w:r>
            <w:r w:rsidR="004834B6" w:rsidRPr="00F30324">
              <w:rPr>
                <w:sz w:val="20"/>
                <w:szCs w:val="20"/>
              </w:rPr>
              <w:t>badań</w:t>
            </w:r>
            <w:r w:rsidR="00D0407A">
              <w:rPr>
                <w:sz w:val="20"/>
                <w:szCs w:val="20"/>
              </w:rPr>
              <w:t xml:space="preserve"> </w:t>
            </w:r>
            <w:r w:rsidRPr="00F30324">
              <w:rPr>
                <w:sz w:val="20"/>
                <w:szCs w:val="20"/>
              </w:rPr>
              <w:t>kontrolnych</w:t>
            </w:r>
            <w:r w:rsidR="00D0407A">
              <w:rPr>
                <w:sz w:val="20"/>
                <w:szCs w:val="20"/>
              </w:rPr>
              <w:t xml:space="preserve"> </w:t>
            </w:r>
            <w:r w:rsidRPr="00F30324">
              <w:rPr>
                <w:sz w:val="20"/>
                <w:szCs w:val="20"/>
              </w:rPr>
              <w:t>obrazowych</w:t>
            </w:r>
            <w:r w:rsidR="00D0407A">
              <w:rPr>
                <w:sz w:val="20"/>
                <w:szCs w:val="20"/>
              </w:rPr>
              <w:t xml:space="preserve"> </w:t>
            </w:r>
            <w:r w:rsidR="0052615D" w:rsidRPr="00F30324">
              <w:rPr>
                <w:sz w:val="20"/>
                <w:szCs w:val="20"/>
              </w:rPr>
              <w:t>-</w:t>
            </w:r>
            <w:r w:rsidR="00D0407A">
              <w:rPr>
                <w:sz w:val="20"/>
                <w:szCs w:val="20"/>
              </w:rPr>
              <w:t xml:space="preserve"> </w:t>
            </w:r>
            <w:r w:rsidR="005E3F67" w:rsidRPr="00F30324">
              <w:rPr>
                <w:sz w:val="20"/>
                <w:szCs w:val="20"/>
              </w:rPr>
              <w:br/>
            </w:r>
            <w:r w:rsidRPr="00F30324">
              <w:rPr>
                <w:sz w:val="20"/>
                <w:szCs w:val="20"/>
              </w:rPr>
              <w:t>w</w:t>
            </w:r>
            <w:r w:rsidR="00D0407A">
              <w:rPr>
                <w:sz w:val="20"/>
                <w:szCs w:val="20"/>
              </w:rPr>
              <w:t xml:space="preserve"> </w:t>
            </w:r>
            <w:r w:rsidRPr="00F30324">
              <w:rPr>
                <w:sz w:val="20"/>
                <w:szCs w:val="20"/>
              </w:rPr>
              <w:t>zależności</w:t>
            </w:r>
            <w:r w:rsidR="00D0407A">
              <w:rPr>
                <w:sz w:val="20"/>
                <w:szCs w:val="20"/>
              </w:rPr>
              <w:t xml:space="preserve"> </w:t>
            </w:r>
            <w:r w:rsidRPr="00F30324">
              <w:rPr>
                <w:sz w:val="20"/>
                <w:szCs w:val="20"/>
              </w:rPr>
              <w:t>od</w:t>
            </w:r>
            <w:r w:rsidR="00D0407A">
              <w:rPr>
                <w:sz w:val="20"/>
                <w:szCs w:val="20"/>
              </w:rPr>
              <w:t xml:space="preserve"> </w:t>
            </w:r>
            <w:r w:rsidRPr="00F30324">
              <w:rPr>
                <w:sz w:val="20"/>
                <w:szCs w:val="20"/>
              </w:rPr>
              <w:t>potrzeb</w:t>
            </w:r>
            <w:r w:rsidR="00D0407A">
              <w:rPr>
                <w:sz w:val="20"/>
                <w:szCs w:val="20"/>
              </w:rPr>
              <w:t xml:space="preserve"> </w:t>
            </w:r>
            <w:r w:rsidRPr="00F30324">
              <w:rPr>
                <w:sz w:val="20"/>
                <w:szCs w:val="20"/>
              </w:rPr>
              <w:t>klinicznych.</w:t>
            </w:r>
            <w:r w:rsidR="00D0407A">
              <w:rPr>
                <w:sz w:val="20"/>
                <w:szCs w:val="20"/>
              </w:rPr>
              <w:t xml:space="preserve"> </w:t>
            </w:r>
          </w:p>
          <w:p w14:paraId="7CC884ED" w14:textId="7D4CA757" w:rsidR="00EF5254" w:rsidRPr="00F30324" w:rsidRDefault="003736D3" w:rsidP="007F5D21">
            <w:pPr>
              <w:pStyle w:val="Akapitzlist"/>
              <w:numPr>
                <w:ilvl w:val="2"/>
                <w:numId w:val="31"/>
              </w:numPr>
              <w:spacing w:after="60"/>
              <w:contextualSpacing w:val="0"/>
              <w:jc w:val="both"/>
              <w:rPr>
                <w:sz w:val="20"/>
                <w:szCs w:val="20"/>
              </w:rPr>
            </w:pPr>
            <w:r w:rsidRPr="00F30324">
              <w:rPr>
                <w:sz w:val="20"/>
                <w:szCs w:val="20"/>
              </w:rPr>
              <w:t>R</w:t>
            </w:r>
            <w:r w:rsidR="00822D6E" w:rsidRPr="00F30324">
              <w:rPr>
                <w:sz w:val="20"/>
                <w:szCs w:val="20"/>
              </w:rPr>
              <w:t>az</w:t>
            </w:r>
            <w:r w:rsidR="00D0407A">
              <w:rPr>
                <w:sz w:val="20"/>
                <w:szCs w:val="20"/>
              </w:rPr>
              <w:t xml:space="preserve"> </w:t>
            </w:r>
            <w:r w:rsidR="00822D6E" w:rsidRPr="00F30324">
              <w:rPr>
                <w:sz w:val="20"/>
                <w:szCs w:val="20"/>
              </w:rPr>
              <w:t>na</w:t>
            </w:r>
            <w:r w:rsidR="00D0407A">
              <w:rPr>
                <w:sz w:val="20"/>
                <w:szCs w:val="20"/>
              </w:rPr>
              <w:t xml:space="preserve"> </w:t>
            </w:r>
            <w:r w:rsidR="00822D6E" w:rsidRPr="00F30324">
              <w:rPr>
                <w:sz w:val="20"/>
                <w:szCs w:val="20"/>
              </w:rPr>
              <w:t>dwa</w:t>
            </w:r>
            <w:r w:rsidR="00D0407A">
              <w:rPr>
                <w:sz w:val="20"/>
                <w:szCs w:val="20"/>
              </w:rPr>
              <w:t xml:space="preserve"> </w:t>
            </w:r>
            <w:r w:rsidR="00822D6E" w:rsidRPr="00F30324">
              <w:rPr>
                <w:sz w:val="20"/>
                <w:szCs w:val="20"/>
              </w:rPr>
              <w:t>miesiące</w:t>
            </w:r>
            <w:r w:rsidR="00D0407A">
              <w:rPr>
                <w:sz w:val="20"/>
                <w:szCs w:val="20"/>
              </w:rPr>
              <w:t xml:space="preserve"> </w:t>
            </w:r>
            <w:r w:rsidRPr="00F30324">
              <w:rPr>
                <w:sz w:val="20"/>
                <w:szCs w:val="20"/>
              </w:rPr>
              <w:t>należy</w:t>
            </w:r>
            <w:r w:rsidR="00D0407A">
              <w:rPr>
                <w:sz w:val="20"/>
                <w:szCs w:val="20"/>
              </w:rPr>
              <w:t xml:space="preserve"> </w:t>
            </w:r>
            <w:r w:rsidRPr="00F30324">
              <w:rPr>
                <w:sz w:val="20"/>
                <w:szCs w:val="20"/>
              </w:rPr>
              <w:t>wypełnić</w:t>
            </w:r>
            <w:r w:rsidR="00D0407A">
              <w:rPr>
                <w:sz w:val="20"/>
                <w:szCs w:val="20"/>
              </w:rPr>
              <w:t xml:space="preserve"> </w:t>
            </w:r>
            <w:r w:rsidR="00822D6E" w:rsidRPr="00F30324">
              <w:rPr>
                <w:sz w:val="20"/>
                <w:szCs w:val="20"/>
              </w:rPr>
              <w:t>skal</w:t>
            </w:r>
            <w:r w:rsidRPr="00F30324">
              <w:rPr>
                <w:sz w:val="20"/>
                <w:szCs w:val="20"/>
              </w:rPr>
              <w:t>ę</w:t>
            </w:r>
            <w:r w:rsidR="00D0407A">
              <w:rPr>
                <w:sz w:val="20"/>
                <w:szCs w:val="20"/>
              </w:rPr>
              <w:t xml:space="preserve"> </w:t>
            </w:r>
            <w:r w:rsidR="00C447DC" w:rsidRPr="00F30324">
              <w:rPr>
                <w:sz w:val="20"/>
                <w:szCs w:val="20"/>
              </w:rPr>
              <w:t>m</w:t>
            </w:r>
            <w:r w:rsidR="00822D6E" w:rsidRPr="00F30324">
              <w:rPr>
                <w:sz w:val="20"/>
                <w:szCs w:val="20"/>
              </w:rPr>
              <w:t>SWAT</w:t>
            </w:r>
            <w:r w:rsidR="0038356E" w:rsidRPr="00F30324">
              <w:rPr>
                <w:sz w:val="20"/>
                <w:szCs w:val="20"/>
              </w:rPr>
              <w:t>.</w:t>
            </w:r>
          </w:p>
          <w:p w14:paraId="0C92633D" w14:textId="77777777" w:rsidR="007F5D21" w:rsidRDefault="007F5D21" w:rsidP="007F5D21">
            <w:pPr>
              <w:spacing w:after="60"/>
              <w:jc w:val="both"/>
              <w:rPr>
                <w:b/>
                <w:sz w:val="20"/>
                <w:szCs w:val="20"/>
              </w:rPr>
            </w:pPr>
          </w:p>
          <w:p w14:paraId="2DFA764F" w14:textId="40EE2F1E" w:rsidR="00710292" w:rsidRPr="007F5D21" w:rsidRDefault="00710292" w:rsidP="007F5D21">
            <w:pPr>
              <w:spacing w:after="60"/>
              <w:jc w:val="both"/>
              <w:rPr>
                <w:b/>
                <w:sz w:val="20"/>
                <w:szCs w:val="20"/>
              </w:rPr>
            </w:pPr>
            <w:r w:rsidRPr="007F5D21">
              <w:rPr>
                <w:b/>
                <w:sz w:val="20"/>
                <w:szCs w:val="20"/>
              </w:rPr>
              <w:t>Monitorowanie</w:t>
            </w:r>
            <w:r w:rsidR="00D0407A" w:rsidRPr="007F5D21">
              <w:rPr>
                <w:b/>
                <w:sz w:val="20"/>
                <w:szCs w:val="20"/>
              </w:rPr>
              <w:t xml:space="preserve"> </w:t>
            </w:r>
            <w:r w:rsidRPr="007F5D21">
              <w:rPr>
                <w:b/>
                <w:sz w:val="20"/>
                <w:szCs w:val="20"/>
              </w:rPr>
              <w:t>leczenia</w:t>
            </w:r>
            <w:r w:rsidR="00D0407A" w:rsidRPr="007F5D21">
              <w:rPr>
                <w:b/>
                <w:sz w:val="20"/>
                <w:szCs w:val="20"/>
              </w:rPr>
              <w:t xml:space="preserve"> </w:t>
            </w:r>
            <w:r w:rsidRPr="007F5D21">
              <w:rPr>
                <w:b/>
                <w:sz w:val="20"/>
                <w:szCs w:val="20"/>
              </w:rPr>
              <w:t>pacjentów,</w:t>
            </w:r>
            <w:r w:rsidR="00D0407A" w:rsidRPr="007F5D21">
              <w:rPr>
                <w:b/>
                <w:sz w:val="20"/>
                <w:szCs w:val="20"/>
              </w:rPr>
              <w:t xml:space="preserve"> </w:t>
            </w:r>
            <w:r w:rsidRPr="007F5D21">
              <w:rPr>
                <w:b/>
                <w:sz w:val="20"/>
                <w:szCs w:val="20"/>
              </w:rPr>
              <w:t>o</w:t>
            </w:r>
            <w:r w:rsidR="00D0407A" w:rsidRPr="007F5D21">
              <w:rPr>
                <w:b/>
                <w:sz w:val="20"/>
                <w:szCs w:val="20"/>
              </w:rPr>
              <w:t xml:space="preserve"> </w:t>
            </w:r>
            <w:r w:rsidRPr="007F5D21">
              <w:rPr>
                <w:b/>
                <w:sz w:val="20"/>
                <w:szCs w:val="20"/>
              </w:rPr>
              <w:t>których</w:t>
            </w:r>
            <w:r w:rsidR="00D0407A" w:rsidRPr="007F5D21">
              <w:rPr>
                <w:b/>
                <w:sz w:val="20"/>
                <w:szCs w:val="20"/>
              </w:rPr>
              <w:t xml:space="preserve"> </w:t>
            </w:r>
            <w:r w:rsidRPr="007F5D21">
              <w:rPr>
                <w:b/>
                <w:sz w:val="20"/>
                <w:szCs w:val="20"/>
              </w:rPr>
              <w:t>mowa</w:t>
            </w:r>
            <w:r w:rsidR="00D0407A" w:rsidRPr="007F5D21">
              <w:rPr>
                <w:b/>
                <w:sz w:val="20"/>
                <w:szCs w:val="20"/>
              </w:rPr>
              <w:t xml:space="preserve"> </w:t>
            </w:r>
            <w:r w:rsidRPr="007F5D21">
              <w:rPr>
                <w:b/>
                <w:sz w:val="20"/>
                <w:szCs w:val="20"/>
              </w:rPr>
              <w:t>w</w:t>
            </w:r>
            <w:r w:rsidR="00D0407A" w:rsidRPr="007F5D21">
              <w:rPr>
                <w:b/>
                <w:sz w:val="20"/>
                <w:szCs w:val="20"/>
              </w:rPr>
              <w:t xml:space="preserve"> </w:t>
            </w:r>
            <w:r w:rsidRPr="007F5D21">
              <w:rPr>
                <w:b/>
                <w:sz w:val="20"/>
                <w:szCs w:val="20"/>
              </w:rPr>
              <w:t>sekcji</w:t>
            </w:r>
            <w:r w:rsidR="00D0407A" w:rsidRPr="007F5D21">
              <w:rPr>
                <w:b/>
                <w:sz w:val="20"/>
                <w:szCs w:val="20"/>
              </w:rPr>
              <w:t xml:space="preserve"> </w:t>
            </w:r>
            <w:r w:rsidRPr="007F5D21">
              <w:rPr>
                <w:b/>
                <w:sz w:val="20"/>
                <w:szCs w:val="20"/>
              </w:rPr>
              <w:t>Świadczeniobiorcy</w:t>
            </w:r>
            <w:r w:rsidR="00D0407A" w:rsidRPr="007F5D21">
              <w:rPr>
                <w:b/>
                <w:sz w:val="20"/>
                <w:szCs w:val="20"/>
              </w:rPr>
              <w:t xml:space="preserve"> </w:t>
            </w:r>
            <w:r w:rsidRPr="007F5D21">
              <w:rPr>
                <w:b/>
                <w:sz w:val="20"/>
                <w:szCs w:val="20"/>
              </w:rPr>
              <w:t>4.</w:t>
            </w:r>
            <w:r w:rsidR="00D0407A" w:rsidRPr="007F5D21">
              <w:rPr>
                <w:b/>
                <w:sz w:val="20"/>
                <w:szCs w:val="20"/>
              </w:rPr>
              <w:t xml:space="preserve"> </w:t>
            </w:r>
            <w:r w:rsidRPr="007F5D21">
              <w:rPr>
                <w:b/>
                <w:sz w:val="20"/>
                <w:szCs w:val="20"/>
              </w:rPr>
              <w:t>pkt.</w:t>
            </w:r>
            <w:r w:rsidR="00D0407A" w:rsidRPr="007F5D21">
              <w:rPr>
                <w:b/>
                <w:sz w:val="20"/>
                <w:szCs w:val="20"/>
              </w:rPr>
              <w:t xml:space="preserve"> </w:t>
            </w:r>
            <w:r w:rsidRPr="007F5D21">
              <w:rPr>
                <w:b/>
                <w:sz w:val="20"/>
                <w:szCs w:val="20"/>
              </w:rPr>
              <w:t>1.,</w:t>
            </w:r>
            <w:r w:rsidR="00D0407A" w:rsidRPr="007F5D21">
              <w:rPr>
                <w:b/>
                <w:sz w:val="20"/>
                <w:szCs w:val="20"/>
              </w:rPr>
              <w:t xml:space="preserve"> </w:t>
            </w:r>
            <w:r w:rsidRPr="007F5D21">
              <w:rPr>
                <w:b/>
                <w:sz w:val="20"/>
                <w:szCs w:val="20"/>
              </w:rPr>
              <w:t>powinno</w:t>
            </w:r>
            <w:r w:rsidR="00D0407A" w:rsidRPr="007F5D21">
              <w:rPr>
                <w:b/>
                <w:sz w:val="20"/>
                <w:szCs w:val="20"/>
              </w:rPr>
              <w:t xml:space="preserve"> </w:t>
            </w:r>
            <w:r w:rsidRPr="007F5D21">
              <w:rPr>
                <w:b/>
                <w:sz w:val="20"/>
                <w:szCs w:val="20"/>
              </w:rPr>
              <w:t>być</w:t>
            </w:r>
            <w:r w:rsidR="00D0407A" w:rsidRPr="007F5D21">
              <w:rPr>
                <w:b/>
                <w:sz w:val="20"/>
                <w:szCs w:val="20"/>
              </w:rPr>
              <w:t xml:space="preserve"> </w:t>
            </w:r>
            <w:r w:rsidRPr="007F5D21">
              <w:rPr>
                <w:b/>
                <w:sz w:val="20"/>
                <w:szCs w:val="20"/>
              </w:rPr>
              <w:t>prowadzone</w:t>
            </w:r>
            <w:r w:rsidR="00D0407A" w:rsidRPr="007F5D21">
              <w:rPr>
                <w:b/>
                <w:sz w:val="20"/>
                <w:szCs w:val="20"/>
              </w:rPr>
              <w:t xml:space="preserve"> </w:t>
            </w:r>
            <w:r w:rsidRPr="007F5D21">
              <w:rPr>
                <w:b/>
                <w:sz w:val="20"/>
                <w:szCs w:val="20"/>
              </w:rPr>
              <w:t>jednakowo</w:t>
            </w:r>
            <w:r w:rsidR="00D0407A" w:rsidRPr="007F5D21">
              <w:rPr>
                <w:b/>
                <w:sz w:val="20"/>
                <w:szCs w:val="20"/>
              </w:rPr>
              <w:t xml:space="preserve"> </w:t>
            </w:r>
            <w:r w:rsidRPr="007F5D21">
              <w:rPr>
                <w:b/>
                <w:sz w:val="20"/>
                <w:szCs w:val="20"/>
              </w:rPr>
              <w:t>jak</w:t>
            </w:r>
            <w:r w:rsidR="00D0407A" w:rsidRPr="007F5D21">
              <w:rPr>
                <w:b/>
                <w:sz w:val="20"/>
                <w:szCs w:val="20"/>
              </w:rPr>
              <w:t xml:space="preserve"> </w:t>
            </w:r>
            <w:r w:rsidRPr="007F5D21">
              <w:rPr>
                <w:b/>
                <w:sz w:val="20"/>
                <w:szCs w:val="20"/>
              </w:rPr>
              <w:t>w</w:t>
            </w:r>
            <w:r w:rsidR="00D0407A" w:rsidRPr="007F5D21">
              <w:rPr>
                <w:b/>
                <w:sz w:val="20"/>
                <w:szCs w:val="20"/>
              </w:rPr>
              <w:t xml:space="preserve"> </w:t>
            </w:r>
            <w:r w:rsidRPr="007F5D21">
              <w:rPr>
                <w:b/>
                <w:sz w:val="20"/>
                <w:szCs w:val="20"/>
              </w:rPr>
              <w:t>przypadku</w:t>
            </w:r>
            <w:r w:rsidR="00D0407A" w:rsidRPr="007F5D21">
              <w:rPr>
                <w:b/>
                <w:sz w:val="20"/>
                <w:szCs w:val="20"/>
              </w:rPr>
              <w:t xml:space="preserve"> </w:t>
            </w:r>
            <w:r w:rsidRPr="007F5D21">
              <w:rPr>
                <w:b/>
                <w:sz w:val="20"/>
                <w:szCs w:val="20"/>
              </w:rPr>
              <w:t>pozostałych</w:t>
            </w:r>
            <w:r w:rsidR="00D0407A" w:rsidRPr="007F5D21">
              <w:rPr>
                <w:b/>
                <w:sz w:val="20"/>
                <w:szCs w:val="20"/>
              </w:rPr>
              <w:t xml:space="preserve"> </w:t>
            </w:r>
            <w:r w:rsidRPr="007F5D21">
              <w:rPr>
                <w:b/>
                <w:sz w:val="20"/>
                <w:szCs w:val="20"/>
              </w:rPr>
              <w:t>pacjentów.</w:t>
            </w:r>
          </w:p>
          <w:p w14:paraId="7C997463" w14:textId="77777777" w:rsidR="00710292" w:rsidRDefault="00710292" w:rsidP="007F5D21">
            <w:pPr>
              <w:spacing w:after="60"/>
              <w:jc w:val="both"/>
              <w:rPr>
                <w:sz w:val="20"/>
                <w:szCs w:val="20"/>
              </w:rPr>
            </w:pPr>
          </w:p>
          <w:p w14:paraId="2612E2F1" w14:textId="66F5C1F9" w:rsidR="00F10BE6" w:rsidRPr="00F30324" w:rsidRDefault="00F10BE6" w:rsidP="007F5D21">
            <w:pPr>
              <w:pStyle w:val="Akapitzlist"/>
              <w:numPr>
                <w:ilvl w:val="0"/>
                <w:numId w:val="31"/>
              </w:numPr>
              <w:spacing w:after="60"/>
              <w:contextualSpacing w:val="0"/>
              <w:jc w:val="both"/>
              <w:rPr>
                <w:b/>
                <w:sz w:val="20"/>
                <w:szCs w:val="20"/>
              </w:rPr>
            </w:pPr>
            <w:r w:rsidRPr="00F30324">
              <w:rPr>
                <w:b/>
                <w:sz w:val="20"/>
                <w:szCs w:val="20"/>
              </w:rPr>
              <w:t>Monitorowanie</w:t>
            </w:r>
            <w:r w:rsidR="00D0407A">
              <w:rPr>
                <w:b/>
                <w:sz w:val="20"/>
                <w:szCs w:val="20"/>
              </w:rPr>
              <w:t xml:space="preserve"> </w:t>
            </w:r>
            <w:r w:rsidRPr="00F30324">
              <w:rPr>
                <w:b/>
                <w:sz w:val="20"/>
                <w:szCs w:val="20"/>
              </w:rPr>
              <w:t>programu</w:t>
            </w:r>
          </w:p>
          <w:p w14:paraId="31405D67" w14:textId="416A0074" w:rsidR="00F10BE6" w:rsidRPr="00F30324" w:rsidRDefault="00F10BE6" w:rsidP="007F5D21">
            <w:pPr>
              <w:pStyle w:val="Akapitzlist"/>
              <w:numPr>
                <w:ilvl w:val="2"/>
                <w:numId w:val="31"/>
              </w:numPr>
              <w:spacing w:after="60"/>
              <w:contextualSpacing w:val="0"/>
              <w:jc w:val="both"/>
              <w:rPr>
                <w:sz w:val="20"/>
                <w:szCs w:val="20"/>
              </w:rPr>
            </w:pPr>
            <w:r w:rsidRPr="00F30324">
              <w:rPr>
                <w:sz w:val="20"/>
                <w:szCs w:val="20"/>
              </w:rPr>
              <w:t>gromadzenie</w:t>
            </w:r>
            <w:r w:rsidR="00D0407A">
              <w:rPr>
                <w:sz w:val="20"/>
                <w:szCs w:val="20"/>
              </w:rPr>
              <w:t xml:space="preserve"> </w:t>
            </w:r>
            <w:r w:rsidRPr="00F30324">
              <w:rPr>
                <w:sz w:val="20"/>
                <w:szCs w:val="20"/>
              </w:rPr>
              <w:t>w</w:t>
            </w:r>
            <w:r w:rsidR="00D0407A">
              <w:rPr>
                <w:sz w:val="20"/>
                <w:szCs w:val="20"/>
              </w:rPr>
              <w:t xml:space="preserve"> </w:t>
            </w:r>
            <w:r w:rsidRPr="00F30324">
              <w:rPr>
                <w:sz w:val="20"/>
                <w:szCs w:val="20"/>
              </w:rPr>
              <w:t>dokumentacji</w:t>
            </w:r>
            <w:r w:rsidR="00D0407A">
              <w:rPr>
                <w:sz w:val="20"/>
                <w:szCs w:val="20"/>
              </w:rPr>
              <w:t xml:space="preserve"> </w:t>
            </w:r>
            <w:r w:rsidRPr="00F30324">
              <w:rPr>
                <w:sz w:val="20"/>
                <w:szCs w:val="20"/>
              </w:rPr>
              <w:t>medycznej</w:t>
            </w:r>
            <w:r w:rsidR="00D0407A">
              <w:rPr>
                <w:sz w:val="20"/>
                <w:szCs w:val="20"/>
              </w:rPr>
              <w:t xml:space="preserve"> </w:t>
            </w:r>
            <w:r w:rsidRPr="00F30324">
              <w:rPr>
                <w:sz w:val="20"/>
                <w:szCs w:val="20"/>
              </w:rPr>
              <w:t>pacjenta</w:t>
            </w:r>
            <w:r w:rsidR="00D0407A">
              <w:rPr>
                <w:sz w:val="20"/>
                <w:szCs w:val="20"/>
              </w:rPr>
              <w:t xml:space="preserve"> </w:t>
            </w:r>
            <w:r w:rsidRPr="00F30324">
              <w:rPr>
                <w:sz w:val="20"/>
                <w:szCs w:val="20"/>
              </w:rPr>
              <w:t>danych</w:t>
            </w:r>
            <w:r w:rsidR="00D0407A">
              <w:rPr>
                <w:sz w:val="20"/>
                <w:szCs w:val="20"/>
              </w:rPr>
              <w:t xml:space="preserve"> </w:t>
            </w:r>
            <w:r w:rsidRPr="00F30324">
              <w:rPr>
                <w:sz w:val="20"/>
                <w:szCs w:val="20"/>
              </w:rPr>
              <w:t>dotyczących</w:t>
            </w:r>
            <w:r w:rsidR="00D0407A">
              <w:rPr>
                <w:sz w:val="20"/>
                <w:szCs w:val="20"/>
              </w:rPr>
              <w:t xml:space="preserve"> </w:t>
            </w:r>
            <w:r w:rsidRPr="00F30324">
              <w:rPr>
                <w:sz w:val="20"/>
                <w:szCs w:val="20"/>
              </w:rPr>
              <w:t>monitorowania</w:t>
            </w:r>
            <w:r w:rsidR="00D0407A">
              <w:rPr>
                <w:sz w:val="20"/>
                <w:szCs w:val="20"/>
              </w:rPr>
              <w:t xml:space="preserve"> </w:t>
            </w:r>
            <w:r w:rsidRPr="00F30324">
              <w:rPr>
                <w:sz w:val="20"/>
                <w:szCs w:val="20"/>
              </w:rPr>
              <w:t>leczenia</w:t>
            </w:r>
            <w:r w:rsidR="00D0407A">
              <w:rPr>
                <w:sz w:val="20"/>
                <w:szCs w:val="20"/>
              </w:rPr>
              <w:t xml:space="preserve"> </w:t>
            </w:r>
            <w:r w:rsidRPr="00F30324">
              <w:rPr>
                <w:sz w:val="20"/>
                <w:szCs w:val="20"/>
              </w:rPr>
              <w:t>i</w:t>
            </w:r>
            <w:r w:rsidR="00D0407A">
              <w:rPr>
                <w:sz w:val="20"/>
                <w:szCs w:val="20"/>
              </w:rPr>
              <w:t xml:space="preserve"> </w:t>
            </w:r>
            <w:r w:rsidRPr="00F30324">
              <w:rPr>
                <w:sz w:val="20"/>
                <w:szCs w:val="20"/>
              </w:rPr>
              <w:t>każdorazowe</w:t>
            </w:r>
            <w:r w:rsidR="00D0407A">
              <w:rPr>
                <w:sz w:val="20"/>
                <w:szCs w:val="20"/>
              </w:rPr>
              <w:t xml:space="preserve"> </w:t>
            </w:r>
            <w:r w:rsidRPr="00F30324">
              <w:rPr>
                <w:sz w:val="20"/>
                <w:szCs w:val="20"/>
              </w:rPr>
              <w:t>ich</w:t>
            </w:r>
            <w:r w:rsidR="00D0407A">
              <w:rPr>
                <w:sz w:val="20"/>
                <w:szCs w:val="20"/>
              </w:rPr>
              <w:t xml:space="preserve"> </w:t>
            </w:r>
            <w:r w:rsidRPr="00F30324">
              <w:rPr>
                <w:sz w:val="20"/>
                <w:szCs w:val="20"/>
              </w:rPr>
              <w:t>przedstawianie</w:t>
            </w:r>
            <w:r w:rsidR="00D0407A">
              <w:rPr>
                <w:sz w:val="20"/>
                <w:szCs w:val="20"/>
              </w:rPr>
              <w:t xml:space="preserve"> </w:t>
            </w:r>
            <w:r w:rsidRPr="00F30324">
              <w:rPr>
                <w:sz w:val="20"/>
                <w:szCs w:val="20"/>
              </w:rPr>
              <w:t>na</w:t>
            </w:r>
            <w:r w:rsidR="00D0407A">
              <w:rPr>
                <w:sz w:val="20"/>
                <w:szCs w:val="20"/>
              </w:rPr>
              <w:t xml:space="preserve"> </w:t>
            </w:r>
            <w:r w:rsidRPr="00F30324">
              <w:rPr>
                <w:sz w:val="20"/>
                <w:szCs w:val="20"/>
              </w:rPr>
              <w:t>żądanie</w:t>
            </w:r>
            <w:r w:rsidR="00D0407A">
              <w:rPr>
                <w:sz w:val="20"/>
                <w:szCs w:val="20"/>
              </w:rPr>
              <w:t xml:space="preserve"> </w:t>
            </w:r>
            <w:r w:rsidRPr="00F30324">
              <w:rPr>
                <w:sz w:val="20"/>
                <w:szCs w:val="20"/>
              </w:rPr>
              <w:t>kontrolerów</w:t>
            </w:r>
            <w:r w:rsidR="00D0407A">
              <w:rPr>
                <w:sz w:val="20"/>
                <w:szCs w:val="20"/>
              </w:rPr>
              <w:t xml:space="preserve"> </w:t>
            </w:r>
            <w:r w:rsidRPr="00F30324">
              <w:rPr>
                <w:sz w:val="20"/>
                <w:szCs w:val="20"/>
              </w:rPr>
              <w:t>Narodowego</w:t>
            </w:r>
            <w:r w:rsidR="00D0407A">
              <w:rPr>
                <w:sz w:val="20"/>
                <w:szCs w:val="20"/>
              </w:rPr>
              <w:t xml:space="preserve"> </w:t>
            </w:r>
            <w:r w:rsidRPr="00F30324">
              <w:rPr>
                <w:sz w:val="20"/>
                <w:szCs w:val="20"/>
              </w:rPr>
              <w:t>Funduszu</w:t>
            </w:r>
            <w:r w:rsidR="00D0407A">
              <w:rPr>
                <w:sz w:val="20"/>
                <w:szCs w:val="20"/>
              </w:rPr>
              <w:t xml:space="preserve"> </w:t>
            </w:r>
            <w:r w:rsidRPr="00F30324">
              <w:rPr>
                <w:sz w:val="20"/>
                <w:szCs w:val="20"/>
              </w:rPr>
              <w:t>Zdrowia;</w:t>
            </w:r>
          </w:p>
          <w:p w14:paraId="0D4C017A" w14:textId="4BC4727D" w:rsidR="00F10BE6" w:rsidRPr="00F30324" w:rsidRDefault="00F10BE6" w:rsidP="007F5D21">
            <w:pPr>
              <w:pStyle w:val="Akapitzlist"/>
              <w:numPr>
                <w:ilvl w:val="2"/>
                <w:numId w:val="31"/>
              </w:numPr>
              <w:tabs>
                <w:tab w:val="left" w:pos="530"/>
              </w:tabs>
              <w:spacing w:after="60"/>
              <w:contextualSpacing w:val="0"/>
              <w:jc w:val="both"/>
              <w:rPr>
                <w:sz w:val="20"/>
                <w:szCs w:val="20"/>
              </w:rPr>
            </w:pPr>
            <w:r w:rsidRPr="00F30324">
              <w:rPr>
                <w:sz w:val="20"/>
                <w:szCs w:val="20"/>
              </w:rPr>
              <w:t>uzupełnienie</w:t>
            </w:r>
            <w:r w:rsidR="00D0407A">
              <w:rPr>
                <w:sz w:val="20"/>
                <w:szCs w:val="20"/>
              </w:rPr>
              <w:t xml:space="preserve"> </w:t>
            </w:r>
            <w:r w:rsidRPr="00F30324">
              <w:rPr>
                <w:sz w:val="20"/>
                <w:szCs w:val="20"/>
              </w:rPr>
              <w:t>danych</w:t>
            </w:r>
            <w:r w:rsidR="00D0407A">
              <w:rPr>
                <w:sz w:val="20"/>
                <w:szCs w:val="20"/>
              </w:rPr>
              <w:t xml:space="preserve"> </w:t>
            </w:r>
            <w:r w:rsidRPr="00F30324">
              <w:rPr>
                <w:sz w:val="20"/>
                <w:szCs w:val="20"/>
              </w:rPr>
              <w:t>zawartych</w:t>
            </w:r>
            <w:r w:rsidR="00D0407A">
              <w:rPr>
                <w:sz w:val="20"/>
                <w:szCs w:val="20"/>
              </w:rPr>
              <w:t xml:space="preserve"> </w:t>
            </w:r>
            <w:r w:rsidRPr="00F30324">
              <w:rPr>
                <w:sz w:val="20"/>
                <w:szCs w:val="20"/>
              </w:rPr>
              <w:t>w</w:t>
            </w:r>
            <w:r w:rsidR="00D0407A">
              <w:rPr>
                <w:sz w:val="20"/>
                <w:szCs w:val="20"/>
              </w:rPr>
              <w:t xml:space="preserve"> </w:t>
            </w:r>
            <w:r w:rsidRPr="00F30324">
              <w:rPr>
                <w:sz w:val="20"/>
                <w:szCs w:val="20"/>
              </w:rPr>
              <w:t>rejestrze</w:t>
            </w:r>
            <w:r w:rsidR="00D0407A">
              <w:rPr>
                <w:sz w:val="20"/>
                <w:szCs w:val="20"/>
              </w:rPr>
              <w:t xml:space="preserve"> </w:t>
            </w:r>
            <w:r w:rsidRPr="00F30324">
              <w:rPr>
                <w:sz w:val="20"/>
                <w:szCs w:val="20"/>
              </w:rPr>
              <w:t>(SMPT)</w:t>
            </w:r>
            <w:r w:rsidR="00D0407A">
              <w:rPr>
                <w:sz w:val="20"/>
                <w:szCs w:val="20"/>
              </w:rPr>
              <w:t xml:space="preserve"> </w:t>
            </w:r>
            <w:r w:rsidRPr="00F30324">
              <w:rPr>
                <w:sz w:val="20"/>
                <w:szCs w:val="20"/>
              </w:rPr>
              <w:t>dostępnym</w:t>
            </w:r>
            <w:r w:rsidR="00D0407A">
              <w:rPr>
                <w:sz w:val="20"/>
                <w:szCs w:val="20"/>
              </w:rPr>
              <w:t xml:space="preserve"> </w:t>
            </w:r>
            <w:r w:rsidRPr="00F30324">
              <w:rPr>
                <w:sz w:val="20"/>
                <w:szCs w:val="20"/>
              </w:rPr>
              <w:t>za</w:t>
            </w:r>
            <w:r w:rsidR="00D0407A">
              <w:rPr>
                <w:sz w:val="20"/>
                <w:szCs w:val="20"/>
              </w:rPr>
              <w:t xml:space="preserve"> </w:t>
            </w:r>
            <w:r w:rsidRPr="00F30324">
              <w:rPr>
                <w:sz w:val="20"/>
                <w:szCs w:val="20"/>
              </w:rPr>
              <w:t>pomocą</w:t>
            </w:r>
            <w:r w:rsidR="00D0407A">
              <w:rPr>
                <w:sz w:val="20"/>
                <w:szCs w:val="20"/>
              </w:rPr>
              <w:t xml:space="preserve"> </w:t>
            </w:r>
            <w:r w:rsidRPr="00F30324">
              <w:rPr>
                <w:sz w:val="20"/>
                <w:szCs w:val="20"/>
              </w:rPr>
              <w:t>aplikacji</w:t>
            </w:r>
            <w:r w:rsidR="00D0407A">
              <w:rPr>
                <w:sz w:val="20"/>
                <w:szCs w:val="20"/>
              </w:rPr>
              <w:t xml:space="preserve"> </w:t>
            </w:r>
            <w:r w:rsidRPr="00F30324">
              <w:rPr>
                <w:sz w:val="20"/>
                <w:szCs w:val="20"/>
              </w:rPr>
              <w:t>internetowej</w:t>
            </w:r>
            <w:r w:rsidR="00D0407A">
              <w:rPr>
                <w:sz w:val="20"/>
                <w:szCs w:val="20"/>
              </w:rPr>
              <w:t xml:space="preserve"> </w:t>
            </w:r>
            <w:r w:rsidRPr="00F30324">
              <w:rPr>
                <w:sz w:val="20"/>
                <w:szCs w:val="20"/>
              </w:rPr>
              <w:t>udostępnionej</w:t>
            </w:r>
            <w:r w:rsidR="00D0407A">
              <w:rPr>
                <w:sz w:val="20"/>
                <w:szCs w:val="20"/>
              </w:rPr>
              <w:t xml:space="preserve"> </w:t>
            </w:r>
            <w:r w:rsidRPr="00F30324">
              <w:rPr>
                <w:sz w:val="20"/>
                <w:szCs w:val="20"/>
              </w:rPr>
              <w:t>przez</w:t>
            </w:r>
            <w:r w:rsidR="00D0407A">
              <w:rPr>
                <w:sz w:val="20"/>
                <w:szCs w:val="20"/>
              </w:rPr>
              <w:t xml:space="preserve"> </w:t>
            </w:r>
            <w:r w:rsidRPr="00F30324">
              <w:rPr>
                <w:sz w:val="20"/>
                <w:szCs w:val="20"/>
              </w:rPr>
              <w:t>OW</w:t>
            </w:r>
            <w:r w:rsidR="00D0407A">
              <w:rPr>
                <w:sz w:val="20"/>
                <w:szCs w:val="20"/>
              </w:rPr>
              <w:t xml:space="preserve"> </w:t>
            </w:r>
            <w:r w:rsidRPr="00F30324">
              <w:rPr>
                <w:sz w:val="20"/>
                <w:szCs w:val="20"/>
              </w:rPr>
              <w:t>NFZ,</w:t>
            </w:r>
            <w:r w:rsidR="00D0407A">
              <w:rPr>
                <w:sz w:val="20"/>
                <w:szCs w:val="20"/>
              </w:rPr>
              <w:t xml:space="preserve"> </w:t>
            </w:r>
            <w:r w:rsidR="009D3411" w:rsidRPr="00F30324">
              <w:rPr>
                <w:sz w:val="20"/>
                <w:szCs w:val="20"/>
              </w:rPr>
              <w:br/>
            </w:r>
            <w:r w:rsidRPr="00F30324">
              <w:rPr>
                <w:sz w:val="20"/>
                <w:szCs w:val="20"/>
              </w:rPr>
              <w:t>z</w:t>
            </w:r>
            <w:r w:rsidR="00D0407A">
              <w:rPr>
                <w:sz w:val="20"/>
                <w:szCs w:val="20"/>
              </w:rPr>
              <w:t xml:space="preserve"> </w:t>
            </w:r>
            <w:r w:rsidRPr="00F30324">
              <w:rPr>
                <w:sz w:val="20"/>
                <w:szCs w:val="20"/>
              </w:rPr>
              <w:t>częstotliwością</w:t>
            </w:r>
            <w:r w:rsidR="00D0407A">
              <w:rPr>
                <w:sz w:val="20"/>
                <w:szCs w:val="20"/>
              </w:rPr>
              <w:t xml:space="preserve"> </w:t>
            </w:r>
            <w:r w:rsidRPr="00F30324">
              <w:rPr>
                <w:sz w:val="20"/>
                <w:szCs w:val="20"/>
              </w:rPr>
              <w:t>zgodną</w:t>
            </w:r>
            <w:r w:rsidR="00D0407A">
              <w:rPr>
                <w:sz w:val="20"/>
                <w:szCs w:val="20"/>
              </w:rPr>
              <w:t xml:space="preserve"> </w:t>
            </w:r>
            <w:r w:rsidRPr="00F30324">
              <w:rPr>
                <w:sz w:val="20"/>
                <w:szCs w:val="20"/>
              </w:rPr>
              <w:t>z</w:t>
            </w:r>
            <w:r w:rsidR="00D0407A">
              <w:rPr>
                <w:sz w:val="20"/>
                <w:szCs w:val="20"/>
              </w:rPr>
              <w:t xml:space="preserve"> </w:t>
            </w:r>
            <w:r w:rsidRPr="00F30324">
              <w:rPr>
                <w:sz w:val="20"/>
                <w:szCs w:val="20"/>
              </w:rPr>
              <w:t>opisem</w:t>
            </w:r>
            <w:r w:rsidR="00D0407A">
              <w:rPr>
                <w:sz w:val="20"/>
                <w:szCs w:val="20"/>
              </w:rPr>
              <w:t xml:space="preserve"> </w:t>
            </w:r>
            <w:r w:rsidRPr="00F30324">
              <w:rPr>
                <w:sz w:val="20"/>
                <w:szCs w:val="20"/>
              </w:rPr>
              <w:t>programu</w:t>
            </w:r>
            <w:r w:rsidR="00D0407A">
              <w:rPr>
                <w:sz w:val="20"/>
                <w:szCs w:val="20"/>
              </w:rPr>
              <w:t xml:space="preserve"> </w:t>
            </w:r>
            <w:r w:rsidR="009D3411" w:rsidRPr="00F30324">
              <w:rPr>
                <w:sz w:val="20"/>
                <w:szCs w:val="20"/>
              </w:rPr>
              <w:br/>
            </w:r>
            <w:r w:rsidRPr="00F30324">
              <w:rPr>
                <w:sz w:val="20"/>
                <w:szCs w:val="20"/>
              </w:rPr>
              <w:t>oraz</w:t>
            </w:r>
            <w:r w:rsidR="00D0407A">
              <w:rPr>
                <w:sz w:val="20"/>
                <w:szCs w:val="20"/>
              </w:rPr>
              <w:t xml:space="preserve"> </w:t>
            </w:r>
            <w:r w:rsidRPr="00F30324">
              <w:rPr>
                <w:sz w:val="20"/>
                <w:szCs w:val="20"/>
              </w:rPr>
              <w:t>na</w:t>
            </w:r>
            <w:r w:rsidR="00D0407A">
              <w:rPr>
                <w:sz w:val="20"/>
                <w:szCs w:val="20"/>
              </w:rPr>
              <w:t xml:space="preserve"> </w:t>
            </w:r>
            <w:r w:rsidRPr="00F30324">
              <w:rPr>
                <w:sz w:val="20"/>
                <w:szCs w:val="20"/>
              </w:rPr>
              <w:t>zakończenie</w:t>
            </w:r>
            <w:r w:rsidR="00D0407A">
              <w:rPr>
                <w:sz w:val="20"/>
                <w:szCs w:val="20"/>
              </w:rPr>
              <w:t xml:space="preserve"> </w:t>
            </w:r>
            <w:r w:rsidRPr="00F30324">
              <w:rPr>
                <w:sz w:val="20"/>
                <w:szCs w:val="20"/>
              </w:rPr>
              <w:t>leczenia;</w:t>
            </w:r>
          </w:p>
          <w:p w14:paraId="37E15C9E" w14:textId="688892FB" w:rsidR="00710292" w:rsidRPr="00F30324" w:rsidRDefault="00F10BE6" w:rsidP="007F5D21">
            <w:pPr>
              <w:pStyle w:val="Akapitzlist"/>
              <w:numPr>
                <w:ilvl w:val="2"/>
                <w:numId w:val="31"/>
              </w:numPr>
              <w:spacing w:after="60"/>
              <w:contextualSpacing w:val="0"/>
              <w:jc w:val="both"/>
              <w:rPr>
                <w:sz w:val="20"/>
                <w:szCs w:val="20"/>
              </w:rPr>
            </w:pPr>
            <w:r w:rsidRPr="00F30324">
              <w:rPr>
                <w:sz w:val="20"/>
                <w:szCs w:val="20"/>
              </w:rPr>
              <w:t>przekazywanie</w:t>
            </w:r>
            <w:r w:rsidR="00D0407A">
              <w:rPr>
                <w:sz w:val="20"/>
                <w:szCs w:val="20"/>
              </w:rPr>
              <w:t xml:space="preserve"> </w:t>
            </w:r>
            <w:r w:rsidRPr="00F30324">
              <w:rPr>
                <w:sz w:val="20"/>
                <w:szCs w:val="20"/>
              </w:rPr>
              <w:t>informacji</w:t>
            </w:r>
            <w:r w:rsidR="00D0407A">
              <w:rPr>
                <w:sz w:val="20"/>
                <w:szCs w:val="20"/>
              </w:rPr>
              <w:t xml:space="preserve"> </w:t>
            </w:r>
            <w:r w:rsidRPr="00F30324">
              <w:rPr>
                <w:sz w:val="20"/>
                <w:szCs w:val="20"/>
              </w:rPr>
              <w:t>sprawozdawczo-rozliczeniowych</w:t>
            </w:r>
            <w:r w:rsidR="00D0407A">
              <w:rPr>
                <w:sz w:val="20"/>
                <w:szCs w:val="20"/>
              </w:rPr>
              <w:t xml:space="preserve"> </w:t>
            </w:r>
            <w:r w:rsidRPr="00F30324">
              <w:rPr>
                <w:sz w:val="20"/>
                <w:szCs w:val="20"/>
              </w:rPr>
              <w:t>do</w:t>
            </w:r>
            <w:r w:rsidR="00D0407A">
              <w:rPr>
                <w:sz w:val="20"/>
                <w:szCs w:val="20"/>
              </w:rPr>
              <w:t xml:space="preserve"> </w:t>
            </w:r>
            <w:r w:rsidRPr="00F30324">
              <w:rPr>
                <w:sz w:val="20"/>
                <w:szCs w:val="20"/>
              </w:rPr>
              <w:t>NFZ:</w:t>
            </w:r>
            <w:r w:rsidR="00D0407A">
              <w:rPr>
                <w:sz w:val="20"/>
                <w:szCs w:val="20"/>
              </w:rPr>
              <w:t xml:space="preserve"> </w:t>
            </w:r>
            <w:r w:rsidRPr="00F30324">
              <w:rPr>
                <w:sz w:val="20"/>
                <w:szCs w:val="20"/>
              </w:rPr>
              <w:t>informacje</w:t>
            </w:r>
            <w:r w:rsidR="00D0407A">
              <w:rPr>
                <w:sz w:val="20"/>
                <w:szCs w:val="20"/>
              </w:rPr>
              <w:t xml:space="preserve"> </w:t>
            </w:r>
            <w:r w:rsidRPr="00F30324">
              <w:rPr>
                <w:sz w:val="20"/>
                <w:szCs w:val="20"/>
              </w:rPr>
              <w:t>przekazuje</w:t>
            </w:r>
            <w:r w:rsidR="00D0407A">
              <w:rPr>
                <w:sz w:val="20"/>
                <w:szCs w:val="20"/>
              </w:rPr>
              <w:t xml:space="preserve"> </w:t>
            </w:r>
            <w:r w:rsidRPr="00F30324">
              <w:rPr>
                <w:sz w:val="20"/>
                <w:szCs w:val="20"/>
              </w:rPr>
              <w:t>się</w:t>
            </w:r>
            <w:r w:rsidR="00D0407A">
              <w:rPr>
                <w:sz w:val="20"/>
                <w:szCs w:val="20"/>
              </w:rPr>
              <w:t xml:space="preserve"> </w:t>
            </w:r>
            <w:r w:rsidRPr="00F30324">
              <w:rPr>
                <w:sz w:val="20"/>
                <w:szCs w:val="20"/>
              </w:rPr>
              <w:t>do</w:t>
            </w:r>
            <w:r w:rsidR="00D0407A">
              <w:rPr>
                <w:sz w:val="20"/>
                <w:szCs w:val="20"/>
              </w:rPr>
              <w:t xml:space="preserve"> </w:t>
            </w:r>
            <w:r w:rsidRPr="00F30324">
              <w:rPr>
                <w:sz w:val="20"/>
                <w:szCs w:val="20"/>
              </w:rPr>
              <w:t>NFZ</w:t>
            </w:r>
            <w:r w:rsidR="00D0407A">
              <w:rPr>
                <w:sz w:val="20"/>
                <w:szCs w:val="20"/>
              </w:rPr>
              <w:t xml:space="preserve"> </w:t>
            </w:r>
            <w:r w:rsidRPr="00F30324">
              <w:rPr>
                <w:sz w:val="20"/>
                <w:szCs w:val="20"/>
              </w:rPr>
              <w:t>w</w:t>
            </w:r>
            <w:r w:rsidR="00D0407A">
              <w:rPr>
                <w:sz w:val="20"/>
                <w:szCs w:val="20"/>
              </w:rPr>
              <w:t xml:space="preserve"> </w:t>
            </w:r>
            <w:r w:rsidRPr="00F30324">
              <w:rPr>
                <w:sz w:val="20"/>
                <w:szCs w:val="20"/>
              </w:rPr>
              <w:t>formie</w:t>
            </w:r>
            <w:r w:rsidR="00D0407A">
              <w:rPr>
                <w:sz w:val="20"/>
                <w:szCs w:val="20"/>
              </w:rPr>
              <w:t xml:space="preserve"> </w:t>
            </w:r>
            <w:r w:rsidRPr="00F30324">
              <w:rPr>
                <w:sz w:val="20"/>
                <w:szCs w:val="20"/>
              </w:rPr>
              <w:t>papierowej</w:t>
            </w:r>
            <w:r w:rsidR="00D0407A">
              <w:rPr>
                <w:sz w:val="20"/>
                <w:szCs w:val="20"/>
              </w:rPr>
              <w:t xml:space="preserve"> </w:t>
            </w:r>
            <w:r w:rsidRPr="00F30324">
              <w:rPr>
                <w:sz w:val="20"/>
                <w:szCs w:val="20"/>
              </w:rPr>
              <w:t>lub</w:t>
            </w:r>
            <w:r w:rsidR="00D0407A">
              <w:rPr>
                <w:sz w:val="20"/>
                <w:szCs w:val="20"/>
              </w:rPr>
              <w:t xml:space="preserve"> </w:t>
            </w:r>
            <w:r w:rsidRPr="00F30324">
              <w:rPr>
                <w:sz w:val="20"/>
                <w:szCs w:val="20"/>
              </w:rPr>
              <w:t>w</w:t>
            </w:r>
            <w:r w:rsidR="00D0407A">
              <w:rPr>
                <w:sz w:val="20"/>
                <w:szCs w:val="20"/>
              </w:rPr>
              <w:t xml:space="preserve"> </w:t>
            </w:r>
            <w:r w:rsidRPr="00F30324">
              <w:rPr>
                <w:sz w:val="20"/>
                <w:szCs w:val="20"/>
              </w:rPr>
              <w:t>formie</w:t>
            </w:r>
            <w:r w:rsidR="00D0407A">
              <w:rPr>
                <w:sz w:val="20"/>
                <w:szCs w:val="20"/>
              </w:rPr>
              <w:t xml:space="preserve"> </w:t>
            </w:r>
            <w:r w:rsidRPr="00F30324">
              <w:rPr>
                <w:sz w:val="20"/>
                <w:szCs w:val="20"/>
              </w:rPr>
              <w:t>elektronicznej,</w:t>
            </w:r>
            <w:r w:rsidR="00D0407A">
              <w:rPr>
                <w:sz w:val="20"/>
                <w:szCs w:val="20"/>
              </w:rPr>
              <w:t xml:space="preserve"> </w:t>
            </w:r>
            <w:r w:rsidRPr="00F30324">
              <w:rPr>
                <w:sz w:val="20"/>
                <w:szCs w:val="20"/>
              </w:rPr>
              <w:t>zgodnie</w:t>
            </w:r>
            <w:r w:rsidR="00D0407A">
              <w:rPr>
                <w:sz w:val="20"/>
                <w:szCs w:val="20"/>
              </w:rPr>
              <w:t xml:space="preserve"> </w:t>
            </w:r>
            <w:r w:rsidRPr="00F30324">
              <w:rPr>
                <w:sz w:val="20"/>
                <w:szCs w:val="20"/>
              </w:rPr>
              <w:t>z</w:t>
            </w:r>
            <w:r w:rsidR="00D0407A">
              <w:rPr>
                <w:sz w:val="20"/>
                <w:szCs w:val="20"/>
              </w:rPr>
              <w:t xml:space="preserve"> </w:t>
            </w:r>
            <w:r w:rsidRPr="00F30324">
              <w:rPr>
                <w:sz w:val="20"/>
                <w:szCs w:val="20"/>
              </w:rPr>
              <w:t>wymaganiami</w:t>
            </w:r>
            <w:r w:rsidR="00D0407A">
              <w:rPr>
                <w:sz w:val="20"/>
                <w:szCs w:val="20"/>
              </w:rPr>
              <w:t xml:space="preserve"> </w:t>
            </w:r>
            <w:r w:rsidRPr="00F30324">
              <w:rPr>
                <w:sz w:val="20"/>
                <w:szCs w:val="20"/>
              </w:rPr>
              <w:t>opublikowanymi</w:t>
            </w:r>
            <w:r w:rsidR="00D0407A">
              <w:rPr>
                <w:sz w:val="20"/>
                <w:szCs w:val="20"/>
              </w:rPr>
              <w:t xml:space="preserve"> </w:t>
            </w:r>
            <w:r w:rsidRPr="00F30324">
              <w:rPr>
                <w:sz w:val="20"/>
                <w:szCs w:val="20"/>
              </w:rPr>
              <w:t>przez</w:t>
            </w:r>
            <w:r w:rsidR="00D0407A">
              <w:rPr>
                <w:sz w:val="20"/>
                <w:szCs w:val="20"/>
              </w:rPr>
              <w:t xml:space="preserve"> </w:t>
            </w:r>
            <w:r w:rsidRPr="00F30324">
              <w:rPr>
                <w:sz w:val="20"/>
                <w:szCs w:val="20"/>
              </w:rPr>
              <w:t>Narodowy</w:t>
            </w:r>
            <w:r w:rsidR="00D0407A">
              <w:rPr>
                <w:sz w:val="20"/>
                <w:szCs w:val="20"/>
              </w:rPr>
              <w:t xml:space="preserve"> </w:t>
            </w:r>
            <w:r w:rsidRPr="00F30324">
              <w:rPr>
                <w:sz w:val="20"/>
                <w:szCs w:val="20"/>
              </w:rPr>
              <w:t>Fundusz</w:t>
            </w:r>
            <w:r w:rsidR="00D0407A">
              <w:rPr>
                <w:sz w:val="20"/>
                <w:szCs w:val="20"/>
              </w:rPr>
              <w:t xml:space="preserve"> </w:t>
            </w:r>
            <w:r w:rsidRPr="00F30324">
              <w:rPr>
                <w:sz w:val="20"/>
                <w:szCs w:val="20"/>
              </w:rPr>
              <w:t>Zdrowia.</w:t>
            </w:r>
          </w:p>
          <w:p w14:paraId="5BAAF52F" w14:textId="3B5E4AFD" w:rsidR="00710292" w:rsidRPr="00F30324" w:rsidRDefault="00710292" w:rsidP="007F5D21">
            <w:pPr>
              <w:pStyle w:val="Akapitzlist"/>
              <w:numPr>
                <w:ilvl w:val="2"/>
                <w:numId w:val="31"/>
              </w:numPr>
              <w:spacing w:after="60"/>
              <w:contextualSpacing w:val="0"/>
              <w:jc w:val="both"/>
              <w:rPr>
                <w:sz w:val="20"/>
                <w:szCs w:val="20"/>
              </w:rPr>
            </w:pPr>
            <w:r w:rsidRPr="00F30324">
              <w:rPr>
                <w:sz w:val="20"/>
                <w:szCs w:val="20"/>
              </w:rPr>
              <w:t>W</w:t>
            </w:r>
            <w:r w:rsidR="00D0407A">
              <w:rPr>
                <w:sz w:val="20"/>
                <w:szCs w:val="20"/>
              </w:rPr>
              <w:t xml:space="preserve"> </w:t>
            </w:r>
            <w:r w:rsidRPr="00F30324">
              <w:rPr>
                <w:sz w:val="20"/>
                <w:szCs w:val="20"/>
              </w:rPr>
              <w:t>przypadku</w:t>
            </w:r>
            <w:r w:rsidR="00D0407A">
              <w:rPr>
                <w:sz w:val="20"/>
                <w:szCs w:val="20"/>
              </w:rPr>
              <w:t xml:space="preserve"> </w:t>
            </w:r>
            <w:r w:rsidRPr="00F30324">
              <w:rPr>
                <w:sz w:val="20"/>
                <w:szCs w:val="20"/>
              </w:rPr>
              <w:t>pacjentów,</w:t>
            </w:r>
            <w:r w:rsidR="00D0407A">
              <w:rPr>
                <w:sz w:val="20"/>
                <w:szCs w:val="20"/>
              </w:rPr>
              <w:t xml:space="preserve"> </w:t>
            </w:r>
            <w:r w:rsidRPr="00F30324">
              <w:rPr>
                <w:sz w:val="20"/>
                <w:szCs w:val="20"/>
              </w:rPr>
              <w:t>o</w:t>
            </w:r>
            <w:r w:rsidR="00D0407A">
              <w:rPr>
                <w:sz w:val="20"/>
                <w:szCs w:val="20"/>
              </w:rPr>
              <w:t xml:space="preserve"> </w:t>
            </w:r>
            <w:r w:rsidRPr="00F30324">
              <w:rPr>
                <w:sz w:val="20"/>
                <w:szCs w:val="20"/>
              </w:rPr>
              <w:t>których</w:t>
            </w:r>
            <w:r w:rsidR="00D0407A">
              <w:rPr>
                <w:sz w:val="20"/>
                <w:szCs w:val="20"/>
              </w:rPr>
              <w:t xml:space="preserve"> </w:t>
            </w:r>
            <w:r w:rsidRPr="00F30324">
              <w:rPr>
                <w:sz w:val="20"/>
                <w:szCs w:val="20"/>
              </w:rPr>
              <w:t>mowa</w:t>
            </w:r>
            <w:r w:rsidR="00D0407A">
              <w:rPr>
                <w:sz w:val="20"/>
                <w:szCs w:val="20"/>
              </w:rPr>
              <w:t xml:space="preserve"> </w:t>
            </w:r>
            <w:r w:rsidRPr="00F30324">
              <w:rPr>
                <w:sz w:val="20"/>
                <w:szCs w:val="20"/>
              </w:rPr>
              <w:t>w</w:t>
            </w:r>
            <w:r w:rsidR="00D0407A">
              <w:rPr>
                <w:sz w:val="20"/>
                <w:szCs w:val="20"/>
              </w:rPr>
              <w:t xml:space="preserve"> </w:t>
            </w:r>
            <w:r w:rsidRPr="00F30324">
              <w:rPr>
                <w:sz w:val="20"/>
                <w:szCs w:val="20"/>
              </w:rPr>
              <w:t>sekcji</w:t>
            </w:r>
            <w:r w:rsidR="00D0407A">
              <w:rPr>
                <w:sz w:val="20"/>
                <w:szCs w:val="20"/>
              </w:rPr>
              <w:t xml:space="preserve"> </w:t>
            </w:r>
            <w:r w:rsidRPr="00F30324">
              <w:rPr>
                <w:sz w:val="20"/>
                <w:szCs w:val="20"/>
              </w:rPr>
              <w:t>Świadczeniobiorcy</w:t>
            </w:r>
            <w:r w:rsidR="00D0407A">
              <w:rPr>
                <w:sz w:val="20"/>
                <w:szCs w:val="20"/>
              </w:rPr>
              <w:t xml:space="preserve"> </w:t>
            </w:r>
            <w:r w:rsidRPr="00F30324">
              <w:rPr>
                <w:sz w:val="20"/>
                <w:szCs w:val="20"/>
              </w:rPr>
              <w:t>4.</w:t>
            </w:r>
            <w:r w:rsidR="00D0407A">
              <w:rPr>
                <w:sz w:val="20"/>
                <w:szCs w:val="20"/>
              </w:rPr>
              <w:t xml:space="preserve"> </w:t>
            </w:r>
            <w:r w:rsidRPr="00F30324">
              <w:rPr>
                <w:sz w:val="20"/>
                <w:szCs w:val="20"/>
              </w:rPr>
              <w:t>pkt.</w:t>
            </w:r>
            <w:r w:rsidR="00D0407A">
              <w:rPr>
                <w:sz w:val="20"/>
                <w:szCs w:val="20"/>
              </w:rPr>
              <w:t xml:space="preserve"> </w:t>
            </w:r>
            <w:r w:rsidRPr="00F30324">
              <w:rPr>
                <w:sz w:val="20"/>
                <w:szCs w:val="20"/>
              </w:rPr>
              <w:t>1,</w:t>
            </w:r>
            <w:r w:rsidR="00D0407A">
              <w:rPr>
                <w:sz w:val="20"/>
                <w:szCs w:val="20"/>
              </w:rPr>
              <w:t xml:space="preserve"> </w:t>
            </w:r>
            <w:r w:rsidRPr="00F30324">
              <w:rPr>
                <w:sz w:val="20"/>
                <w:szCs w:val="20"/>
              </w:rPr>
              <w:t>nie</w:t>
            </w:r>
            <w:r w:rsidR="00D0407A">
              <w:rPr>
                <w:sz w:val="20"/>
                <w:szCs w:val="20"/>
              </w:rPr>
              <w:t xml:space="preserve"> </w:t>
            </w:r>
            <w:r w:rsidRPr="00F30324">
              <w:rPr>
                <w:sz w:val="20"/>
                <w:szCs w:val="20"/>
              </w:rPr>
              <w:t>jest</w:t>
            </w:r>
            <w:r w:rsidR="00D0407A">
              <w:rPr>
                <w:sz w:val="20"/>
                <w:szCs w:val="20"/>
              </w:rPr>
              <w:t xml:space="preserve"> </w:t>
            </w:r>
            <w:r w:rsidRPr="00F30324">
              <w:rPr>
                <w:sz w:val="20"/>
                <w:szCs w:val="20"/>
              </w:rPr>
              <w:t>wymagane</w:t>
            </w:r>
            <w:r w:rsidR="00D0407A">
              <w:rPr>
                <w:sz w:val="20"/>
                <w:szCs w:val="20"/>
              </w:rPr>
              <w:t xml:space="preserve"> </w:t>
            </w:r>
            <w:r w:rsidRPr="00F30324">
              <w:rPr>
                <w:sz w:val="20"/>
                <w:szCs w:val="20"/>
              </w:rPr>
              <w:t>uzupełnianie</w:t>
            </w:r>
            <w:r w:rsidR="00D0407A">
              <w:rPr>
                <w:sz w:val="20"/>
                <w:szCs w:val="20"/>
              </w:rPr>
              <w:t xml:space="preserve"> </w:t>
            </w:r>
            <w:r w:rsidRPr="00F30324">
              <w:rPr>
                <w:sz w:val="20"/>
                <w:szCs w:val="20"/>
              </w:rPr>
              <w:t>danych</w:t>
            </w:r>
            <w:r w:rsidR="00D0407A">
              <w:rPr>
                <w:sz w:val="20"/>
                <w:szCs w:val="20"/>
              </w:rPr>
              <w:t xml:space="preserve"> </w:t>
            </w:r>
            <w:r w:rsidRPr="00F30324">
              <w:rPr>
                <w:sz w:val="20"/>
                <w:szCs w:val="20"/>
              </w:rPr>
              <w:t>i</w:t>
            </w:r>
            <w:r w:rsidR="00D0407A">
              <w:rPr>
                <w:sz w:val="20"/>
                <w:szCs w:val="20"/>
              </w:rPr>
              <w:t xml:space="preserve"> </w:t>
            </w:r>
            <w:r w:rsidRPr="00F30324">
              <w:rPr>
                <w:sz w:val="20"/>
                <w:szCs w:val="20"/>
              </w:rPr>
              <w:t>informacji</w:t>
            </w:r>
            <w:r w:rsidR="00D0407A">
              <w:rPr>
                <w:sz w:val="20"/>
                <w:szCs w:val="20"/>
              </w:rPr>
              <w:t xml:space="preserve"> </w:t>
            </w:r>
            <w:r w:rsidRPr="00F30324">
              <w:rPr>
                <w:sz w:val="20"/>
                <w:szCs w:val="20"/>
              </w:rPr>
              <w:t>w</w:t>
            </w:r>
            <w:r w:rsidR="00D0407A">
              <w:rPr>
                <w:sz w:val="20"/>
                <w:szCs w:val="20"/>
              </w:rPr>
              <w:t xml:space="preserve"> </w:t>
            </w:r>
            <w:r w:rsidRPr="00F30324">
              <w:rPr>
                <w:sz w:val="20"/>
                <w:szCs w:val="20"/>
              </w:rPr>
              <w:t>elektronicznym</w:t>
            </w:r>
            <w:r w:rsidR="00D0407A">
              <w:rPr>
                <w:sz w:val="20"/>
                <w:szCs w:val="20"/>
              </w:rPr>
              <w:t xml:space="preserve"> </w:t>
            </w:r>
            <w:r w:rsidRPr="00F30324">
              <w:rPr>
                <w:sz w:val="20"/>
                <w:szCs w:val="20"/>
              </w:rPr>
              <w:t>systemie</w:t>
            </w:r>
            <w:r w:rsidR="00D0407A">
              <w:rPr>
                <w:sz w:val="20"/>
                <w:szCs w:val="20"/>
              </w:rPr>
              <w:t xml:space="preserve"> </w:t>
            </w:r>
            <w:r w:rsidRPr="00F30324">
              <w:rPr>
                <w:sz w:val="20"/>
                <w:szCs w:val="20"/>
              </w:rPr>
              <w:t>monitorowania</w:t>
            </w:r>
            <w:r w:rsidR="00D0407A">
              <w:rPr>
                <w:sz w:val="20"/>
                <w:szCs w:val="20"/>
              </w:rPr>
              <w:t xml:space="preserve"> </w:t>
            </w:r>
            <w:r w:rsidRPr="00F30324">
              <w:rPr>
                <w:sz w:val="20"/>
                <w:szCs w:val="20"/>
              </w:rPr>
              <w:t>programów</w:t>
            </w:r>
            <w:r w:rsidR="00D0407A">
              <w:rPr>
                <w:sz w:val="20"/>
                <w:szCs w:val="20"/>
              </w:rPr>
              <w:t xml:space="preserve"> </w:t>
            </w:r>
            <w:r w:rsidRPr="00F30324">
              <w:rPr>
                <w:sz w:val="20"/>
                <w:szCs w:val="20"/>
              </w:rPr>
              <w:t>lekowych.</w:t>
            </w:r>
          </w:p>
          <w:p w14:paraId="488CF978" w14:textId="77777777" w:rsidR="00F10BE6" w:rsidRPr="00A27C75" w:rsidRDefault="00F10BE6" w:rsidP="007F5D21">
            <w:pPr>
              <w:spacing w:after="60"/>
              <w:jc w:val="both"/>
              <w:rPr>
                <w:sz w:val="20"/>
                <w:szCs w:val="20"/>
              </w:rPr>
            </w:pPr>
          </w:p>
        </w:tc>
      </w:tr>
      <w:tr w:rsidR="009A657B" w:rsidRPr="008328B6" w14:paraId="7FF2DD37" w14:textId="77777777" w:rsidTr="007F5D21">
        <w:trPr>
          <w:trHeight w:val="567"/>
        </w:trPr>
        <w:tc>
          <w:tcPr>
            <w:tcW w:w="5000" w:type="pct"/>
            <w:gridSpan w:val="3"/>
            <w:tcBorders>
              <w:top w:val="single" w:sz="4" w:space="0" w:color="auto"/>
              <w:left w:val="single" w:sz="4" w:space="0" w:color="auto"/>
              <w:bottom w:val="single" w:sz="4" w:space="0" w:color="auto"/>
              <w:right w:val="single" w:sz="4" w:space="0" w:color="auto"/>
            </w:tcBorders>
          </w:tcPr>
          <w:p w14:paraId="5B92C910" w14:textId="77777777" w:rsidR="0099418B" w:rsidRDefault="0099418B" w:rsidP="007F5D21">
            <w:pPr>
              <w:ind w:left="357"/>
              <w:jc w:val="center"/>
              <w:rPr>
                <w:b/>
                <w:sz w:val="20"/>
                <w:szCs w:val="20"/>
              </w:rPr>
            </w:pPr>
          </w:p>
          <w:p w14:paraId="29384E18" w14:textId="0DD13043" w:rsidR="009A657B" w:rsidRDefault="009A657B" w:rsidP="007F5D21">
            <w:pPr>
              <w:ind w:left="357"/>
              <w:jc w:val="center"/>
              <w:rPr>
                <w:b/>
                <w:sz w:val="20"/>
                <w:szCs w:val="20"/>
              </w:rPr>
            </w:pPr>
            <w:r>
              <w:rPr>
                <w:b/>
                <w:sz w:val="20"/>
                <w:szCs w:val="20"/>
              </w:rPr>
              <w:t xml:space="preserve">Część II. </w:t>
            </w:r>
            <w:r w:rsidR="00213EA6">
              <w:rPr>
                <w:b/>
                <w:sz w:val="20"/>
                <w:szCs w:val="20"/>
              </w:rPr>
              <w:t xml:space="preserve">BRENTUKSYMAB VEDOTIN W LECZENIU CHORYCH NA SKÓRNEGO CHŁONIAKA T-KOMÓRKOWEGO (ICD-10: </w:t>
            </w:r>
            <w:r w:rsidR="00CE5B8D">
              <w:rPr>
                <w:b/>
                <w:sz w:val="20"/>
                <w:szCs w:val="20"/>
              </w:rPr>
              <w:t>C</w:t>
            </w:r>
            <w:r w:rsidR="00A734B9">
              <w:rPr>
                <w:b/>
                <w:sz w:val="20"/>
                <w:szCs w:val="20"/>
              </w:rPr>
              <w:t xml:space="preserve"> </w:t>
            </w:r>
            <w:r w:rsidR="00CE5B8D">
              <w:rPr>
                <w:b/>
                <w:sz w:val="20"/>
                <w:szCs w:val="20"/>
              </w:rPr>
              <w:t>84</w:t>
            </w:r>
            <w:r w:rsidR="00213EA6">
              <w:rPr>
                <w:b/>
                <w:sz w:val="20"/>
                <w:szCs w:val="20"/>
              </w:rPr>
              <w:t>)</w:t>
            </w:r>
          </w:p>
          <w:p w14:paraId="7018BC0B" w14:textId="77777777" w:rsidR="0099418B" w:rsidRPr="00F10BE6" w:rsidRDefault="0099418B" w:rsidP="007F5D21">
            <w:pPr>
              <w:ind w:left="357"/>
              <w:jc w:val="center"/>
              <w:rPr>
                <w:b/>
                <w:sz w:val="20"/>
                <w:szCs w:val="20"/>
              </w:rPr>
            </w:pPr>
          </w:p>
        </w:tc>
      </w:tr>
      <w:tr w:rsidR="004A0FCF" w:rsidRPr="00A27C75" w14:paraId="2EA5BA1C" w14:textId="77777777" w:rsidTr="004A0FCF">
        <w:trPr>
          <w:trHeight w:val="567"/>
        </w:trPr>
        <w:tc>
          <w:tcPr>
            <w:tcW w:w="1933" w:type="pct"/>
            <w:tcBorders>
              <w:top w:val="single" w:sz="4" w:space="0" w:color="000000"/>
              <w:left w:val="single" w:sz="4" w:space="0" w:color="000000"/>
              <w:bottom w:val="single" w:sz="4" w:space="0" w:color="auto"/>
              <w:right w:val="single" w:sz="4" w:space="0" w:color="000000"/>
            </w:tcBorders>
            <w:vAlign w:val="center"/>
          </w:tcPr>
          <w:p w14:paraId="231D847D" w14:textId="77777777" w:rsidR="009A657B" w:rsidRPr="00213EA6" w:rsidRDefault="009A657B" w:rsidP="007F5D21">
            <w:pPr>
              <w:jc w:val="center"/>
              <w:rPr>
                <w:b/>
                <w:sz w:val="20"/>
                <w:szCs w:val="20"/>
              </w:rPr>
            </w:pPr>
            <w:r w:rsidRPr="00213EA6">
              <w:rPr>
                <w:b/>
                <w:sz w:val="20"/>
                <w:szCs w:val="20"/>
              </w:rPr>
              <w:t>ŚWIADCZENIOBIORCY</w:t>
            </w:r>
          </w:p>
        </w:tc>
        <w:tc>
          <w:tcPr>
            <w:tcW w:w="1243" w:type="pct"/>
            <w:tcBorders>
              <w:top w:val="single" w:sz="4" w:space="0" w:color="000000"/>
              <w:left w:val="single" w:sz="4" w:space="0" w:color="000000"/>
              <w:bottom w:val="single" w:sz="4" w:space="0" w:color="auto"/>
              <w:right w:val="single" w:sz="4" w:space="0" w:color="000000"/>
            </w:tcBorders>
            <w:vAlign w:val="center"/>
          </w:tcPr>
          <w:p w14:paraId="3E1FB206" w14:textId="77777777" w:rsidR="004A0FCF" w:rsidRDefault="009A657B" w:rsidP="007F5D21">
            <w:pPr>
              <w:jc w:val="center"/>
              <w:rPr>
                <w:b/>
                <w:sz w:val="20"/>
                <w:szCs w:val="20"/>
              </w:rPr>
            </w:pPr>
            <w:r w:rsidRPr="00213EA6">
              <w:rPr>
                <w:b/>
                <w:sz w:val="20"/>
                <w:szCs w:val="20"/>
              </w:rPr>
              <w:t xml:space="preserve">SCHEMAT DAWKOWANIA </w:t>
            </w:r>
            <w:r w:rsidR="004A0FCF">
              <w:rPr>
                <w:b/>
                <w:sz w:val="20"/>
                <w:szCs w:val="20"/>
              </w:rPr>
              <w:t>LEKÓW</w:t>
            </w:r>
          </w:p>
          <w:p w14:paraId="3E706C7A" w14:textId="60FD6239" w:rsidR="009A657B" w:rsidRPr="00213EA6" w:rsidRDefault="009A657B" w:rsidP="007F5D21">
            <w:pPr>
              <w:jc w:val="center"/>
              <w:rPr>
                <w:b/>
                <w:sz w:val="20"/>
                <w:szCs w:val="20"/>
              </w:rPr>
            </w:pPr>
            <w:r w:rsidRPr="00213EA6">
              <w:rPr>
                <w:b/>
                <w:sz w:val="20"/>
                <w:szCs w:val="20"/>
              </w:rPr>
              <w:t>W PROGRAMIE</w:t>
            </w:r>
          </w:p>
        </w:tc>
        <w:tc>
          <w:tcPr>
            <w:tcW w:w="1824" w:type="pct"/>
            <w:tcBorders>
              <w:top w:val="single" w:sz="4" w:space="0" w:color="000000"/>
              <w:left w:val="single" w:sz="4" w:space="0" w:color="000000"/>
              <w:bottom w:val="single" w:sz="4" w:space="0" w:color="auto"/>
              <w:right w:val="single" w:sz="4" w:space="0" w:color="auto"/>
            </w:tcBorders>
            <w:vAlign w:val="center"/>
          </w:tcPr>
          <w:p w14:paraId="79FE5F94" w14:textId="77777777" w:rsidR="009A657B" w:rsidRPr="00213EA6" w:rsidRDefault="009A657B" w:rsidP="007F5D21">
            <w:pPr>
              <w:jc w:val="center"/>
              <w:rPr>
                <w:b/>
                <w:sz w:val="20"/>
                <w:szCs w:val="20"/>
              </w:rPr>
            </w:pPr>
            <w:r w:rsidRPr="00213EA6">
              <w:rPr>
                <w:b/>
                <w:sz w:val="20"/>
                <w:szCs w:val="20"/>
              </w:rPr>
              <w:t>BADANIA DIAGNOSTYCZNE WYKONYWANE W RAMACH PROGRAMU</w:t>
            </w:r>
          </w:p>
        </w:tc>
      </w:tr>
      <w:tr w:rsidR="004A0FCF" w:rsidRPr="00921180" w14:paraId="6280FFDB" w14:textId="77777777" w:rsidTr="004A0FCF">
        <w:trPr>
          <w:trHeight w:val="20"/>
        </w:trPr>
        <w:tc>
          <w:tcPr>
            <w:tcW w:w="1933" w:type="pct"/>
            <w:tcBorders>
              <w:top w:val="single" w:sz="4" w:space="0" w:color="auto"/>
              <w:left w:val="single" w:sz="4" w:space="0" w:color="auto"/>
              <w:bottom w:val="single" w:sz="4" w:space="0" w:color="auto"/>
              <w:right w:val="single" w:sz="4" w:space="0" w:color="000000"/>
            </w:tcBorders>
          </w:tcPr>
          <w:p w14:paraId="26E19C11" w14:textId="1A7DEED3" w:rsidR="009A657B" w:rsidRPr="00F30324" w:rsidRDefault="009A657B" w:rsidP="007F5D21">
            <w:pPr>
              <w:pStyle w:val="Akapitzlist"/>
              <w:numPr>
                <w:ilvl w:val="0"/>
                <w:numId w:val="27"/>
              </w:numPr>
              <w:spacing w:before="120" w:after="60"/>
              <w:contextualSpacing w:val="0"/>
              <w:jc w:val="both"/>
              <w:rPr>
                <w:b/>
                <w:sz w:val="20"/>
                <w:szCs w:val="20"/>
              </w:rPr>
            </w:pPr>
            <w:r w:rsidRPr="00F30324">
              <w:rPr>
                <w:b/>
                <w:sz w:val="20"/>
                <w:szCs w:val="20"/>
              </w:rPr>
              <w:t>Kryteria</w:t>
            </w:r>
            <w:r w:rsidR="00D0407A">
              <w:rPr>
                <w:b/>
                <w:sz w:val="20"/>
                <w:szCs w:val="20"/>
              </w:rPr>
              <w:t xml:space="preserve"> </w:t>
            </w:r>
            <w:r w:rsidRPr="00F30324">
              <w:rPr>
                <w:b/>
                <w:sz w:val="20"/>
                <w:szCs w:val="20"/>
              </w:rPr>
              <w:t>włączenia</w:t>
            </w:r>
            <w:r w:rsidR="00D0407A">
              <w:rPr>
                <w:b/>
                <w:sz w:val="20"/>
                <w:szCs w:val="20"/>
              </w:rPr>
              <w:t xml:space="preserve"> </w:t>
            </w:r>
            <w:r w:rsidRPr="00F30324">
              <w:rPr>
                <w:b/>
                <w:sz w:val="20"/>
                <w:szCs w:val="20"/>
              </w:rPr>
              <w:t>do</w:t>
            </w:r>
            <w:r w:rsidR="00D0407A">
              <w:rPr>
                <w:b/>
                <w:sz w:val="20"/>
                <w:szCs w:val="20"/>
              </w:rPr>
              <w:t xml:space="preserve"> </w:t>
            </w:r>
            <w:r w:rsidRPr="00F30324">
              <w:rPr>
                <w:b/>
                <w:sz w:val="20"/>
                <w:szCs w:val="20"/>
              </w:rPr>
              <w:t>programu</w:t>
            </w:r>
          </w:p>
          <w:p w14:paraId="2EB81313" w14:textId="4893A3CC" w:rsidR="009A657B" w:rsidRPr="007F5D21" w:rsidRDefault="009A657B" w:rsidP="007F5D21">
            <w:pPr>
              <w:spacing w:after="60"/>
              <w:jc w:val="both"/>
              <w:rPr>
                <w:sz w:val="20"/>
                <w:szCs w:val="20"/>
              </w:rPr>
            </w:pPr>
            <w:r w:rsidRPr="007F5D21">
              <w:rPr>
                <w:sz w:val="20"/>
                <w:szCs w:val="20"/>
              </w:rPr>
              <w:t>Do</w:t>
            </w:r>
            <w:r w:rsidR="00D0407A" w:rsidRPr="007F5D21">
              <w:rPr>
                <w:sz w:val="20"/>
                <w:szCs w:val="20"/>
              </w:rPr>
              <w:t xml:space="preserve"> </w:t>
            </w:r>
            <w:r w:rsidRPr="007F5D21">
              <w:rPr>
                <w:sz w:val="20"/>
                <w:szCs w:val="20"/>
              </w:rPr>
              <w:t>leczenia</w:t>
            </w:r>
            <w:r w:rsidR="00D0407A" w:rsidRPr="007F5D21">
              <w:rPr>
                <w:sz w:val="20"/>
                <w:szCs w:val="20"/>
              </w:rPr>
              <w:t xml:space="preserve"> </w:t>
            </w:r>
            <w:r w:rsidRPr="007F5D21">
              <w:rPr>
                <w:sz w:val="20"/>
                <w:szCs w:val="20"/>
              </w:rPr>
              <w:t>brentuksymabem</w:t>
            </w:r>
            <w:r w:rsidR="00D0407A" w:rsidRPr="007F5D21">
              <w:rPr>
                <w:sz w:val="20"/>
                <w:szCs w:val="20"/>
              </w:rPr>
              <w:t xml:space="preserve"> </w:t>
            </w:r>
            <w:r w:rsidRPr="007F5D21">
              <w:rPr>
                <w:sz w:val="20"/>
                <w:szCs w:val="20"/>
              </w:rPr>
              <w:t>vedotin</w:t>
            </w:r>
            <w:r w:rsidR="00D0407A" w:rsidRPr="007F5D21">
              <w:rPr>
                <w:sz w:val="20"/>
                <w:szCs w:val="20"/>
              </w:rPr>
              <w:t xml:space="preserve"> </w:t>
            </w:r>
            <w:r w:rsidRPr="007F5D21">
              <w:rPr>
                <w:sz w:val="20"/>
                <w:szCs w:val="20"/>
              </w:rPr>
              <w:t>w</w:t>
            </w:r>
            <w:r w:rsidR="00D0407A" w:rsidRPr="007F5D21">
              <w:rPr>
                <w:sz w:val="20"/>
                <w:szCs w:val="20"/>
              </w:rPr>
              <w:t xml:space="preserve"> </w:t>
            </w:r>
            <w:r w:rsidRPr="007F5D21">
              <w:rPr>
                <w:sz w:val="20"/>
                <w:szCs w:val="20"/>
              </w:rPr>
              <w:t>ramach</w:t>
            </w:r>
            <w:r w:rsidR="00D0407A" w:rsidRPr="007F5D21">
              <w:rPr>
                <w:sz w:val="20"/>
                <w:szCs w:val="20"/>
              </w:rPr>
              <w:t xml:space="preserve"> </w:t>
            </w:r>
            <w:r w:rsidRPr="007F5D21">
              <w:rPr>
                <w:sz w:val="20"/>
                <w:szCs w:val="20"/>
              </w:rPr>
              <w:t>programu</w:t>
            </w:r>
            <w:r w:rsidR="00D0407A" w:rsidRPr="007F5D21">
              <w:rPr>
                <w:sz w:val="20"/>
                <w:szCs w:val="20"/>
              </w:rPr>
              <w:t xml:space="preserve"> </w:t>
            </w:r>
            <w:r w:rsidRPr="007F5D21">
              <w:rPr>
                <w:sz w:val="20"/>
                <w:szCs w:val="20"/>
              </w:rPr>
              <w:t>lekowego</w:t>
            </w:r>
            <w:r w:rsidR="00D0407A" w:rsidRPr="007F5D21">
              <w:rPr>
                <w:sz w:val="20"/>
                <w:szCs w:val="20"/>
              </w:rPr>
              <w:t xml:space="preserve"> </w:t>
            </w:r>
            <w:r w:rsidRPr="007F5D21">
              <w:rPr>
                <w:sz w:val="20"/>
                <w:szCs w:val="20"/>
              </w:rPr>
              <w:t>kwalifikują</w:t>
            </w:r>
            <w:r w:rsidR="00D0407A" w:rsidRPr="007F5D21">
              <w:rPr>
                <w:sz w:val="20"/>
                <w:szCs w:val="20"/>
              </w:rPr>
              <w:t xml:space="preserve"> </w:t>
            </w:r>
            <w:r w:rsidRPr="007F5D21">
              <w:rPr>
                <w:sz w:val="20"/>
                <w:szCs w:val="20"/>
              </w:rPr>
              <w:t>się</w:t>
            </w:r>
            <w:r w:rsidR="00D0407A" w:rsidRPr="007F5D21">
              <w:rPr>
                <w:sz w:val="20"/>
                <w:szCs w:val="20"/>
              </w:rPr>
              <w:t xml:space="preserve"> </w:t>
            </w:r>
            <w:r w:rsidRPr="007F5D21">
              <w:rPr>
                <w:sz w:val="20"/>
                <w:szCs w:val="20"/>
              </w:rPr>
              <w:t>pacjenci</w:t>
            </w:r>
            <w:r w:rsidR="00D0407A" w:rsidRPr="007F5D21">
              <w:rPr>
                <w:sz w:val="20"/>
                <w:szCs w:val="20"/>
              </w:rPr>
              <w:t xml:space="preserve"> </w:t>
            </w:r>
            <w:r w:rsidRPr="007F5D21">
              <w:rPr>
                <w:sz w:val="20"/>
                <w:szCs w:val="20"/>
              </w:rPr>
              <w:t>spełniający</w:t>
            </w:r>
            <w:r w:rsidR="00D0407A" w:rsidRPr="007F5D21">
              <w:rPr>
                <w:sz w:val="20"/>
                <w:szCs w:val="20"/>
              </w:rPr>
              <w:t xml:space="preserve"> </w:t>
            </w:r>
            <w:r w:rsidRPr="007F5D21">
              <w:rPr>
                <w:sz w:val="20"/>
                <w:szCs w:val="20"/>
              </w:rPr>
              <w:t>łącznie</w:t>
            </w:r>
            <w:r w:rsidR="00D0407A" w:rsidRPr="007F5D21">
              <w:rPr>
                <w:sz w:val="20"/>
                <w:szCs w:val="20"/>
              </w:rPr>
              <w:t xml:space="preserve"> </w:t>
            </w:r>
            <w:r w:rsidRPr="007F5D21">
              <w:rPr>
                <w:sz w:val="20"/>
                <w:szCs w:val="20"/>
              </w:rPr>
              <w:t>następujące</w:t>
            </w:r>
            <w:r w:rsidR="00D0407A" w:rsidRPr="007F5D21">
              <w:rPr>
                <w:sz w:val="20"/>
                <w:szCs w:val="20"/>
              </w:rPr>
              <w:t xml:space="preserve"> </w:t>
            </w:r>
            <w:r w:rsidRPr="007F5D21">
              <w:rPr>
                <w:sz w:val="20"/>
                <w:szCs w:val="20"/>
              </w:rPr>
              <w:t>kryteria:</w:t>
            </w:r>
          </w:p>
          <w:p w14:paraId="66C08462" w14:textId="7F937646" w:rsidR="009A657B" w:rsidRPr="00213EA6" w:rsidRDefault="009A657B" w:rsidP="007F5D21">
            <w:pPr>
              <w:pStyle w:val="Akapitzlist"/>
              <w:numPr>
                <w:ilvl w:val="3"/>
                <w:numId w:val="27"/>
              </w:numPr>
              <w:spacing w:after="60"/>
              <w:contextualSpacing w:val="0"/>
              <w:jc w:val="both"/>
              <w:rPr>
                <w:sz w:val="20"/>
                <w:szCs w:val="20"/>
              </w:rPr>
            </w:pPr>
            <w:r w:rsidRPr="00213EA6">
              <w:rPr>
                <w:sz w:val="20"/>
                <w:szCs w:val="20"/>
              </w:rPr>
              <w:t>wiek</w:t>
            </w:r>
            <w:r w:rsidR="00D0407A">
              <w:rPr>
                <w:sz w:val="20"/>
                <w:szCs w:val="20"/>
              </w:rPr>
              <w:t xml:space="preserve"> </w:t>
            </w:r>
            <w:r w:rsidRPr="00213EA6">
              <w:rPr>
                <w:sz w:val="20"/>
                <w:szCs w:val="20"/>
              </w:rPr>
              <w:t>≥</w:t>
            </w:r>
            <w:r w:rsidR="00D0407A">
              <w:rPr>
                <w:sz w:val="20"/>
                <w:szCs w:val="20"/>
              </w:rPr>
              <w:t xml:space="preserve"> </w:t>
            </w:r>
            <w:r w:rsidRPr="00213EA6">
              <w:rPr>
                <w:sz w:val="20"/>
                <w:szCs w:val="20"/>
              </w:rPr>
              <w:t>18</w:t>
            </w:r>
            <w:r w:rsidR="00D0407A">
              <w:rPr>
                <w:sz w:val="20"/>
                <w:szCs w:val="20"/>
              </w:rPr>
              <w:t xml:space="preserve"> </w:t>
            </w:r>
            <w:r w:rsidRPr="00213EA6">
              <w:rPr>
                <w:sz w:val="20"/>
                <w:szCs w:val="20"/>
              </w:rPr>
              <w:t>lat,</w:t>
            </w:r>
            <w:r w:rsidR="00D0407A">
              <w:rPr>
                <w:sz w:val="20"/>
                <w:szCs w:val="20"/>
              </w:rPr>
              <w:t xml:space="preserve"> </w:t>
            </w:r>
          </w:p>
          <w:p w14:paraId="02A3A48F" w14:textId="372BFD77" w:rsidR="009A657B" w:rsidRPr="00213EA6" w:rsidRDefault="009A657B" w:rsidP="007F5D21">
            <w:pPr>
              <w:pStyle w:val="Akapitzlist"/>
              <w:numPr>
                <w:ilvl w:val="3"/>
                <w:numId w:val="27"/>
              </w:numPr>
              <w:spacing w:after="60"/>
              <w:contextualSpacing w:val="0"/>
              <w:jc w:val="both"/>
              <w:rPr>
                <w:sz w:val="20"/>
                <w:szCs w:val="20"/>
              </w:rPr>
            </w:pPr>
            <w:r w:rsidRPr="00213EA6">
              <w:rPr>
                <w:sz w:val="20"/>
                <w:szCs w:val="20"/>
              </w:rPr>
              <w:t>sprawność</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stopniu</w:t>
            </w:r>
            <w:r w:rsidR="00D0407A">
              <w:rPr>
                <w:sz w:val="20"/>
                <w:szCs w:val="20"/>
              </w:rPr>
              <w:t xml:space="preserve"> </w:t>
            </w:r>
            <w:r w:rsidRPr="00213EA6">
              <w:rPr>
                <w:sz w:val="20"/>
                <w:szCs w:val="20"/>
              </w:rPr>
              <w:t>0-2</w:t>
            </w:r>
            <w:r w:rsidR="00D0407A">
              <w:rPr>
                <w:sz w:val="20"/>
                <w:szCs w:val="20"/>
              </w:rPr>
              <w:t xml:space="preserve"> </w:t>
            </w:r>
            <w:r w:rsidRPr="00213EA6">
              <w:rPr>
                <w:sz w:val="20"/>
                <w:szCs w:val="20"/>
              </w:rPr>
              <w:t>wg</w:t>
            </w:r>
            <w:r w:rsidR="00D0407A">
              <w:rPr>
                <w:sz w:val="20"/>
                <w:szCs w:val="20"/>
              </w:rPr>
              <w:t xml:space="preserve"> </w:t>
            </w:r>
            <w:r w:rsidRPr="00213EA6">
              <w:rPr>
                <w:sz w:val="20"/>
                <w:szCs w:val="20"/>
              </w:rPr>
              <w:t>klasyfikacji</w:t>
            </w:r>
            <w:r w:rsidR="00D0407A">
              <w:rPr>
                <w:sz w:val="20"/>
                <w:szCs w:val="20"/>
              </w:rPr>
              <w:t xml:space="preserve"> </w:t>
            </w:r>
            <w:r w:rsidRPr="00213EA6">
              <w:rPr>
                <w:sz w:val="20"/>
                <w:szCs w:val="20"/>
              </w:rPr>
              <w:t>Zubroda-WHO</w:t>
            </w:r>
            <w:r w:rsidR="00D0407A">
              <w:rPr>
                <w:sz w:val="20"/>
                <w:szCs w:val="20"/>
              </w:rPr>
              <w:t xml:space="preserve"> </w:t>
            </w:r>
            <w:r w:rsidRPr="00213EA6">
              <w:rPr>
                <w:sz w:val="20"/>
                <w:szCs w:val="20"/>
              </w:rPr>
              <w:t>lub</w:t>
            </w:r>
            <w:r w:rsidR="00D0407A">
              <w:rPr>
                <w:sz w:val="20"/>
                <w:szCs w:val="20"/>
              </w:rPr>
              <w:t xml:space="preserve"> </w:t>
            </w:r>
            <w:r w:rsidRPr="00213EA6">
              <w:rPr>
                <w:sz w:val="20"/>
                <w:szCs w:val="20"/>
              </w:rPr>
              <w:t>ECOG,</w:t>
            </w:r>
          </w:p>
          <w:p w14:paraId="5AECA637" w14:textId="1DBA4DF7" w:rsidR="009A657B" w:rsidRPr="00213EA6" w:rsidRDefault="009A657B" w:rsidP="007F5D21">
            <w:pPr>
              <w:pStyle w:val="Akapitzlist"/>
              <w:numPr>
                <w:ilvl w:val="3"/>
                <w:numId w:val="27"/>
              </w:numPr>
              <w:spacing w:after="60"/>
              <w:contextualSpacing w:val="0"/>
              <w:jc w:val="both"/>
              <w:rPr>
                <w:sz w:val="20"/>
                <w:szCs w:val="20"/>
              </w:rPr>
            </w:pPr>
            <w:r w:rsidRPr="00213EA6">
              <w:rPr>
                <w:sz w:val="20"/>
                <w:szCs w:val="20"/>
              </w:rPr>
              <w:t>pacjenci</w:t>
            </w:r>
            <w:r w:rsidR="00D0407A">
              <w:rPr>
                <w:sz w:val="20"/>
                <w:szCs w:val="20"/>
              </w:rPr>
              <w:t xml:space="preserve"> </w:t>
            </w:r>
            <w:r w:rsidRPr="00213EA6">
              <w:rPr>
                <w:sz w:val="20"/>
                <w:szCs w:val="20"/>
              </w:rPr>
              <w:t>z</w:t>
            </w:r>
            <w:r w:rsidR="00D0407A">
              <w:rPr>
                <w:sz w:val="20"/>
                <w:szCs w:val="20"/>
              </w:rPr>
              <w:t xml:space="preserve"> </w:t>
            </w:r>
            <w:r w:rsidRPr="00213EA6">
              <w:rPr>
                <w:sz w:val="20"/>
                <w:szCs w:val="20"/>
              </w:rPr>
              <w:t>potwierdzonym</w:t>
            </w:r>
            <w:r w:rsidR="00D0407A">
              <w:rPr>
                <w:sz w:val="20"/>
                <w:szCs w:val="20"/>
              </w:rPr>
              <w:t xml:space="preserve"> </w:t>
            </w:r>
            <w:r w:rsidRPr="00213EA6">
              <w:rPr>
                <w:sz w:val="20"/>
                <w:szCs w:val="20"/>
              </w:rPr>
              <w:t>histopatologicznie</w:t>
            </w:r>
            <w:r w:rsidR="00D0407A">
              <w:rPr>
                <w:sz w:val="20"/>
                <w:szCs w:val="20"/>
              </w:rPr>
              <w:t xml:space="preserve"> </w:t>
            </w:r>
            <w:r w:rsidRPr="00213EA6">
              <w:rPr>
                <w:sz w:val="20"/>
                <w:szCs w:val="20"/>
              </w:rPr>
              <w:t>skórnym</w:t>
            </w:r>
            <w:r w:rsidR="00D0407A">
              <w:rPr>
                <w:sz w:val="20"/>
                <w:szCs w:val="20"/>
              </w:rPr>
              <w:t xml:space="preserve"> </w:t>
            </w:r>
            <w:r w:rsidRPr="00213EA6">
              <w:rPr>
                <w:sz w:val="20"/>
                <w:szCs w:val="20"/>
              </w:rPr>
              <w:t>chłoniakiem</w:t>
            </w:r>
            <w:r w:rsidR="00D0407A">
              <w:rPr>
                <w:sz w:val="20"/>
                <w:szCs w:val="20"/>
              </w:rPr>
              <w:t xml:space="preserve"> </w:t>
            </w:r>
            <w:r w:rsidRPr="00213EA6">
              <w:rPr>
                <w:sz w:val="20"/>
                <w:szCs w:val="20"/>
              </w:rPr>
              <w:t>T-komórkowym</w:t>
            </w:r>
            <w:r w:rsidR="00D0407A">
              <w:rPr>
                <w:sz w:val="20"/>
                <w:szCs w:val="20"/>
              </w:rPr>
              <w:t xml:space="preserve"> </w:t>
            </w:r>
            <w:r w:rsidRPr="00213EA6">
              <w:rPr>
                <w:sz w:val="20"/>
                <w:szCs w:val="20"/>
              </w:rPr>
              <w:t>(ziarniniak</w:t>
            </w:r>
            <w:r w:rsidR="00D0407A">
              <w:rPr>
                <w:sz w:val="20"/>
                <w:szCs w:val="20"/>
              </w:rPr>
              <w:t xml:space="preserve"> </w:t>
            </w:r>
            <w:r w:rsidRPr="00213EA6">
              <w:rPr>
                <w:sz w:val="20"/>
                <w:szCs w:val="20"/>
              </w:rPr>
              <w:t>grzybiasty</w:t>
            </w:r>
            <w:r w:rsidR="00D0407A">
              <w:rPr>
                <w:sz w:val="20"/>
                <w:szCs w:val="20"/>
              </w:rPr>
              <w:t xml:space="preserve"> </w:t>
            </w:r>
            <w:r w:rsidRPr="00213EA6">
              <w:rPr>
                <w:sz w:val="20"/>
                <w:szCs w:val="20"/>
              </w:rPr>
              <w:t>-</w:t>
            </w:r>
            <w:r w:rsidR="00D0407A">
              <w:rPr>
                <w:sz w:val="20"/>
                <w:szCs w:val="20"/>
              </w:rPr>
              <w:t xml:space="preserve"> </w:t>
            </w:r>
            <w:r w:rsidRPr="00213EA6">
              <w:rPr>
                <w:sz w:val="20"/>
                <w:szCs w:val="20"/>
              </w:rPr>
              <w:t>MF</w:t>
            </w:r>
            <w:r w:rsidR="00D0407A">
              <w:rPr>
                <w:sz w:val="20"/>
                <w:szCs w:val="20"/>
              </w:rPr>
              <w:t xml:space="preserve"> </w:t>
            </w:r>
            <w:r w:rsidRPr="00213EA6">
              <w:rPr>
                <w:sz w:val="20"/>
                <w:szCs w:val="20"/>
              </w:rPr>
              <w:t>lub</w:t>
            </w:r>
            <w:r w:rsidR="00D0407A">
              <w:rPr>
                <w:sz w:val="20"/>
                <w:szCs w:val="20"/>
              </w:rPr>
              <w:t xml:space="preserve"> </w:t>
            </w:r>
            <w:r w:rsidRPr="00213EA6">
              <w:rPr>
                <w:sz w:val="20"/>
                <w:szCs w:val="20"/>
              </w:rPr>
              <w:t>pierwotnie</w:t>
            </w:r>
            <w:r w:rsidR="00D0407A">
              <w:rPr>
                <w:sz w:val="20"/>
                <w:szCs w:val="20"/>
              </w:rPr>
              <w:t xml:space="preserve"> </w:t>
            </w:r>
            <w:r w:rsidRPr="00213EA6">
              <w:rPr>
                <w:sz w:val="20"/>
                <w:szCs w:val="20"/>
              </w:rPr>
              <w:t>skórny</w:t>
            </w:r>
            <w:r w:rsidR="00D0407A">
              <w:rPr>
                <w:sz w:val="20"/>
                <w:szCs w:val="20"/>
              </w:rPr>
              <w:t xml:space="preserve"> </w:t>
            </w:r>
            <w:r w:rsidRPr="00213EA6">
              <w:rPr>
                <w:sz w:val="20"/>
                <w:szCs w:val="20"/>
              </w:rPr>
              <w:t>chłoniak</w:t>
            </w:r>
            <w:r w:rsidR="00D0407A">
              <w:rPr>
                <w:sz w:val="20"/>
                <w:szCs w:val="20"/>
              </w:rPr>
              <w:t xml:space="preserve"> </w:t>
            </w:r>
            <w:r w:rsidRPr="00213EA6">
              <w:rPr>
                <w:sz w:val="20"/>
                <w:szCs w:val="20"/>
              </w:rPr>
              <w:t>anaplastyczny</w:t>
            </w:r>
            <w:r w:rsidR="00D0407A">
              <w:rPr>
                <w:sz w:val="20"/>
                <w:szCs w:val="20"/>
              </w:rPr>
              <w:t xml:space="preserve"> </w:t>
            </w:r>
            <w:r w:rsidRPr="00213EA6">
              <w:rPr>
                <w:sz w:val="20"/>
                <w:szCs w:val="20"/>
              </w:rPr>
              <w:t>z</w:t>
            </w:r>
            <w:r w:rsidR="00D0407A">
              <w:rPr>
                <w:sz w:val="20"/>
                <w:szCs w:val="20"/>
              </w:rPr>
              <w:t xml:space="preserve"> </w:t>
            </w:r>
            <w:r w:rsidRPr="00213EA6">
              <w:rPr>
                <w:sz w:val="20"/>
                <w:szCs w:val="20"/>
              </w:rPr>
              <w:t>dużych</w:t>
            </w:r>
            <w:r w:rsidR="00D0407A">
              <w:rPr>
                <w:sz w:val="20"/>
                <w:szCs w:val="20"/>
              </w:rPr>
              <w:t xml:space="preserve"> </w:t>
            </w:r>
            <w:r w:rsidRPr="00213EA6">
              <w:rPr>
                <w:sz w:val="20"/>
                <w:szCs w:val="20"/>
              </w:rPr>
              <w:t>komórek</w:t>
            </w:r>
            <w:r w:rsidR="00D0407A">
              <w:rPr>
                <w:sz w:val="20"/>
                <w:szCs w:val="20"/>
              </w:rPr>
              <w:t xml:space="preserve"> </w:t>
            </w:r>
            <w:r w:rsidRPr="00213EA6">
              <w:rPr>
                <w:sz w:val="20"/>
                <w:szCs w:val="20"/>
              </w:rPr>
              <w:t>-</w:t>
            </w:r>
            <w:r w:rsidR="00D0407A">
              <w:rPr>
                <w:sz w:val="20"/>
                <w:szCs w:val="20"/>
              </w:rPr>
              <w:t xml:space="preserve"> </w:t>
            </w:r>
            <w:r w:rsidRPr="00213EA6">
              <w:rPr>
                <w:sz w:val="20"/>
                <w:szCs w:val="20"/>
              </w:rPr>
              <w:t>pcALCL),</w:t>
            </w:r>
          </w:p>
          <w:p w14:paraId="43B16286" w14:textId="0F0A266A" w:rsidR="009A657B" w:rsidRPr="00213EA6" w:rsidRDefault="009A657B" w:rsidP="007F5D21">
            <w:pPr>
              <w:pStyle w:val="Akapitzlist"/>
              <w:numPr>
                <w:ilvl w:val="3"/>
                <w:numId w:val="27"/>
              </w:numPr>
              <w:spacing w:after="60"/>
              <w:contextualSpacing w:val="0"/>
              <w:jc w:val="both"/>
              <w:rPr>
                <w:sz w:val="20"/>
                <w:szCs w:val="20"/>
              </w:rPr>
            </w:pPr>
            <w:r w:rsidRPr="00213EA6">
              <w:rPr>
                <w:sz w:val="20"/>
                <w:szCs w:val="20"/>
              </w:rPr>
              <w:t>potwierdzona</w:t>
            </w:r>
            <w:r w:rsidR="00D0407A">
              <w:rPr>
                <w:sz w:val="20"/>
                <w:szCs w:val="20"/>
              </w:rPr>
              <w:t xml:space="preserve"> </w:t>
            </w:r>
            <w:r w:rsidRPr="00213EA6">
              <w:rPr>
                <w:sz w:val="20"/>
                <w:szCs w:val="20"/>
              </w:rPr>
              <w:t>immunohistochemicznie</w:t>
            </w:r>
            <w:r w:rsidR="00D0407A">
              <w:rPr>
                <w:sz w:val="20"/>
                <w:szCs w:val="20"/>
              </w:rPr>
              <w:t xml:space="preserve"> </w:t>
            </w:r>
            <w:r w:rsidRPr="00213EA6">
              <w:rPr>
                <w:sz w:val="20"/>
                <w:szCs w:val="20"/>
              </w:rPr>
              <w:t>obecność</w:t>
            </w:r>
            <w:r w:rsidR="00D0407A">
              <w:rPr>
                <w:sz w:val="20"/>
                <w:szCs w:val="20"/>
              </w:rPr>
              <w:t xml:space="preserve"> </w:t>
            </w:r>
            <w:r w:rsidRPr="00213EA6">
              <w:rPr>
                <w:sz w:val="20"/>
                <w:szCs w:val="20"/>
              </w:rPr>
              <w:t>antygenu</w:t>
            </w:r>
            <w:r w:rsidR="00D0407A">
              <w:rPr>
                <w:sz w:val="20"/>
                <w:szCs w:val="20"/>
              </w:rPr>
              <w:t xml:space="preserve"> </w:t>
            </w:r>
            <w:r w:rsidRPr="00213EA6">
              <w:rPr>
                <w:sz w:val="20"/>
                <w:szCs w:val="20"/>
              </w:rPr>
              <w:t>CD30</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przynajmniej</w:t>
            </w:r>
            <w:r w:rsidR="00D0407A">
              <w:rPr>
                <w:sz w:val="20"/>
                <w:szCs w:val="20"/>
              </w:rPr>
              <w:t xml:space="preserve"> </w:t>
            </w:r>
            <w:r w:rsidRPr="00213EA6">
              <w:rPr>
                <w:sz w:val="20"/>
                <w:szCs w:val="20"/>
              </w:rPr>
              <w:t>jednej</w:t>
            </w:r>
            <w:r w:rsidR="00D0407A">
              <w:rPr>
                <w:sz w:val="20"/>
                <w:szCs w:val="20"/>
              </w:rPr>
              <w:t xml:space="preserve"> </w:t>
            </w:r>
            <w:r w:rsidRPr="00213EA6">
              <w:rPr>
                <w:sz w:val="20"/>
                <w:szCs w:val="20"/>
              </w:rPr>
              <w:t>z</w:t>
            </w:r>
            <w:r w:rsidR="00D0407A">
              <w:rPr>
                <w:sz w:val="20"/>
                <w:szCs w:val="20"/>
              </w:rPr>
              <w:t xml:space="preserve"> </w:t>
            </w:r>
            <w:r w:rsidRPr="00213EA6">
              <w:rPr>
                <w:sz w:val="20"/>
                <w:szCs w:val="20"/>
              </w:rPr>
              <w:t>pobranych</w:t>
            </w:r>
            <w:r w:rsidR="00D0407A">
              <w:rPr>
                <w:sz w:val="20"/>
                <w:szCs w:val="20"/>
              </w:rPr>
              <w:t xml:space="preserve"> </w:t>
            </w:r>
            <w:r w:rsidRPr="00213EA6">
              <w:rPr>
                <w:sz w:val="20"/>
                <w:szCs w:val="20"/>
              </w:rPr>
              <w:t>biopsji</w:t>
            </w:r>
            <w:r w:rsidR="00D0407A">
              <w:rPr>
                <w:sz w:val="20"/>
                <w:szCs w:val="20"/>
              </w:rPr>
              <w:t xml:space="preserve"> </w:t>
            </w:r>
            <w:r w:rsidRPr="00213EA6">
              <w:rPr>
                <w:sz w:val="20"/>
                <w:szCs w:val="20"/>
              </w:rPr>
              <w:t>zmian</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MF</w:t>
            </w:r>
            <w:r w:rsidR="00D0407A">
              <w:rPr>
                <w:sz w:val="20"/>
                <w:szCs w:val="20"/>
              </w:rPr>
              <w:t xml:space="preserve"> </w:t>
            </w:r>
            <w:r w:rsidRPr="00213EA6">
              <w:rPr>
                <w:sz w:val="20"/>
                <w:szCs w:val="20"/>
              </w:rPr>
              <w:t>lub</w:t>
            </w:r>
            <w:r w:rsidR="00D0407A">
              <w:rPr>
                <w:sz w:val="20"/>
                <w:szCs w:val="20"/>
              </w:rPr>
              <w:t xml:space="preserve"> </w:t>
            </w:r>
            <w:r w:rsidRPr="00213EA6">
              <w:rPr>
                <w:sz w:val="20"/>
                <w:szCs w:val="20"/>
              </w:rPr>
              <w:t>jednej</w:t>
            </w:r>
            <w:r w:rsidR="00D0407A">
              <w:rPr>
                <w:sz w:val="20"/>
                <w:szCs w:val="20"/>
              </w:rPr>
              <w:t xml:space="preserve"> </w:t>
            </w:r>
            <w:r w:rsidRPr="00213EA6">
              <w:rPr>
                <w:sz w:val="20"/>
                <w:szCs w:val="20"/>
              </w:rPr>
              <w:t>biopsji</w:t>
            </w:r>
            <w:r w:rsidR="00D0407A">
              <w:rPr>
                <w:sz w:val="20"/>
                <w:szCs w:val="20"/>
              </w:rPr>
              <w:t xml:space="preserve"> </w:t>
            </w:r>
            <w:r w:rsidRPr="00213EA6">
              <w:rPr>
                <w:sz w:val="20"/>
                <w:szCs w:val="20"/>
              </w:rPr>
              <w:t>zmian</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pcALCL</w:t>
            </w:r>
          </w:p>
          <w:p w14:paraId="7C032E19" w14:textId="77777777" w:rsidR="007F5D21" w:rsidRDefault="009A657B" w:rsidP="007F5D21">
            <w:pPr>
              <w:pStyle w:val="Akapitzlist"/>
              <w:numPr>
                <w:ilvl w:val="3"/>
                <w:numId w:val="27"/>
              </w:numPr>
              <w:spacing w:after="60"/>
              <w:contextualSpacing w:val="0"/>
              <w:jc w:val="both"/>
              <w:rPr>
                <w:sz w:val="20"/>
                <w:szCs w:val="20"/>
              </w:rPr>
            </w:pPr>
            <w:r w:rsidRPr="00213EA6">
              <w:rPr>
                <w:sz w:val="20"/>
                <w:szCs w:val="20"/>
              </w:rPr>
              <w:t>stadium</w:t>
            </w:r>
            <w:r w:rsidR="00D0407A">
              <w:rPr>
                <w:sz w:val="20"/>
                <w:szCs w:val="20"/>
              </w:rPr>
              <w:t xml:space="preserve"> </w:t>
            </w:r>
            <w:r w:rsidRPr="00213EA6">
              <w:rPr>
                <w:sz w:val="20"/>
                <w:szCs w:val="20"/>
              </w:rPr>
              <w:t>zaawansowania</w:t>
            </w:r>
            <w:r w:rsidR="00D0407A">
              <w:rPr>
                <w:sz w:val="20"/>
                <w:szCs w:val="20"/>
              </w:rPr>
              <w:t xml:space="preserve"> </w:t>
            </w:r>
            <w:r w:rsidRPr="00213EA6">
              <w:rPr>
                <w:sz w:val="20"/>
                <w:szCs w:val="20"/>
              </w:rPr>
              <w:t>choroby</w:t>
            </w:r>
            <w:r w:rsidR="00D0407A">
              <w:rPr>
                <w:sz w:val="20"/>
                <w:szCs w:val="20"/>
              </w:rPr>
              <w:t xml:space="preserve"> </w:t>
            </w:r>
            <w:r w:rsidRPr="00213EA6">
              <w:rPr>
                <w:sz w:val="20"/>
                <w:szCs w:val="20"/>
              </w:rPr>
              <w:t>określone</w:t>
            </w:r>
            <w:r w:rsidR="00D0407A">
              <w:rPr>
                <w:sz w:val="20"/>
                <w:szCs w:val="20"/>
              </w:rPr>
              <w:t xml:space="preserve"> </w:t>
            </w:r>
            <w:r w:rsidRPr="00213EA6">
              <w:rPr>
                <w:sz w:val="20"/>
                <w:szCs w:val="20"/>
              </w:rPr>
              <w:t>jako</w:t>
            </w:r>
            <w:r w:rsidR="00D0407A">
              <w:rPr>
                <w:sz w:val="20"/>
                <w:szCs w:val="20"/>
              </w:rPr>
              <w:t xml:space="preserve"> </w:t>
            </w:r>
            <w:r w:rsidRPr="00213EA6">
              <w:rPr>
                <w:sz w:val="20"/>
                <w:szCs w:val="20"/>
              </w:rPr>
              <w:t>IB</w:t>
            </w:r>
            <w:r w:rsidR="00D0407A">
              <w:rPr>
                <w:sz w:val="20"/>
                <w:szCs w:val="20"/>
              </w:rPr>
              <w:t xml:space="preserve"> </w:t>
            </w:r>
            <w:r w:rsidRPr="00213EA6">
              <w:rPr>
                <w:sz w:val="20"/>
                <w:szCs w:val="20"/>
              </w:rPr>
              <w:t>lub</w:t>
            </w:r>
            <w:r w:rsidR="00D0407A">
              <w:rPr>
                <w:sz w:val="20"/>
                <w:szCs w:val="20"/>
              </w:rPr>
              <w:t xml:space="preserve"> </w:t>
            </w:r>
            <w:r w:rsidRPr="00213EA6">
              <w:rPr>
                <w:sz w:val="20"/>
                <w:szCs w:val="20"/>
              </w:rPr>
              <w:t>powyżej</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przypadku</w:t>
            </w:r>
            <w:r w:rsidR="00D0407A">
              <w:rPr>
                <w:sz w:val="20"/>
                <w:szCs w:val="20"/>
              </w:rPr>
              <w:t xml:space="preserve"> </w:t>
            </w:r>
            <w:r w:rsidRPr="00213EA6">
              <w:rPr>
                <w:sz w:val="20"/>
                <w:szCs w:val="20"/>
              </w:rPr>
              <w:t>MF,</w:t>
            </w:r>
            <w:r w:rsidR="00D0407A">
              <w:rPr>
                <w:sz w:val="20"/>
                <w:szCs w:val="20"/>
              </w:rPr>
              <w:t xml:space="preserve"> </w:t>
            </w:r>
            <w:r w:rsidRPr="00213EA6">
              <w:rPr>
                <w:sz w:val="20"/>
                <w:szCs w:val="20"/>
              </w:rPr>
              <w:t>według</w:t>
            </w:r>
            <w:r w:rsidR="00D0407A">
              <w:rPr>
                <w:sz w:val="20"/>
                <w:szCs w:val="20"/>
              </w:rPr>
              <w:t xml:space="preserve"> </w:t>
            </w:r>
            <w:r w:rsidRPr="00213EA6">
              <w:rPr>
                <w:sz w:val="20"/>
                <w:szCs w:val="20"/>
              </w:rPr>
              <w:t>stopnia</w:t>
            </w:r>
            <w:r w:rsidR="00D0407A">
              <w:rPr>
                <w:sz w:val="20"/>
                <w:szCs w:val="20"/>
              </w:rPr>
              <w:t xml:space="preserve"> </w:t>
            </w:r>
            <w:r w:rsidRPr="00213EA6">
              <w:rPr>
                <w:sz w:val="20"/>
                <w:szCs w:val="20"/>
              </w:rPr>
              <w:t>zaawansowania</w:t>
            </w:r>
            <w:r w:rsidR="00D0407A">
              <w:rPr>
                <w:sz w:val="20"/>
                <w:szCs w:val="20"/>
              </w:rPr>
              <w:t xml:space="preserve"> </w:t>
            </w:r>
            <w:r w:rsidRPr="00213EA6">
              <w:rPr>
                <w:sz w:val="20"/>
                <w:szCs w:val="20"/>
              </w:rPr>
              <w:t>TNMB</w:t>
            </w:r>
            <w:r w:rsidR="00D0407A">
              <w:rPr>
                <w:sz w:val="20"/>
                <w:szCs w:val="20"/>
              </w:rPr>
              <w:t xml:space="preserve"> </w:t>
            </w:r>
            <w:r w:rsidRPr="00213EA6">
              <w:rPr>
                <w:sz w:val="20"/>
                <w:szCs w:val="20"/>
              </w:rPr>
              <w:t>(klasyfikacja</w:t>
            </w:r>
            <w:r w:rsidR="00D0407A">
              <w:rPr>
                <w:sz w:val="20"/>
                <w:szCs w:val="20"/>
              </w:rPr>
              <w:t xml:space="preserve"> </w:t>
            </w:r>
            <w:r w:rsidRPr="00213EA6">
              <w:rPr>
                <w:sz w:val="20"/>
                <w:szCs w:val="20"/>
              </w:rPr>
              <w:t>ISCL</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EORTC),</w:t>
            </w:r>
          </w:p>
          <w:p w14:paraId="12573E6E" w14:textId="77777777" w:rsidR="007F5D21" w:rsidRPr="007F5D21" w:rsidRDefault="009A657B" w:rsidP="007F5D21">
            <w:pPr>
              <w:spacing w:after="60"/>
              <w:ind w:left="340" w:hanging="152"/>
              <w:jc w:val="both"/>
              <w:rPr>
                <w:sz w:val="20"/>
                <w:szCs w:val="20"/>
              </w:rPr>
            </w:pPr>
            <w:r w:rsidRPr="007F5D21">
              <w:rPr>
                <w:sz w:val="20"/>
                <w:szCs w:val="20"/>
              </w:rPr>
              <w:t>oraz</w:t>
            </w:r>
            <w:r w:rsidR="00D0407A" w:rsidRPr="007F5D21">
              <w:rPr>
                <w:sz w:val="20"/>
                <w:szCs w:val="20"/>
              </w:rPr>
              <w:t xml:space="preserve"> </w:t>
            </w:r>
            <w:r w:rsidRPr="007F5D21">
              <w:rPr>
                <w:sz w:val="20"/>
                <w:szCs w:val="20"/>
              </w:rPr>
              <w:t>jedno</w:t>
            </w:r>
            <w:r w:rsidR="00D0407A" w:rsidRPr="007F5D21">
              <w:rPr>
                <w:sz w:val="20"/>
                <w:szCs w:val="20"/>
              </w:rPr>
              <w:t xml:space="preserve"> </w:t>
            </w:r>
            <w:r w:rsidRPr="007F5D21">
              <w:rPr>
                <w:sz w:val="20"/>
                <w:szCs w:val="20"/>
              </w:rPr>
              <w:t>z</w:t>
            </w:r>
            <w:r w:rsidR="00D0407A" w:rsidRPr="007F5D21">
              <w:rPr>
                <w:sz w:val="20"/>
                <w:szCs w:val="20"/>
              </w:rPr>
              <w:t xml:space="preserve"> </w:t>
            </w:r>
            <w:r w:rsidRPr="007F5D21">
              <w:rPr>
                <w:sz w:val="20"/>
                <w:szCs w:val="20"/>
              </w:rPr>
              <w:t>poniższych</w:t>
            </w:r>
            <w:r w:rsidR="00D0407A" w:rsidRPr="007F5D21">
              <w:rPr>
                <w:sz w:val="20"/>
                <w:szCs w:val="20"/>
              </w:rPr>
              <w:t xml:space="preserve"> </w:t>
            </w:r>
            <w:r w:rsidRPr="007F5D21">
              <w:rPr>
                <w:sz w:val="20"/>
                <w:szCs w:val="20"/>
              </w:rPr>
              <w:t>kryteriów:</w:t>
            </w:r>
          </w:p>
          <w:p w14:paraId="576836D1" w14:textId="08FAA34C" w:rsidR="009A657B" w:rsidRPr="007F5D21" w:rsidRDefault="009A657B" w:rsidP="007F5D21">
            <w:pPr>
              <w:pStyle w:val="Akapitzlist"/>
              <w:numPr>
                <w:ilvl w:val="3"/>
                <w:numId w:val="32"/>
              </w:numPr>
              <w:spacing w:after="60"/>
              <w:contextualSpacing w:val="0"/>
              <w:jc w:val="both"/>
              <w:rPr>
                <w:sz w:val="20"/>
                <w:szCs w:val="20"/>
              </w:rPr>
            </w:pPr>
            <w:r w:rsidRPr="007F5D21">
              <w:rPr>
                <w:sz w:val="20"/>
                <w:szCs w:val="20"/>
              </w:rPr>
              <w:t>progresja</w:t>
            </w:r>
            <w:r w:rsidR="00D0407A" w:rsidRPr="007F5D21">
              <w:rPr>
                <w:sz w:val="20"/>
                <w:szCs w:val="20"/>
              </w:rPr>
              <w:t xml:space="preserve"> </w:t>
            </w:r>
            <w:r w:rsidRPr="007F5D21">
              <w:rPr>
                <w:sz w:val="20"/>
                <w:szCs w:val="20"/>
              </w:rPr>
              <w:t>choroby</w:t>
            </w:r>
            <w:r w:rsidR="00D0407A" w:rsidRPr="007F5D21">
              <w:rPr>
                <w:sz w:val="20"/>
                <w:szCs w:val="20"/>
              </w:rPr>
              <w:t xml:space="preserve"> </w:t>
            </w:r>
            <w:r w:rsidRPr="007F5D21">
              <w:rPr>
                <w:sz w:val="20"/>
                <w:szCs w:val="20"/>
              </w:rPr>
              <w:t>w</w:t>
            </w:r>
            <w:r w:rsidR="00D0407A" w:rsidRPr="007F5D21">
              <w:rPr>
                <w:sz w:val="20"/>
                <w:szCs w:val="20"/>
              </w:rPr>
              <w:t xml:space="preserve"> </w:t>
            </w:r>
            <w:r w:rsidRPr="007F5D21">
              <w:rPr>
                <w:sz w:val="20"/>
                <w:szCs w:val="20"/>
              </w:rPr>
              <w:t>trakcie</w:t>
            </w:r>
            <w:r w:rsidR="00D0407A" w:rsidRPr="007F5D21">
              <w:rPr>
                <w:sz w:val="20"/>
                <w:szCs w:val="20"/>
              </w:rPr>
              <w:t xml:space="preserve"> </w:t>
            </w:r>
            <w:r w:rsidRPr="007F5D21">
              <w:rPr>
                <w:sz w:val="20"/>
                <w:szCs w:val="20"/>
              </w:rPr>
              <w:t>wcześniejszego</w:t>
            </w:r>
            <w:r w:rsidR="00D0407A" w:rsidRPr="007F5D21">
              <w:rPr>
                <w:sz w:val="20"/>
                <w:szCs w:val="20"/>
              </w:rPr>
              <w:t xml:space="preserve"> </w:t>
            </w:r>
            <w:r w:rsidRPr="007F5D21">
              <w:rPr>
                <w:sz w:val="20"/>
                <w:szCs w:val="20"/>
              </w:rPr>
              <w:t>leczenia</w:t>
            </w:r>
            <w:r w:rsidR="00D0407A" w:rsidRPr="007F5D21">
              <w:rPr>
                <w:sz w:val="20"/>
                <w:szCs w:val="20"/>
              </w:rPr>
              <w:t xml:space="preserve"> </w:t>
            </w:r>
            <w:r w:rsidRPr="007F5D21">
              <w:rPr>
                <w:sz w:val="20"/>
                <w:szCs w:val="20"/>
              </w:rPr>
              <w:t>systemowego</w:t>
            </w:r>
            <w:r w:rsidR="00106CC3" w:rsidRPr="007F5D21">
              <w:rPr>
                <w:sz w:val="20"/>
                <w:szCs w:val="20"/>
              </w:rPr>
              <w:t>,</w:t>
            </w:r>
            <w:r w:rsidR="00D0407A" w:rsidRPr="007F5D21">
              <w:rPr>
                <w:sz w:val="20"/>
                <w:szCs w:val="20"/>
              </w:rPr>
              <w:t xml:space="preserve"> </w:t>
            </w:r>
            <w:r w:rsidR="00106CC3" w:rsidRPr="007F5D21">
              <w:rPr>
                <w:sz w:val="20"/>
                <w:szCs w:val="20"/>
              </w:rPr>
              <w:t>w</w:t>
            </w:r>
            <w:r w:rsidR="00D0407A" w:rsidRPr="007F5D21">
              <w:rPr>
                <w:sz w:val="20"/>
                <w:szCs w:val="20"/>
              </w:rPr>
              <w:t xml:space="preserve"> </w:t>
            </w:r>
            <w:r w:rsidR="00106CC3" w:rsidRPr="007F5D21">
              <w:rPr>
                <w:sz w:val="20"/>
                <w:szCs w:val="20"/>
              </w:rPr>
              <w:t>tym</w:t>
            </w:r>
            <w:r w:rsidR="00D0407A" w:rsidRPr="007F5D21">
              <w:rPr>
                <w:sz w:val="20"/>
                <w:szCs w:val="20"/>
              </w:rPr>
              <w:t xml:space="preserve"> </w:t>
            </w:r>
            <w:r w:rsidR="00106CC3" w:rsidRPr="007F5D21">
              <w:rPr>
                <w:sz w:val="20"/>
                <w:szCs w:val="20"/>
              </w:rPr>
              <w:t>beksarotenem</w:t>
            </w:r>
            <w:r w:rsidR="00D0407A" w:rsidRPr="007F5D21">
              <w:rPr>
                <w:sz w:val="20"/>
                <w:szCs w:val="20"/>
              </w:rPr>
              <w:t xml:space="preserve"> </w:t>
            </w:r>
            <w:r w:rsidR="00306491" w:rsidRPr="007F5D21">
              <w:rPr>
                <w:sz w:val="20"/>
                <w:szCs w:val="20"/>
              </w:rPr>
              <w:t>-</w:t>
            </w:r>
            <w:r w:rsidR="00D0407A" w:rsidRPr="007F5D21">
              <w:rPr>
                <w:sz w:val="20"/>
                <w:szCs w:val="20"/>
              </w:rPr>
              <w:t xml:space="preserve"> </w:t>
            </w:r>
            <w:r w:rsidR="00106CC3" w:rsidRPr="007F5D21">
              <w:rPr>
                <w:sz w:val="20"/>
                <w:szCs w:val="20"/>
              </w:rPr>
              <w:t>w</w:t>
            </w:r>
            <w:r w:rsidR="00D0407A" w:rsidRPr="007F5D21">
              <w:rPr>
                <w:sz w:val="20"/>
                <w:szCs w:val="20"/>
              </w:rPr>
              <w:t xml:space="preserve"> </w:t>
            </w:r>
            <w:r w:rsidR="00106CC3" w:rsidRPr="007F5D21">
              <w:rPr>
                <w:sz w:val="20"/>
                <w:szCs w:val="20"/>
              </w:rPr>
              <w:t>przypadku</w:t>
            </w:r>
            <w:r w:rsidR="00D0407A" w:rsidRPr="007F5D21">
              <w:rPr>
                <w:sz w:val="20"/>
                <w:szCs w:val="20"/>
              </w:rPr>
              <w:t xml:space="preserve"> </w:t>
            </w:r>
            <w:r w:rsidR="00106CC3" w:rsidRPr="007F5D21">
              <w:rPr>
                <w:sz w:val="20"/>
                <w:szCs w:val="20"/>
              </w:rPr>
              <w:t>MF</w:t>
            </w:r>
            <w:r w:rsidR="00D0407A" w:rsidRPr="007F5D21">
              <w:rPr>
                <w:sz w:val="20"/>
                <w:szCs w:val="20"/>
              </w:rPr>
              <w:t xml:space="preserve"> </w:t>
            </w:r>
            <w:r w:rsidR="00106CC3" w:rsidRPr="007F5D21">
              <w:rPr>
                <w:sz w:val="20"/>
                <w:szCs w:val="20"/>
              </w:rPr>
              <w:t>w</w:t>
            </w:r>
            <w:r w:rsidR="00D0407A" w:rsidRPr="007F5D21">
              <w:rPr>
                <w:sz w:val="20"/>
                <w:szCs w:val="20"/>
              </w:rPr>
              <w:t xml:space="preserve"> </w:t>
            </w:r>
            <w:r w:rsidR="00106CC3" w:rsidRPr="007F5D21">
              <w:rPr>
                <w:sz w:val="20"/>
                <w:szCs w:val="20"/>
              </w:rPr>
              <w:t>stadium</w:t>
            </w:r>
            <w:r w:rsidR="00D0407A" w:rsidRPr="007F5D21">
              <w:rPr>
                <w:sz w:val="20"/>
                <w:szCs w:val="20"/>
              </w:rPr>
              <w:t xml:space="preserve"> </w:t>
            </w:r>
            <w:r w:rsidR="00106CC3" w:rsidRPr="007F5D21">
              <w:rPr>
                <w:sz w:val="20"/>
                <w:szCs w:val="20"/>
              </w:rPr>
              <w:t>IB-IIA</w:t>
            </w:r>
            <w:r w:rsidR="00D0407A" w:rsidRPr="007F5D21">
              <w:rPr>
                <w:sz w:val="20"/>
                <w:szCs w:val="20"/>
              </w:rPr>
              <w:t xml:space="preserve"> </w:t>
            </w:r>
            <w:r w:rsidRPr="007F5D21">
              <w:rPr>
                <w:sz w:val="20"/>
                <w:szCs w:val="20"/>
              </w:rPr>
              <w:t>potwierdzona</w:t>
            </w:r>
            <w:r w:rsidR="00D0407A" w:rsidRPr="007F5D21">
              <w:rPr>
                <w:sz w:val="20"/>
                <w:szCs w:val="20"/>
              </w:rPr>
              <w:t xml:space="preserve"> </w:t>
            </w:r>
            <w:r w:rsidRPr="007F5D21">
              <w:rPr>
                <w:sz w:val="20"/>
                <w:szCs w:val="20"/>
              </w:rPr>
              <w:t>w</w:t>
            </w:r>
            <w:r w:rsidR="00D0407A" w:rsidRPr="007F5D21">
              <w:rPr>
                <w:sz w:val="20"/>
                <w:szCs w:val="20"/>
              </w:rPr>
              <w:t xml:space="preserve"> </w:t>
            </w:r>
            <w:r w:rsidRPr="007F5D21">
              <w:rPr>
                <w:sz w:val="20"/>
                <w:szCs w:val="20"/>
              </w:rPr>
              <w:t>trakcie</w:t>
            </w:r>
            <w:r w:rsidR="00D0407A" w:rsidRPr="007F5D21">
              <w:rPr>
                <w:sz w:val="20"/>
                <w:szCs w:val="20"/>
              </w:rPr>
              <w:t xml:space="preserve"> </w:t>
            </w:r>
            <w:r w:rsidRPr="007F5D21">
              <w:rPr>
                <w:sz w:val="20"/>
                <w:szCs w:val="20"/>
              </w:rPr>
              <w:t>co</w:t>
            </w:r>
            <w:r w:rsidR="00D0407A" w:rsidRPr="007F5D21">
              <w:rPr>
                <w:sz w:val="20"/>
                <w:szCs w:val="20"/>
              </w:rPr>
              <w:t xml:space="preserve"> </w:t>
            </w:r>
            <w:r w:rsidRPr="007F5D21">
              <w:rPr>
                <w:sz w:val="20"/>
                <w:szCs w:val="20"/>
              </w:rPr>
              <w:t>najmniej</w:t>
            </w:r>
            <w:r w:rsidR="00D0407A" w:rsidRPr="007F5D21">
              <w:rPr>
                <w:sz w:val="20"/>
                <w:szCs w:val="20"/>
              </w:rPr>
              <w:t xml:space="preserve"> </w:t>
            </w:r>
            <w:r w:rsidRPr="007F5D21">
              <w:rPr>
                <w:sz w:val="20"/>
                <w:szCs w:val="20"/>
              </w:rPr>
              <w:t>dwóch</w:t>
            </w:r>
            <w:r w:rsidR="00D0407A" w:rsidRPr="007F5D21">
              <w:rPr>
                <w:sz w:val="20"/>
                <w:szCs w:val="20"/>
              </w:rPr>
              <w:t xml:space="preserve"> </w:t>
            </w:r>
            <w:r w:rsidRPr="007F5D21">
              <w:rPr>
                <w:sz w:val="20"/>
                <w:szCs w:val="20"/>
              </w:rPr>
              <w:t>kolejnych</w:t>
            </w:r>
            <w:r w:rsidR="00D0407A" w:rsidRPr="007F5D21">
              <w:rPr>
                <w:sz w:val="20"/>
                <w:szCs w:val="20"/>
              </w:rPr>
              <w:t xml:space="preserve"> </w:t>
            </w:r>
            <w:r w:rsidRPr="007F5D21">
              <w:rPr>
                <w:sz w:val="20"/>
                <w:szCs w:val="20"/>
              </w:rPr>
              <w:t>wizyt</w:t>
            </w:r>
            <w:r w:rsidR="00D0407A" w:rsidRPr="007F5D21">
              <w:rPr>
                <w:sz w:val="20"/>
                <w:szCs w:val="20"/>
              </w:rPr>
              <w:t xml:space="preserve"> </w:t>
            </w:r>
            <w:r w:rsidRPr="007F5D21">
              <w:rPr>
                <w:sz w:val="20"/>
                <w:szCs w:val="20"/>
              </w:rPr>
              <w:t>lekarskich</w:t>
            </w:r>
            <w:r w:rsidR="00D0407A" w:rsidRPr="007F5D21">
              <w:rPr>
                <w:sz w:val="20"/>
                <w:szCs w:val="20"/>
              </w:rPr>
              <w:t xml:space="preserve"> </w:t>
            </w:r>
            <w:r w:rsidRPr="007F5D21">
              <w:rPr>
                <w:sz w:val="20"/>
                <w:szCs w:val="20"/>
              </w:rPr>
              <w:t>lub</w:t>
            </w:r>
          </w:p>
          <w:p w14:paraId="540BCF3C" w14:textId="3C99B6FD" w:rsidR="009A657B" w:rsidRPr="00213EA6" w:rsidRDefault="009A657B" w:rsidP="007F5D21">
            <w:pPr>
              <w:numPr>
                <w:ilvl w:val="3"/>
                <w:numId w:val="32"/>
              </w:numPr>
              <w:spacing w:after="60"/>
              <w:jc w:val="both"/>
              <w:rPr>
                <w:sz w:val="20"/>
                <w:szCs w:val="20"/>
              </w:rPr>
            </w:pPr>
            <w:r w:rsidRPr="00213EA6">
              <w:rPr>
                <w:sz w:val="20"/>
                <w:szCs w:val="20"/>
              </w:rPr>
              <w:t>nieakceptowalna</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stopniu</w:t>
            </w:r>
            <w:r w:rsidR="00D0407A">
              <w:rPr>
                <w:sz w:val="20"/>
                <w:szCs w:val="20"/>
              </w:rPr>
              <w:t xml:space="preserve"> </w:t>
            </w:r>
            <w:r w:rsidRPr="00213EA6">
              <w:rPr>
                <w:sz w:val="20"/>
                <w:szCs w:val="20"/>
              </w:rPr>
              <w:t>3</w:t>
            </w:r>
            <w:r w:rsidR="00D0407A">
              <w:rPr>
                <w:sz w:val="20"/>
                <w:szCs w:val="20"/>
              </w:rPr>
              <w:t xml:space="preserve"> </w:t>
            </w:r>
            <w:r w:rsidRPr="00213EA6">
              <w:rPr>
                <w:sz w:val="20"/>
                <w:szCs w:val="20"/>
              </w:rPr>
              <w:t>lub</w:t>
            </w:r>
            <w:r w:rsidR="00D0407A">
              <w:rPr>
                <w:sz w:val="20"/>
                <w:szCs w:val="20"/>
              </w:rPr>
              <w:t xml:space="preserve"> </w:t>
            </w:r>
            <w:r w:rsidRPr="00213EA6">
              <w:rPr>
                <w:sz w:val="20"/>
                <w:szCs w:val="20"/>
              </w:rPr>
              <w:t>4</w:t>
            </w:r>
            <w:r w:rsidR="00D0407A">
              <w:rPr>
                <w:sz w:val="20"/>
                <w:szCs w:val="20"/>
              </w:rPr>
              <w:t xml:space="preserve"> </w:t>
            </w:r>
            <w:r w:rsidRPr="00213EA6">
              <w:rPr>
                <w:sz w:val="20"/>
                <w:szCs w:val="20"/>
              </w:rPr>
              <w:t>wg</w:t>
            </w:r>
            <w:r w:rsidR="00D0407A">
              <w:rPr>
                <w:sz w:val="20"/>
                <w:szCs w:val="20"/>
              </w:rPr>
              <w:t xml:space="preserve"> </w:t>
            </w:r>
            <w:r w:rsidRPr="00213EA6">
              <w:rPr>
                <w:sz w:val="20"/>
                <w:szCs w:val="20"/>
              </w:rPr>
              <w:t>klasyfikacji</w:t>
            </w:r>
            <w:r w:rsidR="00D0407A">
              <w:rPr>
                <w:sz w:val="20"/>
                <w:szCs w:val="20"/>
              </w:rPr>
              <w:t xml:space="preserve"> </w:t>
            </w:r>
            <w:r w:rsidRPr="00213EA6">
              <w:rPr>
                <w:sz w:val="20"/>
                <w:szCs w:val="20"/>
              </w:rPr>
              <w:t>WHO)</w:t>
            </w:r>
            <w:r w:rsidR="00D0407A">
              <w:rPr>
                <w:sz w:val="20"/>
                <w:szCs w:val="20"/>
              </w:rPr>
              <w:t xml:space="preserve"> </w:t>
            </w:r>
            <w:r w:rsidRPr="00213EA6">
              <w:rPr>
                <w:sz w:val="20"/>
                <w:szCs w:val="20"/>
              </w:rPr>
              <w:t>oraz</w:t>
            </w:r>
            <w:r w:rsidR="00D0407A">
              <w:rPr>
                <w:sz w:val="20"/>
                <w:szCs w:val="20"/>
              </w:rPr>
              <w:t xml:space="preserve"> </w:t>
            </w:r>
            <w:r w:rsidRPr="00213EA6">
              <w:rPr>
                <w:sz w:val="20"/>
                <w:szCs w:val="20"/>
              </w:rPr>
              <w:t>nawracająca</w:t>
            </w:r>
            <w:r w:rsidR="00D0407A">
              <w:rPr>
                <w:sz w:val="20"/>
                <w:szCs w:val="20"/>
              </w:rPr>
              <w:t xml:space="preserve"> </w:t>
            </w:r>
            <w:r w:rsidRPr="00213EA6">
              <w:rPr>
                <w:sz w:val="20"/>
                <w:szCs w:val="20"/>
              </w:rPr>
              <w:t>pomimo</w:t>
            </w:r>
            <w:r w:rsidR="00D0407A">
              <w:rPr>
                <w:sz w:val="20"/>
                <w:szCs w:val="20"/>
              </w:rPr>
              <w:t xml:space="preserve"> </w:t>
            </w:r>
            <w:r w:rsidRPr="00213EA6">
              <w:rPr>
                <w:sz w:val="20"/>
                <w:szCs w:val="20"/>
              </w:rPr>
              <w:t>modyfikacji</w:t>
            </w:r>
            <w:r w:rsidR="00D0407A">
              <w:rPr>
                <w:sz w:val="20"/>
                <w:szCs w:val="20"/>
              </w:rPr>
              <w:t xml:space="preserve"> </w:t>
            </w:r>
            <w:r w:rsidRPr="00213EA6">
              <w:rPr>
                <w:sz w:val="20"/>
                <w:szCs w:val="20"/>
              </w:rPr>
              <w:t>dawkowania</w:t>
            </w:r>
            <w:r w:rsidR="00D0407A">
              <w:rPr>
                <w:sz w:val="20"/>
                <w:szCs w:val="20"/>
              </w:rPr>
              <w:t xml:space="preserve"> </w:t>
            </w:r>
            <w:r w:rsidRPr="00213EA6">
              <w:rPr>
                <w:sz w:val="20"/>
                <w:szCs w:val="20"/>
              </w:rPr>
              <w:t>toksyczność</w:t>
            </w:r>
            <w:r w:rsidR="00D0407A">
              <w:rPr>
                <w:sz w:val="20"/>
                <w:szCs w:val="20"/>
              </w:rPr>
              <w:t xml:space="preserve"> </w:t>
            </w:r>
            <w:r w:rsidRPr="00213EA6">
              <w:rPr>
                <w:sz w:val="20"/>
                <w:szCs w:val="20"/>
              </w:rPr>
              <w:t>wcześniejszego</w:t>
            </w:r>
            <w:r w:rsidR="00D0407A">
              <w:rPr>
                <w:sz w:val="20"/>
                <w:szCs w:val="20"/>
              </w:rPr>
              <w:t xml:space="preserve"> </w:t>
            </w:r>
            <w:r w:rsidRPr="00213EA6">
              <w:rPr>
                <w:sz w:val="20"/>
                <w:szCs w:val="20"/>
              </w:rPr>
              <w:t>leczenia</w:t>
            </w:r>
            <w:r w:rsidR="00D0407A">
              <w:rPr>
                <w:sz w:val="20"/>
                <w:szCs w:val="20"/>
              </w:rPr>
              <w:t xml:space="preserve"> </w:t>
            </w:r>
            <w:r w:rsidRPr="00213EA6">
              <w:rPr>
                <w:sz w:val="20"/>
                <w:szCs w:val="20"/>
              </w:rPr>
              <w:t>systemowego</w:t>
            </w:r>
            <w:r w:rsidR="001D6CD4">
              <w:rPr>
                <w:sz w:val="20"/>
                <w:szCs w:val="20"/>
              </w:rPr>
              <w:t>,</w:t>
            </w:r>
            <w:r w:rsidR="00D0407A">
              <w:rPr>
                <w:sz w:val="20"/>
                <w:szCs w:val="20"/>
              </w:rPr>
              <w:t xml:space="preserve"> </w:t>
            </w:r>
            <w:r w:rsidR="00106CC3">
              <w:rPr>
                <w:sz w:val="20"/>
                <w:szCs w:val="20"/>
              </w:rPr>
              <w:t>w</w:t>
            </w:r>
            <w:r w:rsidR="00D0407A">
              <w:rPr>
                <w:sz w:val="20"/>
                <w:szCs w:val="20"/>
              </w:rPr>
              <w:t xml:space="preserve"> </w:t>
            </w:r>
            <w:r w:rsidR="00106CC3">
              <w:rPr>
                <w:sz w:val="20"/>
                <w:szCs w:val="20"/>
              </w:rPr>
              <w:t>tym</w:t>
            </w:r>
            <w:r w:rsidR="00D0407A">
              <w:rPr>
                <w:sz w:val="20"/>
                <w:szCs w:val="20"/>
              </w:rPr>
              <w:t xml:space="preserve"> </w:t>
            </w:r>
            <w:r w:rsidR="00106CC3">
              <w:rPr>
                <w:sz w:val="20"/>
                <w:szCs w:val="20"/>
              </w:rPr>
              <w:t>beksarotenem</w:t>
            </w:r>
            <w:r w:rsidR="00D0407A">
              <w:rPr>
                <w:sz w:val="20"/>
                <w:szCs w:val="20"/>
              </w:rPr>
              <w:t xml:space="preserve"> </w:t>
            </w:r>
            <w:r w:rsidR="001D6CD4">
              <w:rPr>
                <w:sz w:val="20"/>
                <w:szCs w:val="20"/>
              </w:rPr>
              <w:t>-</w:t>
            </w:r>
            <w:r w:rsidR="00D0407A">
              <w:rPr>
                <w:sz w:val="20"/>
                <w:szCs w:val="20"/>
              </w:rPr>
              <w:t xml:space="preserve"> </w:t>
            </w:r>
            <w:r w:rsidR="00106CC3">
              <w:rPr>
                <w:sz w:val="20"/>
                <w:szCs w:val="20"/>
              </w:rPr>
              <w:t>w</w:t>
            </w:r>
            <w:r w:rsidR="00D0407A">
              <w:rPr>
                <w:sz w:val="20"/>
                <w:szCs w:val="20"/>
              </w:rPr>
              <w:t xml:space="preserve"> </w:t>
            </w:r>
            <w:r w:rsidR="00106CC3">
              <w:rPr>
                <w:sz w:val="20"/>
                <w:szCs w:val="20"/>
              </w:rPr>
              <w:t>przypadku</w:t>
            </w:r>
            <w:r w:rsidR="00D0407A">
              <w:rPr>
                <w:sz w:val="20"/>
                <w:szCs w:val="20"/>
              </w:rPr>
              <w:t xml:space="preserve"> </w:t>
            </w:r>
            <w:r w:rsidR="00106CC3">
              <w:rPr>
                <w:sz w:val="20"/>
                <w:szCs w:val="20"/>
              </w:rPr>
              <w:t>MF</w:t>
            </w:r>
            <w:r w:rsidR="00D0407A">
              <w:rPr>
                <w:sz w:val="20"/>
                <w:szCs w:val="20"/>
              </w:rPr>
              <w:t xml:space="preserve"> </w:t>
            </w:r>
            <w:r w:rsidR="00106CC3">
              <w:rPr>
                <w:sz w:val="20"/>
                <w:szCs w:val="20"/>
              </w:rPr>
              <w:t>w</w:t>
            </w:r>
            <w:r w:rsidR="00D0407A">
              <w:rPr>
                <w:sz w:val="20"/>
                <w:szCs w:val="20"/>
              </w:rPr>
              <w:t xml:space="preserve"> </w:t>
            </w:r>
            <w:r w:rsidR="00106CC3">
              <w:rPr>
                <w:sz w:val="20"/>
                <w:szCs w:val="20"/>
              </w:rPr>
              <w:t>stadium</w:t>
            </w:r>
            <w:r w:rsidR="00D0407A">
              <w:rPr>
                <w:sz w:val="20"/>
                <w:szCs w:val="20"/>
              </w:rPr>
              <w:t xml:space="preserve"> </w:t>
            </w:r>
            <w:r w:rsidR="00306491">
              <w:rPr>
                <w:sz w:val="20"/>
                <w:szCs w:val="20"/>
              </w:rPr>
              <w:t>IB-IIA</w:t>
            </w:r>
            <w:r w:rsidR="00D0407A">
              <w:rPr>
                <w:sz w:val="20"/>
                <w:szCs w:val="20"/>
              </w:rPr>
              <w:t xml:space="preserve"> </w:t>
            </w:r>
            <w:r w:rsidRPr="00213EA6">
              <w:rPr>
                <w:sz w:val="20"/>
                <w:szCs w:val="20"/>
              </w:rPr>
              <w:t>lub</w:t>
            </w:r>
            <w:r w:rsidR="00D0407A">
              <w:rPr>
                <w:sz w:val="20"/>
                <w:szCs w:val="20"/>
              </w:rPr>
              <w:t xml:space="preserve"> </w:t>
            </w:r>
          </w:p>
          <w:p w14:paraId="641A0C6F" w14:textId="3DEACB89" w:rsidR="009A657B" w:rsidRPr="00213EA6" w:rsidRDefault="009A657B" w:rsidP="007F5D21">
            <w:pPr>
              <w:numPr>
                <w:ilvl w:val="3"/>
                <w:numId w:val="32"/>
              </w:numPr>
              <w:spacing w:after="60"/>
              <w:jc w:val="both"/>
              <w:rPr>
                <w:sz w:val="20"/>
                <w:szCs w:val="20"/>
              </w:rPr>
            </w:pPr>
            <w:r w:rsidRPr="00213EA6">
              <w:rPr>
                <w:sz w:val="20"/>
                <w:szCs w:val="20"/>
              </w:rPr>
              <w:lastRenderedPageBreak/>
              <w:t>nawrót</w:t>
            </w:r>
            <w:r w:rsidR="00D0407A">
              <w:rPr>
                <w:sz w:val="20"/>
                <w:szCs w:val="20"/>
              </w:rPr>
              <w:t xml:space="preserve"> </w:t>
            </w:r>
            <w:r w:rsidRPr="00213EA6">
              <w:rPr>
                <w:sz w:val="20"/>
                <w:szCs w:val="20"/>
              </w:rPr>
              <w:t>choroby</w:t>
            </w:r>
            <w:r w:rsidR="00D0407A">
              <w:rPr>
                <w:sz w:val="20"/>
                <w:szCs w:val="20"/>
              </w:rPr>
              <w:t xml:space="preserve"> </w:t>
            </w:r>
            <w:r w:rsidRPr="00213EA6">
              <w:rPr>
                <w:sz w:val="20"/>
                <w:szCs w:val="20"/>
              </w:rPr>
              <w:t>po</w:t>
            </w:r>
            <w:r w:rsidR="00D0407A">
              <w:rPr>
                <w:sz w:val="20"/>
                <w:szCs w:val="20"/>
              </w:rPr>
              <w:t xml:space="preserve"> </w:t>
            </w:r>
            <w:r w:rsidRPr="00213EA6">
              <w:rPr>
                <w:sz w:val="20"/>
                <w:szCs w:val="20"/>
              </w:rPr>
              <w:t>okresie</w:t>
            </w:r>
            <w:r w:rsidR="00D0407A">
              <w:rPr>
                <w:sz w:val="20"/>
                <w:szCs w:val="20"/>
              </w:rPr>
              <w:t xml:space="preserve"> </w:t>
            </w:r>
            <w:r w:rsidRPr="00213EA6">
              <w:rPr>
                <w:sz w:val="20"/>
                <w:szCs w:val="20"/>
              </w:rPr>
              <w:t>remisji</w:t>
            </w:r>
            <w:r w:rsidR="00D0407A">
              <w:rPr>
                <w:sz w:val="20"/>
                <w:szCs w:val="20"/>
              </w:rPr>
              <w:t xml:space="preserve"> </w:t>
            </w:r>
            <w:r w:rsidRPr="00213EA6">
              <w:rPr>
                <w:sz w:val="20"/>
                <w:szCs w:val="20"/>
              </w:rPr>
              <w:t>wywołanej</w:t>
            </w:r>
            <w:r w:rsidR="00D0407A">
              <w:rPr>
                <w:sz w:val="20"/>
                <w:szCs w:val="20"/>
              </w:rPr>
              <w:t xml:space="preserve"> </w:t>
            </w:r>
            <w:r w:rsidRPr="00213EA6">
              <w:rPr>
                <w:sz w:val="20"/>
                <w:szCs w:val="20"/>
              </w:rPr>
              <w:t>wcześniejszym</w:t>
            </w:r>
            <w:r w:rsidR="00D0407A">
              <w:rPr>
                <w:sz w:val="20"/>
                <w:szCs w:val="20"/>
              </w:rPr>
              <w:t xml:space="preserve"> </w:t>
            </w:r>
            <w:r w:rsidRPr="00213EA6">
              <w:rPr>
                <w:sz w:val="20"/>
                <w:szCs w:val="20"/>
              </w:rPr>
              <w:t>leczeniem</w:t>
            </w:r>
            <w:r w:rsidR="00D0407A">
              <w:rPr>
                <w:sz w:val="20"/>
                <w:szCs w:val="20"/>
              </w:rPr>
              <w:t xml:space="preserve"> </w:t>
            </w:r>
            <w:r w:rsidRPr="00213EA6">
              <w:rPr>
                <w:sz w:val="20"/>
                <w:szCs w:val="20"/>
              </w:rPr>
              <w:t>systemowym</w:t>
            </w:r>
            <w:r w:rsidR="001D6CD4">
              <w:rPr>
                <w:sz w:val="20"/>
                <w:szCs w:val="20"/>
              </w:rPr>
              <w:t>,</w:t>
            </w:r>
            <w:r w:rsidR="00D0407A">
              <w:rPr>
                <w:sz w:val="20"/>
                <w:szCs w:val="20"/>
              </w:rPr>
              <w:t xml:space="preserve"> </w:t>
            </w:r>
            <w:r w:rsidR="00106CC3">
              <w:rPr>
                <w:sz w:val="20"/>
                <w:szCs w:val="20"/>
              </w:rPr>
              <w:t>w</w:t>
            </w:r>
            <w:r w:rsidR="00D0407A">
              <w:rPr>
                <w:sz w:val="20"/>
                <w:szCs w:val="20"/>
              </w:rPr>
              <w:t xml:space="preserve"> </w:t>
            </w:r>
            <w:r w:rsidR="00106CC3">
              <w:rPr>
                <w:sz w:val="20"/>
                <w:szCs w:val="20"/>
              </w:rPr>
              <w:t>tym</w:t>
            </w:r>
            <w:r w:rsidR="00D0407A">
              <w:rPr>
                <w:sz w:val="20"/>
                <w:szCs w:val="20"/>
              </w:rPr>
              <w:t xml:space="preserve"> </w:t>
            </w:r>
            <w:r w:rsidR="00106CC3">
              <w:rPr>
                <w:sz w:val="20"/>
                <w:szCs w:val="20"/>
              </w:rPr>
              <w:t>beksarotenem</w:t>
            </w:r>
            <w:r w:rsidR="00D0407A">
              <w:rPr>
                <w:sz w:val="20"/>
                <w:szCs w:val="20"/>
              </w:rPr>
              <w:t xml:space="preserve"> </w:t>
            </w:r>
            <w:r w:rsidR="001D6CD4">
              <w:rPr>
                <w:sz w:val="20"/>
                <w:szCs w:val="20"/>
              </w:rPr>
              <w:t>-</w:t>
            </w:r>
            <w:r w:rsidR="00D0407A">
              <w:rPr>
                <w:sz w:val="20"/>
                <w:szCs w:val="20"/>
              </w:rPr>
              <w:t xml:space="preserve"> </w:t>
            </w:r>
            <w:r w:rsidR="00106CC3">
              <w:rPr>
                <w:sz w:val="20"/>
                <w:szCs w:val="20"/>
              </w:rPr>
              <w:t>w</w:t>
            </w:r>
            <w:r w:rsidR="00D0407A">
              <w:rPr>
                <w:sz w:val="20"/>
                <w:szCs w:val="20"/>
              </w:rPr>
              <w:t xml:space="preserve"> </w:t>
            </w:r>
            <w:r w:rsidR="00106CC3">
              <w:rPr>
                <w:sz w:val="20"/>
                <w:szCs w:val="20"/>
              </w:rPr>
              <w:t>przypadku</w:t>
            </w:r>
            <w:r w:rsidR="00D0407A">
              <w:rPr>
                <w:sz w:val="20"/>
                <w:szCs w:val="20"/>
              </w:rPr>
              <w:t xml:space="preserve"> </w:t>
            </w:r>
            <w:r w:rsidR="00106CC3">
              <w:rPr>
                <w:sz w:val="20"/>
                <w:szCs w:val="20"/>
              </w:rPr>
              <w:t>MF</w:t>
            </w:r>
            <w:r w:rsidR="00D0407A">
              <w:rPr>
                <w:sz w:val="20"/>
                <w:szCs w:val="20"/>
              </w:rPr>
              <w:t xml:space="preserve"> </w:t>
            </w:r>
            <w:r w:rsidR="00106CC3">
              <w:rPr>
                <w:sz w:val="20"/>
                <w:szCs w:val="20"/>
              </w:rPr>
              <w:t>w</w:t>
            </w:r>
            <w:r w:rsidR="00D0407A">
              <w:rPr>
                <w:sz w:val="20"/>
                <w:szCs w:val="20"/>
              </w:rPr>
              <w:t xml:space="preserve"> </w:t>
            </w:r>
            <w:r w:rsidR="00106CC3">
              <w:rPr>
                <w:sz w:val="20"/>
                <w:szCs w:val="20"/>
              </w:rPr>
              <w:t>stadium</w:t>
            </w:r>
            <w:r w:rsidR="00D0407A">
              <w:rPr>
                <w:sz w:val="20"/>
                <w:szCs w:val="20"/>
              </w:rPr>
              <w:t xml:space="preserve"> </w:t>
            </w:r>
            <w:r w:rsidR="00106CC3">
              <w:rPr>
                <w:sz w:val="20"/>
                <w:szCs w:val="20"/>
              </w:rPr>
              <w:t>IB-IIA</w:t>
            </w:r>
          </w:p>
          <w:p w14:paraId="565BDDC8" w14:textId="5E9B984A" w:rsidR="009A657B" w:rsidRPr="007F5D21" w:rsidRDefault="006C720D" w:rsidP="007F5D21">
            <w:pPr>
              <w:spacing w:after="60"/>
              <w:jc w:val="both"/>
              <w:rPr>
                <w:sz w:val="20"/>
                <w:szCs w:val="20"/>
              </w:rPr>
            </w:pPr>
            <w:r w:rsidRPr="007F5D21">
              <w:rPr>
                <w:sz w:val="20"/>
                <w:szCs w:val="20"/>
              </w:rPr>
              <w:t>U</w:t>
            </w:r>
            <w:r w:rsidR="00D0407A" w:rsidRPr="007F5D21">
              <w:rPr>
                <w:sz w:val="20"/>
                <w:szCs w:val="20"/>
              </w:rPr>
              <w:t xml:space="preserve"> </w:t>
            </w:r>
            <w:r w:rsidR="00106CC3" w:rsidRPr="007F5D21">
              <w:rPr>
                <w:sz w:val="20"/>
                <w:szCs w:val="20"/>
              </w:rPr>
              <w:t>chorych</w:t>
            </w:r>
            <w:r w:rsidR="00D0407A" w:rsidRPr="007F5D21">
              <w:rPr>
                <w:sz w:val="20"/>
                <w:szCs w:val="20"/>
              </w:rPr>
              <w:t xml:space="preserve"> </w:t>
            </w:r>
            <w:r w:rsidR="00106CC3" w:rsidRPr="007F5D21">
              <w:rPr>
                <w:sz w:val="20"/>
                <w:szCs w:val="20"/>
              </w:rPr>
              <w:t>na</w:t>
            </w:r>
            <w:r w:rsidR="00D0407A" w:rsidRPr="007F5D21">
              <w:rPr>
                <w:sz w:val="20"/>
                <w:szCs w:val="20"/>
              </w:rPr>
              <w:t xml:space="preserve"> </w:t>
            </w:r>
            <w:r w:rsidR="00106CC3" w:rsidRPr="007F5D21">
              <w:rPr>
                <w:sz w:val="20"/>
                <w:szCs w:val="20"/>
              </w:rPr>
              <w:t>MF</w:t>
            </w:r>
            <w:r w:rsidR="00D0407A" w:rsidRPr="007F5D21">
              <w:rPr>
                <w:sz w:val="20"/>
                <w:szCs w:val="20"/>
              </w:rPr>
              <w:t xml:space="preserve"> </w:t>
            </w:r>
            <w:r w:rsidR="00106CC3" w:rsidRPr="007F5D21">
              <w:rPr>
                <w:sz w:val="20"/>
                <w:szCs w:val="20"/>
              </w:rPr>
              <w:t>w</w:t>
            </w:r>
            <w:r w:rsidR="00D0407A" w:rsidRPr="007F5D21">
              <w:rPr>
                <w:sz w:val="20"/>
                <w:szCs w:val="20"/>
              </w:rPr>
              <w:t xml:space="preserve"> </w:t>
            </w:r>
            <w:r w:rsidR="00106CC3" w:rsidRPr="007F5D21">
              <w:rPr>
                <w:sz w:val="20"/>
                <w:szCs w:val="20"/>
              </w:rPr>
              <w:t>stadium</w:t>
            </w:r>
            <w:r w:rsidR="00D0407A" w:rsidRPr="007F5D21">
              <w:rPr>
                <w:sz w:val="20"/>
                <w:szCs w:val="20"/>
              </w:rPr>
              <w:t xml:space="preserve"> </w:t>
            </w:r>
            <w:r w:rsidR="00106CC3" w:rsidRPr="007F5D21">
              <w:rPr>
                <w:sz w:val="20"/>
                <w:szCs w:val="20"/>
              </w:rPr>
              <w:t>zaawansowania</w:t>
            </w:r>
            <w:r w:rsidR="00D0407A" w:rsidRPr="007F5D21">
              <w:rPr>
                <w:sz w:val="20"/>
                <w:szCs w:val="20"/>
              </w:rPr>
              <w:t xml:space="preserve"> </w:t>
            </w:r>
            <w:r w:rsidR="00106CC3" w:rsidRPr="007F5D21">
              <w:rPr>
                <w:sz w:val="20"/>
                <w:szCs w:val="20"/>
              </w:rPr>
              <w:t>IIB</w:t>
            </w:r>
            <w:r w:rsidR="00D0407A" w:rsidRPr="007F5D21">
              <w:rPr>
                <w:sz w:val="20"/>
                <w:szCs w:val="20"/>
              </w:rPr>
              <w:t xml:space="preserve"> </w:t>
            </w:r>
            <w:r w:rsidR="00106CC3" w:rsidRPr="007F5D21">
              <w:rPr>
                <w:sz w:val="20"/>
                <w:szCs w:val="20"/>
              </w:rPr>
              <w:t>lub</w:t>
            </w:r>
            <w:r w:rsidR="00D0407A" w:rsidRPr="007F5D21">
              <w:rPr>
                <w:sz w:val="20"/>
                <w:szCs w:val="20"/>
              </w:rPr>
              <w:t xml:space="preserve"> </w:t>
            </w:r>
            <w:r w:rsidR="00106CC3" w:rsidRPr="007F5D21">
              <w:rPr>
                <w:sz w:val="20"/>
                <w:szCs w:val="20"/>
              </w:rPr>
              <w:t>wyższym</w:t>
            </w:r>
            <w:r w:rsidR="00D0407A" w:rsidRPr="007F5D21">
              <w:rPr>
                <w:sz w:val="20"/>
                <w:szCs w:val="20"/>
              </w:rPr>
              <w:t xml:space="preserve"> </w:t>
            </w:r>
            <w:r w:rsidR="001D6CD4" w:rsidRPr="007F5D21">
              <w:rPr>
                <w:sz w:val="20"/>
                <w:szCs w:val="20"/>
              </w:rPr>
              <w:t>z</w:t>
            </w:r>
            <w:r w:rsidR="00D0407A" w:rsidRPr="007F5D21">
              <w:rPr>
                <w:sz w:val="20"/>
                <w:szCs w:val="20"/>
              </w:rPr>
              <w:t xml:space="preserve"> </w:t>
            </w:r>
            <w:r w:rsidR="001D6CD4" w:rsidRPr="007F5D21">
              <w:rPr>
                <w:sz w:val="20"/>
                <w:szCs w:val="20"/>
              </w:rPr>
              <w:t>progresją</w:t>
            </w:r>
            <w:r w:rsidR="00D0407A" w:rsidRPr="007F5D21">
              <w:rPr>
                <w:sz w:val="20"/>
                <w:szCs w:val="20"/>
              </w:rPr>
              <w:t xml:space="preserve"> </w:t>
            </w:r>
            <w:r w:rsidR="001D6CD4" w:rsidRPr="007F5D21">
              <w:rPr>
                <w:sz w:val="20"/>
                <w:szCs w:val="20"/>
              </w:rPr>
              <w:t>lub</w:t>
            </w:r>
            <w:r w:rsidR="00D0407A" w:rsidRPr="007F5D21">
              <w:rPr>
                <w:sz w:val="20"/>
                <w:szCs w:val="20"/>
              </w:rPr>
              <w:t xml:space="preserve"> </w:t>
            </w:r>
            <w:r w:rsidR="001D6CD4" w:rsidRPr="007F5D21">
              <w:rPr>
                <w:sz w:val="20"/>
                <w:szCs w:val="20"/>
              </w:rPr>
              <w:t>nawrotem</w:t>
            </w:r>
            <w:r w:rsidR="00D0407A" w:rsidRPr="007F5D21">
              <w:rPr>
                <w:sz w:val="20"/>
                <w:szCs w:val="20"/>
              </w:rPr>
              <w:t xml:space="preserve"> </w:t>
            </w:r>
            <w:r w:rsidR="001D6CD4" w:rsidRPr="007F5D21">
              <w:rPr>
                <w:sz w:val="20"/>
                <w:szCs w:val="20"/>
              </w:rPr>
              <w:t>choroby</w:t>
            </w:r>
            <w:r w:rsidR="00D0407A" w:rsidRPr="007F5D21">
              <w:rPr>
                <w:sz w:val="20"/>
                <w:szCs w:val="20"/>
              </w:rPr>
              <w:t xml:space="preserve"> </w:t>
            </w:r>
            <w:r w:rsidR="00786690" w:rsidRPr="007F5D21">
              <w:rPr>
                <w:sz w:val="20"/>
                <w:szCs w:val="20"/>
              </w:rPr>
              <w:t>można</w:t>
            </w:r>
            <w:r w:rsidR="00D0407A" w:rsidRPr="007F5D21">
              <w:rPr>
                <w:sz w:val="20"/>
                <w:szCs w:val="20"/>
              </w:rPr>
              <w:t xml:space="preserve"> </w:t>
            </w:r>
            <w:r w:rsidR="00786690" w:rsidRPr="007F5D21">
              <w:rPr>
                <w:sz w:val="20"/>
                <w:szCs w:val="20"/>
              </w:rPr>
              <w:t>zastosować</w:t>
            </w:r>
            <w:r w:rsidR="00D0407A" w:rsidRPr="007F5D21">
              <w:rPr>
                <w:sz w:val="20"/>
                <w:szCs w:val="20"/>
              </w:rPr>
              <w:t xml:space="preserve"> </w:t>
            </w:r>
            <w:r w:rsidR="00786690" w:rsidRPr="007F5D21">
              <w:rPr>
                <w:sz w:val="20"/>
                <w:szCs w:val="20"/>
              </w:rPr>
              <w:t>brentuksymab</w:t>
            </w:r>
            <w:r w:rsidR="00D0407A" w:rsidRPr="007F5D21">
              <w:rPr>
                <w:sz w:val="20"/>
                <w:szCs w:val="20"/>
              </w:rPr>
              <w:t xml:space="preserve"> </w:t>
            </w:r>
            <w:r w:rsidR="00786690" w:rsidRPr="007F5D21">
              <w:rPr>
                <w:sz w:val="20"/>
                <w:szCs w:val="20"/>
              </w:rPr>
              <w:t>vedotin</w:t>
            </w:r>
            <w:r w:rsidR="00D0407A" w:rsidRPr="007F5D21">
              <w:rPr>
                <w:sz w:val="20"/>
                <w:szCs w:val="20"/>
              </w:rPr>
              <w:t xml:space="preserve"> </w:t>
            </w:r>
            <w:r w:rsidR="00786690" w:rsidRPr="007F5D21">
              <w:rPr>
                <w:sz w:val="20"/>
                <w:szCs w:val="20"/>
              </w:rPr>
              <w:t>niezależnie</w:t>
            </w:r>
            <w:r w:rsidR="00D0407A" w:rsidRPr="007F5D21">
              <w:rPr>
                <w:sz w:val="20"/>
                <w:szCs w:val="20"/>
              </w:rPr>
              <w:t xml:space="preserve"> </w:t>
            </w:r>
            <w:r w:rsidR="00786690" w:rsidRPr="007F5D21">
              <w:rPr>
                <w:sz w:val="20"/>
                <w:szCs w:val="20"/>
              </w:rPr>
              <w:t>od</w:t>
            </w:r>
            <w:r w:rsidR="00D0407A" w:rsidRPr="007F5D21">
              <w:rPr>
                <w:sz w:val="20"/>
                <w:szCs w:val="20"/>
              </w:rPr>
              <w:t xml:space="preserve"> </w:t>
            </w:r>
            <w:r w:rsidR="00786690" w:rsidRPr="007F5D21">
              <w:rPr>
                <w:sz w:val="20"/>
                <w:szCs w:val="20"/>
              </w:rPr>
              <w:t>rodzaju</w:t>
            </w:r>
            <w:r w:rsidR="00D0407A" w:rsidRPr="007F5D21">
              <w:rPr>
                <w:sz w:val="20"/>
                <w:szCs w:val="20"/>
              </w:rPr>
              <w:t xml:space="preserve"> </w:t>
            </w:r>
            <w:r w:rsidR="00786690" w:rsidRPr="007F5D21">
              <w:rPr>
                <w:sz w:val="20"/>
                <w:szCs w:val="20"/>
              </w:rPr>
              <w:t>wcześniejszego</w:t>
            </w:r>
            <w:r w:rsidR="00D0407A" w:rsidRPr="007F5D21">
              <w:rPr>
                <w:sz w:val="20"/>
                <w:szCs w:val="20"/>
              </w:rPr>
              <w:t xml:space="preserve"> </w:t>
            </w:r>
            <w:r w:rsidR="00786690" w:rsidRPr="007F5D21">
              <w:rPr>
                <w:sz w:val="20"/>
                <w:szCs w:val="20"/>
              </w:rPr>
              <w:t>leczenia</w:t>
            </w:r>
            <w:r w:rsidR="00D0407A" w:rsidRPr="007F5D21">
              <w:rPr>
                <w:sz w:val="20"/>
                <w:szCs w:val="20"/>
              </w:rPr>
              <w:t xml:space="preserve"> </w:t>
            </w:r>
            <w:r w:rsidR="00786690" w:rsidRPr="007F5D21">
              <w:rPr>
                <w:sz w:val="20"/>
                <w:szCs w:val="20"/>
              </w:rPr>
              <w:t>systemowego.</w:t>
            </w:r>
            <w:r w:rsidR="00D0407A" w:rsidRPr="007F5D21">
              <w:rPr>
                <w:sz w:val="20"/>
                <w:szCs w:val="20"/>
              </w:rPr>
              <w:t xml:space="preserve"> </w:t>
            </w:r>
          </w:p>
          <w:p w14:paraId="1D582B3C" w14:textId="77777777" w:rsidR="009A657B" w:rsidRPr="00213EA6" w:rsidRDefault="009A657B" w:rsidP="007F5D21">
            <w:pPr>
              <w:spacing w:after="60"/>
              <w:jc w:val="both"/>
              <w:rPr>
                <w:sz w:val="20"/>
                <w:szCs w:val="20"/>
              </w:rPr>
            </w:pPr>
          </w:p>
          <w:p w14:paraId="5A7F4DA6" w14:textId="6C3FDADC" w:rsidR="009A657B" w:rsidRPr="00F30324" w:rsidRDefault="009A657B" w:rsidP="007F5D21">
            <w:pPr>
              <w:pStyle w:val="Akapitzlist"/>
              <w:numPr>
                <w:ilvl w:val="0"/>
                <w:numId w:val="32"/>
              </w:numPr>
              <w:spacing w:after="60"/>
              <w:contextualSpacing w:val="0"/>
              <w:jc w:val="both"/>
              <w:rPr>
                <w:b/>
                <w:sz w:val="20"/>
                <w:szCs w:val="20"/>
              </w:rPr>
            </w:pPr>
            <w:r w:rsidRPr="00F30324">
              <w:rPr>
                <w:b/>
                <w:sz w:val="20"/>
                <w:szCs w:val="20"/>
              </w:rPr>
              <w:t>Określenie</w:t>
            </w:r>
            <w:r w:rsidR="00D0407A">
              <w:rPr>
                <w:b/>
                <w:sz w:val="20"/>
                <w:szCs w:val="20"/>
              </w:rPr>
              <w:t xml:space="preserve"> </w:t>
            </w:r>
            <w:r w:rsidRPr="00F30324">
              <w:rPr>
                <w:b/>
                <w:sz w:val="20"/>
                <w:szCs w:val="20"/>
              </w:rPr>
              <w:t>czasu</w:t>
            </w:r>
            <w:r w:rsidR="00D0407A">
              <w:rPr>
                <w:b/>
                <w:sz w:val="20"/>
                <w:szCs w:val="20"/>
              </w:rPr>
              <w:t xml:space="preserve"> </w:t>
            </w:r>
            <w:r w:rsidRPr="00F30324">
              <w:rPr>
                <w:b/>
                <w:sz w:val="20"/>
                <w:szCs w:val="20"/>
              </w:rPr>
              <w:t>leczenia</w:t>
            </w:r>
            <w:r w:rsidR="00D0407A">
              <w:rPr>
                <w:b/>
                <w:sz w:val="20"/>
                <w:szCs w:val="20"/>
              </w:rPr>
              <w:t xml:space="preserve"> </w:t>
            </w:r>
            <w:r w:rsidRPr="00F30324">
              <w:rPr>
                <w:b/>
                <w:sz w:val="20"/>
                <w:szCs w:val="20"/>
              </w:rPr>
              <w:t>w</w:t>
            </w:r>
            <w:r w:rsidR="00D0407A">
              <w:rPr>
                <w:b/>
                <w:sz w:val="20"/>
                <w:szCs w:val="20"/>
              </w:rPr>
              <w:t xml:space="preserve"> </w:t>
            </w:r>
            <w:r w:rsidRPr="00F30324">
              <w:rPr>
                <w:b/>
                <w:sz w:val="20"/>
                <w:szCs w:val="20"/>
              </w:rPr>
              <w:t>programie</w:t>
            </w:r>
          </w:p>
          <w:p w14:paraId="0FA385E0" w14:textId="55FD9DC6" w:rsidR="009A657B" w:rsidRPr="007F5D21" w:rsidRDefault="009A657B" w:rsidP="007F5D21">
            <w:pPr>
              <w:spacing w:after="60"/>
              <w:jc w:val="both"/>
              <w:rPr>
                <w:sz w:val="20"/>
                <w:szCs w:val="20"/>
              </w:rPr>
            </w:pPr>
            <w:r w:rsidRPr="007F5D21">
              <w:rPr>
                <w:sz w:val="20"/>
                <w:szCs w:val="20"/>
              </w:rPr>
              <w:t>Czas</w:t>
            </w:r>
            <w:r w:rsidR="00D0407A" w:rsidRPr="007F5D21">
              <w:rPr>
                <w:sz w:val="20"/>
                <w:szCs w:val="20"/>
              </w:rPr>
              <w:t xml:space="preserve"> </w:t>
            </w:r>
            <w:r w:rsidRPr="007F5D21">
              <w:rPr>
                <w:sz w:val="20"/>
                <w:szCs w:val="20"/>
              </w:rPr>
              <w:t>leczenia</w:t>
            </w:r>
            <w:r w:rsidR="00D0407A" w:rsidRPr="007F5D21">
              <w:rPr>
                <w:sz w:val="20"/>
                <w:szCs w:val="20"/>
              </w:rPr>
              <w:t xml:space="preserve"> </w:t>
            </w:r>
            <w:r w:rsidRPr="007F5D21">
              <w:rPr>
                <w:sz w:val="20"/>
                <w:szCs w:val="20"/>
              </w:rPr>
              <w:t>w</w:t>
            </w:r>
            <w:r w:rsidR="00D0407A" w:rsidRPr="007F5D21">
              <w:rPr>
                <w:sz w:val="20"/>
                <w:szCs w:val="20"/>
              </w:rPr>
              <w:t xml:space="preserve"> </w:t>
            </w:r>
            <w:r w:rsidRPr="007F5D21">
              <w:rPr>
                <w:sz w:val="20"/>
                <w:szCs w:val="20"/>
              </w:rPr>
              <w:t>programie</w:t>
            </w:r>
            <w:r w:rsidR="00D0407A" w:rsidRPr="007F5D21">
              <w:rPr>
                <w:sz w:val="20"/>
                <w:szCs w:val="20"/>
              </w:rPr>
              <w:t xml:space="preserve"> </w:t>
            </w:r>
            <w:r w:rsidRPr="007F5D21">
              <w:rPr>
                <w:sz w:val="20"/>
                <w:szCs w:val="20"/>
              </w:rPr>
              <w:t>określa</w:t>
            </w:r>
            <w:r w:rsidR="00D0407A" w:rsidRPr="007F5D21">
              <w:rPr>
                <w:sz w:val="20"/>
                <w:szCs w:val="20"/>
              </w:rPr>
              <w:t xml:space="preserve"> </w:t>
            </w:r>
            <w:r w:rsidRPr="007F5D21">
              <w:rPr>
                <w:sz w:val="20"/>
                <w:szCs w:val="20"/>
              </w:rPr>
              <w:t>lekarz</w:t>
            </w:r>
            <w:r w:rsidR="00D0407A" w:rsidRPr="007F5D21">
              <w:rPr>
                <w:sz w:val="20"/>
                <w:szCs w:val="20"/>
              </w:rPr>
              <w:t xml:space="preserve"> </w:t>
            </w:r>
            <w:r w:rsidRPr="007F5D21">
              <w:rPr>
                <w:sz w:val="20"/>
                <w:szCs w:val="20"/>
              </w:rPr>
              <w:t>na</w:t>
            </w:r>
            <w:r w:rsidR="00D0407A" w:rsidRPr="007F5D21">
              <w:rPr>
                <w:sz w:val="20"/>
                <w:szCs w:val="20"/>
              </w:rPr>
              <w:t xml:space="preserve"> </w:t>
            </w:r>
            <w:r w:rsidRPr="007F5D21">
              <w:rPr>
                <w:sz w:val="20"/>
                <w:szCs w:val="20"/>
              </w:rPr>
              <w:t>podstawie</w:t>
            </w:r>
            <w:r w:rsidR="00D0407A" w:rsidRPr="007F5D21">
              <w:rPr>
                <w:sz w:val="20"/>
                <w:szCs w:val="20"/>
              </w:rPr>
              <w:t xml:space="preserve"> </w:t>
            </w:r>
            <w:r w:rsidRPr="007F5D21">
              <w:rPr>
                <w:sz w:val="20"/>
                <w:szCs w:val="20"/>
              </w:rPr>
              <w:t>kryteriów</w:t>
            </w:r>
            <w:r w:rsidR="007F5D21">
              <w:rPr>
                <w:sz w:val="20"/>
                <w:szCs w:val="20"/>
              </w:rPr>
              <w:t xml:space="preserve"> </w:t>
            </w:r>
            <w:r w:rsidRPr="007F5D21">
              <w:rPr>
                <w:sz w:val="20"/>
                <w:szCs w:val="20"/>
              </w:rPr>
              <w:t>włączenia</w:t>
            </w:r>
            <w:r w:rsidR="00D0407A" w:rsidRPr="007F5D21">
              <w:rPr>
                <w:sz w:val="20"/>
                <w:szCs w:val="20"/>
              </w:rPr>
              <w:t xml:space="preserve"> </w:t>
            </w:r>
            <w:r w:rsidRPr="007F5D21">
              <w:rPr>
                <w:sz w:val="20"/>
                <w:szCs w:val="20"/>
              </w:rPr>
              <w:t>i</w:t>
            </w:r>
            <w:r w:rsidR="00D0407A" w:rsidRPr="007F5D21">
              <w:rPr>
                <w:sz w:val="20"/>
                <w:szCs w:val="20"/>
              </w:rPr>
              <w:t xml:space="preserve"> </w:t>
            </w:r>
            <w:r w:rsidRPr="007F5D21">
              <w:rPr>
                <w:sz w:val="20"/>
                <w:szCs w:val="20"/>
              </w:rPr>
              <w:t>kryteriów</w:t>
            </w:r>
            <w:r w:rsidR="00D0407A" w:rsidRPr="007F5D21">
              <w:rPr>
                <w:sz w:val="20"/>
                <w:szCs w:val="20"/>
              </w:rPr>
              <w:t xml:space="preserve"> </w:t>
            </w:r>
            <w:r w:rsidRPr="007F5D21">
              <w:rPr>
                <w:sz w:val="20"/>
                <w:szCs w:val="20"/>
              </w:rPr>
              <w:t>wyłączenia</w:t>
            </w:r>
            <w:r w:rsidR="00D0407A" w:rsidRPr="007F5D21">
              <w:rPr>
                <w:sz w:val="20"/>
                <w:szCs w:val="20"/>
              </w:rPr>
              <w:t xml:space="preserve"> </w:t>
            </w:r>
            <w:r w:rsidRPr="007F5D21">
              <w:rPr>
                <w:sz w:val="20"/>
                <w:szCs w:val="20"/>
              </w:rPr>
              <w:t>z</w:t>
            </w:r>
            <w:r w:rsidR="00D0407A" w:rsidRPr="007F5D21">
              <w:rPr>
                <w:sz w:val="20"/>
                <w:szCs w:val="20"/>
              </w:rPr>
              <w:t xml:space="preserve"> </w:t>
            </w:r>
            <w:r w:rsidRPr="007F5D21">
              <w:rPr>
                <w:sz w:val="20"/>
                <w:szCs w:val="20"/>
              </w:rPr>
              <w:t>programu.</w:t>
            </w:r>
            <w:r w:rsidR="00D0407A" w:rsidRPr="007F5D21">
              <w:rPr>
                <w:sz w:val="20"/>
                <w:szCs w:val="20"/>
              </w:rPr>
              <w:t xml:space="preserve"> </w:t>
            </w:r>
            <w:r w:rsidRPr="007F5D21">
              <w:rPr>
                <w:sz w:val="20"/>
                <w:szCs w:val="20"/>
              </w:rPr>
              <w:t>Chorzy</w:t>
            </w:r>
            <w:r w:rsidR="00D0407A" w:rsidRPr="007F5D21">
              <w:rPr>
                <w:sz w:val="20"/>
                <w:szCs w:val="20"/>
              </w:rPr>
              <w:t xml:space="preserve"> </w:t>
            </w:r>
            <w:r w:rsidRPr="007F5D21">
              <w:rPr>
                <w:sz w:val="20"/>
                <w:szCs w:val="20"/>
              </w:rPr>
              <w:t>mogą</w:t>
            </w:r>
            <w:r w:rsidR="00D0407A" w:rsidRPr="007F5D21">
              <w:rPr>
                <w:sz w:val="20"/>
                <w:szCs w:val="20"/>
              </w:rPr>
              <w:t xml:space="preserve"> </w:t>
            </w:r>
            <w:r w:rsidRPr="007F5D21">
              <w:rPr>
                <w:sz w:val="20"/>
                <w:szCs w:val="20"/>
              </w:rPr>
              <w:t>otrzymać</w:t>
            </w:r>
            <w:r w:rsidR="00D0407A" w:rsidRPr="007F5D21">
              <w:rPr>
                <w:sz w:val="20"/>
                <w:szCs w:val="20"/>
              </w:rPr>
              <w:t xml:space="preserve"> </w:t>
            </w:r>
            <w:r w:rsidRPr="007F5D21">
              <w:rPr>
                <w:sz w:val="20"/>
                <w:szCs w:val="20"/>
              </w:rPr>
              <w:t>maksymalnie</w:t>
            </w:r>
            <w:r w:rsidR="00D0407A" w:rsidRPr="007F5D21">
              <w:rPr>
                <w:sz w:val="20"/>
                <w:szCs w:val="20"/>
              </w:rPr>
              <w:t xml:space="preserve"> </w:t>
            </w:r>
            <w:r w:rsidRPr="007F5D21">
              <w:rPr>
                <w:sz w:val="20"/>
                <w:szCs w:val="20"/>
              </w:rPr>
              <w:t>16</w:t>
            </w:r>
            <w:r w:rsidR="00D0407A" w:rsidRPr="007F5D21">
              <w:rPr>
                <w:sz w:val="20"/>
                <w:szCs w:val="20"/>
              </w:rPr>
              <w:t xml:space="preserve"> </w:t>
            </w:r>
            <w:r w:rsidRPr="007F5D21">
              <w:rPr>
                <w:sz w:val="20"/>
                <w:szCs w:val="20"/>
              </w:rPr>
              <w:t>cykli</w:t>
            </w:r>
            <w:r w:rsidR="00D0407A" w:rsidRPr="007F5D21">
              <w:rPr>
                <w:sz w:val="20"/>
                <w:szCs w:val="20"/>
              </w:rPr>
              <w:t xml:space="preserve"> </w:t>
            </w:r>
            <w:r w:rsidRPr="007F5D21">
              <w:rPr>
                <w:sz w:val="20"/>
                <w:szCs w:val="20"/>
              </w:rPr>
              <w:t>leczenia.</w:t>
            </w:r>
          </w:p>
          <w:p w14:paraId="0F538FEF" w14:textId="77777777" w:rsidR="009A657B" w:rsidRPr="00213EA6" w:rsidRDefault="009A657B" w:rsidP="007F5D21">
            <w:pPr>
              <w:spacing w:after="60"/>
              <w:jc w:val="both"/>
              <w:rPr>
                <w:sz w:val="20"/>
                <w:szCs w:val="20"/>
              </w:rPr>
            </w:pPr>
          </w:p>
          <w:p w14:paraId="13C58816" w14:textId="7D9AAAB7" w:rsidR="009A657B" w:rsidRPr="00F30324" w:rsidRDefault="009A657B" w:rsidP="007F5D21">
            <w:pPr>
              <w:pStyle w:val="Akapitzlist"/>
              <w:numPr>
                <w:ilvl w:val="0"/>
                <w:numId w:val="32"/>
              </w:numPr>
              <w:spacing w:after="60"/>
              <w:contextualSpacing w:val="0"/>
              <w:jc w:val="both"/>
              <w:rPr>
                <w:b/>
                <w:sz w:val="20"/>
                <w:szCs w:val="20"/>
              </w:rPr>
            </w:pPr>
            <w:r w:rsidRPr="00F30324">
              <w:rPr>
                <w:b/>
                <w:sz w:val="20"/>
                <w:szCs w:val="20"/>
              </w:rPr>
              <w:t>Kryteria</w:t>
            </w:r>
            <w:r w:rsidR="00D0407A">
              <w:rPr>
                <w:b/>
                <w:sz w:val="20"/>
                <w:szCs w:val="20"/>
              </w:rPr>
              <w:t xml:space="preserve"> </w:t>
            </w:r>
            <w:r w:rsidRPr="00F30324">
              <w:rPr>
                <w:b/>
                <w:sz w:val="20"/>
                <w:szCs w:val="20"/>
              </w:rPr>
              <w:t>wyłączenia</w:t>
            </w:r>
            <w:r w:rsidR="00D0407A">
              <w:rPr>
                <w:b/>
                <w:sz w:val="20"/>
                <w:szCs w:val="20"/>
              </w:rPr>
              <w:t xml:space="preserve"> </w:t>
            </w:r>
            <w:r w:rsidRPr="00F30324">
              <w:rPr>
                <w:b/>
                <w:sz w:val="20"/>
                <w:szCs w:val="20"/>
              </w:rPr>
              <w:t>z</w:t>
            </w:r>
            <w:r w:rsidR="00D0407A">
              <w:rPr>
                <w:b/>
                <w:sz w:val="20"/>
                <w:szCs w:val="20"/>
              </w:rPr>
              <w:t xml:space="preserve"> </w:t>
            </w:r>
            <w:r w:rsidRPr="00F30324">
              <w:rPr>
                <w:b/>
                <w:sz w:val="20"/>
                <w:szCs w:val="20"/>
              </w:rPr>
              <w:t>programu</w:t>
            </w:r>
          </w:p>
          <w:p w14:paraId="2602B8D7" w14:textId="2E5271CB" w:rsidR="009A657B" w:rsidRPr="00213EA6" w:rsidRDefault="009A657B" w:rsidP="007F5D21">
            <w:pPr>
              <w:numPr>
                <w:ilvl w:val="2"/>
                <w:numId w:val="32"/>
              </w:numPr>
              <w:spacing w:after="60"/>
              <w:jc w:val="both"/>
              <w:rPr>
                <w:sz w:val="20"/>
                <w:szCs w:val="20"/>
              </w:rPr>
            </w:pPr>
            <w:r w:rsidRPr="00213EA6">
              <w:rPr>
                <w:sz w:val="20"/>
                <w:szCs w:val="20"/>
              </w:rPr>
              <w:t>wystąpienie</w:t>
            </w:r>
            <w:r w:rsidR="00D0407A">
              <w:rPr>
                <w:sz w:val="20"/>
                <w:szCs w:val="20"/>
              </w:rPr>
              <w:t xml:space="preserve"> </w:t>
            </w:r>
            <w:r w:rsidRPr="00213EA6">
              <w:rPr>
                <w:sz w:val="20"/>
                <w:szCs w:val="20"/>
              </w:rPr>
              <w:t>objawów</w:t>
            </w:r>
            <w:r w:rsidR="00D0407A">
              <w:rPr>
                <w:sz w:val="20"/>
                <w:szCs w:val="20"/>
              </w:rPr>
              <w:t xml:space="preserve"> </w:t>
            </w:r>
            <w:r w:rsidRPr="00213EA6">
              <w:rPr>
                <w:sz w:val="20"/>
                <w:szCs w:val="20"/>
              </w:rPr>
              <w:t>nadwrażliwości</w:t>
            </w:r>
            <w:r w:rsidR="00D0407A">
              <w:rPr>
                <w:sz w:val="20"/>
                <w:szCs w:val="20"/>
              </w:rPr>
              <w:t xml:space="preserve"> </w:t>
            </w:r>
            <w:r w:rsidRPr="00213EA6">
              <w:rPr>
                <w:sz w:val="20"/>
                <w:szCs w:val="20"/>
              </w:rPr>
              <w:t>na</w:t>
            </w:r>
            <w:r w:rsidR="00D0407A">
              <w:rPr>
                <w:sz w:val="20"/>
                <w:szCs w:val="20"/>
              </w:rPr>
              <w:t xml:space="preserve"> </w:t>
            </w:r>
            <w:r w:rsidRPr="00213EA6">
              <w:rPr>
                <w:sz w:val="20"/>
                <w:szCs w:val="20"/>
              </w:rPr>
              <w:t>brentuksymab</w:t>
            </w:r>
            <w:r w:rsidR="00D0407A">
              <w:rPr>
                <w:sz w:val="20"/>
                <w:szCs w:val="20"/>
              </w:rPr>
              <w:t xml:space="preserve"> </w:t>
            </w:r>
            <w:r w:rsidRPr="00213EA6">
              <w:rPr>
                <w:sz w:val="20"/>
                <w:szCs w:val="20"/>
              </w:rPr>
              <w:t>vedotin</w:t>
            </w:r>
            <w:r w:rsidR="00D0407A">
              <w:rPr>
                <w:sz w:val="20"/>
                <w:szCs w:val="20"/>
              </w:rPr>
              <w:t xml:space="preserve"> </w:t>
            </w:r>
            <w:r w:rsidRPr="00213EA6">
              <w:rPr>
                <w:sz w:val="20"/>
                <w:szCs w:val="20"/>
              </w:rPr>
              <w:t>lub</w:t>
            </w:r>
            <w:r w:rsidR="00D0407A">
              <w:rPr>
                <w:sz w:val="20"/>
                <w:szCs w:val="20"/>
              </w:rPr>
              <w:t xml:space="preserve"> </w:t>
            </w:r>
            <w:r w:rsidRPr="00213EA6">
              <w:rPr>
                <w:sz w:val="20"/>
                <w:szCs w:val="20"/>
              </w:rPr>
              <w:t>którykolwiek</w:t>
            </w:r>
            <w:r w:rsidR="00D0407A">
              <w:rPr>
                <w:sz w:val="20"/>
                <w:szCs w:val="20"/>
              </w:rPr>
              <w:t xml:space="preserve"> </w:t>
            </w:r>
            <w:r w:rsidRPr="00213EA6">
              <w:rPr>
                <w:sz w:val="20"/>
                <w:szCs w:val="20"/>
              </w:rPr>
              <w:t>ze</w:t>
            </w:r>
            <w:r w:rsidR="00D0407A">
              <w:rPr>
                <w:sz w:val="20"/>
                <w:szCs w:val="20"/>
              </w:rPr>
              <w:t xml:space="preserve"> </w:t>
            </w:r>
            <w:r w:rsidRPr="00213EA6">
              <w:rPr>
                <w:sz w:val="20"/>
                <w:szCs w:val="20"/>
              </w:rPr>
              <w:t>składników</w:t>
            </w:r>
            <w:r w:rsidR="00D0407A">
              <w:rPr>
                <w:sz w:val="20"/>
                <w:szCs w:val="20"/>
              </w:rPr>
              <w:t xml:space="preserve"> </w:t>
            </w:r>
            <w:r w:rsidRPr="00213EA6">
              <w:rPr>
                <w:sz w:val="20"/>
                <w:szCs w:val="20"/>
              </w:rPr>
              <w:t>preparatu;</w:t>
            </w:r>
          </w:p>
          <w:p w14:paraId="5179E586" w14:textId="42F7494A" w:rsidR="009A657B" w:rsidRPr="00213EA6" w:rsidRDefault="009A657B" w:rsidP="007F5D21">
            <w:pPr>
              <w:numPr>
                <w:ilvl w:val="2"/>
                <w:numId w:val="32"/>
              </w:numPr>
              <w:spacing w:after="60"/>
              <w:jc w:val="both"/>
              <w:rPr>
                <w:sz w:val="20"/>
                <w:szCs w:val="20"/>
              </w:rPr>
            </w:pPr>
            <w:r w:rsidRPr="00213EA6">
              <w:rPr>
                <w:sz w:val="20"/>
                <w:szCs w:val="20"/>
              </w:rPr>
              <w:t>toksyczność</w:t>
            </w:r>
            <w:r w:rsidR="00D0407A">
              <w:rPr>
                <w:sz w:val="20"/>
                <w:szCs w:val="20"/>
              </w:rPr>
              <w:t xml:space="preserve"> </w:t>
            </w:r>
            <w:r w:rsidRPr="00213EA6">
              <w:rPr>
                <w:sz w:val="20"/>
                <w:szCs w:val="20"/>
              </w:rPr>
              <w:t>wymagająca</w:t>
            </w:r>
            <w:r w:rsidR="00D0407A">
              <w:rPr>
                <w:sz w:val="20"/>
                <w:szCs w:val="20"/>
              </w:rPr>
              <w:t xml:space="preserve"> </w:t>
            </w:r>
            <w:r w:rsidRPr="00213EA6">
              <w:rPr>
                <w:sz w:val="20"/>
                <w:szCs w:val="20"/>
              </w:rPr>
              <w:t>przerwania</w:t>
            </w:r>
            <w:r w:rsidR="00D0407A">
              <w:rPr>
                <w:sz w:val="20"/>
                <w:szCs w:val="20"/>
              </w:rPr>
              <w:t xml:space="preserve"> </w:t>
            </w:r>
            <w:r w:rsidRPr="00213EA6">
              <w:rPr>
                <w:sz w:val="20"/>
                <w:szCs w:val="20"/>
              </w:rPr>
              <w:t>leczenia</w:t>
            </w:r>
            <w:r w:rsidR="00D0407A">
              <w:rPr>
                <w:sz w:val="20"/>
                <w:szCs w:val="20"/>
              </w:rPr>
              <w:t xml:space="preserve"> </w:t>
            </w:r>
            <w:r w:rsidRPr="00213EA6">
              <w:rPr>
                <w:sz w:val="20"/>
                <w:szCs w:val="20"/>
              </w:rPr>
              <w:t>zgodnie</w:t>
            </w:r>
            <w:r w:rsidR="00D0407A">
              <w:rPr>
                <w:sz w:val="20"/>
                <w:szCs w:val="20"/>
              </w:rPr>
              <w:t xml:space="preserve"> </w:t>
            </w:r>
            <w:r w:rsidRPr="00213EA6">
              <w:rPr>
                <w:sz w:val="20"/>
                <w:szCs w:val="20"/>
              </w:rPr>
              <w:t>z</w:t>
            </w:r>
            <w:r w:rsidR="00D0407A">
              <w:rPr>
                <w:sz w:val="20"/>
                <w:szCs w:val="20"/>
              </w:rPr>
              <w:t xml:space="preserve"> </w:t>
            </w:r>
            <w:r w:rsidRPr="00213EA6">
              <w:rPr>
                <w:sz w:val="20"/>
                <w:szCs w:val="20"/>
              </w:rPr>
              <w:t>aktualną</w:t>
            </w:r>
            <w:r w:rsidR="00D0407A">
              <w:rPr>
                <w:sz w:val="20"/>
                <w:szCs w:val="20"/>
              </w:rPr>
              <w:t xml:space="preserve"> </w:t>
            </w:r>
            <w:r w:rsidRPr="00213EA6">
              <w:rPr>
                <w:sz w:val="20"/>
                <w:szCs w:val="20"/>
              </w:rPr>
              <w:t>Charakterystyką</w:t>
            </w:r>
            <w:r w:rsidR="00D0407A">
              <w:rPr>
                <w:sz w:val="20"/>
                <w:szCs w:val="20"/>
              </w:rPr>
              <w:t xml:space="preserve"> </w:t>
            </w:r>
            <w:r w:rsidRPr="00213EA6">
              <w:rPr>
                <w:sz w:val="20"/>
                <w:szCs w:val="20"/>
              </w:rPr>
              <w:t>Produktu</w:t>
            </w:r>
            <w:r w:rsidR="00D0407A">
              <w:rPr>
                <w:sz w:val="20"/>
                <w:szCs w:val="20"/>
              </w:rPr>
              <w:t xml:space="preserve"> </w:t>
            </w:r>
            <w:r w:rsidRPr="00213EA6">
              <w:rPr>
                <w:sz w:val="20"/>
                <w:szCs w:val="20"/>
              </w:rPr>
              <w:t>Leczniczego;</w:t>
            </w:r>
          </w:p>
          <w:p w14:paraId="4C672237" w14:textId="4099C171" w:rsidR="009A657B" w:rsidRPr="00213EA6" w:rsidRDefault="009A657B" w:rsidP="007F5D21">
            <w:pPr>
              <w:numPr>
                <w:ilvl w:val="2"/>
                <w:numId w:val="32"/>
              </w:numPr>
              <w:spacing w:after="60"/>
              <w:jc w:val="both"/>
              <w:rPr>
                <w:sz w:val="20"/>
                <w:szCs w:val="20"/>
              </w:rPr>
            </w:pPr>
            <w:r w:rsidRPr="00213EA6">
              <w:rPr>
                <w:sz w:val="20"/>
                <w:szCs w:val="20"/>
              </w:rPr>
              <w:t>progresja</w:t>
            </w:r>
            <w:r w:rsidR="00D0407A">
              <w:rPr>
                <w:sz w:val="20"/>
                <w:szCs w:val="20"/>
              </w:rPr>
              <w:t xml:space="preserve"> </w:t>
            </w:r>
            <w:r w:rsidRPr="00213EA6">
              <w:rPr>
                <w:sz w:val="20"/>
                <w:szCs w:val="20"/>
              </w:rPr>
              <w:t>choroby</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trakcie</w:t>
            </w:r>
            <w:r w:rsidR="00D0407A">
              <w:rPr>
                <w:sz w:val="20"/>
                <w:szCs w:val="20"/>
              </w:rPr>
              <w:t xml:space="preserve"> </w:t>
            </w:r>
            <w:r w:rsidRPr="00213EA6">
              <w:rPr>
                <w:sz w:val="20"/>
                <w:szCs w:val="20"/>
              </w:rPr>
              <w:t>leczenia,</w:t>
            </w:r>
            <w:r w:rsidR="00D0407A">
              <w:rPr>
                <w:sz w:val="20"/>
                <w:szCs w:val="20"/>
              </w:rPr>
              <w:t xml:space="preserve"> </w:t>
            </w:r>
            <w:r w:rsidRPr="00213EA6">
              <w:rPr>
                <w:sz w:val="20"/>
                <w:szCs w:val="20"/>
              </w:rPr>
              <w:t>przy</w:t>
            </w:r>
            <w:r w:rsidR="00D0407A">
              <w:rPr>
                <w:sz w:val="20"/>
                <w:szCs w:val="20"/>
              </w:rPr>
              <w:t xml:space="preserve"> </w:t>
            </w:r>
            <w:r w:rsidRPr="00213EA6">
              <w:rPr>
                <w:sz w:val="20"/>
                <w:szCs w:val="20"/>
              </w:rPr>
              <w:t>czym</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celu</w:t>
            </w:r>
            <w:r w:rsidR="00D0407A">
              <w:rPr>
                <w:sz w:val="20"/>
                <w:szCs w:val="20"/>
              </w:rPr>
              <w:t xml:space="preserve"> </w:t>
            </w:r>
            <w:r w:rsidRPr="00213EA6">
              <w:rPr>
                <w:sz w:val="20"/>
                <w:szCs w:val="20"/>
              </w:rPr>
              <w:t>potwierdzenia</w:t>
            </w:r>
            <w:r w:rsidR="00D0407A">
              <w:rPr>
                <w:sz w:val="20"/>
                <w:szCs w:val="20"/>
              </w:rPr>
              <w:t xml:space="preserve"> </w:t>
            </w:r>
            <w:r w:rsidRPr="00213EA6">
              <w:rPr>
                <w:sz w:val="20"/>
                <w:szCs w:val="20"/>
              </w:rPr>
              <w:t>progresji</w:t>
            </w:r>
            <w:r w:rsidR="00D0407A">
              <w:rPr>
                <w:sz w:val="20"/>
                <w:szCs w:val="20"/>
              </w:rPr>
              <w:t xml:space="preserve"> </w:t>
            </w:r>
            <w:r w:rsidRPr="00213EA6">
              <w:rPr>
                <w:sz w:val="20"/>
                <w:szCs w:val="20"/>
              </w:rPr>
              <w:t>wymagany</w:t>
            </w:r>
            <w:r w:rsidR="00D0407A">
              <w:rPr>
                <w:sz w:val="20"/>
                <w:szCs w:val="20"/>
              </w:rPr>
              <w:t xml:space="preserve"> </w:t>
            </w:r>
            <w:r w:rsidRPr="00213EA6">
              <w:rPr>
                <w:sz w:val="20"/>
                <w:szCs w:val="20"/>
              </w:rPr>
              <w:t>jest</w:t>
            </w:r>
            <w:r w:rsidR="00D0407A">
              <w:rPr>
                <w:sz w:val="20"/>
                <w:szCs w:val="20"/>
              </w:rPr>
              <w:t xml:space="preserve"> </w:t>
            </w:r>
            <w:r w:rsidRPr="00213EA6">
              <w:rPr>
                <w:sz w:val="20"/>
                <w:szCs w:val="20"/>
              </w:rPr>
              <w:t>okres</w:t>
            </w:r>
            <w:r w:rsidR="00D0407A">
              <w:rPr>
                <w:sz w:val="20"/>
                <w:szCs w:val="20"/>
              </w:rPr>
              <w:t xml:space="preserve"> </w:t>
            </w:r>
            <w:r w:rsidRPr="00213EA6">
              <w:rPr>
                <w:sz w:val="20"/>
                <w:szCs w:val="20"/>
              </w:rPr>
              <w:t>dwumiesięcznej</w:t>
            </w:r>
            <w:r w:rsidR="00D0407A">
              <w:rPr>
                <w:sz w:val="20"/>
                <w:szCs w:val="20"/>
              </w:rPr>
              <w:t xml:space="preserve"> </w:t>
            </w:r>
            <w:r w:rsidRPr="00213EA6">
              <w:rPr>
                <w:sz w:val="20"/>
                <w:szCs w:val="20"/>
              </w:rPr>
              <w:t>obserwacji;</w:t>
            </w:r>
          </w:p>
          <w:p w14:paraId="2B987E56" w14:textId="3FAE07BB" w:rsidR="009A657B" w:rsidRPr="00213EA6" w:rsidRDefault="009A657B" w:rsidP="007F5D21">
            <w:pPr>
              <w:numPr>
                <w:ilvl w:val="2"/>
                <w:numId w:val="32"/>
              </w:numPr>
              <w:spacing w:after="60"/>
              <w:jc w:val="both"/>
              <w:rPr>
                <w:sz w:val="20"/>
                <w:szCs w:val="20"/>
              </w:rPr>
            </w:pPr>
            <w:r w:rsidRPr="00213EA6">
              <w:rPr>
                <w:sz w:val="20"/>
                <w:szCs w:val="20"/>
              </w:rPr>
              <w:t>podanie</w:t>
            </w:r>
            <w:r w:rsidR="00D0407A">
              <w:rPr>
                <w:sz w:val="20"/>
                <w:szCs w:val="20"/>
              </w:rPr>
              <w:t xml:space="preserve"> </w:t>
            </w:r>
            <w:r w:rsidRPr="00213EA6">
              <w:rPr>
                <w:sz w:val="20"/>
                <w:szCs w:val="20"/>
              </w:rPr>
              <w:t>16</w:t>
            </w:r>
            <w:r w:rsidR="00D0407A">
              <w:rPr>
                <w:sz w:val="20"/>
                <w:szCs w:val="20"/>
              </w:rPr>
              <w:t xml:space="preserve"> </w:t>
            </w:r>
            <w:r w:rsidRPr="00213EA6">
              <w:rPr>
                <w:sz w:val="20"/>
                <w:szCs w:val="20"/>
              </w:rPr>
              <w:t>cykli</w:t>
            </w:r>
            <w:r w:rsidR="00D0407A">
              <w:rPr>
                <w:sz w:val="20"/>
                <w:szCs w:val="20"/>
              </w:rPr>
              <w:t xml:space="preserve"> </w:t>
            </w:r>
            <w:r w:rsidRPr="00213EA6">
              <w:rPr>
                <w:sz w:val="20"/>
                <w:szCs w:val="20"/>
              </w:rPr>
              <w:t>leczenia;</w:t>
            </w:r>
          </w:p>
          <w:p w14:paraId="1433615E" w14:textId="1F9C5B56" w:rsidR="009A657B" w:rsidRPr="00213EA6" w:rsidRDefault="009A657B" w:rsidP="007F5D21">
            <w:pPr>
              <w:numPr>
                <w:ilvl w:val="2"/>
                <w:numId w:val="32"/>
              </w:numPr>
              <w:spacing w:after="60"/>
              <w:jc w:val="both"/>
              <w:rPr>
                <w:sz w:val="20"/>
                <w:szCs w:val="20"/>
              </w:rPr>
            </w:pPr>
            <w:r w:rsidRPr="00213EA6">
              <w:rPr>
                <w:sz w:val="20"/>
                <w:szCs w:val="20"/>
              </w:rPr>
              <w:t>pojawienie</w:t>
            </w:r>
            <w:r w:rsidR="00D0407A">
              <w:rPr>
                <w:sz w:val="20"/>
                <w:szCs w:val="20"/>
              </w:rPr>
              <w:t xml:space="preserve"> </w:t>
            </w:r>
            <w:r w:rsidRPr="00213EA6">
              <w:rPr>
                <w:sz w:val="20"/>
                <w:szCs w:val="20"/>
              </w:rPr>
              <w:t>się</w:t>
            </w:r>
            <w:r w:rsidR="00D0407A">
              <w:rPr>
                <w:sz w:val="20"/>
                <w:szCs w:val="20"/>
              </w:rPr>
              <w:t xml:space="preserve"> </w:t>
            </w:r>
            <w:r w:rsidRPr="00213EA6">
              <w:rPr>
                <w:sz w:val="20"/>
                <w:szCs w:val="20"/>
              </w:rPr>
              <w:t>schorzeń</w:t>
            </w:r>
            <w:r w:rsidR="00D0407A">
              <w:rPr>
                <w:sz w:val="20"/>
                <w:szCs w:val="20"/>
              </w:rPr>
              <w:t xml:space="preserve"> </w:t>
            </w:r>
            <w:r w:rsidRPr="00213EA6">
              <w:rPr>
                <w:sz w:val="20"/>
                <w:szCs w:val="20"/>
              </w:rPr>
              <w:t>współistniejących</w:t>
            </w:r>
            <w:r w:rsidR="00D0407A">
              <w:rPr>
                <w:sz w:val="20"/>
                <w:szCs w:val="20"/>
              </w:rPr>
              <w:t xml:space="preserve"> </w:t>
            </w:r>
            <w:r w:rsidRPr="00213EA6">
              <w:rPr>
                <w:sz w:val="20"/>
                <w:szCs w:val="20"/>
              </w:rPr>
              <w:t>stanowiących</w:t>
            </w:r>
            <w:r w:rsidR="00D0407A">
              <w:rPr>
                <w:sz w:val="20"/>
                <w:szCs w:val="20"/>
              </w:rPr>
              <w:t xml:space="preserve"> </w:t>
            </w:r>
            <w:r w:rsidRPr="00213EA6">
              <w:rPr>
                <w:sz w:val="20"/>
                <w:szCs w:val="20"/>
              </w:rPr>
              <w:t>przeciwwskazanie</w:t>
            </w:r>
            <w:r w:rsidR="00D0407A">
              <w:rPr>
                <w:sz w:val="20"/>
                <w:szCs w:val="20"/>
              </w:rPr>
              <w:t xml:space="preserve"> </w:t>
            </w:r>
            <w:r w:rsidRPr="00213EA6">
              <w:rPr>
                <w:sz w:val="20"/>
                <w:szCs w:val="20"/>
              </w:rPr>
              <w:t>do</w:t>
            </w:r>
            <w:r w:rsidR="00D0407A">
              <w:rPr>
                <w:sz w:val="20"/>
                <w:szCs w:val="20"/>
              </w:rPr>
              <w:t xml:space="preserve"> </w:t>
            </w:r>
            <w:r w:rsidRPr="00213EA6">
              <w:rPr>
                <w:sz w:val="20"/>
                <w:szCs w:val="20"/>
              </w:rPr>
              <w:t>kontynuacji</w:t>
            </w:r>
            <w:r w:rsidR="00D0407A">
              <w:rPr>
                <w:sz w:val="20"/>
                <w:szCs w:val="20"/>
              </w:rPr>
              <w:t xml:space="preserve"> </w:t>
            </w:r>
            <w:r w:rsidRPr="00213EA6">
              <w:rPr>
                <w:sz w:val="20"/>
                <w:szCs w:val="20"/>
              </w:rPr>
              <w:t>leczenia;</w:t>
            </w:r>
          </w:p>
          <w:p w14:paraId="1A295FD8" w14:textId="77777777" w:rsidR="009A657B" w:rsidRDefault="009A657B" w:rsidP="007F5D21">
            <w:pPr>
              <w:numPr>
                <w:ilvl w:val="2"/>
                <w:numId w:val="32"/>
              </w:numPr>
              <w:spacing w:after="60"/>
              <w:jc w:val="both"/>
              <w:rPr>
                <w:sz w:val="20"/>
                <w:szCs w:val="20"/>
              </w:rPr>
            </w:pPr>
            <w:r w:rsidRPr="00213EA6">
              <w:rPr>
                <w:sz w:val="20"/>
                <w:szCs w:val="20"/>
              </w:rPr>
              <w:t>ciąża,</w:t>
            </w:r>
            <w:r w:rsidR="00D0407A">
              <w:rPr>
                <w:sz w:val="20"/>
                <w:szCs w:val="20"/>
              </w:rPr>
              <w:t xml:space="preserve"> </w:t>
            </w:r>
            <w:r w:rsidRPr="00213EA6">
              <w:rPr>
                <w:sz w:val="20"/>
                <w:szCs w:val="20"/>
              </w:rPr>
              <w:t>okres</w:t>
            </w:r>
            <w:r w:rsidR="00D0407A">
              <w:rPr>
                <w:sz w:val="20"/>
                <w:szCs w:val="20"/>
              </w:rPr>
              <w:t xml:space="preserve"> </w:t>
            </w:r>
            <w:r w:rsidRPr="00213EA6">
              <w:rPr>
                <w:sz w:val="20"/>
                <w:szCs w:val="20"/>
              </w:rPr>
              <w:t>karmienia</w:t>
            </w:r>
            <w:r w:rsidR="00D0407A">
              <w:rPr>
                <w:sz w:val="20"/>
                <w:szCs w:val="20"/>
              </w:rPr>
              <w:t xml:space="preserve"> </w:t>
            </w:r>
            <w:r w:rsidRPr="00213EA6">
              <w:rPr>
                <w:sz w:val="20"/>
                <w:szCs w:val="20"/>
              </w:rPr>
              <w:t>piersią.</w:t>
            </w:r>
          </w:p>
          <w:p w14:paraId="122B0880" w14:textId="31941D00" w:rsidR="007F5D21" w:rsidRPr="00213EA6" w:rsidRDefault="007F5D21" w:rsidP="007F5D21">
            <w:pPr>
              <w:spacing w:after="60"/>
              <w:ind w:left="397"/>
              <w:jc w:val="both"/>
              <w:rPr>
                <w:sz w:val="20"/>
                <w:szCs w:val="20"/>
              </w:rPr>
            </w:pPr>
          </w:p>
        </w:tc>
        <w:tc>
          <w:tcPr>
            <w:tcW w:w="1243" w:type="pct"/>
            <w:tcBorders>
              <w:top w:val="single" w:sz="4" w:space="0" w:color="auto"/>
              <w:left w:val="single" w:sz="4" w:space="0" w:color="000000"/>
              <w:bottom w:val="single" w:sz="4" w:space="0" w:color="auto"/>
              <w:right w:val="single" w:sz="4" w:space="0" w:color="000000"/>
            </w:tcBorders>
          </w:tcPr>
          <w:p w14:paraId="33C137C4" w14:textId="089051EA" w:rsidR="009A657B" w:rsidRPr="007F5D21" w:rsidRDefault="009A657B" w:rsidP="007F5D21">
            <w:pPr>
              <w:spacing w:before="120" w:after="60"/>
              <w:jc w:val="both"/>
              <w:rPr>
                <w:sz w:val="20"/>
                <w:szCs w:val="20"/>
              </w:rPr>
            </w:pPr>
            <w:r w:rsidRPr="007F5D21">
              <w:rPr>
                <w:b/>
                <w:sz w:val="20"/>
                <w:szCs w:val="20"/>
              </w:rPr>
              <w:lastRenderedPageBreak/>
              <w:t>Dawkowanie</w:t>
            </w:r>
          </w:p>
          <w:p w14:paraId="168531CC" w14:textId="01671DAD" w:rsidR="009A657B" w:rsidRPr="007F5D21" w:rsidRDefault="009A657B" w:rsidP="007F5D21">
            <w:pPr>
              <w:spacing w:after="60"/>
              <w:jc w:val="both"/>
              <w:rPr>
                <w:sz w:val="20"/>
                <w:szCs w:val="20"/>
              </w:rPr>
            </w:pPr>
            <w:r w:rsidRPr="007F5D21">
              <w:rPr>
                <w:sz w:val="20"/>
                <w:szCs w:val="20"/>
              </w:rPr>
              <w:t>Dawkowanie</w:t>
            </w:r>
            <w:r w:rsidR="00D0407A" w:rsidRPr="007F5D21">
              <w:rPr>
                <w:sz w:val="20"/>
                <w:szCs w:val="20"/>
              </w:rPr>
              <w:t xml:space="preserve"> </w:t>
            </w:r>
            <w:r w:rsidRPr="007F5D21">
              <w:rPr>
                <w:sz w:val="20"/>
                <w:szCs w:val="20"/>
              </w:rPr>
              <w:t>brentuksymabu</w:t>
            </w:r>
            <w:r w:rsidR="00D0407A" w:rsidRPr="007F5D21">
              <w:rPr>
                <w:sz w:val="20"/>
                <w:szCs w:val="20"/>
              </w:rPr>
              <w:t xml:space="preserve"> </w:t>
            </w:r>
            <w:r w:rsidRPr="007F5D21">
              <w:rPr>
                <w:sz w:val="20"/>
                <w:szCs w:val="20"/>
              </w:rPr>
              <w:t>vedotin</w:t>
            </w:r>
            <w:r w:rsidR="00D0407A" w:rsidRPr="007F5D21">
              <w:rPr>
                <w:sz w:val="20"/>
                <w:szCs w:val="20"/>
              </w:rPr>
              <w:t xml:space="preserve"> </w:t>
            </w:r>
            <w:r w:rsidRPr="007F5D21">
              <w:rPr>
                <w:sz w:val="20"/>
                <w:szCs w:val="20"/>
              </w:rPr>
              <w:t>w</w:t>
            </w:r>
            <w:r w:rsidR="00D0407A" w:rsidRPr="007F5D21">
              <w:rPr>
                <w:sz w:val="20"/>
                <w:szCs w:val="20"/>
              </w:rPr>
              <w:t xml:space="preserve"> </w:t>
            </w:r>
            <w:r w:rsidRPr="007F5D21">
              <w:rPr>
                <w:sz w:val="20"/>
                <w:szCs w:val="20"/>
              </w:rPr>
              <w:t>terapii</w:t>
            </w:r>
            <w:r w:rsidR="00D0407A" w:rsidRPr="007F5D21">
              <w:rPr>
                <w:sz w:val="20"/>
                <w:szCs w:val="20"/>
              </w:rPr>
              <w:t xml:space="preserve"> </w:t>
            </w:r>
            <w:r w:rsidRPr="007F5D21">
              <w:rPr>
                <w:sz w:val="20"/>
                <w:szCs w:val="20"/>
              </w:rPr>
              <w:t>skórnego</w:t>
            </w:r>
            <w:r w:rsidR="00D0407A" w:rsidRPr="007F5D21">
              <w:rPr>
                <w:sz w:val="20"/>
                <w:szCs w:val="20"/>
              </w:rPr>
              <w:t xml:space="preserve"> </w:t>
            </w:r>
            <w:r w:rsidRPr="007F5D21">
              <w:rPr>
                <w:sz w:val="20"/>
                <w:szCs w:val="20"/>
              </w:rPr>
              <w:t>chłoniaka</w:t>
            </w:r>
            <w:r w:rsidR="00D0407A" w:rsidRPr="007F5D21">
              <w:rPr>
                <w:sz w:val="20"/>
                <w:szCs w:val="20"/>
              </w:rPr>
              <w:t xml:space="preserve"> </w:t>
            </w:r>
            <w:r w:rsidRPr="007F5D21">
              <w:rPr>
                <w:sz w:val="20"/>
                <w:szCs w:val="20"/>
              </w:rPr>
              <w:t>T-komórkowego</w:t>
            </w:r>
            <w:r w:rsidR="00D0407A" w:rsidRPr="007F5D21">
              <w:rPr>
                <w:sz w:val="20"/>
                <w:szCs w:val="20"/>
              </w:rPr>
              <w:t xml:space="preserve"> </w:t>
            </w:r>
            <w:r w:rsidRPr="007F5D21">
              <w:rPr>
                <w:sz w:val="20"/>
                <w:szCs w:val="20"/>
              </w:rPr>
              <w:t>-</w:t>
            </w:r>
            <w:r w:rsidR="00D0407A" w:rsidRPr="007F5D21">
              <w:rPr>
                <w:sz w:val="20"/>
                <w:szCs w:val="20"/>
              </w:rPr>
              <w:t xml:space="preserve"> </w:t>
            </w:r>
            <w:r w:rsidRPr="007F5D21">
              <w:rPr>
                <w:sz w:val="20"/>
                <w:szCs w:val="20"/>
              </w:rPr>
              <w:t>zgodnie</w:t>
            </w:r>
            <w:r w:rsidR="00D0407A" w:rsidRPr="007F5D21">
              <w:rPr>
                <w:sz w:val="20"/>
                <w:szCs w:val="20"/>
              </w:rPr>
              <w:t xml:space="preserve"> </w:t>
            </w:r>
            <w:r w:rsidRPr="007F5D21">
              <w:rPr>
                <w:sz w:val="20"/>
                <w:szCs w:val="20"/>
              </w:rPr>
              <w:t>z</w:t>
            </w:r>
            <w:r w:rsidR="00D0407A" w:rsidRPr="007F5D21">
              <w:rPr>
                <w:sz w:val="20"/>
                <w:szCs w:val="20"/>
              </w:rPr>
              <w:t xml:space="preserve"> </w:t>
            </w:r>
            <w:r w:rsidRPr="007F5D21">
              <w:rPr>
                <w:sz w:val="20"/>
                <w:szCs w:val="20"/>
              </w:rPr>
              <w:t>Charakterystyką</w:t>
            </w:r>
            <w:r w:rsidR="00D0407A" w:rsidRPr="007F5D21">
              <w:rPr>
                <w:sz w:val="20"/>
                <w:szCs w:val="20"/>
              </w:rPr>
              <w:t xml:space="preserve"> </w:t>
            </w:r>
            <w:r w:rsidRPr="007F5D21">
              <w:rPr>
                <w:sz w:val="20"/>
                <w:szCs w:val="20"/>
              </w:rPr>
              <w:t>Produktu</w:t>
            </w:r>
            <w:r w:rsidR="00D0407A" w:rsidRPr="007F5D21">
              <w:rPr>
                <w:sz w:val="20"/>
                <w:szCs w:val="20"/>
              </w:rPr>
              <w:t xml:space="preserve"> </w:t>
            </w:r>
            <w:r w:rsidRPr="007F5D21">
              <w:rPr>
                <w:sz w:val="20"/>
                <w:szCs w:val="20"/>
              </w:rPr>
              <w:t>Leczniczego</w:t>
            </w:r>
            <w:r w:rsidR="00D0407A" w:rsidRPr="007F5D21">
              <w:rPr>
                <w:sz w:val="20"/>
                <w:szCs w:val="20"/>
              </w:rPr>
              <w:t xml:space="preserve"> </w:t>
            </w:r>
            <w:r w:rsidR="00097402" w:rsidRPr="007F5D21">
              <w:rPr>
                <w:sz w:val="20"/>
                <w:szCs w:val="20"/>
              </w:rPr>
              <w:t>aktualną</w:t>
            </w:r>
            <w:r w:rsidR="00D0407A" w:rsidRPr="007F5D21">
              <w:rPr>
                <w:sz w:val="20"/>
                <w:szCs w:val="20"/>
              </w:rPr>
              <w:t xml:space="preserve"> </w:t>
            </w:r>
            <w:r w:rsidR="00097402" w:rsidRPr="007F5D21">
              <w:rPr>
                <w:sz w:val="20"/>
                <w:szCs w:val="20"/>
              </w:rPr>
              <w:t>na</w:t>
            </w:r>
            <w:r w:rsidR="00D0407A" w:rsidRPr="007F5D21">
              <w:rPr>
                <w:sz w:val="20"/>
                <w:szCs w:val="20"/>
              </w:rPr>
              <w:t xml:space="preserve"> </w:t>
            </w:r>
            <w:r w:rsidR="00097402" w:rsidRPr="007F5D21">
              <w:rPr>
                <w:sz w:val="20"/>
                <w:szCs w:val="20"/>
              </w:rPr>
              <w:t>dzień</w:t>
            </w:r>
            <w:r w:rsidR="00D0407A" w:rsidRPr="007F5D21">
              <w:rPr>
                <w:sz w:val="20"/>
                <w:szCs w:val="20"/>
              </w:rPr>
              <w:t xml:space="preserve"> </w:t>
            </w:r>
            <w:r w:rsidR="00097402" w:rsidRPr="007F5D21">
              <w:rPr>
                <w:sz w:val="20"/>
                <w:szCs w:val="20"/>
              </w:rPr>
              <w:t>wydania</w:t>
            </w:r>
            <w:r w:rsidR="00D0407A" w:rsidRPr="007F5D21">
              <w:rPr>
                <w:sz w:val="20"/>
                <w:szCs w:val="20"/>
              </w:rPr>
              <w:t xml:space="preserve"> </w:t>
            </w:r>
            <w:r w:rsidR="00097402" w:rsidRPr="007F5D21">
              <w:rPr>
                <w:sz w:val="20"/>
                <w:szCs w:val="20"/>
              </w:rPr>
              <w:t>decyzji</w:t>
            </w:r>
            <w:r w:rsidRPr="007F5D21">
              <w:rPr>
                <w:sz w:val="20"/>
                <w:szCs w:val="20"/>
              </w:rPr>
              <w:t>.</w:t>
            </w:r>
          </w:p>
          <w:p w14:paraId="0ED41F8D" w14:textId="77777777" w:rsidR="009A657B" w:rsidRPr="00213EA6" w:rsidRDefault="009A657B" w:rsidP="007F5D21">
            <w:pPr>
              <w:spacing w:after="60"/>
              <w:jc w:val="both"/>
              <w:rPr>
                <w:sz w:val="20"/>
                <w:szCs w:val="20"/>
              </w:rPr>
            </w:pPr>
          </w:p>
        </w:tc>
        <w:tc>
          <w:tcPr>
            <w:tcW w:w="1824" w:type="pct"/>
            <w:tcBorders>
              <w:top w:val="single" w:sz="4" w:space="0" w:color="auto"/>
              <w:left w:val="single" w:sz="4" w:space="0" w:color="000000"/>
              <w:bottom w:val="single" w:sz="4" w:space="0" w:color="auto"/>
              <w:right w:val="single" w:sz="4" w:space="0" w:color="auto"/>
            </w:tcBorders>
          </w:tcPr>
          <w:p w14:paraId="7ACB1FCA" w14:textId="163C5252" w:rsidR="009A657B" w:rsidRPr="00213EA6" w:rsidRDefault="009A657B" w:rsidP="007F5D21">
            <w:pPr>
              <w:pStyle w:val="Akapitzlist"/>
              <w:numPr>
                <w:ilvl w:val="0"/>
                <w:numId w:val="33"/>
              </w:numPr>
              <w:spacing w:before="120" w:after="60"/>
              <w:contextualSpacing w:val="0"/>
              <w:jc w:val="both"/>
              <w:rPr>
                <w:b/>
                <w:sz w:val="20"/>
                <w:szCs w:val="20"/>
              </w:rPr>
            </w:pPr>
            <w:r w:rsidRPr="00213EA6">
              <w:rPr>
                <w:b/>
                <w:sz w:val="20"/>
                <w:szCs w:val="20"/>
              </w:rPr>
              <w:t>Badania</w:t>
            </w:r>
            <w:r w:rsidR="00D0407A">
              <w:rPr>
                <w:b/>
                <w:sz w:val="20"/>
                <w:szCs w:val="20"/>
              </w:rPr>
              <w:t xml:space="preserve"> </w:t>
            </w:r>
            <w:r w:rsidRPr="00213EA6">
              <w:rPr>
                <w:b/>
                <w:sz w:val="20"/>
                <w:szCs w:val="20"/>
              </w:rPr>
              <w:t>przy</w:t>
            </w:r>
            <w:r w:rsidR="00D0407A">
              <w:rPr>
                <w:b/>
                <w:sz w:val="20"/>
                <w:szCs w:val="20"/>
              </w:rPr>
              <w:t xml:space="preserve"> </w:t>
            </w:r>
            <w:r w:rsidRPr="00213EA6">
              <w:rPr>
                <w:b/>
                <w:sz w:val="20"/>
                <w:szCs w:val="20"/>
              </w:rPr>
              <w:t>kwalifikacji</w:t>
            </w:r>
            <w:r w:rsidR="00D0407A">
              <w:rPr>
                <w:b/>
                <w:sz w:val="20"/>
                <w:szCs w:val="20"/>
              </w:rPr>
              <w:t xml:space="preserve"> </w:t>
            </w:r>
            <w:r w:rsidRPr="00213EA6">
              <w:rPr>
                <w:b/>
                <w:sz w:val="20"/>
                <w:szCs w:val="20"/>
              </w:rPr>
              <w:t>do</w:t>
            </w:r>
            <w:r w:rsidR="00D0407A">
              <w:rPr>
                <w:b/>
                <w:sz w:val="20"/>
                <w:szCs w:val="20"/>
              </w:rPr>
              <w:t xml:space="preserve"> </w:t>
            </w:r>
            <w:r w:rsidRPr="00213EA6">
              <w:rPr>
                <w:b/>
                <w:sz w:val="20"/>
                <w:szCs w:val="20"/>
              </w:rPr>
              <w:t>terapii</w:t>
            </w:r>
            <w:r w:rsidR="00D0407A">
              <w:rPr>
                <w:b/>
                <w:sz w:val="20"/>
                <w:szCs w:val="20"/>
              </w:rPr>
              <w:t xml:space="preserve"> </w:t>
            </w:r>
            <w:r w:rsidRPr="00213EA6">
              <w:rPr>
                <w:b/>
                <w:sz w:val="20"/>
                <w:szCs w:val="20"/>
              </w:rPr>
              <w:t>brentuksymabem</w:t>
            </w:r>
          </w:p>
          <w:p w14:paraId="630AFBC2" w14:textId="2760D7E5"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badanie</w:t>
            </w:r>
            <w:r w:rsidR="00D0407A">
              <w:rPr>
                <w:sz w:val="20"/>
                <w:szCs w:val="20"/>
              </w:rPr>
              <w:t xml:space="preserve"> </w:t>
            </w:r>
            <w:r w:rsidRPr="00213EA6">
              <w:rPr>
                <w:sz w:val="20"/>
                <w:szCs w:val="20"/>
              </w:rPr>
              <w:t>podmiotowe</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przedmiotowe</w:t>
            </w:r>
            <w:r w:rsidR="00D0407A">
              <w:rPr>
                <w:sz w:val="20"/>
                <w:szCs w:val="20"/>
              </w:rPr>
              <w:t xml:space="preserve"> </w:t>
            </w:r>
            <w:r w:rsidR="009D3411">
              <w:rPr>
                <w:sz w:val="20"/>
                <w:szCs w:val="20"/>
              </w:rPr>
              <w:br/>
            </w:r>
            <w:r w:rsidRPr="00213EA6">
              <w:rPr>
                <w:sz w:val="20"/>
                <w:szCs w:val="20"/>
              </w:rPr>
              <w:t>(w</w:t>
            </w:r>
            <w:r w:rsidR="00D0407A">
              <w:rPr>
                <w:sz w:val="20"/>
                <w:szCs w:val="20"/>
              </w:rPr>
              <w:t xml:space="preserve"> </w:t>
            </w:r>
            <w:r w:rsidRPr="00213EA6">
              <w:rPr>
                <w:sz w:val="20"/>
                <w:szCs w:val="20"/>
              </w:rPr>
              <w:t>tym</w:t>
            </w:r>
            <w:r w:rsidR="00D0407A">
              <w:rPr>
                <w:sz w:val="20"/>
                <w:szCs w:val="20"/>
              </w:rPr>
              <w:t xml:space="preserve"> </w:t>
            </w:r>
            <w:r w:rsidRPr="00213EA6">
              <w:rPr>
                <w:sz w:val="20"/>
                <w:szCs w:val="20"/>
              </w:rPr>
              <w:t>opcjonalnie</w:t>
            </w:r>
            <w:r w:rsidR="00D0407A">
              <w:rPr>
                <w:sz w:val="20"/>
                <w:szCs w:val="20"/>
              </w:rPr>
              <w:t xml:space="preserve"> </w:t>
            </w:r>
            <w:r w:rsidRPr="00213EA6">
              <w:rPr>
                <w:sz w:val="20"/>
                <w:szCs w:val="20"/>
              </w:rPr>
              <w:t>badanie</w:t>
            </w:r>
            <w:r w:rsidR="00D0407A">
              <w:rPr>
                <w:sz w:val="20"/>
                <w:szCs w:val="20"/>
              </w:rPr>
              <w:t xml:space="preserve"> </w:t>
            </w:r>
            <w:r w:rsidRPr="00213EA6">
              <w:rPr>
                <w:sz w:val="20"/>
                <w:szCs w:val="20"/>
              </w:rPr>
              <w:t>dermatologiczne)</w:t>
            </w:r>
            <w:r w:rsidR="00D0407A">
              <w:rPr>
                <w:sz w:val="20"/>
                <w:szCs w:val="20"/>
              </w:rPr>
              <w:t xml:space="preserve"> </w:t>
            </w:r>
          </w:p>
          <w:p w14:paraId="37691FBD" w14:textId="04B378FC"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morfologia</w:t>
            </w:r>
            <w:r w:rsidR="00D0407A">
              <w:rPr>
                <w:sz w:val="20"/>
                <w:szCs w:val="20"/>
              </w:rPr>
              <w:t xml:space="preserve"> </w:t>
            </w:r>
            <w:r w:rsidRPr="00213EA6">
              <w:rPr>
                <w:sz w:val="20"/>
                <w:szCs w:val="20"/>
              </w:rPr>
              <w:t>krwi</w:t>
            </w:r>
            <w:r w:rsidR="00D0407A">
              <w:rPr>
                <w:sz w:val="20"/>
                <w:szCs w:val="20"/>
              </w:rPr>
              <w:t xml:space="preserve"> </w:t>
            </w:r>
            <w:r w:rsidRPr="00213EA6">
              <w:rPr>
                <w:sz w:val="20"/>
                <w:szCs w:val="20"/>
              </w:rPr>
              <w:t>z</w:t>
            </w:r>
            <w:r w:rsidR="00D0407A">
              <w:rPr>
                <w:sz w:val="20"/>
                <w:szCs w:val="20"/>
              </w:rPr>
              <w:t xml:space="preserve"> </w:t>
            </w:r>
            <w:r w:rsidRPr="00213EA6">
              <w:rPr>
                <w:sz w:val="20"/>
                <w:szCs w:val="20"/>
              </w:rPr>
              <w:t>rozmazem;</w:t>
            </w:r>
            <w:r w:rsidR="00D0407A">
              <w:rPr>
                <w:sz w:val="20"/>
                <w:szCs w:val="20"/>
              </w:rPr>
              <w:t xml:space="preserve"> </w:t>
            </w:r>
          </w:p>
          <w:p w14:paraId="56F35C77" w14:textId="73EBA118"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aktywnoś</w:t>
            </w:r>
            <w:r w:rsidR="00DA696E">
              <w:rPr>
                <w:sz w:val="20"/>
                <w:szCs w:val="20"/>
              </w:rPr>
              <w:t>ć</w:t>
            </w:r>
            <w:r w:rsidR="00D0407A">
              <w:rPr>
                <w:sz w:val="20"/>
                <w:szCs w:val="20"/>
              </w:rPr>
              <w:t xml:space="preserve"> </w:t>
            </w:r>
            <w:r w:rsidRPr="00213EA6">
              <w:rPr>
                <w:sz w:val="20"/>
                <w:szCs w:val="20"/>
              </w:rPr>
              <w:t>aminotransferaz</w:t>
            </w:r>
            <w:r w:rsidR="00D0407A">
              <w:rPr>
                <w:sz w:val="20"/>
                <w:szCs w:val="20"/>
              </w:rPr>
              <w:t xml:space="preserve"> </w:t>
            </w:r>
            <w:r w:rsidRPr="00213EA6">
              <w:rPr>
                <w:sz w:val="20"/>
                <w:szCs w:val="20"/>
              </w:rPr>
              <w:t>(AspAT,</w:t>
            </w:r>
            <w:r w:rsidR="00D0407A">
              <w:rPr>
                <w:sz w:val="20"/>
                <w:szCs w:val="20"/>
              </w:rPr>
              <w:t xml:space="preserve"> </w:t>
            </w:r>
            <w:r w:rsidRPr="00213EA6">
              <w:rPr>
                <w:sz w:val="20"/>
                <w:szCs w:val="20"/>
              </w:rPr>
              <w:t>AlAT)</w:t>
            </w:r>
            <w:r w:rsidR="00D0407A">
              <w:rPr>
                <w:sz w:val="20"/>
                <w:szCs w:val="20"/>
              </w:rPr>
              <w:t xml:space="preserve"> </w:t>
            </w:r>
            <w:r w:rsidRPr="00213EA6">
              <w:rPr>
                <w:sz w:val="20"/>
                <w:szCs w:val="20"/>
              </w:rPr>
              <w:t>oraz</w:t>
            </w:r>
            <w:r w:rsidR="00D0407A">
              <w:rPr>
                <w:sz w:val="20"/>
                <w:szCs w:val="20"/>
              </w:rPr>
              <w:t xml:space="preserve"> </w:t>
            </w:r>
            <w:r w:rsidRPr="00213EA6">
              <w:rPr>
                <w:sz w:val="20"/>
                <w:szCs w:val="20"/>
              </w:rPr>
              <w:t>stężenie</w:t>
            </w:r>
            <w:r w:rsidR="00D0407A">
              <w:rPr>
                <w:sz w:val="20"/>
                <w:szCs w:val="20"/>
              </w:rPr>
              <w:t xml:space="preserve"> </w:t>
            </w:r>
            <w:r w:rsidRPr="00213EA6">
              <w:rPr>
                <w:sz w:val="20"/>
                <w:szCs w:val="20"/>
              </w:rPr>
              <w:t>bilirubiny</w:t>
            </w:r>
            <w:r w:rsidR="00D0407A">
              <w:rPr>
                <w:sz w:val="20"/>
                <w:szCs w:val="20"/>
              </w:rPr>
              <w:t xml:space="preserve"> </w:t>
            </w:r>
            <w:r w:rsidRPr="00213EA6">
              <w:rPr>
                <w:sz w:val="20"/>
                <w:szCs w:val="20"/>
              </w:rPr>
              <w:t>całkowitej;</w:t>
            </w:r>
            <w:r w:rsidR="00D0407A">
              <w:rPr>
                <w:sz w:val="20"/>
                <w:szCs w:val="20"/>
              </w:rPr>
              <w:t xml:space="preserve"> </w:t>
            </w:r>
          </w:p>
          <w:p w14:paraId="512F3405" w14:textId="62F7A21B"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stężenie</w:t>
            </w:r>
            <w:r w:rsidR="00D0407A">
              <w:rPr>
                <w:sz w:val="20"/>
                <w:szCs w:val="20"/>
              </w:rPr>
              <w:t xml:space="preserve"> </w:t>
            </w:r>
            <w:r w:rsidRPr="00213EA6">
              <w:rPr>
                <w:sz w:val="20"/>
                <w:szCs w:val="20"/>
              </w:rPr>
              <w:t>kreatyniny;</w:t>
            </w:r>
            <w:r w:rsidR="00D0407A">
              <w:rPr>
                <w:sz w:val="20"/>
                <w:szCs w:val="20"/>
              </w:rPr>
              <w:t xml:space="preserve"> </w:t>
            </w:r>
          </w:p>
          <w:p w14:paraId="1AEB8826" w14:textId="2871AC63"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określenie</w:t>
            </w:r>
            <w:r w:rsidR="00D0407A">
              <w:rPr>
                <w:sz w:val="20"/>
                <w:szCs w:val="20"/>
              </w:rPr>
              <w:t xml:space="preserve"> </w:t>
            </w:r>
            <w:r w:rsidRPr="00213EA6">
              <w:rPr>
                <w:sz w:val="20"/>
                <w:szCs w:val="20"/>
              </w:rPr>
              <w:t>TNMB</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mSWAT</w:t>
            </w:r>
          </w:p>
          <w:p w14:paraId="58D2D599" w14:textId="53E2A606"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tomografia</w:t>
            </w:r>
            <w:r w:rsidR="00D0407A">
              <w:rPr>
                <w:sz w:val="20"/>
                <w:szCs w:val="20"/>
              </w:rPr>
              <w:t xml:space="preserve"> </w:t>
            </w:r>
            <w:r w:rsidRPr="00213EA6">
              <w:rPr>
                <w:sz w:val="20"/>
                <w:szCs w:val="20"/>
              </w:rPr>
              <w:t>komputerowa</w:t>
            </w:r>
            <w:r w:rsidR="00D0407A">
              <w:rPr>
                <w:sz w:val="20"/>
                <w:szCs w:val="20"/>
              </w:rPr>
              <w:t xml:space="preserve"> </w:t>
            </w:r>
            <w:r w:rsidRPr="00213EA6">
              <w:rPr>
                <w:sz w:val="20"/>
                <w:szCs w:val="20"/>
              </w:rPr>
              <w:t>(TK)</w:t>
            </w:r>
            <w:r w:rsidR="00D0407A">
              <w:rPr>
                <w:sz w:val="20"/>
                <w:szCs w:val="20"/>
              </w:rPr>
              <w:t xml:space="preserve"> </w:t>
            </w:r>
            <w:r w:rsidRPr="00213EA6">
              <w:rPr>
                <w:sz w:val="20"/>
                <w:szCs w:val="20"/>
              </w:rPr>
              <w:t>klatki</w:t>
            </w:r>
            <w:r w:rsidR="00D0407A">
              <w:rPr>
                <w:sz w:val="20"/>
                <w:szCs w:val="20"/>
              </w:rPr>
              <w:t xml:space="preserve"> </w:t>
            </w:r>
            <w:r w:rsidRPr="00213EA6">
              <w:rPr>
                <w:sz w:val="20"/>
                <w:szCs w:val="20"/>
              </w:rPr>
              <w:t>piersiowej</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jamy</w:t>
            </w:r>
            <w:r w:rsidR="00D0407A">
              <w:rPr>
                <w:sz w:val="20"/>
                <w:szCs w:val="20"/>
              </w:rPr>
              <w:t xml:space="preserve"> </w:t>
            </w:r>
            <w:r w:rsidRPr="00213EA6">
              <w:rPr>
                <w:sz w:val="20"/>
                <w:szCs w:val="20"/>
              </w:rPr>
              <w:t>brzusznej</w:t>
            </w:r>
            <w:r w:rsidR="00D0407A">
              <w:rPr>
                <w:sz w:val="20"/>
                <w:szCs w:val="20"/>
              </w:rPr>
              <w:t xml:space="preserve"> </w:t>
            </w:r>
            <w:r w:rsidRPr="00213EA6">
              <w:rPr>
                <w:sz w:val="20"/>
                <w:szCs w:val="20"/>
              </w:rPr>
              <w:t>lub</w:t>
            </w:r>
            <w:r w:rsidR="00D0407A">
              <w:rPr>
                <w:sz w:val="20"/>
                <w:szCs w:val="20"/>
              </w:rPr>
              <w:t xml:space="preserve"> </w:t>
            </w:r>
            <w:r w:rsidRPr="00213EA6">
              <w:rPr>
                <w:sz w:val="20"/>
                <w:szCs w:val="20"/>
              </w:rPr>
              <w:t>rtg</w:t>
            </w:r>
            <w:r w:rsidR="00D0407A">
              <w:rPr>
                <w:sz w:val="20"/>
                <w:szCs w:val="20"/>
              </w:rPr>
              <w:t xml:space="preserve"> </w:t>
            </w:r>
            <w:r w:rsidRPr="00213EA6">
              <w:rPr>
                <w:sz w:val="20"/>
                <w:szCs w:val="20"/>
              </w:rPr>
              <w:t>klatki</w:t>
            </w:r>
            <w:r w:rsidR="00D0407A">
              <w:rPr>
                <w:sz w:val="20"/>
                <w:szCs w:val="20"/>
              </w:rPr>
              <w:t xml:space="preserve"> </w:t>
            </w:r>
            <w:r w:rsidRPr="00213EA6">
              <w:rPr>
                <w:sz w:val="20"/>
                <w:szCs w:val="20"/>
              </w:rPr>
              <w:t>piersiowej</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usg</w:t>
            </w:r>
            <w:r w:rsidR="00D0407A">
              <w:rPr>
                <w:sz w:val="20"/>
                <w:szCs w:val="20"/>
              </w:rPr>
              <w:t xml:space="preserve"> </w:t>
            </w:r>
            <w:r w:rsidRPr="00213EA6">
              <w:rPr>
                <w:sz w:val="20"/>
                <w:szCs w:val="20"/>
              </w:rPr>
              <w:t>jamy</w:t>
            </w:r>
            <w:r w:rsidR="00D0407A">
              <w:rPr>
                <w:sz w:val="20"/>
                <w:szCs w:val="20"/>
              </w:rPr>
              <w:t xml:space="preserve"> </w:t>
            </w:r>
            <w:r w:rsidRPr="00213EA6">
              <w:rPr>
                <w:sz w:val="20"/>
                <w:szCs w:val="20"/>
              </w:rPr>
              <w:t>brzusznej</w:t>
            </w:r>
          </w:p>
          <w:p w14:paraId="2B592679" w14:textId="17FB6680"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udokumentowanie</w:t>
            </w:r>
            <w:r w:rsidR="00D0407A">
              <w:rPr>
                <w:sz w:val="20"/>
                <w:szCs w:val="20"/>
              </w:rPr>
              <w:t xml:space="preserve"> </w:t>
            </w:r>
            <w:r w:rsidRPr="00213EA6">
              <w:rPr>
                <w:sz w:val="20"/>
                <w:szCs w:val="20"/>
              </w:rPr>
              <w:t>obecności</w:t>
            </w:r>
            <w:r w:rsidR="00D0407A">
              <w:rPr>
                <w:sz w:val="20"/>
                <w:szCs w:val="20"/>
              </w:rPr>
              <w:t xml:space="preserve"> </w:t>
            </w:r>
            <w:r w:rsidRPr="00213EA6">
              <w:rPr>
                <w:sz w:val="20"/>
                <w:szCs w:val="20"/>
              </w:rPr>
              <w:t>antygenu</w:t>
            </w:r>
            <w:r w:rsidR="00D0407A">
              <w:rPr>
                <w:sz w:val="20"/>
                <w:szCs w:val="20"/>
              </w:rPr>
              <w:t xml:space="preserve"> </w:t>
            </w:r>
            <w:r w:rsidRPr="00213EA6">
              <w:rPr>
                <w:sz w:val="20"/>
                <w:szCs w:val="20"/>
              </w:rPr>
              <w:t>CD30+</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tkance</w:t>
            </w:r>
            <w:r w:rsidR="00D0407A">
              <w:rPr>
                <w:sz w:val="20"/>
                <w:szCs w:val="20"/>
              </w:rPr>
              <w:t xml:space="preserve"> </w:t>
            </w:r>
            <w:r w:rsidRPr="00213EA6">
              <w:rPr>
                <w:sz w:val="20"/>
                <w:szCs w:val="20"/>
              </w:rPr>
              <w:t>chłoniaka</w:t>
            </w:r>
            <w:r w:rsidR="00D0407A">
              <w:rPr>
                <w:sz w:val="20"/>
                <w:szCs w:val="20"/>
              </w:rPr>
              <w:t xml:space="preserve"> </w:t>
            </w:r>
            <w:r w:rsidRPr="00213EA6">
              <w:rPr>
                <w:sz w:val="20"/>
                <w:szCs w:val="20"/>
              </w:rPr>
              <w:t>badaniem</w:t>
            </w:r>
            <w:r w:rsidR="00D0407A">
              <w:rPr>
                <w:sz w:val="20"/>
                <w:szCs w:val="20"/>
              </w:rPr>
              <w:t xml:space="preserve"> </w:t>
            </w:r>
            <w:r w:rsidRPr="00213EA6">
              <w:rPr>
                <w:sz w:val="20"/>
                <w:szCs w:val="20"/>
              </w:rPr>
              <w:t>immunohistochemicznym;</w:t>
            </w:r>
          </w:p>
          <w:p w14:paraId="1625CC46" w14:textId="26A26A56"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wykluczenie</w:t>
            </w:r>
            <w:r w:rsidR="00D0407A">
              <w:rPr>
                <w:sz w:val="20"/>
                <w:szCs w:val="20"/>
              </w:rPr>
              <w:t xml:space="preserve"> </w:t>
            </w:r>
            <w:r w:rsidRPr="00213EA6">
              <w:rPr>
                <w:sz w:val="20"/>
                <w:szCs w:val="20"/>
              </w:rPr>
              <w:t>ciąży</w:t>
            </w:r>
            <w:r w:rsidR="00D0407A">
              <w:rPr>
                <w:sz w:val="20"/>
                <w:szCs w:val="20"/>
              </w:rPr>
              <w:t xml:space="preserve"> </w:t>
            </w:r>
            <w:r w:rsidRPr="00213EA6">
              <w:rPr>
                <w:sz w:val="20"/>
                <w:szCs w:val="20"/>
              </w:rPr>
              <w:t>-</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przypadku</w:t>
            </w:r>
            <w:r w:rsidR="00D0407A">
              <w:rPr>
                <w:sz w:val="20"/>
                <w:szCs w:val="20"/>
              </w:rPr>
              <w:t xml:space="preserve"> </w:t>
            </w:r>
            <w:r w:rsidRPr="00213EA6">
              <w:rPr>
                <w:sz w:val="20"/>
                <w:szCs w:val="20"/>
              </w:rPr>
              <w:t>kobiet</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wieku</w:t>
            </w:r>
            <w:r w:rsidR="00D0407A">
              <w:rPr>
                <w:sz w:val="20"/>
                <w:szCs w:val="20"/>
              </w:rPr>
              <w:t xml:space="preserve"> </w:t>
            </w:r>
            <w:r w:rsidRPr="00213EA6">
              <w:rPr>
                <w:sz w:val="20"/>
                <w:szCs w:val="20"/>
              </w:rPr>
              <w:t>rozrodczym.</w:t>
            </w:r>
          </w:p>
          <w:p w14:paraId="61C34070" w14:textId="77777777" w:rsidR="009A657B" w:rsidRPr="00213EA6" w:rsidRDefault="009A657B" w:rsidP="007F5D21">
            <w:pPr>
              <w:spacing w:after="60"/>
              <w:jc w:val="both"/>
              <w:rPr>
                <w:sz w:val="20"/>
                <w:szCs w:val="20"/>
              </w:rPr>
            </w:pPr>
          </w:p>
          <w:p w14:paraId="1A8BE347" w14:textId="232EC3F8" w:rsidR="009A657B" w:rsidRPr="00213EA6" w:rsidRDefault="009A657B" w:rsidP="007F5D21">
            <w:pPr>
              <w:pStyle w:val="Akapitzlist"/>
              <w:numPr>
                <w:ilvl w:val="0"/>
                <w:numId w:val="33"/>
              </w:numPr>
              <w:spacing w:after="60"/>
              <w:contextualSpacing w:val="0"/>
              <w:jc w:val="both"/>
              <w:rPr>
                <w:b/>
                <w:sz w:val="20"/>
                <w:szCs w:val="20"/>
              </w:rPr>
            </w:pPr>
            <w:r w:rsidRPr="00213EA6">
              <w:rPr>
                <w:b/>
                <w:sz w:val="20"/>
                <w:szCs w:val="20"/>
              </w:rPr>
              <w:t>Monitorowanie</w:t>
            </w:r>
            <w:r w:rsidR="00D0407A">
              <w:rPr>
                <w:b/>
                <w:sz w:val="20"/>
                <w:szCs w:val="20"/>
              </w:rPr>
              <w:t xml:space="preserve"> </w:t>
            </w:r>
            <w:r w:rsidRPr="00213EA6">
              <w:rPr>
                <w:b/>
                <w:sz w:val="20"/>
                <w:szCs w:val="20"/>
              </w:rPr>
              <w:t>leczenia</w:t>
            </w:r>
          </w:p>
          <w:p w14:paraId="686036C6" w14:textId="7AAA83BE"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t>badania</w:t>
            </w:r>
            <w:r w:rsidR="00D0407A">
              <w:rPr>
                <w:sz w:val="20"/>
                <w:szCs w:val="20"/>
              </w:rPr>
              <w:t xml:space="preserve"> </w:t>
            </w:r>
            <w:r w:rsidRPr="00213EA6">
              <w:rPr>
                <w:sz w:val="20"/>
                <w:szCs w:val="20"/>
              </w:rPr>
              <w:t>wykonywane</w:t>
            </w:r>
            <w:r w:rsidR="00D0407A">
              <w:rPr>
                <w:sz w:val="20"/>
                <w:szCs w:val="20"/>
              </w:rPr>
              <w:t xml:space="preserve"> </w:t>
            </w:r>
            <w:r w:rsidRPr="00213EA6">
              <w:rPr>
                <w:sz w:val="20"/>
                <w:szCs w:val="20"/>
              </w:rPr>
              <w:t>przed</w:t>
            </w:r>
            <w:r w:rsidR="00D0407A">
              <w:rPr>
                <w:sz w:val="20"/>
                <w:szCs w:val="20"/>
              </w:rPr>
              <w:t xml:space="preserve"> </w:t>
            </w:r>
            <w:r w:rsidRPr="00213EA6">
              <w:rPr>
                <w:sz w:val="20"/>
                <w:szCs w:val="20"/>
              </w:rPr>
              <w:t>każdym</w:t>
            </w:r>
            <w:r w:rsidR="00D0407A">
              <w:rPr>
                <w:sz w:val="20"/>
                <w:szCs w:val="20"/>
              </w:rPr>
              <w:t xml:space="preserve"> </w:t>
            </w:r>
            <w:r w:rsidRPr="00213EA6">
              <w:rPr>
                <w:sz w:val="20"/>
                <w:szCs w:val="20"/>
              </w:rPr>
              <w:t>podaniem</w:t>
            </w:r>
            <w:r w:rsidR="00D0407A">
              <w:rPr>
                <w:sz w:val="20"/>
                <w:szCs w:val="20"/>
              </w:rPr>
              <w:t xml:space="preserve"> </w:t>
            </w:r>
            <w:r w:rsidRPr="00213EA6">
              <w:rPr>
                <w:sz w:val="20"/>
                <w:szCs w:val="20"/>
              </w:rPr>
              <w:t>leku:</w:t>
            </w:r>
            <w:r w:rsidR="00D0407A">
              <w:rPr>
                <w:sz w:val="20"/>
                <w:szCs w:val="20"/>
              </w:rPr>
              <w:t xml:space="preserve"> </w:t>
            </w:r>
          </w:p>
          <w:p w14:paraId="4E224244" w14:textId="2E60A781" w:rsidR="009A657B" w:rsidRPr="00213EA6" w:rsidRDefault="009A657B" w:rsidP="007F5D21">
            <w:pPr>
              <w:pStyle w:val="Akapitzlist"/>
              <w:numPr>
                <w:ilvl w:val="3"/>
                <w:numId w:val="33"/>
              </w:numPr>
              <w:spacing w:after="60"/>
              <w:contextualSpacing w:val="0"/>
              <w:jc w:val="both"/>
              <w:rPr>
                <w:sz w:val="20"/>
                <w:szCs w:val="20"/>
              </w:rPr>
            </w:pPr>
            <w:r w:rsidRPr="00213EA6">
              <w:rPr>
                <w:sz w:val="20"/>
                <w:szCs w:val="20"/>
              </w:rPr>
              <w:t>badanie</w:t>
            </w:r>
            <w:r w:rsidR="00D0407A">
              <w:rPr>
                <w:sz w:val="20"/>
                <w:szCs w:val="20"/>
              </w:rPr>
              <w:t xml:space="preserve"> </w:t>
            </w:r>
            <w:r w:rsidRPr="00213EA6">
              <w:rPr>
                <w:sz w:val="20"/>
                <w:szCs w:val="20"/>
              </w:rPr>
              <w:t>podmiotowe</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przedmiotowe</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tym</w:t>
            </w:r>
            <w:r w:rsidR="00D0407A">
              <w:rPr>
                <w:sz w:val="20"/>
                <w:szCs w:val="20"/>
              </w:rPr>
              <w:t xml:space="preserve"> </w:t>
            </w:r>
            <w:r w:rsidRPr="00213EA6">
              <w:rPr>
                <w:sz w:val="20"/>
                <w:szCs w:val="20"/>
              </w:rPr>
              <w:t>opcjonalnie</w:t>
            </w:r>
            <w:r w:rsidR="00D0407A">
              <w:rPr>
                <w:sz w:val="20"/>
                <w:szCs w:val="20"/>
              </w:rPr>
              <w:t xml:space="preserve"> </w:t>
            </w:r>
            <w:r w:rsidRPr="00213EA6">
              <w:rPr>
                <w:sz w:val="20"/>
                <w:szCs w:val="20"/>
              </w:rPr>
              <w:t>badanie</w:t>
            </w:r>
            <w:r w:rsidR="00D0407A">
              <w:rPr>
                <w:sz w:val="20"/>
                <w:szCs w:val="20"/>
              </w:rPr>
              <w:t xml:space="preserve"> </w:t>
            </w:r>
            <w:r w:rsidRPr="00213EA6">
              <w:rPr>
                <w:sz w:val="20"/>
                <w:szCs w:val="20"/>
              </w:rPr>
              <w:t>dermatologiczne)</w:t>
            </w:r>
          </w:p>
          <w:p w14:paraId="1354F99B" w14:textId="19F34F28" w:rsidR="009A657B" w:rsidRPr="00213EA6" w:rsidRDefault="009A657B" w:rsidP="007F5D21">
            <w:pPr>
              <w:pStyle w:val="Akapitzlist"/>
              <w:numPr>
                <w:ilvl w:val="3"/>
                <w:numId w:val="33"/>
              </w:numPr>
              <w:spacing w:after="60"/>
              <w:contextualSpacing w:val="0"/>
              <w:jc w:val="both"/>
              <w:rPr>
                <w:sz w:val="20"/>
                <w:szCs w:val="20"/>
              </w:rPr>
            </w:pPr>
            <w:r w:rsidRPr="00213EA6">
              <w:rPr>
                <w:sz w:val="20"/>
                <w:szCs w:val="20"/>
              </w:rPr>
              <w:t>morfologia</w:t>
            </w:r>
            <w:r w:rsidR="00D0407A">
              <w:rPr>
                <w:sz w:val="20"/>
                <w:szCs w:val="20"/>
              </w:rPr>
              <w:t xml:space="preserve"> </w:t>
            </w:r>
            <w:r w:rsidRPr="00213EA6">
              <w:rPr>
                <w:sz w:val="20"/>
                <w:szCs w:val="20"/>
              </w:rPr>
              <w:t>krwi</w:t>
            </w:r>
            <w:r w:rsidR="00D0407A">
              <w:rPr>
                <w:sz w:val="20"/>
                <w:szCs w:val="20"/>
              </w:rPr>
              <w:t xml:space="preserve"> </w:t>
            </w:r>
            <w:r w:rsidRPr="00213EA6">
              <w:rPr>
                <w:sz w:val="20"/>
                <w:szCs w:val="20"/>
              </w:rPr>
              <w:t>z</w:t>
            </w:r>
            <w:r w:rsidR="00D0407A">
              <w:rPr>
                <w:sz w:val="20"/>
                <w:szCs w:val="20"/>
              </w:rPr>
              <w:t xml:space="preserve"> </w:t>
            </w:r>
            <w:r w:rsidRPr="00213EA6">
              <w:rPr>
                <w:sz w:val="20"/>
                <w:szCs w:val="20"/>
              </w:rPr>
              <w:t>rozmazem;</w:t>
            </w:r>
            <w:r w:rsidR="00D0407A">
              <w:rPr>
                <w:sz w:val="20"/>
                <w:szCs w:val="20"/>
              </w:rPr>
              <w:t xml:space="preserve"> </w:t>
            </w:r>
          </w:p>
          <w:p w14:paraId="3DF86D0D" w14:textId="45C844AD" w:rsidR="009A657B" w:rsidRPr="00213EA6" w:rsidRDefault="009A657B" w:rsidP="007F5D21">
            <w:pPr>
              <w:pStyle w:val="Akapitzlist"/>
              <w:numPr>
                <w:ilvl w:val="3"/>
                <w:numId w:val="33"/>
              </w:numPr>
              <w:spacing w:after="60"/>
              <w:contextualSpacing w:val="0"/>
              <w:jc w:val="both"/>
              <w:rPr>
                <w:sz w:val="20"/>
                <w:szCs w:val="20"/>
              </w:rPr>
            </w:pPr>
            <w:r w:rsidRPr="00213EA6">
              <w:rPr>
                <w:sz w:val="20"/>
                <w:szCs w:val="20"/>
              </w:rPr>
              <w:t>stężenie</w:t>
            </w:r>
            <w:r w:rsidR="00D0407A">
              <w:rPr>
                <w:sz w:val="20"/>
                <w:szCs w:val="20"/>
              </w:rPr>
              <w:t xml:space="preserve"> </w:t>
            </w:r>
            <w:r w:rsidRPr="00213EA6">
              <w:rPr>
                <w:sz w:val="20"/>
                <w:szCs w:val="20"/>
              </w:rPr>
              <w:t>kreatyniny;</w:t>
            </w:r>
            <w:r w:rsidR="00D0407A">
              <w:rPr>
                <w:sz w:val="20"/>
                <w:szCs w:val="20"/>
              </w:rPr>
              <w:t xml:space="preserve"> </w:t>
            </w:r>
          </w:p>
          <w:p w14:paraId="7E7C58F8" w14:textId="1B33835E" w:rsidR="009A657B" w:rsidRPr="00213EA6" w:rsidRDefault="009A657B" w:rsidP="007F5D21">
            <w:pPr>
              <w:pStyle w:val="Akapitzlist"/>
              <w:numPr>
                <w:ilvl w:val="3"/>
                <w:numId w:val="33"/>
              </w:numPr>
              <w:spacing w:after="60"/>
              <w:contextualSpacing w:val="0"/>
              <w:jc w:val="both"/>
              <w:rPr>
                <w:sz w:val="20"/>
                <w:szCs w:val="20"/>
              </w:rPr>
            </w:pPr>
            <w:r w:rsidRPr="00213EA6">
              <w:rPr>
                <w:sz w:val="20"/>
                <w:szCs w:val="20"/>
              </w:rPr>
              <w:t>aktywnoś</w:t>
            </w:r>
            <w:r w:rsidR="00DA696E">
              <w:rPr>
                <w:sz w:val="20"/>
                <w:szCs w:val="20"/>
              </w:rPr>
              <w:t>ć</w:t>
            </w:r>
            <w:r w:rsidR="00D0407A">
              <w:rPr>
                <w:sz w:val="20"/>
                <w:szCs w:val="20"/>
              </w:rPr>
              <w:t xml:space="preserve"> </w:t>
            </w:r>
            <w:r w:rsidRPr="00213EA6">
              <w:rPr>
                <w:sz w:val="20"/>
                <w:szCs w:val="20"/>
              </w:rPr>
              <w:t>aminotransferaz</w:t>
            </w:r>
            <w:r w:rsidR="00D0407A">
              <w:rPr>
                <w:sz w:val="20"/>
                <w:szCs w:val="20"/>
              </w:rPr>
              <w:t xml:space="preserve"> </w:t>
            </w:r>
            <w:r w:rsidRPr="00213EA6">
              <w:rPr>
                <w:sz w:val="20"/>
                <w:szCs w:val="20"/>
              </w:rPr>
              <w:t>(AspAT,</w:t>
            </w:r>
            <w:r w:rsidR="00D0407A">
              <w:rPr>
                <w:sz w:val="20"/>
                <w:szCs w:val="20"/>
              </w:rPr>
              <w:t xml:space="preserve"> </w:t>
            </w:r>
            <w:r w:rsidRPr="00213EA6">
              <w:rPr>
                <w:sz w:val="20"/>
                <w:szCs w:val="20"/>
              </w:rPr>
              <w:t>AlAT),</w:t>
            </w:r>
            <w:r w:rsidR="00D0407A">
              <w:rPr>
                <w:sz w:val="20"/>
                <w:szCs w:val="20"/>
              </w:rPr>
              <w:t xml:space="preserve"> </w:t>
            </w:r>
            <w:r w:rsidRPr="00213EA6">
              <w:rPr>
                <w:sz w:val="20"/>
                <w:szCs w:val="20"/>
              </w:rPr>
              <w:t>stężenie</w:t>
            </w:r>
            <w:r w:rsidR="00D0407A">
              <w:rPr>
                <w:sz w:val="20"/>
                <w:szCs w:val="20"/>
              </w:rPr>
              <w:t xml:space="preserve"> </w:t>
            </w:r>
            <w:r w:rsidRPr="00213EA6">
              <w:rPr>
                <w:sz w:val="20"/>
                <w:szCs w:val="20"/>
              </w:rPr>
              <w:t>bilirubiny</w:t>
            </w:r>
            <w:r w:rsidR="00D0407A">
              <w:rPr>
                <w:sz w:val="20"/>
                <w:szCs w:val="20"/>
              </w:rPr>
              <w:t xml:space="preserve"> </w:t>
            </w:r>
            <w:r w:rsidRPr="00213EA6">
              <w:rPr>
                <w:sz w:val="20"/>
                <w:szCs w:val="20"/>
              </w:rPr>
              <w:t>całkowitej</w:t>
            </w:r>
            <w:r w:rsidR="00D0407A">
              <w:rPr>
                <w:sz w:val="20"/>
                <w:szCs w:val="20"/>
              </w:rPr>
              <w:t xml:space="preserve"> </w:t>
            </w:r>
          </w:p>
          <w:p w14:paraId="036E2CB7" w14:textId="1CCE9A98" w:rsidR="009A657B" w:rsidRPr="00213EA6" w:rsidRDefault="009A657B" w:rsidP="007F5D21">
            <w:pPr>
              <w:pStyle w:val="Akapitzlist"/>
              <w:keepNext/>
              <w:keepLines/>
              <w:numPr>
                <w:ilvl w:val="2"/>
                <w:numId w:val="33"/>
              </w:numPr>
              <w:spacing w:after="60"/>
              <w:contextualSpacing w:val="0"/>
              <w:jc w:val="both"/>
              <w:rPr>
                <w:sz w:val="20"/>
                <w:szCs w:val="20"/>
              </w:rPr>
            </w:pPr>
            <w:r w:rsidRPr="00213EA6">
              <w:rPr>
                <w:sz w:val="20"/>
                <w:szCs w:val="20"/>
              </w:rPr>
              <w:t>raz</w:t>
            </w:r>
            <w:r w:rsidR="00D0407A">
              <w:rPr>
                <w:sz w:val="20"/>
                <w:szCs w:val="20"/>
              </w:rPr>
              <w:t xml:space="preserve"> </w:t>
            </w:r>
            <w:r w:rsidRPr="00213EA6">
              <w:rPr>
                <w:sz w:val="20"/>
                <w:szCs w:val="20"/>
              </w:rPr>
              <w:t>na</w:t>
            </w:r>
            <w:r w:rsidR="00D0407A">
              <w:rPr>
                <w:sz w:val="20"/>
                <w:szCs w:val="20"/>
              </w:rPr>
              <w:t xml:space="preserve"> </w:t>
            </w:r>
            <w:r w:rsidRPr="00213EA6">
              <w:rPr>
                <w:sz w:val="20"/>
                <w:szCs w:val="20"/>
              </w:rPr>
              <w:t>dwa</w:t>
            </w:r>
            <w:r w:rsidR="00D0407A">
              <w:rPr>
                <w:sz w:val="20"/>
                <w:szCs w:val="20"/>
              </w:rPr>
              <w:t xml:space="preserve"> </w:t>
            </w:r>
            <w:r w:rsidRPr="00213EA6">
              <w:rPr>
                <w:sz w:val="20"/>
                <w:szCs w:val="20"/>
              </w:rPr>
              <w:t>miesiące</w:t>
            </w:r>
            <w:r w:rsidR="00D0407A">
              <w:rPr>
                <w:sz w:val="20"/>
                <w:szCs w:val="20"/>
              </w:rPr>
              <w:t xml:space="preserve"> </w:t>
            </w:r>
            <w:r w:rsidRPr="00213EA6">
              <w:rPr>
                <w:sz w:val="20"/>
                <w:szCs w:val="20"/>
              </w:rPr>
              <w:t>należy</w:t>
            </w:r>
            <w:r w:rsidR="00D0407A">
              <w:rPr>
                <w:sz w:val="20"/>
                <w:szCs w:val="20"/>
              </w:rPr>
              <w:t xml:space="preserve"> </w:t>
            </w:r>
            <w:r w:rsidRPr="00213EA6">
              <w:rPr>
                <w:sz w:val="20"/>
                <w:szCs w:val="20"/>
              </w:rPr>
              <w:t>wypełnić</w:t>
            </w:r>
            <w:r w:rsidR="00D0407A">
              <w:rPr>
                <w:sz w:val="20"/>
                <w:szCs w:val="20"/>
              </w:rPr>
              <w:t xml:space="preserve"> </w:t>
            </w:r>
            <w:r w:rsidRPr="00213EA6">
              <w:rPr>
                <w:sz w:val="20"/>
                <w:szCs w:val="20"/>
              </w:rPr>
              <w:t>skalę</w:t>
            </w:r>
            <w:r w:rsidR="00D0407A">
              <w:rPr>
                <w:sz w:val="20"/>
                <w:szCs w:val="20"/>
              </w:rPr>
              <w:t xml:space="preserve"> </w:t>
            </w:r>
            <w:r w:rsidRPr="00213EA6">
              <w:rPr>
                <w:sz w:val="20"/>
                <w:szCs w:val="20"/>
              </w:rPr>
              <w:t>mSWAT;</w:t>
            </w:r>
          </w:p>
          <w:p w14:paraId="34B61D75" w14:textId="4EAEF993" w:rsidR="009A657B" w:rsidRPr="00213EA6" w:rsidRDefault="009A657B" w:rsidP="007F5D21">
            <w:pPr>
              <w:pStyle w:val="Akapitzlist"/>
              <w:numPr>
                <w:ilvl w:val="2"/>
                <w:numId w:val="33"/>
              </w:numPr>
              <w:spacing w:after="60"/>
              <w:contextualSpacing w:val="0"/>
              <w:jc w:val="both"/>
              <w:rPr>
                <w:sz w:val="20"/>
                <w:szCs w:val="20"/>
              </w:rPr>
            </w:pPr>
            <w:r w:rsidRPr="00213EA6">
              <w:rPr>
                <w:sz w:val="20"/>
                <w:szCs w:val="20"/>
              </w:rPr>
              <w:lastRenderedPageBreak/>
              <w:t>wykonanie</w:t>
            </w:r>
            <w:r w:rsidR="00D0407A">
              <w:rPr>
                <w:sz w:val="20"/>
                <w:szCs w:val="20"/>
              </w:rPr>
              <w:t xml:space="preserve"> </w:t>
            </w:r>
            <w:r w:rsidRPr="00213EA6">
              <w:rPr>
                <w:sz w:val="20"/>
                <w:szCs w:val="20"/>
              </w:rPr>
              <w:t>badań</w:t>
            </w:r>
            <w:r w:rsidR="00D0407A">
              <w:rPr>
                <w:sz w:val="20"/>
                <w:szCs w:val="20"/>
              </w:rPr>
              <w:t xml:space="preserve"> </w:t>
            </w:r>
            <w:r w:rsidRPr="00213EA6">
              <w:rPr>
                <w:sz w:val="20"/>
                <w:szCs w:val="20"/>
              </w:rPr>
              <w:t>kontrolnych</w:t>
            </w:r>
            <w:r w:rsidR="00D0407A">
              <w:rPr>
                <w:sz w:val="20"/>
                <w:szCs w:val="20"/>
              </w:rPr>
              <w:t xml:space="preserve"> </w:t>
            </w:r>
            <w:r w:rsidRPr="00213EA6">
              <w:rPr>
                <w:sz w:val="20"/>
                <w:szCs w:val="20"/>
              </w:rPr>
              <w:t>obrazowych</w:t>
            </w:r>
            <w:r w:rsidR="00D0407A">
              <w:rPr>
                <w:sz w:val="20"/>
                <w:szCs w:val="20"/>
              </w:rPr>
              <w:t xml:space="preserve"> </w:t>
            </w:r>
            <w:r w:rsidRPr="00213EA6">
              <w:rPr>
                <w:sz w:val="20"/>
                <w:szCs w:val="20"/>
              </w:rPr>
              <w:t>-</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zależności</w:t>
            </w:r>
            <w:r w:rsidR="00D0407A">
              <w:rPr>
                <w:sz w:val="20"/>
                <w:szCs w:val="20"/>
              </w:rPr>
              <w:t xml:space="preserve"> </w:t>
            </w:r>
            <w:r w:rsidRPr="00213EA6">
              <w:rPr>
                <w:sz w:val="20"/>
                <w:szCs w:val="20"/>
              </w:rPr>
              <w:t>od</w:t>
            </w:r>
            <w:r w:rsidR="00D0407A">
              <w:rPr>
                <w:sz w:val="20"/>
                <w:szCs w:val="20"/>
              </w:rPr>
              <w:t xml:space="preserve"> </w:t>
            </w:r>
            <w:r w:rsidRPr="00213EA6">
              <w:rPr>
                <w:sz w:val="20"/>
                <w:szCs w:val="20"/>
              </w:rPr>
              <w:t>potrzeb</w:t>
            </w:r>
            <w:r w:rsidR="00D0407A">
              <w:rPr>
                <w:sz w:val="20"/>
                <w:szCs w:val="20"/>
              </w:rPr>
              <w:t xml:space="preserve"> </w:t>
            </w:r>
            <w:r w:rsidRPr="00213EA6">
              <w:rPr>
                <w:sz w:val="20"/>
                <w:szCs w:val="20"/>
              </w:rPr>
              <w:t>klinicznych.</w:t>
            </w:r>
            <w:r w:rsidR="00D0407A">
              <w:rPr>
                <w:sz w:val="20"/>
                <w:szCs w:val="20"/>
              </w:rPr>
              <w:t xml:space="preserve"> </w:t>
            </w:r>
          </w:p>
          <w:p w14:paraId="4994D517" w14:textId="77777777" w:rsidR="009A657B" w:rsidRPr="00213EA6" w:rsidRDefault="009A657B" w:rsidP="007F5D21">
            <w:pPr>
              <w:spacing w:after="60"/>
              <w:jc w:val="both"/>
              <w:rPr>
                <w:sz w:val="20"/>
                <w:szCs w:val="20"/>
              </w:rPr>
            </w:pPr>
          </w:p>
          <w:p w14:paraId="6DBFA70C" w14:textId="6F54323E" w:rsidR="009A657B" w:rsidRPr="00213EA6" w:rsidRDefault="009A657B" w:rsidP="007F5D21">
            <w:pPr>
              <w:keepNext/>
              <w:numPr>
                <w:ilvl w:val="0"/>
                <w:numId w:val="33"/>
              </w:numPr>
              <w:spacing w:after="60"/>
              <w:jc w:val="both"/>
              <w:rPr>
                <w:b/>
                <w:sz w:val="20"/>
                <w:szCs w:val="20"/>
              </w:rPr>
            </w:pPr>
            <w:r w:rsidRPr="00213EA6">
              <w:rPr>
                <w:b/>
                <w:sz w:val="20"/>
                <w:szCs w:val="20"/>
              </w:rPr>
              <w:t>Monitorowanie</w:t>
            </w:r>
            <w:r w:rsidR="00D0407A">
              <w:rPr>
                <w:b/>
                <w:sz w:val="20"/>
                <w:szCs w:val="20"/>
              </w:rPr>
              <w:t xml:space="preserve"> </w:t>
            </w:r>
            <w:r w:rsidRPr="00213EA6">
              <w:rPr>
                <w:b/>
                <w:sz w:val="20"/>
                <w:szCs w:val="20"/>
              </w:rPr>
              <w:t>programu</w:t>
            </w:r>
          </w:p>
          <w:p w14:paraId="63F18818" w14:textId="63858EF6" w:rsidR="009A657B" w:rsidRPr="00213EA6" w:rsidRDefault="009A657B" w:rsidP="007F5D21">
            <w:pPr>
              <w:numPr>
                <w:ilvl w:val="2"/>
                <w:numId w:val="33"/>
              </w:numPr>
              <w:spacing w:after="60"/>
              <w:jc w:val="both"/>
              <w:rPr>
                <w:sz w:val="20"/>
                <w:szCs w:val="20"/>
              </w:rPr>
            </w:pPr>
            <w:r w:rsidRPr="00213EA6">
              <w:rPr>
                <w:sz w:val="20"/>
                <w:szCs w:val="20"/>
              </w:rPr>
              <w:t>gromadzenie</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dokumentacji</w:t>
            </w:r>
            <w:r w:rsidR="00D0407A">
              <w:rPr>
                <w:sz w:val="20"/>
                <w:szCs w:val="20"/>
              </w:rPr>
              <w:t xml:space="preserve"> </w:t>
            </w:r>
            <w:r w:rsidRPr="00213EA6">
              <w:rPr>
                <w:sz w:val="20"/>
                <w:szCs w:val="20"/>
              </w:rPr>
              <w:t>medycznej</w:t>
            </w:r>
            <w:r w:rsidR="00D0407A">
              <w:rPr>
                <w:sz w:val="20"/>
                <w:szCs w:val="20"/>
              </w:rPr>
              <w:t xml:space="preserve"> </w:t>
            </w:r>
            <w:r w:rsidRPr="00213EA6">
              <w:rPr>
                <w:sz w:val="20"/>
                <w:szCs w:val="20"/>
              </w:rPr>
              <w:t>pacjenta</w:t>
            </w:r>
            <w:r w:rsidR="00D0407A">
              <w:rPr>
                <w:sz w:val="20"/>
                <w:szCs w:val="20"/>
              </w:rPr>
              <w:t xml:space="preserve"> </w:t>
            </w:r>
            <w:r w:rsidRPr="00213EA6">
              <w:rPr>
                <w:sz w:val="20"/>
                <w:szCs w:val="20"/>
              </w:rPr>
              <w:t>danych</w:t>
            </w:r>
            <w:r w:rsidR="00D0407A">
              <w:rPr>
                <w:sz w:val="20"/>
                <w:szCs w:val="20"/>
              </w:rPr>
              <w:t xml:space="preserve"> </w:t>
            </w:r>
            <w:r w:rsidRPr="00213EA6">
              <w:rPr>
                <w:sz w:val="20"/>
                <w:szCs w:val="20"/>
              </w:rPr>
              <w:t>dotyczących</w:t>
            </w:r>
            <w:r w:rsidR="00D0407A">
              <w:rPr>
                <w:sz w:val="20"/>
                <w:szCs w:val="20"/>
              </w:rPr>
              <w:t xml:space="preserve"> </w:t>
            </w:r>
            <w:r w:rsidRPr="00213EA6">
              <w:rPr>
                <w:sz w:val="20"/>
                <w:szCs w:val="20"/>
              </w:rPr>
              <w:t>monitorowania</w:t>
            </w:r>
            <w:r w:rsidR="00D0407A">
              <w:rPr>
                <w:sz w:val="20"/>
                <w:szCs w:val="20"/>
              </w:rPr>
              <w:t xml:space="preserve"> </w:t>
            </w:r>
            <w:r w:rsidRPr="00213EA6">
              <w:rPr>
                <w:sz w:val="20"/>
                <w:szCs w:val="20"/>
              </w:rPr>
              <w:t>leczenia</w:t>
            </w:r>
            <w:r w:rsidR="00D0407A">
              <w:rPr>
                <w:sz w:val="20"/>
                <w:szCs w:val="20"/>
              </w:rPr>
              <w:t xml:space="preserve"> </w:t>
            </w:r>
            <w:r w:rsidRPr="00213EA6">
              <w:rPr>
                <w:sz w:val="20"/>
                <w:szCs w:val="20"/>
              </w:rPr>
              <w:t>i</w:t>
            </w:r>
            <w:r w:rsidR="00D0407A">
              <w:rPr>
                <w:sz w:val="20"/>
                <w:szCs w:val="20"/>
              </w:rPr>
              <w:t xml:space="preserve"> </w:t>
            </w:r>
            <w:r w:rsidRPr="00213EA6">
              <w:rPr>
                <w:sz w:val="20"/>
                <w:szCs w:val="20"/>
              </w:rPr>
              <w:t>każdorazowe</w:t>
            </w:r>
            <w:r w:rsidR="00D0407A">
              <w:rPr>
                <w:sz w:val="20"/>
                <w:szCs w:val="20"/>
              </w:rPr>
              <w:t xml:space="preserve"> </w:t>
            </w:r>
            <w:r w:rsidRPr="00213EA6">
              <w:rPr>
                <w:sz w:val="20"/>
                <w:szCs w:val="20"/>
              </w:rPr>
              <w:t>ich</w:t>
            </w:r>
            <w:r w:rsidR="00D0407A">
              <w:rPr>
                <w:sz w:val="20"/>
                <w:szCs w:val="20"/>
              </w:rPr>
              <w:t xml:space="preserve"> </w:t>
            </w:r>
            <w:r w:rsidRPr="00213EA6">
              <w:rPr>
                <w:sz w:val="20"/>
                <w:szCs w:val="20"/>
              </w:rPr>
              <w:t>przedstawianie</w:t>
            </w:r>
            <w:r w:rsidR="00D0407A">
              <w:rPr>
                <w:sz w:val="20"/>
                <w:szCs w:val="20"/>
              </w:rPr>
              <w:t xml:space="preserve"> </w:t>
            </w:r>
            <w:r w:rsidRPr="00213EA6">
              <w:rPr>
                <w:sz w:val="20"/>
                <w:szCs w:val="20"/>
              </w:rPr>
              <w:t>na</w:t>
            </w:r>
            <w:r w:rsidR="00D0407A">
              <w:rPr>
                <w:sz w:val="20"/>
                <w:szCs w:val="20"/>
              </w:rPr>
              <w:t xml:space="preserve"> </w:t>
            </w:r>
            <w:r w:rsidRPr="00213EA6">
              <w:rPr>
                <w:sz w:val="20"/>
                <w:szCs w:val="20"/>
              </w:rPr>
              <w:t>żądanie</w:t>
            </w:r>
            <w:r w:rsidR="00D0407A">
              <w:rPr>
                <w:sz w:val="20"/>
                <w:szCs w:val="20"/>
              </w:rPr>
              <w:t xml:space="preserve"> </w:t>
            </w:r>
            <w:r w:rsidRPr="00213EA6">
              <w:rPr>
                <w:sz w:val="20"/>
                <w:szCs w:val="20"/>
              </w:rPr>
              <w:t>kontrolerów</w:t>
            </w:r>
            <w:r w:rsidR="00D0407A">
              <w:rPr>
                <w:sz w:val="20"/>
                <w:szCs w:val="20"/>
              </w:rPr>
              <w:t xml:space="preserve"> </w:t>
            </w:r>
            <w:r w:rsidRPr="00213EA6">
              <w:rPr>
                <w:sz w:val="20"/>
                <w:szCs w:val="20"/>
              </w:rPr>
              <w:t>Narodowego</w:t>
            </w:r>
            <w:r w:rsidR="00D0407A">
              <w:rPr>
                <w:sz w:val="20"/>
                <w:szCs w:val="20"/>
              </w:rPr>
              <w:t xml:space="preserve"> </w:t>
            </w:r>
            <w:r w:rsidRPr="00213EA6">
              <w:rPr>
                <w:sz w:val="20"/>
                <w:szCs w:val="20"/>
              </w:rPr>
              <w:t>Funduszu</w:t>
            </w:r>
            <w:r w:rsidR="00D0407A">
              <w:rPr>
                <w:sz w:val="20"/>
                <w:szCs w:val="20"/>
              </w:rPr>
              <w:t xml:space="preserve"> </w:t>
            </w:r>
            <w:r w:rsidRPr="00213EA6">
              <w:rPr>
                <w:sz w:val="20"/>
                <w:szCs w:val="20"/>
              </w:rPr>
              <w:t>Zdrowia;</w:t>
            </w:r>
          </w:p>
          <w:p w14:paraId="43FEFD06" w14:textId="7959DE91" w:rsidR="009A657B" w:rsidRPr="00213EA6" w:rsidRDefault="009A657B" w:rsidP="007F5D21">
            <w:pPr>
              <w:numPr>
                <w:ilvl w:val="2"/>
                <w:numId w:val="33"/>
              </w:numPr>
              <w:spacing w:after="60"/>
              <w:jc w:val="both"/>
              <w:rPr>
                <w:sz w:val="20"/>
                <w:szCs w:val="20"/>
              </w:rPr>
            </w:pPr>
            <w:r w:rsidRPr="00213EA6">
              <w:rPr>
                <w:sz w:val="20"/>
                <w:szCs w:val="20"/>
              </w:rPr>
              <w:t>uzupełnienie</w:t>
            </w:r>
            <w:r w:rsidR="00D0407A">
              <w:rPr>
                <w:sz w:val="20"/>
                <w:szCs w:val="20"/>
              </w:rPr>
              <w:t xml:space="preserve"> </w:t>
            </w:r>
            <w:r w:rsidRPr="00213EA6">
              <w:rPr>
                <w:sz w:val="20"/>
                <w:szCs w:val="20"/>
              </w:rPr>
              <w:t>danych</w:t>
            </w:r>
            <w:r w:rsidR="00D0407A">
              <w:rPr>
                <w:sz w:val="20"/>
                <w:szCs w:val="20"/>
              </w:rPr>
              <w:t xml:space="preserve"> </w:t>
            </w:r>
            <w:r w:rsidRPr="00213EA6">
              <w:rPr>
                <w:sz w:val="20"/>
                <w:szCs w:val="20"/>
              </w:rPr>
              <w:t>zawartych</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rejestrze</w:t>
            </w:r>
            <w:r w:rsidR="00D0407A">
              <w:rPr>
                <w:sz w:val="20"/>
                <w:szCs w:val="20"/>
              </w:rPr>
              <w:t xml:space="preserve"> </w:t>
            </w:r>
            <w:r w:rsidRPr="00213EA6">
              <w:rPr>
                <w:sz w:val="20"/>
                <w:szCs w:val="20"/>
              </w:rPr>
              <w:t>(SMPT)</w:t>
            </w:r>
            <w:r w:rsidR="00D0407A">
              <w:rPr>
                <w:sz w:val="20"/>
                <w:szCs w:val="20"/>
              </w:rPr>
              <w:t xml:space="preserve"> </w:t>
            </w:r>
            <w:r w:rsidRPr="00213EA6">
              <w:rPr>
                <w:sz w:val="20"/>
                <w:szCs w:val="20"/>
              </w:rPr>
              <w:t>dostępnym</w:t>
            </w:r>
            <w:r w:rsidR="00D0407A">
              <w:rPr>
                <w:sz w:val="20"/>
                <w:szCs w:val="20"/>
              </w:rPr>
              <w:t xml:space="preserve"> </w:t>
            </w:r>
            <w:r w:rsidRPr="00213EA6">
              <w:rPr>
                <w:sz w:val="20"/>
                <w:szCs w:val="20"/>
              </w:rPr>
              <w:t>za</w:t>
            </w:r>
            <w:r w:rsidR="00D0407A">
              <w:rPr>
                <w:sz w:val="20"/>
                <w:szCs w:val="20"/>
              </w:rPr>
              <w:t xml:space="preserve"> </w:t>
            </w:r>
            <w:r w:rsidRPr="00213EA6">
              <w:rPr>
                <w:sz w:val="20"/>
                <w:szCs w:val="20"/>
              </w:rPr>
              <w:t>pomocą</w:t>
            </w:r>
            <w:r w:rsidR="00D0407A">
              <w:rPr>
                <w:sz w:val="20"/>
                <w:szCs w:val="20"/>
              </w:rPr>
              <w:t xml:space="preserve"> </w:t>
            </w:r>
            <w:r w:rsidRPr="00213EA6">
              <w:rPr>
                <w:sz w:val="20"/>
                <w:szCs w:val="20"/>
              </w:rPr>
              <w:t>aplikacji</w:t>
            </w:r>
            <w:r w:rsidR="00D0407A">
              <w:rPr>
                <w:sz w:val="20"/>
                <w:szCs w:val="20"/>
              </w:rPr>
              <w:t xml:space="preserve"> </w:t>
            </w:r>
            <w:r w:rsidRPr="00213EA6">
              <w:rPr>
                <w:sz w:val="20"/>
                <w:szCs w:val="20"/>
              </w:rPr>
              <w:t>internetowej</w:t>
            </w:r>
            <w:r w:rsidR="00D0407A">
              <w:rPr>
                <w:sz w:val="20"/>
                <w:szCs w:val="20"/>
              </w:rPr>
              <w:t xml:space="preserve"> </w:t>
            </w:r>
            <w:r w:rsidRPr="00213EA6">
              <w:rPr>
                <w:sz w:val="20"/>
                <w:szCs w:val="20"/>
              </w:rPr>
              <w:t>udostępnionej</w:t>
            </w:r>
            <w:r w:rsidR="00D0407A">
              <w:rPr>
                <w:sz w:val="20"/>
                <w:szCs w:val="20"/>
              </w:rPr>
              <w:t xml:space="preserve"> </w:t>
            </w:r>
            <w:r w:rsidRPr="00213EA6">
              <w:rPr>
                <w:sz w:val="20"/>
                <w:szCs w:val="20"/>
              </w:rPr>
              <w:t>przez</w:t>
            </w:r>
            <w:r w:rsidR="00D0407A">
              <w:rPr>
                <w:sz w:val="20"/>
                <w:szCs w:val="20"/>
              </w:rPr>
              <w:t xml:space="preserve"> </w:t>
            </w:r>
            <w:r w:rsidRPr="00213EA6">
              <w:rPr>
                <w:sz w:val="20"/>
                <w:szCs w:val="20"/>
              </w:rPr>
              <w:t>OW</w:t>
            </w:r>
            <w:r w:rsidR="00D0407A">
              <w:rPr>
                <w:sz w:val="20"/>
                <w:szCs w:val="20"/>
              </w:rPr>
              <w:t xml:space="preserve"> </w:t>
            </w:r>
            <w:r w:rsidRPr="00213EA6">
              <w:rPr>
                <w:sz w:val="20"/>
                <w:szCs w:val="20"/>
              </w:rPr>
              <w:t>NFZ,</w:t>
            </w:r>
            <w:r w:rsidR="00D0407A">
              <w:rPr>
                <w:sz w:val="20"/>
                <w:szCs w:val="20"/>
              </w:rPr>
              <w:t xml:space="preserve"> </w:t>
            </w:r>
            <w:r w:rsidR="00D95BDB">
              <w:rPr>
                <w:sz w:val="20"/>
                <w:szCs w:val="20"/>
              </w:rPr>
              <w:br/>
            </w:r>
            <w:r w:rsidRPr="00213EA6">
              <w:rPr>
                <w:sz w:val="20"/>
                <w:szCs w:val="20"/>
              </w:rPr>
              <w:t>z</w:t>
            </w:r>
            <w:r w:rsidR="00D0407A">
              <w:rPr>
                <w:sz w:val="20"/>
                <w:szCs w:val="20"/>
              </w:rPr>
              <w:t xml:space="preserve"> </w:t>
            </w:r>
            <w:r w:rsidRPr="00213EA6">
              <w:rPr>
                <w:sz w:val="20"/>
                <w:szCs w:val="20"/>
              </w:rPr>
              <w:t>częstotliwością</w:t>
            </w:r>
            <w:r w:rsidR="00D0407A">
              <w:rPr>
                <w:sz w:val="20"/>
                <w:szCs w:val="20"/>
              </w:rPr>
              <w:t xml:space="preserve"> </w:t>
            </w:r>
            <w:r w:rsidRPr="00213EA6">
              <w:rPr>
                <w:sz w:val="20"/>
                <w:szCs w:val="20"/>
              </w:rPr>
              <w:t>zgodną</w:t>
            </w:r>
            <w:r w:rsidR="00D0407A">
              <w:rPr>
                <w:sz w:val="20"/>
                <w:szCs w:val="20"/>
              </w:rPr>
              <w:t xml:space="preserve"> </w:t>
            </w:r>
            <w:r w:rsidRPr="00213EA6">
              <w:rPr>
                <w:sz w:val="20"/>
                <w:szCs w:val="20"/>
              </w:rPr>
              <w:t>z</w:t>
            </w:r>
            <w:r w:rsidR="00D0407A">
              <w:rPr>
                <w:sz w:val="20"/>
                <w:szCs w:val="20"/>
              </w:rPr>
              <w:t xml:space="preserve"> </w:t>
            </w:r>
            <w:r w:rsidRPr="00213EA6">
              <w:rPr>
                <w:sz w:val="20"/>
                <w:szCs w:val="20"/>
              </w:rPr>
              <w:t>opisem</w:t>
            </w:r>
            <w:r w:rsidR="00D0407A">
              <w:rPr>
                <w:sz w:val="20"/>
                <w:szCs w:val="20"/>
              </w:rPr>
              <w:t xml:space="preserve"> </w:t>
            </w:r>
            <w:r w:rsidRPr="00213EA6">
              <w:rPr>
                <w:sz w:val="20"/>
                <w:szCs w:val="20"/>
              </w:rPr>
              <w:t>programu</w:t>
            </w:r>
            <w:r w:rsidR="00D0407A">
              <w:rPr>
                <w:sz w:val="20"/>
                <w:szCs w:val="20"/>
              </w:rPr>
              <w:t xml:space="preserve"> </w:t>
            </w:r>
            <w:r w:rsidRPr="00213EA6">
              <w:rPr>
                <w:sz w:val="20"/>
                <w:szCs w:val="20"/>
              </w:rPr>
              <w:t>oraz</w:t>
            </w:r>
            <w:r w:rsidR="00D0407A">
              <w:rPr>
                <w:sz w:val="20"/>
                <w:szCs w:val="20"/>
              </w:rPr>
              <w:t xml:space="preserve"> </w:t>
            </w:r>
            <w:r w:rsidRPr="00213EA6">
              <w:rPr>
                <w:sz w:val="20"/>
                <w:szCs w:val="20"/>
              </w:rPr>
              <w:t>na</w:t>
            </w:r>
            <w:r w:rsidR="00D0407A">
              <w:rPr>
                <w:sz w:val="20"/>
                <w:szCs w:val="20"/>
              </w:rPr>
              <w:t xml:space="preserve"> </w:t>
            </w:r>
            <w:r w:rsidRPr="00213EA6">
              <w:rPr>
                <w:sz w:val="20"/>
                <w:szCs w:val="20"/>
              </w:rPr>
              <w:t>zakończenie</w:t>
            </w:r>
            <w:r w:rsidR="00D0407A">
              <w:rPr>
                <w:sz w:val="20"/>
                <w:szCs w:val="20"/>
              </w:rPr>
              <w:t xml:space="preserve"> </w:t>
            </w:r>
            <w:r w:rsidRPr="00213EA6">
              <w:rPr>
                <w:sz w:val="20"/>
                <w:szCs w:val="20"/>
              </w:rPr>
              <w:t>leczenia;</w:t>
            </w:r>
          </w:p>
          <w:p w14:paraId="0B75B89E" w14:textId="77777777" w:rsidR="009A657B" w:rsidRDefault="009A657B" w:rsidP="007F5D21">
            <w:pPr>
              <w:numPr>
                <w:ilvl w:val="2"/>
                <w:numId w:val="33"/>
              </w:numPr>
              <w:spacing w:after="60"/>
              <w:jc w:val="both"/>
              <w:rPr>
                <w:sz w:val="20"/>
                <w:szCs w:val="20"/>
              </w:rPr>
            </w:pPr>
            <w:r w:rsidRPr="00213EA6">
              <w:rPr>
                <w:sz w:val="20"/>
                <w:szCs w:val="20"/>
              </w:rPr>
              <w:t>przekazywanie</w:t>
            </w:r>
            <w:r w:rsidR="00D0407A">
              <w:rPr>
                <w:sz w:val="20"/>
                <w:szCs w:val="20"/>
              </w:rPr>
              <w:t xml:space="preserve"> </w:t>
            </w:r>
            <w:r w:rsidRPr="00213EA6">
              <w:rPr>
                <w:sz w:val="20"/>
                <w:szCs w:val="20"/>
              </w:rPr>
              <w:t>informacji</w:t>
            </w:r>
            <w:r w:rsidR="00D0407A">
              <w:rPr>
                <w:sz w:val="20"/>
                <w:szCs w:val="20"/>
              </w:rPr>
              <w:t xml:space="preserve"> </w:t>
            </w:r>
            <w:r w:rsidRPr="00213EA6">
              <w:rPr>
                <w:sz w:val="20"/>
                <w:szCs w:val="20"/>
              </w:rPr>
              <w:t>sprawozdawczo-rozliczeniowych</w:t>
            </w:r>
            <w:r w:rsidR="00D0407A">
              <w:rPr>
                <w:sz w:val="20"/>
                <w:szCs w:val="20"/>
              </w:rPr>
              <w:t xml:space="preserve"> </w:t>
            </w:r>
            <w:r w:rsidRPr="00213EA6">
              <w:rPr>
                <w:sz w:val="20"/>
                <w:szCs w:val="20"/>
              </w:rPr>
              <w:t>do</w:t>
            </w:r>
            <w:r w:rsidR="00D0407A">
              <w:rPr>
                <w:sz w:val="20"/>
                <w:szCs w:val="20"/>
              </w:rPr>
              <w:t xml:space="preserve"> </w:t>
            </w:r>
            <w:r w:rsidRPr="00213EA6">
              <w:rPr>
                <w:sz w:val="20"/>
                <w:szCs w:val="20"/>
              </w:rPr>
              <w:t>NFZ:</w:t>
            </w:r>
            <w:r w:rsidR="00D0407A">
              <w:rPr>
                <w:sz w:val="20"/>
                <w:szCs w:val="20"/>
              </w:rPr>
              <w:t xml:space="preserve"> </w:t>
            </w:r>
            <w:r w:rsidRPr="00213EA6">
              <w:rPr>
                <w:sz w:val="20"/>
                <w:szCs w:val="20"/>
              </w:rPr>
              <w:t>informacje</w:t>
            </w:r>
            <w:r w:rsidR="00D0407A">
              <w:rPr>
                <w:sz w:val="20"/>
                <w:szCs w:val="20"/>
              </w:rPr>
              <w:t xml:space="preserve"> </w:t>
            </w:r>
            <w:r w:rsidRPr="00213EA6">
              <w:rPr>
                <w:sz w:val="20"/>
                <w:szCs w:val="20"/>
              </w:rPr>
              <w:t>przekazuje</w:t>
            </w:r>
            <w:r w:rsidR="00D0407A">
              <w:rPr>
                <w:sz w:val="20"/>
                <w:szCs w:val="20"/>
              </w:rPr>
              <w:t xml:space="preserve"> </w:t>
            </w:r>
            <w:r w:rsidRPr="00213EA6">
              <w:rPr>
                <w:sz w:val="20"/>
                <w:szCs w:val="20"/>
              </w:rPr>
              <w:t>się</w:t>
            </w:r>
            <w:r w:rsidR="00D0407A">
              <w:rPr>
                <w:sz w:val="20"/>
                <w:szCs w:val="20"/>
              </w:rPr>
              <w:t xml:space="preserve"> </w:t>
            </w:r>
            <w:r w:rsidRPr="00213EA6">
              <w:rPr>
                <w:sz w:val="20"/>
                <w:szCs w:val="20"/>
              </w:rPr>
              <w:t>do</w:t>
            </w:r>
            <w:r w:rsidR="00D0407A">
              <w:rPr>
                <w:sz w:val="20"/>
                <w:szCs w:val="20"/>
              </w:rPr>
              <w:t xml:space="preserve"> </w:t>
            </w:r>
            <w:r w:rsidRPr="00213EA6">
              <w:rPr>
                <w:sz w:val="20"/>
                <w:szCs w:val="20"/>
              </w:rPr>
              <w:t>NFZ</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formie</w:t>
            </w:r>
            <w:r w:rsidR="00D0407A">
              <w:rPr>
                <w:sz w:val="20"/>
                <w:szCs w:val="20"/>
              </w:rPr>
              <w:t xml:space="preserve"> </w:t>
            </w:r>
            <w:r w:rsidRPr="00213EA6">
              <w:rPr>
                <w:sz w:val="20"/>
                <w:szCs w:val="20"/>
              </w:rPr>
              <w:t>papierowej</w:t>
            </w:r>
            <w:r w:rsidR="00D0407A">
              <w:rPr>
                <w:sz w:val="20"/>
                <w:szCs w:val="20"/>
              </w:rPr>
              <w:t xml:space="preserve"> </w:t>
            </w:r>
            <w:r w:rsidRPr="00213EA6">
              <w:rPr>
                <w:sz w:val="20"/>
                <w:szCs w:val="20"/>
              </w:rPr>
              <w:t>lub</w:t>
            </w:r>
            <w:r w:rsidR="00D0407A">
              <w:rPr>
                <w:sz w:val="20"/>
                <w:szCs w:val="20"/>
              </w:rPr>
              <w:t xml:space="preserve"> </w:t>
            </w:r>
            <w:r w:rsidRPr="00213EA6">
              <w:rPr>
                <w:sz w:val="20"/>
                <w:szCs w:val="20"/>
              </w:rPr>
              <w:t>w</w:t>
            </w:r>
            <w:r w:rsidR="00D0407A">
              <w:rPr>
                <w:sz w:val="20"/>
                <w:szCs w:val="20"/>
              </w:rPr>
              <w:t xml:space="preserve"> </w:t>
            </w:r>
            <w:r w:rsidRPr="00213EA6">
              <w:rPr>
                <w:sz w:val="20"/>
                <w:szCs w:val="20"/>
              </w:rPr>
              <w:t>formie</w:t>
            </w:r>
            <w:r w:rsidR="00D0407A">
              <w:rPr>
                <w:sz w:val="20"/>
                <w:szCs w:val="20"/>
              </w:rPr>
              <w:t xml:space="preserve"> </w:t>
            </w:r>
            <w:r w:rsidRPr="00213EA6">
              <w:rPr>
                <w:sz w:val="20"/>
                <w:szCs w:val="20"/>
              </w:rPr>
              <w:t>elektronicznej,</w:t>
            </w:r>
            <w:r w:rsidR="00D0407A">
              <w:rPr>
                <w:sz w:val="20"/>
                <w:szCs w:val="20"/>
              </w:rPr>
              <w:t xml:space="preserve"> </w:t>
            </w:r>
            <w:r w:rsidRPr="00213EA6">
              <w:rPr>
                <w:sz w:val="20"/>
                <w:szCs w:val="20"/>
              </w:rPr>
              <w:t>zgodnie</w:t>
            </w:r>
            <w:r w:rsidR="00D0407A">
              <w:rPr>
                <w:sz w:val="20"/>
                <w:szCs w:val="20"/>
              </w:rPr>
              <w:t xml:space="preserve"> </w:t>
            </w:r>
            <w:r w:rsidRPr="00213EA6">
              <w:rPr>
                <w:sz w:val="20"/>
                <w:szCs w:val="20"/>
              </w:rPr>
              <w:t>z</w:t>
            </w:r>
            <w:r w:rsidR="00D0407A">
              <w:rPr>
                <w:sz w:val="20"/>
                <w:szCs w:val="20"/>
              </w:rPr>
              <w:t xml:space="preserve"> </w:t>
            </w:r>
            <w:r w:rsidRPr="00213EA6">
              <w:rPr>
                <w:sz w:val="20"/>
                <w:szCs w:val="20"/>
              </w:rPr>
              <w:t>wymaganiami</w:t>
            </w:r>
            <w:r w:rsidR="00D0407A">
              <w:rPr>
                <w:sz w:val="20"/>
                <w:szCs w:val="20"/>
              </w:rPr>
              <w:t xml:space="preserve"> </w:t>
            </w:r>
            <w:r w:rsidRPr="00213EA6">
              <w:rPr>
                <w:sz w:val="20"/>
                <w:szCs w:val="20"/>
              </w:rPr>
              <w:t>opublikowanymi</w:t>
            </w:r>
            <w:r w:rsidR="00D0407A">
              <w:rPr>
                <w:sz w:val="20"/>
                <w:szCs w:val="20"/>
              </w:rPr>
              <w:t xml:space="preserve"> </w:t>
            </w:r>
            <w:r w:rsidRPr="00213EA6">
              <w:rPr>
                <w:sz w:val="20"/>
                <w:szCs w:val="20"/>
              </w:rPr>
              <w:t>przez</w:t>
            </w:r>
            <w:r w:rsidR="00D0407A">
              <w:rPr>
                <w:sz w:val="20"/>
                <w:szCs w:val="20"/>
              </w:rPr>
              <w:t xml:space="preserve"> </w:t>
            </w:r>
            <w:r w:rsidRPr="00213EA6">
              <w:rPr>
                <w:sz w:val="20"/>
                <w:szCs w:val="20"/>
              </w:rPr>
              <w:t>Narodowy</w:t>
            </w:r>
            <w:r w:rsidR="00D0407A">
              <w:rPr>
                <w:sz w:val="20"/>
                <w:szCs w:val="20"/>
              </w:rPr>
              <w:t xml:space="preserve"> </w:t>
            </w:r>
            <w:r w:rsidRPr="00213EA6">
              <w:rPr>
                <w:sz w:val="20"/>
                <w:szCs w:val="20"/>
              </w:rPr>
              <w:t>Fundusz</w:t>
            </w:r>
            <w:r w:rsidR="00D0407A">
              <w:rPr>
                <w:sz w:val="20"/>
                <w:szCs w:val="20"/>
              </w:rPr>
              <w:t xml:space="preserve"> </w:t>
            </w:r>
            <w:r w:rsidRPr="00213EA6">
              <w:rPr>
                <w:sz w:val="20"/>
                <w:szCs w:val="20"/>
              </w:rPr>
              <w:t>Zdrowia.</w:t>
            </w:r>
          </w:p>
          <w:p w14:paraId="283DB622" w14:textId="6547B849" w:rsidR="007F5D21" w:rsidRPr="00213EA6" w:rsidRDefault="007F5D21" w:rsidP="007F5D21">
            <w:pPr>
              <w:spacing w:after="60"/>
              <w:ind w:left="397"/>
              <w:jc w:val="both"/>
              <w:rPr>
                <w:sz w:val="20"/>
                <w:szCs w:val="20"/>
              </w:rPr>
            </w:pPr>
          </w:p>
        </w:tc>
      </w:tr>
    </w:tbl>
    <w:p w14:paraId="09E455AB" w14:textId="77777777" w:rsidR="00F81239" w:rsidRPr="008328B6" w:rsidRDefault="00F81239" w:rsidP="00A27C75">
      <w:pPr>
        <w:spacing w:line="276" w:lineRule="auto"/>
        <w:rPr>
          <w:sz w:val="20"/>
          <w:szCs w:val="20"/>
        </w:rPr>
      </w:pPr>
    </w:p>
    <w:sectPr w:rsidR="00F81239" w:rsidRPr="008328B6" w:rsidSect="00F30324">
      <w:footerReference w:type="default" r:id="rId8"/>
      <w:pgSz w:w="16838" w:h="11906" w:orient="landscape" w:code="9"/>
      <w:pgMar w:top="1588"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2E381" w14:textId="77777777" w:rsidR="00D0407A" w:rsidRDefault="00D0407A" w:rsidP="00A44AF0">
      <w:r>
        <w:separator/>
      </w:r>
    </w:p>
  </w:endnote>
  <w:endnote w:type="continuationSeparator" w:id="0">
    <w:p w14:paraId="11F00068" w14:textId="77777777" w:rsidR="00D0407A" w:rsidRDefault="00D0407A" w:rsidP="00A4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KBKDC+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516CB" w14:textId="77777777" w:rsidR="00D0407A" w:rsidRDefault="00D0407A">
    <w:pPr>
      <w:pStyle w:val="Stopka"/>
      <w:jc w:val="right"/>
    </w:pPr>
  </w:p>
  <w:p w14:paraId="27583068" w14:textId="77777777" w:rsidR="00D0407A" w:rsidRDefault="00D040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90A35" w14:textId="77777777" w:rsidR="00D0407A" w:rsidRDefault="00D0407A" w:rsidP="00A44AF0">
      <w:r>
        <w:separator/>
      </w:r>
    </w:p>
  </w:footnote>
  <w:footnote w:type="continuationSeparator" w:id="0">
    <w:p w14:paraId="6CADBDE6" w14:textId="77777777" w:rsidR="00D0407A" w:rsidRDefault="00D0407A" w:rsidP="00A4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03D3C"/>
    <w:multiLevelType w:val="hybridMultilevel"/>
    <w:tmpl w:val="D8B2C8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7734F"/>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 w15:restartNumberingAfterBreak="0">
    <w:nsid w:val="0A1B4EE7"/>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3" w15:restartNumberingAfterBreak="0">
    <w:nsid w:val="0A1E6077"/>
    <w:multiLevelType w:val="hybridMultilevel"/>
    <w:tmpl w:val="347AB6E0"/>
    <w:lvl w:ilvl="0" w:tplc="04150011">
      <w:start w:val="1"/>
      <w:numFmt w:val="decimal"/>
      <w:lvlText w:val="%1)"/>
      <w:lvlJc w:val="left"/>
      <w:pPr>
        <w:ind w:left="720" w:hanging="360"/>
      </w:pPr>
      <w:rPr>
        <w:rFonts w:hint="default"/>
      </w:rPr>
    </w:lvl>
    <w:lvl w:ilvl="1" w:tplc="2EA84F6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412552"/>
    <w:multiLevelType w:val="hybridMultilevel"/>
    <w:tmpl w:val="DEDA0F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9A5AF6"/>
    <w:multiLevelType w:val="hybridMultilevel"/>
    <w:tmpl w:val="9CBC5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643268"/>
    <w:multiLevelType w:val="hybridMultilevel"/>
    <w:tmpl w:val="B19A13D4"/>
    <w:lvl w:ilvl="0" w:tplc="0415000F">
      <w:start w:val="1"/>
      <w:numFmt w:val="decimal"/>
      <w:lvlText w:val="%1."/>
      <w:lvlJc w:val="left"/>
      <w:pPr>
        <w:ind w:left="720" w:hanging="360"/>
      </w:pPr>
    </w:lvl>
    <w:lvl w:ilvl="1" w:tplc="1A8CBF7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3C6E9B"/>
    <w:multiLevelType w:val="hybridMultilevel"/>
    <w:tmpl w:val="1F0450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CC252E"/>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9" w15:restartNumberingAfterBreak="0">
    <w:nsid w:val="2BA77057"/>
    <w:multiLevelType w:val="hybridMultilevel"/>
    <w:tmpl w:val="45345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C06E78"/>
    <w:multiLevelType w:val="hybridMultilevel"/>
    <w:tmpl w:val="0E1216C4"/>
    <w:lvl w:ilvl="0" w:tplc="BBC293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304562"/>
    <w:multiLevelType w:val="hybridMultilevel"/>
    <w:tmpl w:val="2E549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E1216F"/>
    <w:multiLevelType w:val="hybridMultilevel"/>
    <w:tmpl w:val="FBC8A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7A1FF7"/>
    <w:multiLevelType w:val="hybridMultilevel"/>
    <w:tmpl w:val="337EF6AE"/>
    <w:lvl w:ilvl="0" w:tplc="436AB7C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3A1032A4"/>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5" w15:restartNumberingAfterBreak="0">
    <w:nsid w:val="3A477560"/>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6" w15:restartNumberingAfterBreak="0">
    <w:nsid w:val="3C095E12"/>
    <w:multiLevelType w:val="hybridMultilevel"/>
    <w:tmpl w:val="098EE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292002"/>
    <w:multiLevelType w:val="hybridMultilevel"/>
    <w:tmpl w:val="93F815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2D3558"/>
    <w:multiLevelType w:val="hybridMultilevel"/>
    <w:tmpl w:val="3D762A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525CA1"/>
    <w:multiLevelType w:val="hybridMultilevel"/>
    <w:tmpl w:val="417C9944"/>
    <w:lvl w:ilvl="0" w:tplc="C48A54FA">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361541"/>
    <w:multiLevelType w:val="hybridMultilevel"/>
    <w:tmpl w:val="CBB20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BD401A"/>
    <w:multiLevelType w:val="hybridMultilevel"/>
    <w:tmpl w:val="D244F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556EF8"/>
    <w:multiLevelType w:val="hybridMultilevel"/>
    <w:tmpl w:val="DD0CC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F618FD"/>
    <w:multiLevelType w:val="hybridMultilevel"/>
    <w:tmpl w:val="975292EC"/>
    <w:lvl w:ilvl="0" w:tplc="FFE81CA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055819"/>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5" w15:restartNumberingAfterBreak="0">
    <w:nsid w:val="5E744EB2"/>
    <w:multiLevelType w:val="hybridMultilevel"/>
    <w:tmpl w:val="A80AF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1565F4"/>
    <w:multiLevelType w:val="hybridMultilevel"/>
    <w:tmpl w:val="1AD83B02"/>
    <w:lvl w:ilvl="0" w:tplc="CFF6CF3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8C64048"/>
    <w:multiLevelType w:val="hybridMultilevel"/>
    <w:tmpl w:val="1910B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61338C"/>
    <w:multiLevelType w:val="hybridMultilevel"/>
    <w:tmpl w:val="A2340D5A"/>
    <w:lvl w:ilvl="0" w:tplc="0415000F">
      <w:start w:val="1"/>
      <w:numFmt w:val="decimal"/>
      <w:pStyle w:val="EntLogo"/>
      <w:lvlText w:val="%1."/>
      <w:lvlJc w:val="left"/>
      <w:pPr>
        <w:tabs>
          <w:tab w:val="num" w:pos="1200"/>
        </w:tabs>
        <w:ind w:left="1200" w:hanging="360"/>
      </w:pPr>
    </w:lvl>
    <w:lvl w:ilvl="1" w:tplc="04150019">
      <w:start w:val="1"/>
      <w:numFmt w:val="decimal"/>
      <w:lvlText w:val="%2."/>
      <w:lvlJc w:val="left"/>
      <w:pPr>
        <w:tabs>
          <w:tab w:val="num" w:pos="1920"/>
        </w:tabs>
        <w:ind w:left="1920" w:hanging="360"/>
      </w:pPr>
    </w:lvl>
    <w:lvl w:ilvl="2" w:tplc="0415001B">
      <w:start w:val="1"/>
      <w:numFmt w:val="decimal"/>
      <w:lvlText w:val="%3."/>
      <w:lvlJc w:val="left"/>
      <w:pPr>
        <w:tabs>
          <w:tab w:val="num" w:pos="2640"/>
        </w:tabs>
        <w:ind w:left="2640" w:hanging="360"/>
      </w:pPr>
    </w:lvl>
    <w:lvl w:ilvl="3" w:tplc="0415000F">
      <w:start w:val="1"/>
      <w:numFmt w:val="decimal"/>
      <w:lvlText w:val="%4."/>
      <w:lvlJc w:val="left"/>
      <w:pPr>
        <w:tabs>
          <w:tab w:val="num" w:pos="3360"/>
        </w:tabs>
        <w:ind w:left="3360" w:hanging="360"/>
      </w:pPr>
    </w:lvl>
    <w:lvl w:ilvl="4" w:tplc="04150019">
      <w:start w:val="1"/>
      <w:numFmt w:val="decimal"/>
      <w:lvlText w:val="%5."/>
      <w:lvlJc w:val="left"/>
      <w:pPr>
        <w:tabs>
          <w:tab w:val="num" w:pos="4080"/>
        </w:tabs>
        <w:ind w:left="4080" w:hanging="360"/>
      </w:pPr>
    </w:lvl>
    <w:lvl w:ilvl="5" w:tplc="0415001B">
      <w:start w:val="1"/>
      <w:numFmt w:val="decimal"/>
      <w:lvlText w:val="%6."/>
      <w:lvlJc w:val="left"/>
      <w:pPr>
        <w:tabs>
          <w:tab w:val="num" w:pos="4800"/>
        </w:tabs>
        <w:ind w:left="4800" w:hanging="360"/>
      </w:pPr>
    </w:lvl>
    <w:lvl w:ilvl="6" w:tplc="0415000F">
      <w:start w:val="1"/>
      <w:numFmt w:val="decimal"/>
      <w:lvlText w:val="%7."/>
      <w:lvlJc w:val="left"/>
      <w:pPr>
        <w:tabs>
          <w:tab w:val="num" w:pos="5520"/>
        </w:tabs>
        <w:ind w:left="5520" w:hanging="360"/>
      </w:pPr>
    </w:lvl>
    <w:lvl w:ilvl="7" w:tplc="04150019">
      <w:start w:val="1"/>
      <w:numFmt w:val="decimal"/>
      <w:lvlText w:val="%8."/>
      <w:lvlJc w:val="left"/>
      <w:pPr>
        <w:tabs>
          <w:tab w:val="num" w:pos="6240"/>
        </w:tabs>
        <w:ind w:left="6240" w:hanging="360"/>
      </w:pPr>
    </w:lvl>
    <w:lvl w:ilvl="8" w:tplc="0415001B">
      <w:start w:val="1"/>
      <w:numFmt w:val="decimal"/>
      <w:lvlText w:val="%9."/>
      <w:lvlJc w:val="left"/>
      <w:pPr>
        <w:tabs>
          <w:tab w:val="num" w:pos="6960"/>
        </w:tabs>
        <w:ind w:left="6960" w:hanging="360"/>
      </w:pPr>
    </w:lvl>
  </w:abstractNum>
  <w:abstractNum w:abstractNumId="29" w15:restartNumberingAfterBreak="0">
    <w:nsid w:val="71035FDB"/>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30" w15:restartNumberingAfterBreak="0">
    <w:nsid w:val="71FF1D30"/>
    <w:multiLevelType w:val="hybridMultilevel"/>
    <w:tmpl w:val="5A164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CA102F"/>
    <w:multiLevelType w:val="hybridMultilevel"/>
    <w:tmpl w:val="954C1D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8D43DD4"/>
    <w:multiLevelType w:val="hybridMultilevel"/>
    <w:tmpl w:val="4C34CD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28"/>
  </w:num>
  <w:num w:numId="2">
    <w:abstractNumId w:val="11"/>
  </w:num>
  <w:num w:numId="3">
    <w:abstractNumId w:val="30"/>
  </w:num>
  <w:num w:numId="4">
    <w:abstractNumId w:val="6"/>
  </w:num>
  <w:num w:numId="5">
    <w:abstractNumId w:val="7"/>
  </w:num>
  <w:num w:numId="6">
    <w:abstractNumId w:val="5"/>
  </w:num>
  <w:num w:numId="7">
    <w:abstractNumId w:val="9"/>
  </w:num>
  <w:num w:numId="8">
    <w:abstractNumId w:val="23"/>
  </w:num>
  <w:num w:numId="9">
    <w:abstractNumId w:val="21"/>
  </w:num>
  <w:num w:numId="10">
    <w:abstractNumId w:val="22"/>
  </w:num>
  <w:num w:numId="11">
    <w:abstractNumId w:val="4"/>
  </w:num>
  <w:num w:numId="12">
    <w:abstractNumId w:val="18"/>
  </w:num>
  <w:num w:numId="13">
    <w:abstractNumId w:val="25"/>
  </w:num>
  <w:num w:numId="14">
    <w:abstractNumId w:val="10"/>
  </w:num>
  <w:num w:numId="15">
    <w:abstractNumId w:val="3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31"/>
  </w:num>
  <w:num w:numId="20">
    <w:abstractNumId w:val="27"/>
  </w:num>
  <w:num w:numId="21">
    <w:abstractNumId w:val="13"/>
  </w:num>
  <w:num w:numId="22">
    <w:abstractNumId w:val="0"/>
  </w:num>
  <w:num w:numId="23">
    <w:abstractNumId w:val="17"/>
  </w:num>
  <w:num w:numId="24">
    <w:abstractNumId w:val="14"/>
  </w:num>
  <w:num w:numId="25">
    <w:abstractNumId w:val="16"/>
  </w:num>
  <w:num w:numId="26">
    <w:abstractNumId w:val="20"/>
  </w:num>
  <w:num w:numId="27">
    <w:abstractNumId w:val="2"/>
  </w:num>
  <w:num w:numId="28">
    <w:abstractNumId w:val="12"/>
  </w:num>
  <w:num w:numId="29">
    <w:abstractNumId w:val="8"/>
  </w:num>
  <w:num w:numId="30">
    <w:abstractNumId w:val="29"/>
  </w:num>
  <w:num w:numId="31">
    <w:abstractNumId w:val="15"/>
  </w:num>
  <w:num w:numId="32">
    <w:abstractNumId w:val="1"/>
  </w:num>
  <w:num w:numId="33">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239"/>
    <w:rsid w:val="00003B50"/>
    <w:rsid w:val="000042F8"/>
    <w:rsid w:val="00010649"/>
    <w:rsid w:val="00011F07"/>
    <w:rsid w:val="0002264C"/>
    <w:rsid w:val="00032093"/>
    <w:rsid w:val="00032BA1"/>
    <w:rsid w:val="000331BD"/>
    <w:rsid w:val="00043500"/>
    <w:rsid w:val="0004372D"/>
    <w:rsid w:val="0004397D"/>
    <w:rsid w:val="00046FA6"/>
    <w:rsid w:val="00053E73"/>
    <w:rsid w:val="00055766"/>
    <w:rsid w:val="00067FA6"/>
    <w:rsid w:val="00075081"/>
    <w:rsid w:val="000800F3"/>
    <w:rsid w:val="00091FB9"/>
    <w:rsid w:val="00097402"/>
    <w:rsid w:val="0009753A"/>
    <w:rsid w:val="000A294C"/>
    <w:rsid w:val="000A3E0A"/>
    <w:rsid w:val="000A478B"/>
    <w:rsid w:val="000A5741"/>
    <w:rsid w:val="000A69B4"/>
    <w:rsid w:val="000B0344"/>
    <w:rsid w:val="000D0231"/>
    <w:rsid w:val="000D17A1"/>
    <w:rsid w:val="000D225D"/>
    <w:rsid w:val="000D49A8"/>
    <w:rsid w:val="000E516A"/>
    <w:rsid w:val="000F18E6"/>
    <w:rsid w:val="000F1FC8"/>
    <w:rsid w:val="000F32E5"/>
    <w:rsid w:val="000F35E3"/>
    <w:rsid w:val="000F4549"/>
    <w:rsid w:val="000F6384"/>
    <w:rsid w:val="00100018"/>
    <w:rsid w:val="00106746"/>
    <w:rsid w:val="00106CC3"/>
    <w:rsid w:val="00111C7B"/>
    <w:rsid w:val="00132C20"/>
    <w:rsid w:val="00134FAD"/>
    <w:rsid w:val="00135C84"/>
    <w:rsid w:val="00140AB7"/>
    <w:rsid w:val="00140AF0"/>
    <w:rsid w:val="001451A2"/>
    <w:rsid w:val="00154104"/>
    <w:rsid w:val="00156B7E"/>
    <w:rsid w:val="00171973"/>
    <w:rsid w:val="001740BB"/>
    <w:rsid w:val="00184933"/>
    <w:rsid w:val="00184969"/>
    <w:rsid w:val="00185067"/>
    <w:rsid w:val="001918CF"/>
    <w:rsid w:val="001966E4"/>
    <w:rsid w:val="00197C91"/>
    <w:rsid w:val="001B3197"/>
    <w:rsid w:val="001C0BDC"/>
    <w:rsid w:val="001C45DA"/>
    <w:rsid w:val="001C5CE5"/>
    <w:rsid w:val="001D4ABA"/>
    <w:rsid w:val="001D6CD4"/>
    <w:rsid w:val="001E2ACA"/>
    <w:rsid w:val="001E6B29"/>
    <w:rsid w:val="001F3A9F"/>
    <w:rsid w:val="001F7710"/>
    <w:rsid w:val="001F78D0"/>
    <w:rsid w:val="00203186"/>
    <w:rsid w:val="00211B5B"/>
    <w:rsid w:val="00211BC3"/>
    <w:rsid w:val="00213B91"/>
    <w:rsid w:val="00213EA6"/>
    <w:rsid w:val="00217F47"/>
    <w:rsid w:val="00223D53"/>
    <w:rsid w:val="00227BBD"/>
    <w:rsid w:val="00231627"/>
    <w:rsid w:val="00234628"/>
    <w:rsid w:val="00250DDD"/>
    <w:rsid w:val="0025448F"/>
    <w:rsid w:val="00255A04"/>
    <w:rsid w:val="00262EEA"/>
    <w:rsid w:val="0026387C"/>
    <w:rsid w:val="002676DA"/>
    <w:rsid w:val="00271BD9"/>
    <w:rsid w:val="00273CD9"/>
    <w:rsid w:val="0028019D"/>
    <w:rsid w:val="002939D4"/>
    <w:rsid w:val="00295123"/>
    <w:rsid w:val="002958C1"/>
    <w:rsid w:val="002A3804"/>
    <w:rsid w:val="002A4E36"/>
    <w:rsid w:val="002C2505"/>
    <w:rsid w:val="002C7ECE"/>
    <w:rsid w:val="002D2C02"/>
    <w:rsid w:val="002F21B5"/>
    <w:rsid w:val="002F305E"/>
    <w:rsid w:val="002F3CD5"/>
    <w:rsid w:val="00306491"/>
    <w:rsid w:val="00310D0A"/>
    <w:rsid w:val="003207F7"/>
    <w:rsid w:val="003515C8"/>
    <w:rsid w:val="00355465"/>
    <w:rsid w:val="003603CC"/>
    <w:rsid w:val="0036043B"/>
    <w:rsid w:val="00360E33"/>
    <w:rsid w:val="003612B6"/>
    <w:rsid w:val="00363878"/>
    <w:rsid w:val="00371FE6"/>
    <w:rsid w:val="003736D3"/>
    <w:rsid w:val="00373A86"/>
    <w:rsid w:val="00380EBA"/>
    <w:rsid w:val="00380EDB"/>
    <w:rsid w:val="00381E18"/>
    <w:rsid w:val="0038356E"/>
    <w:rsid w:val="00390F34"/>
    <w:rsid w:val="003943CB"/>
    <w:rsid w:val="00394AD7"/>
    <w:rsid w:val="003B00ED"/>
    <w:rsid w:val="003B3B00"/>
    <w:rsid w:val="003B734D"/>
    <w:rsid w:val="003C0B2A"/>
    <w:rsid w:val="003C0ED0"/>
    <w:rsid w:val="003C530C"/>
    <w:rsid w:val="003C6851"/>
    <w:rsid w:val="003D4D26"/>
    <w:rsid w:val="003E0C30"/>
    <w:rsid w:val="003E12B5"/>
    <w:rsid w:val="003E5BDC"/>
    <w:rsid w:val="003E5D61"/>
    <w:rsid w:val="003F21BB"/>
    <w:rsid w:val="003F3AE2"/>
    <w:rsid w:val="00400B92"/>
    <w:rsid w:val="00401DFA"/>
    <w:rsid w:val="004049C2"/>
    <w:rsid w:val="00405016"/>
    <w:rsid w:val="00413A0E"/>
    <w:rsid w:val="00416273"/>
    <w:rsid w:val="00420D02"/>
    <w:rsid w:val="004253AD"/>
    <w:rsid w:val="00430744"/>
    <w:rsid w:val="00432B0C"/>
    <w:rsid w:val="0044413D"/>
    <w:rsid w:val="004515C5"/>
    <w:rsid w:val="00452675"/>
    <w:rsid w:val="004648EC"/>
    <w:rsid w:val="00466DF6"/>
    <w:rsid w:val="00470687"/>
    <w:rsid w:val="00473042"/>
    <w:rsid w:val="004741DA"/>
    <w:rsid w:val="004834B6"/>
    <w:rsid w:val="00483907"/>
    <w:rsid w:val="00491ABE"/>
    <w:rsid w:val="0049397E"/>
    <w:rsid w:val="004A0FCF"/>
    <w:rsid w:val="004B40C8"/>
    <w:rsid w:val="004B6BB7"/>
    <w:rsid w:val="004F4190"/>
    <w:rsid w:val="004F501E"/>
    <w:rsid w:val="00503D9D"/>
    <w:rsid w:val="0052267E"/>
    <w:rsid w:val="00522F3A"/>
    <w:rsid w:val="005242B4"/>
    <w:rsid w:val="00525C54"/>
    <w:rsid w:val="0052615D"/>
    <w:rsid w:val="00532C19"/>
    <w:rsid w:val="00533771"/>
    <w:rsid w:val="00554CCE"/>
    <w:rsid w:val="0055592E"/>
    <w:rsid w:val="0056449C"/>
    <w:rsid w:val="00566E19"/>
    <w:rsid w:val="00570A60"/>
    <w:rsid w:val="00572375"/>
    <w:rsid w:val="005745FC"/>
    <w:rsid w:val="00574E9C"/>
    <w:rsid w:val="00580CBD"/>
    <w:rsid w:val="0058280E"/>
    <w:rsid w:val="0058296C"/>
    <w:rsid w:val="00586E60"/>
    <w:rsid w:val="005A1FDC"/>
    <w:rsid w:val="005B36B5"/>
    <w:rsid w:val="005B556E"/>
    <w:rsid w:val="005C1748"/>
    <w:rsid w:val="005C7007"/>
    <w:rsid w:val="005D0298"/>
    <w:rsid w:val="005D0A31"/>
    <w:rsid w:val="005D3CB8"/>
    <w:rsid w:val="005E1001"/>
    <w:rsid w:val="005E28DC"/>
    <w:rsid w:val="005E3F67"/>
    <w:rsid w:val="005E574B"/>
    <w:rsid w:val="005F02E6"/>
    <w:rsid w:val="005F0EF3"/>
    <w:rsid w:val="005F2477"/>
    <w:rsid w:val="005F58C5"/>
    <w:rsid w:val="005F67B2"/>
    <w:rsid w:val="00600644"/>
    <w:rsid w:val="006010A3"/>
    <w:rsid w:val="00604E7A"/>
    <w:rsid w:val="006056ED"/>
    <w:rsid w:val="0061038C"/>
    <w:rsid w:val="00621D1A"/>
    <w:rsid w:val="00624C09"/>
    <w:rsid w:val="00627D51"/>
    <w:rsid w:val="00632B90"/>
    <w:rsid w:val="006350C2"/>
    <w:rsid w:val="0064011C"/>
    <w:rsid w:val="00641335"/>
    <w:rsid w:val="00643409"/>
    <w:rsid w:val="0064361A"/>
    <w:rsid w:val="00652D04"/>
    <w:rsid w:val="006609BD"/>
    <w:rsid w:val="0066206D"/>
    <w:rsid w:val="00670F14"/>
    <w:rsid w:val="006745E6"/>
    <w:rsid w:val="00682CE6"/>
    <w:rsid w:val="006864A3"/>
    <w:rsid w:val="00696D5C"/>
    <w:rsid w:val="006A354D"/>
    <w:rsid w:val="006B1D26"/>
    <w:rsid w:val="006B4D39"/>
    <w:rsid w:val="006C3E05"/>
    <w:rsid w:val="006C673B"/>
    <w:rsid w:val="006C6C4E"/>
    <w:rsid w:val="006C720D"/>
    <w:rsid w:val="006E20CC"/>
    <w:rsid w:val="006F114E"/>
    <w:rsid w:val="006F1515"/>
    <w:rsid w:val="006F2FE8"/>
    <w:rsid w:val="006F6379"/>
    <w:rsid w:val="00700872"/>
    <w:rsid w:val="00706A0B"/>
    <w:rsid w:val="00710292"/>
    <w:rsid w:val="00711312"/>
    <w:rsid w:val="00720055"/>
    <w:rsid w:val="0073035D"/>
    <w:rsid w:val="00735A33"/>
    <w:rsid w:val="007423CC"/>
    <w:rsid w:val="00745F2D"/>
    <w:rsid w:val="007460A9"/>
    <w:rsid w:val="00750E3F"/>
    <w:rsid w:val="00751EC3"/>
    <w:rsid w:val="0075202D"/>
    <w:rsid w:val="0075652D"/>
    <w:rsid w:val="007575E2"/>
    <w:rsid w:val="00762154"/>
    <w:rsid w:val="00772C62"/>
    <w:rsid w:val="00774BD3"/>
    <w:rsid w:val="00781109"/>
    <w:rsid w:val="00781896"/>
    <w:rsid w:val="00786690"/>
    <w:rsid w:val="00786A77"/>
    <w:rsid w:val="00787D5C"/>
    <w:rsid w:val="007914B8"/>
    <w:rsid w:val="0079349C"/>
    <w:rsid w:val="00797B15"/>
    <w:rsid w:val="007A1C2B"/>
    <w:rsid w:val="007A4C5C"/>
    <w:rsid w:val="007B4AFA"/>
    <w:rsid w:val="007B6BE9"/>
    <w:rsid w:val="007C118B"/>
    <w:rsid w:val="007C4F85"/>
    <w:rsid w:val="007C58E5"/>
    <w:rsid w:val="007D6AF0"/>
    <w:rsid w:val="007E23B6"/>
    <w:rsid w:val="007F56CD"/>
    <w:rsid w:val="007F5D21"/>
    <w:rsid w:val="007F6AF6"/>
    <w:rsid w:val="00822D6E"/>
    <w:rsid w:val="00826DA2"/>
    <w:rsid w:val="008328B6"/>
    <w:rsid w:val="00835B28"/>
    <w:rsid w:val="00860C98"/>
    <w:rsid w:val="008646B1"/>
    <w:rsid w:val="008675CA"/>
    <w:rsid w:val="008703C0"/>
    <w:rsid w:val="0087558C"/>
    <w:rsid w:val="0087786B"/>
    <w:rsid w:val="00887916"/>
    <w:rsid w:val="008C2810"/>
    <w:rsid w:val="008D1A88"/>
    <w:rsid w:val="0090484B"/>
    <w:rsid w:val="00906E7C"/>
    <w:rsid w:val="009142E9"/>
    <w:rsid w:val="00925AA2"/>
    <w:rsid w:val="00932753"/>
    <w:rsid w:val="00936A75"/>
    <w:rsid w:val="0094716B"/>
    <w:rsid w:val="00951021"/>
    <w:rsid w:val="009529B1"/>
    <w:rsid w:val="00953400"/>
    <w:rsid w:val="00986AD8"/>
    <w:rsid w:val="00990FA7"/>
    <w:rsid w:val="00992DEC"/>
    <w:rsid w:val="0099418B"/>
    <w:rsid w:val="009947B1"/>
    <w:rsid w:val="00995DA0"/>
    <w:rsid w:val="00997CAC"/>
    <w:rsid w:val="009A507D"/>
    <w:rsid w:val="009A572D"/>
    <w:rsid w:val="009A57E8"/>
    <w:rsid w:val="009A657B"/>
    <w:rsid w:val="009B6343"/>
    <w:rsid w:val="009C34D1"/>
    <w:rsid w:val="009C3BDE"/>
    <w:rsid w:val="009C6569"/>
    <w:rsid w:val="009C6ECE"/>
    <w:rsid w:val="009D030F"/>
    <w:rsid w:val="009D3411"/>
    <w:rsid w:val="009D3C16"/>
    <w:rsid w:val="009D4C19"/>
    <w:rsid w:val="009D7615"/>
    <w:rsid w:val="009D7EA4"/>
    <w:rsid w:val="00A07CA7"/>
    <w:rsid w:val="00A174EB"/>
    <w:rsid w:val="00A203CD"/>
    <w:rsid w:val="00A27C75"/>
    <w:rsid w:val="00A27DD0"/>
    <w:rsid w:val="00A424BE"/>
    <w:rsid w:val="00A43919"/>
    <w:rsid w:val="00A44AF0"/>
    <w:rsid w:val="00A4727D"/>
    <w:rsid w:val="00A612BD"/>
    <w:rsid w:val="00A6225E"/>
    <w:rsid w:val="00A630F3"/>
    <w:rsid w:val="00A66AAE"/>
    <w:rsid w:val="00A72F9C"/>
    <w:rsid w:val="00A732D4"/>
    <w:rsid w:val="00A734B9"/>
    <w:rsid w:val="00A803F6"/>
    <w:rsid w:val="00A84203"/>
    <w:rsid w:val="00AA595E"/>
    <w:rsid w:val="00AB158B"/>
    <w:rsid w:val="00AB3B43"/>
    <w:rsid w:val="00AC2493"/>
    <w:rsid w:val="00AD13AA"/>
    <w:rsid w:val="00AD20A5"/>
    <w:rsid w:val="00AD5B46"/>
    <w:rsid w:val="00AE0EC1"/>
    <w:rsid w:val="00AE1553"/>
    <w:rsid w:val="00AE4127"/>
    <w:rsid w:val="00AE4800"/>
    <w:rsid w:val="00AE6C84"/>
    <w:rsid w:val="00AF1C93"/>
    <w:rsid w:val="00AF3DF9"/>
    <w:rsid w:val="00B01018"/>
    <w:rsid w:val="00B14F45"/>
    <w:rsid w:val="00B242D9"/>
    <w:rsid w:val="00B24D80"/>
    <w:rsid w:val="00B409E8"/>
    <w:rsid w:val="00B4149C"/>
    <w:rsid w:val="00B422FC"/>
    <w:rsid w:val="00B42C03"/>
    <w:rsid w:val="00B721F9"/>
    <w:rsid w:val="00B82383"/>
    <w:rsid w:val="00B82EDF"/>
    <w:rsid w:val="00B87081"/>
    <w:rsid w:val="00B876E8"/>
    <w:rsid w:val="00B93565"/>
    <w:rsid w:val="00B953A4"/>
    <w:rsid w:val="00BA5766"/>
    <w:rsid w:val="00BB0EAB"/>
    <w:rsid w:val="00BD2497"/>
    <w:rsid w:val="00BD4951"/>
    <w:rsid w:val="00BD5FDB"/>
    <w:rsid w:val="00BE3881"/>
    <w:rsid w:val="00BF24A1"/>
    <w:rsid w:val="00BF26AC"/>
    <w:rsid w:val="00BF43E8"/>
    <w:rsid w:val="00BF4DFB"/>
    <w:rsid w:val="00BF6FCD"/>
    <w:rsid w:val="00BF7AFB"/>
    <w:rsid w:val="00C02902"/>
    <w:rsid w:val="00C03A17"/>
    <w:rsid w:val="00C04192"/>
    <w:rsid w:val="00C05868"/>
    <w:rsid w:val="00C141F8"/>
    <w:rsid w:val="00C156E5"/>
    <w:rsid w:val="00C2553D"/>
    <w:rsid w:val="00C37115"/>
    <w:rsid w:val="00C37EED"/>
    <w:rsid w:val="00C41B9E"/>
    <w:rsid w:val="00C42082"/>
    <w:rsid w:val="00C4262F"/>
    <w:rsid w:val="00C42C9E"/>
    <w:rsid w:val="00C447DC"/>
    <w:rsid w:val="00C60820"/>
    <w:rsid w:val="00C647F6"/>
    <w:rsid w:val="00C65B83"/>
    <w:rsid w:val="00C76292"/>
    <w:rsid w:val="00C81430"/>
    <w:rsid w:val="00C86D08"/>
    <w:rsid w:val="00C954EC"/>
    <w:rsid w:val="00C96B42"/>
    <w:rsid w:val="00CA5FBC"/>
    <w:rsid w:val="00CA6055"/>
    <w:rsid w:val="00CA72E0"/>
    <w:rsid w:val="00CC0155"/>
    <w:rsid w:val="00CD3DC7"/>
    <w:rsid w:val="00CE2E5D"/>
    <w:rsid w:val="00CE5B8D"/>
    <w:rsid w:val="00CE69CE"/>
    <w:rsid w:val="00CE729C"/>
    <w:rsid w:val="00CE733C"/>
    <w:rsid w:val="00CF30F6"/>
    <w:rsid w:val="00CF3E27"/>
    <w:rsid w:val="00CF6AAA"/>
    <w:rsid w:val="00D0267B"/>
    <w:rsid w:val="00D0407A"/>
    <w:rsid w:val="00D04B0B"/>
    <w:rsid w:val="00D133E9"/>
    <w:rsid w:val="00D2323A"/>
    <w:rsid w:val="00D2340D"/>
    <w:rsid w:val="00D27D89"/>
    <w:rsid w:val="00D36A10"/>
    <w:rsid w:val="00D47F10"/>
    <w:rsid w:val="00D506A2"/>
    <w:rsid w:val="00D54624"/>
    <w:rsid w:val="00D56038"/>
    <w:rsid w:val="00D6015B"/>
    <w:rsid w:val="00D63E48"/>
    <w:rsid w:val="00D64314"/>
    <w:rsid w:val="00D72831"/>
    <w:rsid w:val="00D7408A"/>
    <w:rsid w:val="00D750A5"/>
    <w:rsid w:val="00D861F7"/>
    <w:rsid w:val="00D9453F"/>
    <w:rsid w:val="00D95BDB"/>
    <w:rsid w:val="00DA15EC"/>
    <w:rsid w:val="00DA696E"/>
    <w:rsid w:val="00DA6E41"/>
    <w:rsid w:val="00DB4E50"/>
    <w:rsid w:val="00DC103B"/>
    <w:rsid w:val="00DC27D7"/>
    <w:rsid w:val="00DC2EC9"/>
    <w:rsid w:val="00DD37CD"/>
    <w:rsid w:val="00DE5966"/>
    <w:rsid w:val="00DE6F32"/>
    <w:rsid w:val="00DF2B1C"/>
    <w:rsid w:val="00DF77B2"/>
    <w:rsid w:val="00E038F6"/>
    <w:rsid w:val="00E07E56"/>
    <w:rsid w:val="00E10EB4"/>
    <w:rsid w:val="00E11E1B"/>
    <w:rsid w:val="00E12813"/>
    <w:rsid w:val="00E13F49"/>
    <w:rsid w:val="00E20C8D"/>
    <w:rsid w:val="00E20FB4"/>
    <w:rsid w:val="00E21ECE"/>
    <w:rsid w:val="00E261EB"/>
    <w:rsid w:val="00E264A9"/>
    <w:rsid w:val="00E307A6"/>
    <w:rsid w:val="00E3515E"/>
    <w:rsid w:val="00E36F6D"/>
    <w:rsid w:val="00E404EA"/>
    <w:rsid w:val="00E425A2"/>
    <w:rsid w:val="00E42A0D"/>
    <w:rsid w:val="00E44497"/>
    <w:rsid w:val="00E46150"/>
    <w:rsid w:val="00E4678E"/>
    <w:rsid w:val="00E4796A"/>
    <w:rsid w:val="00E51475"/>
    <w:rsid w:val="00E6244F"/>
    <w:rsid w:val="00E8199E"/>
    <w:rsid w:val="00E82AAB"/>
    <w:rsid w:val="00E86870"/>
    <w:rsid w:val="00E9072C"/>
    <w:rsid w:val="00E921AF"/>
    <w:rsid w:val="00EC15B5"/>
    <w:rsid w:val="00ED4570"/>
    <w:rsid w:val="00ED5050"/>
    <w:rsid w:val="00EE25EF"/>
    <w:rsid w:val="00EF0BAC"/>
    <w:rsid w:val="00EF16C0"/>
    <w:rsid w:val="00EF5254"/>
    <w:rsid w:val="00F00237"/>
    <w:rsid w:val="00F0541A"/>
    <w:rsid w:val="00F06D92"/>
    <w:rsid w:val="00F10BE6"/>
    <w:rsid w:val="00F27AE8"/>
    <w:rsid w:val="00F30324"/>
    <w:rsid w:val="00F333B8"/>
    <w:rsid w:val="00F34CFD"/>
    <w:rsid w:val="00F44745"/>
    <w:rsid w:val="00F53AC8"/>
    <w:rsid w:val="00F620DF"/>
    <w:rsid w:val="00F658B3"/>
    <w:rsid w:val="00F66726"/>
    <w:rsid w:val="00F776A9"/>
    <w:rsid w:val="00F81239"/>
    <w:rsid w:val="00F84A29"/>
    <w:rsid w:val="00F95E51"/>
    <w:rsid w:val="00FA1668"/>
    <w:rsid w:val="00FA3C5D"/>
    <w:rsid w:val="00FA7EC5"/>
    <w:rsid w:val="00FC0FFA"/>
    <w:rsid w:val="00FC5DF5"/>
    <w:rsid w:val="00FC74AA"/>
    <w:rsid w:val="00FD3BE0"/>
    <w:rsid w:val="00FE12A2"/>
    <w:rsid w:val="00FE3343"/>
    <w:rsid w:val="00FE6578"/>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57A4"/>
  <w15:chartTrackingRefBased/>
  <w15:docId w15:val="{1E99DC67-D4E9-4EFF-8DD2-0AC0535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pl-PL"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81239"/>
    <w:rPr>
      <w:rFonts w:eastAsia="Times New Roman"/>
      <w:sz w:val="24"/>
      <w:szCs w:val="24"/>
      <w:lang w:eastAsia="pl-PL"/>
    </w:rPr>
  </w:style>
  <w:style w:type="paragraph" w:styleId="Nagwek4">
    <w:name w:val="heading 4"/>
    <w:basedOn w:val="Normalny"/>
    <w:next w:val="Normalny"/>
    <w:link w:val="Nagwek4Znak"/>
    <w:qFormat/>
    <w:rsid w:val="00F81239"/>
    <w:pPr>
      <w:keepNext/>
      <w:spacing w:before="240" w:after="60"/>
      <w:outlineLvl w:val="3"/>
    </w:pPr>
    <w:rPr>
      <w:b/>
      <w:bCs/>
      <w:sz w:val="28"/>
      <w:szCs w:val="28"/>
    </w:rPr>
  </w:style>
  <w:style w:type="paragraph" w:styleId="Nagwek6">
    <w:name w:val="heading 6"/>
    <w:basedOn w:val="Normalny"/>
    <w:next w:val="Normalny"/>
    <w:qFormat/>
    <w:rsid w:val="00F812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link w:val="Tekstkomentarza"/>
    <w:locked/>
    <w:rsid w:val="00F81239"/>
    <w:rPr>
      <w:rFonts w:ascii="Calibri" w:eastAsia="Calibri" w:hAnsi="Calibri"/>
      <w:lang w:val="pl-PL" w:eastAsia="ar-SA" w:bidi="ar-SA"/>
    </w:rPr>
  </w:style>
  <w:style w:type="paragraph" w:styleId="Tekstkomentarza">
    <w:name w:val="annotation text"/>
    <w:basedOn w:val="Normalny"/>
    <w:link w:val="TekstkomentarzaZnak"/>
    <w:rsid w:val="00F81239"/>
    <w:pPr>
      <w:suppressAutoHyphens/>
    </w:pPr>
    <w:rPr>
      <w:rFonts w:ascii="Calibri" w:eastAsia="Calibri" w:hAnsi="Calibri"/>
      <w:sz w:val="20"/>
      <w:szCs w:val="20"/>
      <w:lang w:eastAsia="ar-SA"/>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link w:val="Tekstpodstawowy"/>
    <w:locked/>
    <w:rsid w:val="00F81239"/>
    <w:rPr>
      <w:sz w:val="24"/>
      <w:szCs w:val="24"/>
      <w:lang w:val="pl-PL" w:eastAsia="pl-PL" w:bidi="ar-SA"/>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F81239"/>
    <w:pPr>
      <w:spacing w:line="360" w:lineRule="auto"/>
      <w:jc w:val="both"/>
    </w:pPr>
  </w:style>
  <w:style w:type="paragraph" w:customStyle="1" w:styleId="Default">
    <w:name w:val="Default"/>
    <w:rsid w:val="00F81239"/>
    <w:pPr>
      <w:widowControl w:val="0"/>
      <w:autoSpaceDE w:val="0"/>
      <w:autoSpaceDN w:val="0"/>
      <w:adjustRightInd w:val="0"/>
    </w:pPr>
    <w:rPr>
      <w:rFonts w:ascii="CKBKDC+Arial" w:eastAsia="Times New Roman" w:hAnsi="CKBKDC+Arial" w:cs="CKBKDC+Arial"/>
      <w:color w:val="000000"/>
      <w:sz w:val="24"/>
      <w:szCs w:val="24"/>
      <w:lang w:eastAsia="pl-PL"/>
    </w:rPr>
  </w:style>
  <w:style w:type="paragraph" w:customStyle="1" w:styleId="Akapitzlist1">
    <w:name w:val="Akapit z listą1"/>
    <w:basedOn w:val="Normalny"/>
    <w:rsid w:val="00F81239"/>
    <w:pPr>
      <w:widowControl w:val="0"/>
      <w:autoSpaceDE w:val="0"/>
      <w:autoSpaceDN w:val="0"/>
      <w:adjustRightInd w:val="0"/>
      <w:ind w:left="720"/>
      <w:contextualSpacing/>
    </w:pPr>
    <w:rPr>
      <w:sz w:val="20"/>
      <w:szCs w:val="20"/>
    </w:rPr>
  </w:style>
  <w:style w:type="character" w:styleId="Odwoaniedokomentarza">
    <w:name w:val="annotation reference"/>
    <w:semiHidden/>
    <w:rsid w:val="00F81239"/>
    <w:rPr>
      <w:sz w:val="16"/>
      <w:szCs w:val="16"/>
    </w:rPr>
  </w:style>
  <w:style w:type="character" w:customStyle="1" w:styleId="ZnakZnak">
    <w:name w:val="Znak Znak"/>
    <w:locked/>
    <w:rsid w:val="00F81239"/>
    <w:rPr>
      <w:rFonts w:eastAsia="Calibri"/>
      <w:lang w:val="pl-PL" w:eastAsia="ar-SA" w:bidi="ar-SA"/>
    </w:rPr>
  </w:style>
  <w:style w:type="paragraph" w:styleId="Tekstdymka">
    <w:name w:val="Balloon Text"/>
    <w:basedOn w:val="Normalny"/>
    <w:semiHidden/>
    <w:rsid w:val="00F81239"/>
    <w:rPr>
      <w:rFonts w:ascii="Tahoma" w:hAnsi="Tahoma" w:cs="Tahoma"/>
      <w:sz w:val="16"/>
      <w:szCs w:val="16"/>
    </w:rPr>
  </w:style>
  <w:style w:type="paragraph" w:customStyle="1" w:styleId="EntLogo">
    <w:name w:val="EntLogo"/>
    <w:basedOn w:val="Normalny"/>
    <w:rsid w:val="00394AD7"/>
    <w:pPr>
      <w:numPr>
        <w:numId w:val="1"/>
      </w:numPr>
    </w:pPr>
  </w:style>
  <w:style w:type="paragraph" w:styleId="Poprawka">
    <w:name w:val="Revision"/>
    <w:hidden/>
    <w:uiPriority w:val="99"/>
    <w:semiHidden/>
    <w:rsid w:val="00DA15EC"/>
    <w:rPr>
      <w:rFonts w:eastAsia="Times New Roman"/>
      <w:sz w:val="24"/>
      <w:szCs w:val="24"/>
      <w:lang w:eastAsia="pl-PL"/>
    </w:rPr>
  </w:style>
  <w:style w:type="paragraph" w:styleId="Nagwek">
    <w:name w:val="header"/>
    <w:basedOn w:val="Normalny"/>
    <w:link w:val="NagwekZnak"/>
    <w:rsid w:val="00A44AF0"/>
    <w:pPr>
      <w:tabs>
        <w:tab w:val="center" w:pos="4536"/>
        <w:tab w:val="right" w:pos="9072"/>
      </w:tabs>
    </w:pPr>
  </w:style>
  <w:style w:type="character" w:customStyle="1" w:styleId="NagwekZnak">
    <w:name w:val="Nagłówek Znak"/>
    <w:link w:val="Nagwek"/>
    <w:rsid w:val="00A44AF0"/>
    <w:rPr>
      <w:rFonts w:eastAsia="Times New Roman"/>
      <w:sz w:val="24"/>
      <w:szCs w:val="24"/>
    </w:rPr>
  </w:style>
  <w:style w:type="paragraph" w:styleId="Stopka">
    <w:name w:val="footer"/>
    <w:basedOn w:val="Normalny"/>
    <w:link w:val="StopkaZnak"/>
    <w:uiPriority w:val="99"/>
    <w:rsid w:val="00A44AF0"/>
    <w:pPr>
      <w:tabs>
        <w:tab w:val="center" w:pos="4536"/>
        <w:tab w:val="right" w:pos="9072"/>
      </w:tabs>
    </w:pPr>
  </w:style>
  <w:style w:type="character" w:customStyle="1" w:styleId="StopkaZnak">
    <w:name w:val="Stopka Znak"/>
    <w:link w:val="Stopka"/>
    <w:uiPriority w:val="99"/>
    <w:rsid w:val="00A44AF0"/>
    <w:rPr>
      <w:rFonts w:eastAsia="Times New Roman"/>
      <w:sz w:val="24"/>
      <w:szCs w:val="24"/>
    </w:rPr>
  </w:style>
  <w:style w:type="paragraph" w:styleId="Tematkomentarza">
    <w:name w:val="annotation subject"/>
    <w:basedOn w:val="Tekstkomentarza"/>
    <w:next w:val="Tekstkomentarza"/>
    <w:link w:val="TematkomentarzaZnak"/>
    <w:rsid w:val="00416273"/>
    <w:pPr>
      <w:suppressAutoHyphens w:val="0"/>
    </w:pPr>
    <w:rPr>
      <w:rFonts w:ascii="Times New Roman" w:eastAsia="Times New Roman" w:hAnsi="Times New Roman"/>
      <w:b/>
      <w:bCs/>
      <w:lang w:eastAsia="pl-PL"/>
    </w:rPr>
  </w:style>
  <w:style w:type="character" w:customStyle="1" w:styleId="TematkomentarzaZnak">
    <w:name w:val="Temat komentarza Znak"/>
    <w:link w:val="Tematkomentarza"/>
    <w:rsid w:val="00416273"/>
    <w:rPr>
      <w:rFonts w:ascii="Calibri" w:eastAsia="Times New Roman" w:hAnsi="Calibri"/>
      <w:b/>
      <w:bCs/>
      <w:lang w:val="pl-PL" w:eastAsia="ar-SA" w:bidi="ar-SA"/>
    </w:rPr>
  </w:style>
  <w:style w:type="paragraph" w:customStyle="1" w:styleId="default0">
    <w:name w:val="default"/>
    <w:basedOn w:val="Normalny"/>
    <w:rsid w:val="00D7408A"/>
    <w:pPr>
      <w:spacing w:before="100" w:beforeAutospacing="1" w:after="100" w:afterAutospacing="1"/>
    </w:pPr>
    <w:rPr>
      <w:rFonts w:eastAsia="Batang"/>
      <w:lang w:eastAsia="ko-KR"/>
    </w:rPr>
  </w:style>
  <w:style w:type="paragraph" w:styleId="Akapitzlist">
    <w:name w:val="List Paragraph"/>
    <w:basedOn w:val="Normalny"/>
    <w:uiPriority w:val="34"/>
    <w:qFormat/>
    <w:rsid w:val="00E86870"/>
    <w:pPr>
      <w:ind w:left="720"/>
      <w:contextualSpacing/>
    </w:pPr>
  </w:style>
  <w:style w:type="character" w:customStyle="1" w:styleId="Nagwek4Znak">
    <w:name w:val="Nagłówek 4 Znak"/>
    <w:link w:val="Nagwek4"/>
    <w:rsid w:val="00C03A17"/>
    <w:rPr>
      <w:rFonts w:eastAsia="Times New Roman"/>
      <w:b/>
      <w:bCs/>
      <w:sz w:val="28"/>
      <w:szCs w:val="28"/>
    </w:rPr>
  </w:style>
  <w:style w:type="table" w:styleId="Tabela-Siatka">
    <w:name w:val="Table Grid"/>
    <w:basedOn w:val="Standardowy"/>
    <w:uiPriority w:val="59"/>
    <w:rsid w:val="00B72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928441">
      <w:bodyDiv w:val="1"/>
      <w:marLeft w:val="0"/>
      <w:marRight w:val="0"/>
      <w:marTop w:val="0"/>
      <w:marBottom w:val="0"/>
      <w:divBdr>
        <w:top w:val="none" w:sz="0" w:space="0" w:color="auto"/>
        <w:left w:val="none" w:sz="0" w:space="0" w:color="auto"/>
        <w:bottom w:val="none" w:sz="0" w:space="0" w:color="auto"/>
        <w:right w:val="none" w:sz="0" w:space="0" w:color="auto"/>
      </w:divBdr>
      <w:divsChild>
        <w:div w:id="1386951538">
          <w:marLeft w:val="0"/>
          <w:marRight w:val="0"/>
          <w:marTop w:val="0"/>
          <w:marBottom w:val="0"/>
          <w:divBdr>
            <w:top w:val="none" w:sz="0" w:space="0" w:color="auto"/>
            <w:left w:val="none" w:sz="0" w:space="0" w:color="auto"/>
            <w:bottom w:val="none" w:sz="0" w:space="0" w:color="auto"/>
            <w:right w:val="none" w:sz="0" w:space="0" w:color="auto"/>
          </w:divBdr>
          <w:divsChild>
            <w:div w:id="19556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8491">
      <w:bodyDiv w:val="1"/>
      <w:marLeft w:val="0"/>
      <w:marRight w:val="0"/>
      <w:marTop w:val="0"/>
      <w:marBottom w:val="0"/>
      <w:divBdr>
        <w:top w:val="none" w:sz="0" w:space="0" w:color="auto"/>
        <w:left w:val="none" w:sz="0" w:space="0" w:color="auto"/>
        <w:bottom w:val="none" w:sz="0" w:space="0" w:color="auto"/>
        <w:right w:val="none" w:sz="0" w:space="0" w:color="auto"/>
      </w:divBdr>
    </w:div>
    <w:div w:id="1207721342">
      <w:bodyDiv w:val="1"/>
      <w:marLeft w:val="0"/>
      <w:marRight w:val="0"/>
      <w:marTop w:val="0"/>
      <w:marBottom w:val="0"/>
      <w:divBdr>
        <w:top w:val="none" w:sz="0" w:space="0" w:color="auto"/>
        <w:left w:val="none" w:sz="0" w:space="0" w:color="auto"/>
        <w:bottom w:val="none" w:sz="0" w:space="0" w:color="auto"/>
        <w:right w:val="none" w:sz="0" w:space="0" w:color="auto"/>
      </w:divBdr>
    </w:div>
    <w:div w:id="1218513283">
      <w:bodyDiv w:val="1"/>
      <w:marLeft w:val="0"/>
      <w:marRight w:val="0"/>
      <w:marTop w:val="0"/>
      <w:marBottom w:val="0"/>
      <w:divBdr>
        <w:top w:val="none" w:sz="0" w:space="0" w:color="auto"/>
        <w:left w:val="none" w:sz="0" w:space="0" w:color="auto"/>
        <w:bottom w:val="none" w:sz="0" w:space="0" w:color="auto"/>
        <w:right w:val="none" w:sz="0" w:space="0" w:color="auto"/>
      </w:divBdr>
    </w:div>
    <w:div w:id="1362166269">
      <w:bodyDiv w:val="1"/>
      <w:marLeft w:val="0"/>
      <w:marRight w:val="0"/>
      <w:marTop w:val="0"/>
      <w:marBottom w:val="0"/>
      <w:divBdr>
        <w:top w:val="none" w:sz="0" w:space="0" w:color="auto"/>
        <w:left w:val="none" w:sz="0" w:space="0" w:color="auto"/>
        <w:bottom w:val="none" w:sz="0" w:space="0" w:color="auto"/>
        <w:right w:val="none" w:sz="0" w:space="0" w:color="auto"/>
      </w:divBdr>
    </w:div>
    <w:div w:id="1398236663">
      <w:bodyDiv w:val="1"/>
      <w:marLeft w:val="0"/>
      <w:marRight w:val="0"/>
      <w:marTop w:val="0"/>
      <w:marBottom w:val="0"/>
      <w:divBdr>
        <w:top w:val="none" w:sz="0" w:space="0" w:color="auto"/>
        <w:left w:val="none" w:sz="0" w:space="0" w:color="auto"/>
        <w:bottom w:val="none" w:sz="0" w:space="0" w:color="auto"/>
        <w:right w:val="none" w:sz="0" w:space="0" w:color="auto"/>
      </w:divBdr>
    </w:div>
    <w:div w:id="161763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6A04-66C5-4731-8E54-AFCF9F98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1293</Words>
  <Characters>8139</Characters>
  <DocSecurity>0</DocSecurity>
  <Lines>67</Lines>
  <Paragraphs>18</Paragraphs>
  <ScaleCrop>false</ScaleCrop>
  <HeadingPairs>
    <vt:vector size="2" baseType="variant">
      <vt:variant>
        <vt:lpstr>Tytuł</vt:lpstr>
      </vt:variant>
      <vt:variant>
        <vt:i4>1</vt:i4>
      </vt:variant>
    </vt:vector>
  </HeadingPairs>
  <TitlesOfParts>
    <vt:vector size="1" baseType="lpstr">
      <vt:lpstr>Załączniki do rozporządzenia</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2015-10-28T09:48:00Z</cp:lastPrinted>
  <dcterms:created xsi:type="dcterms:W3CDTF">2020-07-30T12:37:00Z</dcterms:created>
  <dcterms:modified xsi:type="dcterms:W3CDTF">2020-08-03T17:24:00Z</dcterms:modified>
</cp:coreProperties>
</file>