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3F239" w14:textId="5ACA2632" w:rsidR="00314562" w:rsidRDefault="008644ED" w:rsidP="00AB4353">
      <w:pPr>
        <w:pStyle w:val="Tytu"/>
      </w:pPr>
      <w:r w:rsidRPr="008644ED">
        <w:rPr>
          <w:rFonts w:ascii="Times New Roman" w:eastAsia="Times New Roman" w:hAnsi="Times New Roman" w:cs="Times New Roman"/>
          <w:b/>
          <w:bCs/>
          <w:noProof/>
          <w:spacing w:val="0"/>
          <w:kern w:val="0"/>
          <w:sz w:val="24"/>
          <w:szCs w:val="24"/>
          <w:lang w:eastAsia="en-GB"/>
          <w14:ligatures w14:val="none"/>
        </w:rPr>
        <w:drawing>
          <wp:inline distT="0" distB="0" distL="0" distR="0" wp14:anchorId="1828330B" wp14:editId="041274AB">
            <wp:extent cx="5759450" cy="1135130"/>
            <wp:effectExtent l="0" t="0" r="0" b="8255"/>
            <wp:docPr id="1325585395" name="Obraz 1" descr="Obraz zawierający tekst,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585395" name="Obraz 1" descr="Obraz zawierający tekst, Czcionka&#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1135130"/>
                    </a:xfrm>
                    <a:prstGeom prst="rect">
                      <a:avLst/>
                    </a:prstGeom>
                    <a:noFill/>
                    <a:ln>
                      <a:noFill/>
                    </a:ln>
                  </pic:spPr>
                </pic:pic>
              </a:graphicData>
            </a:graphic>
          </wp:inline>
        </w:drawing>
      </w:r>
    </w:p>
    <w:p w14:paraId="555F7452" w14:textId="77777777" w:rsidR="00314562" w:rsidRDefault="00314562" w:rsidP="00375D7D">
      <w:pPr>
        <w:jc w:val="center"/>
        <w:rPr>
          <w:rFonts w:ascii="Times New Roman" w:hAnsi="Times New Roman" w:cs="Times New Roman"/>
          <w:b/>
          <w:bCs/>
          <w:sz w:val="32"/>
          <w:szCs w:val="32"/>
        </w:rPr>
      </w:pPr>
    </w:p>
    <w:p w14:paraId="4D90DDA2" w14:textId="77777777" w:rsidR="00314562" w:rsidRDefault="00314562" w:rsidP="00375D7D">
      <w:pPr>
        <w:jc w:val="center"/>
        <w:rPr>
          <w:rFonts w:ascii="Times New Roman" w:hAnsi="Times New Roman" w:cs="Times New Roman"/>
          <w:b/>
          <w:bCs/>
          <w:sz w:val="32"/>
          <w:szCs w:val="32"/>
        </w:rPr>
      </w:pPr>
    </w:p>
    <w:p w14:paraId="3983A35E" w14:textId="77777777" w:rsidR="00314562" w:rsidRDefault="00314562" w:rsidP="00375D7D">
      <w:pPr>
        <w:jc w:val="center"/>
        <w:rPr>
          <w:rFonts w:ascii="Times New Roman" w:hAnsi="Times New Roman" w:cs="Times New Roman"/>
          <w:b/>
          <w:bCs/>
          <w:sz w:val="32"/>
          <w:szCs w:val="32"/>
        </w:rPr>
      </w:pPr>
    </w:p>
    <w:p w14:paraId="66899C34" w14:textId="77777777" w:rsidR="00314562" w:rsidRDefault="00314562" w:rsidP="00375D7D">
      <w:pPr>
        <w:jc w:val="center"/>
        <w:rPr>
          <w:rFonts w:ascii="Times New Roman" w:hAnsi="Times New Roman" w:cs="Times New Roman"/>
          <w:b/>
          <w:bCs/>
          <w:sz w:val="32"/>
          <w:szCs w:val="32"/>
        </w:rPr>
      </w:pPr>
    </w:p>
    <w:p w14:paraId="5C1D3F43" w14:textId="1FA3EF11" w:rsidR="00B362D2" w:rsidRDefault="00D270E4" w:rsidP="00375D7D">
      <w:pPr>
        <w:jc w:val="center"/>
        <w:rPr>
          <w:rFonts w:ascii="Times New Roman" w:hAnsi="Times New Roman" w:cs="Times New Roman"/>
          <w:b/>
          <w:bCs/>
          <w:sz w:val="36"/>
          <w:szCs w:val="36"/>
        </w:rPr>
      </w:pPr>
      <w:r>
        <w:rPr>
          <w:rFonts w:ascii="Times New Roman" w:hAnsi="Times New Roman" w:cs="Times New Roman"/>
          <w:b/>
          <w:bCs/>
          <w:sz w:val="36"/>
          <w:szCs w:val="36"/>
        </w:rPr>
        <w:t>R</w:t>
      </w:r>
      <w:r w:rsidR="00375D7D" w:rsidRPr="00314562">
        <w:rPr>
          <w:rFonts w:ascii="Times New Roman" w:hAnsi="Times New Roman" w:cs="Times New Roman"/>
          <w:b/>
          <w:bCs/>
          <w:sz w:val="36"/>
          <w:szCs w:val="36"/>
        </w:rPr>
        <w:t>aport metodologiczn</w:t>
      </w:r>
      <w:r>
        <w:rPr>
          <w:rFonts w:ascii="Times New Roman" w:hAnsi="Times New Roman" w:cs="Times New Roman"/>
          <w:b/>
          <w:bCs/>
          <w:sz w:val="36"/>
          <w:szCs w:val="36"/>
        </w:rPr>
        <w:t>y</w:t>
      </w:r>
      <w:r w:rsidR="00375D7D" w:rsidRPr="00314562">
        <w:rPr>
          <w:rFonts w:ascii="Times New Roman" w:hAnsi="Times New Roman" w:cs="Times New Roman"/>
          <w:b/>
          <w:bCs/>
          <w:sz w:val="36"/>
          <w:szCs w:val="36"/>
        </w:rPr>
        <w:br/>
        <w:t xml:space="preserve">i </w:t>
      </w:r>
      <w:r w:rsidRPr="00314562">
        <w:rPr>
          <w:rFonts w:ascii="Times New Roman" w:hAnsi="Times New Roman" w:cs="Times New Roman"/>
          <w:b/>
          <w:bCs/>
          <w:sz w:val="36"/>
          <w:szCs w:val="36"/>
        </w:rPr>
        <w:t>narzędz</w:t>
      </w:r>
      <w:r>
        <w:rPr>
          <w:rFonts w:ascii="Times New Roman" w:hAnsi="Times New Roman" w:cs="Times New Roman"/>
          <w:b/>
          <w:bCs/>
          <w:sz w:val="36"/>
          <w:szCs w:val="36"/>
        </w:rPr>
        <w:t>ia</w:t>
      </w:r>
      <w:r w:rsidR="00375D7D" w:rsidRPr="00314562">
        <w:rPr>
          <w:rFonts w:ascii="Times New Roman" w:hAnsi="Times New Roman" w:cs="Times New Roman"/>
          <w:b/>
          <w:bCs/>
          <w:sz w:val="36"/>
          <w:szCs w:val="36"/>
        </w:rPr>
        <w:t xml:space="preserve"> badawcz</w:t>
      </w:r>
      <w:r>
        <w:rPr>
          <w:rFonts w:ascii="Times New Roman" w:hAnsi="Times New Roman" w:cs="Times New Roman"/>
          <w:b/>
          <w:bCs/>
          <w:sz w:val="36"/>
          <w:szCs w:val="36"/>
        </w:rPr>
        <w:t>e</w:t>
      </w:r>
      <w:r w:rsidR="00375D7D" w:rsidRPr="00314562">
        <w:rPr>
          <w:rFonts w:ascii="Times New Roman" w:hAnsi="Times New Roman" w:cs="Times New Roman"/>
          <w:b/>
          <w:bCs/>
          <w:sz w:val="36"/>
          <w:szCs w:val="36"/>
        </w:rPr>
        <w:t>, niezbędn</w:t>
      </w:r>
      <w:r>
        <w:rPr>
          <w:rFonts w:ascii="Times New Roman" w:hAnsi="Times New Roman" w:cs="Times New Roman"/>
          <w:b/>
          <w:bCs/>
          <w:sz w:val="36"/>
          <w:szCs w:val="36"/>
        </w:rPr>
        <w:t>e</w:t>
      </w:r>
      <w:r w:rsidR="00375D7D" w:rsidRPr="00314562">
        <w:rPr>
          <w:rFonts w:ascii="Times New Roman" w:hAnsi="Times New Roman" w:cs="Times New Roman"/>
          <w:b/>
          <w:bCs/>
          <w:sz w:val="36"/>
          <w:szCs w:val="36"/>
        </w:rPr>
        <w:t xml:space="preserve"> do ewaluacji </w:t>
      </w:r>
      <w:r w:rsidR="00314562">
        <w:rPr>
          <w:rFonts w:ascii="Times New Roman" w:hAnsi="Times New Roman" w:cs="Times New Roman"/>
          <w:b/>
          <w:bCs/>
          <w:sz w:val="36"/>
          <w:szCs w:val="36"/>
        </w:rPr>
        <w:br/>
      </w:r>
      <w:r w:rsidR="00375D7D" w:rsidRPr="00314562">
        <w:rPr>
          <w:rFonts w:ascii="Times New Roman" w:hAnsi="Times New Roman" w:cs="Times New Roman"/>
          <w:b/>
          <w:bCs/>
          <w:sz w:val="36"/>
          <w:szCs w:val="36"/>
        </w:rPr>
        <w:t>pr</w:t>
      </w:r>
      <w:r w:rsidR="00314562">
        <w:rPr>
          <w:rFonts w:ascii="Times New Roman" w:hAnsi="Times New Roman" w:cs="Times New Roman"/>
          <w:b/>
          <w:bCs/>
          <w:sz w:val="36"/>
          <w:szCs w:val="36"/>
        </w:rPr>
        <w:t>o</w:t>
      </w:r>
      <w:r w:rsidR="00375D7D" w:rsidRPr="00314562">
        <w:rPr>
          <w:rFonts w:ascii="Times New Roman" w:hAnsi="Times New Roman" w:cs="Times New Roman"/>
          <w:b/>
          <w:bCs/>
          <w:sz w:val="36"/>
          <w:szCs w:val="36"/>
        </w:rPr>
        <w:t xml:space="preserve">gramu dotowanych ubezpieczeń upraw </w:t>
      </w:r>
      <w:r w:rsidR="00314562">
        <w:rPr>
          <w:rFonts w:ascii="Times New Roman" w:hAnsi="Times New Roman" w:cs="Times New Roman"/>
          <w:b/>
          <w:bCs/>
          <w:sz w:val="36"/>
          <w:szCs w:val="36"/>
        </w:rPr>
        <w:br/>
      </w:r>
      <w:r w:rsidR="00375D7D" w:rsidRPr="00314562">
        <w:rPr>
          <w:rFonts w:ascii="Times New Roman" w:hAnsi="Times New Roman" w:cs="Times New Roman"/>
          <w:b/>
          <w:bCs/>
          <w:sz w:val="36"/>
          <w:szCs w:val="36"/>
        </w:rPr>
        <w:t>i zwierząt gospodarskich</w:t>
      </w:r>
    </w:p>
    <w:p w14:paraId="68FE1550" w14:textId="77777777" w:rsidR="00362DC1" w:rsidRDefault="00362DC1" w:rsidP="00375D7D">
      <w:pPr>
        <w:jc w:val="center"/>
        <w:rPr>
          <w:rFonts w:ascii="Times New Roman" w:hAnsi="Times New Roman" w:cs="Times New Roman"/>
          <w:b/>
          <w:bCs/>
          <w:sz w:val="36"/>
          <w:szCs w:val="36"/>
        </w:rPr>
      </w:pPr>
    </w:p>
    <w:tbl>
      <w:tblPr>
        <w:tblStyle w:val="Tabela-Siatka"/>
        <w:tblpPr w:leftFromText="141" w:rightFromText="141" w:vertAnchor="text" w:horzAnchor="page" w:tblpX="5072" w:tblpY="474"/>
        <w:tblW w:w="6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4"/>
      </w:tblGrid>
      <w:tr w:rsidR="00362DC1" w14:paraId="48F1DAA6" w14:textId="77777777" w:rsidTr="00362DC1">
        <w:trPr>
          <w:trHeight w:val="453"/>
        </w:trPr>
        <w:tc>
          <w:tcPr>
            <w:tcW w:w="6384" w:type="dxa"/>
          </w:tcPr>
          <w:p w14:paraId="611049F3" w14:textId="77777777" w:rsidR="00362DC1" w:rsidRPr="00362DC1" w:rsidRDefault="00362DC1" w:rsidP="00362DC1">
            <w:pPr>
              <w:rPr>
                <w:rFonts w:ascii="Times New Roman" w:hAnsi="Times New Roman" w:cs="Times New Roman"/>
                <w:b/>
                <w:bCs/>
                <w:sz w:val="32"/>
                <w:szCs w:val="32"/>
              </w:rPr>
            </w:pPr>
            <w:r w:rsidRPr="00362DC1">
              <w:rPr>
                <w:rFonts w:ascii="Times New Roman" w:hAnsi="Times New Roman" w:cs="Times New Roman"/>
                <w:b/>
                <w:bCs/>
                <w:sz w:val="28"/>
                <w:szCs w:val="28"/>
              </w:rPr>
              <w:br w:type="page"/>
            </w:r>
            <w:r w:rsidRPr="00362DC1">
              <w:rPr>
                <w:rFonts w:ascii="Times New Roman" w:hAnsi="Times New Roman" w:cs="Times New Roman"/>
                <w:b/>
                <w:bCs/>
                <w:sz w:val="32"/>
                <w:szCs w:val="32"/>
              </w:rPr>
              <w:t>Autorzy:</w:t>
            </w:r>
          </w:p>
        </w:tc>
      </w:tr>
      <w:tr w:rsidR="00362DC1" w14:paraId="0CE565D9" w14:textId="77777777" w:rsidTr="00362DC1">
        <w:trPr>
          <w:trHeight w:val="559"/>
        </w:trPr>
        <w:tc>
          <w:tcPr>
            <w:tcW w:w="6384" w:type="dxa"/>
          </w:tcPr>
          <w:p w14:paraId="015DF750" w14:textId="0AA58EF8" w:rsidR="00362DC1" w:rsidRPr="00362DC1" w:rsidRDefault="00362DC1" w:rsidP="00362DC1">
            <w:pPr>
              <w:rPr>
                <w:rFonts w:ascii="Times New Roman" w:hAnsi="Times New Roman" w:cs="Times New Roman"/>
                <w:sz w:val="28"/>
                <w:szCs w:val="28"/>
              </w:rPr>
            </w:pPr>
            <w:r w:rsidRPr="00362DC1">
              <w:rPr>
                <w:rFonts w:ascii="Times New Roman" w:hAnsi="Times New Roman" w:cs="Times New Roman"/>
                <w:sz w:val="28"/>
                <w:szCs w:val="28"/>
              </w:rPr>
              <w:t>Dr inż. Ada</w:t>
            </w:r>
            <w:r w:rsidR="006324FD">
              <w:rPr>
                <w:rFonts w:ascii="Times New Roman" w:hAnsi="Times New Roman" w:cs="Times New Roman"/>
                <w:sz w:val="28"/>
                <w:szCs w:val="28"/>
              </w:rPr>
              <w:t>m</w:t>
            </w:r>
            <w:r w:rsidRPr="00362DC1">
              <w:rPr>
                <w:rFonts w:ascii="Times New Roman" w:hAnsi="Times New Roman" w:cs="Times New Roman"/>
                <w:sz w:val="28"/>
                <w:szCs w:val="28"/>
              </w:rPr>
              <w:t xml:space="preserve"> Kagan</w:t>
            </w:r>
          </w:p>
        </w:tc>
      </w:tr>
      <w:tr w:rsidR="00362DC1" w:rsidRPr="00362DC1" w14:paraId="07697A0A" w14:textId="77777777" w:rsidTr="00362DC1">
        <w:trPr>
          <w:trHeight w:val="1016"/>
        </w:trPr>
        <w:tc>
          <w:tcPr>
            <w:tcW w:w="6384" w:type="dxa"/>
          </w:tcPr>
          <w:p w14:paraId="5780E8A2" w14:textId="77777777" w:rsidR="00362DC1" w:rsidRPr="00362DC1" w:rsidRDefault="00362DC1" w:rsidP="00362DC1">
            <w:pPr>
              <w:rPr>
                <w:rFonts w:ascii="Times New Roman" w:hAnsi="Times New Roman" w:cs="Times New Roman"/>
                <w:sz w:val="28"/>
                <w:szCs w:val="28"/>
              </w:rPr>
            </w:pPr>
            <w:r w:rsidRPr="00362DC1">
              <w:rPr>
                <w:rFonts w:ascii="Times New Roman" w:hAnsi="Times New Roman" w:cs="Times New Roman"/>
                <w:sz w:val="28"/>
                <w:szCs w:val="28"/>
              </w:rPr>
              <w:t xml:space="preserve">Prof. dr hab. Jacek Kulawik </w:t>
            </w:r>
            <w:r>
              <w:rPr>
                <w:rFonts w:ascii="Times New Roman" w:hAnsi="Times New Roman" w:cs="Times New Roman"/>
                <w:sz w:val="28"/>
                <w:szCs w:val="28"/>
              </w:rPr>
              <w:br/>
            </w:r>
            <w:r w:rsidRPr="00362DC1">
              <w:rPr>
                <w:rFonts w:ascii="Times New Roman" w:hAnsi="Times New Roman" w:cs="Times New Roman"/>
                <w:sz w:val="24"/>
                <w:szCs w:val="24"/>
              </w:rPr>
              <w:t xml:space="preserve">(autorstwo i współautorstwo, konceptualizacja, </w:t>
            </w:r>
            <w:r w:rsidRPr="00362DC1">
              <w:rPr>
                <w:rFonts w:ascii="Times New Roman" w:hAnsi="Times New Roman" w:cs="Times New Roman"/>
                <w:sz w:val="24"/>
                <w:szCs w:val="24"/>
              </w:rPr>
              <w:br/>
              <w:t>redakcja całości)</w:t>
            </w:r>
          </w:p>
        </w:tc>
      </w:tr>
      <w:tr w:rsidR="00362DC1" w:rsidRPr="00362DC1" w14:paraId="439F9E78" w14:textId="77777777" w:rsidTr="00362DC1">
        <w:trPr>
          <w:trHeight w:val="552"/>
        </w:trPr>
        <w:tc>
          <w:tcPr>
            <w:tcW w:w="6384" w:type="dxa"/>
          </w:tcPr>
          <w:p w14:paraId="747B9211" w14:textId="0268B9DB" w:rsidR="00362DC1" w:rsidRPr="00362DC1" w:rsidRDefault="00362DC1" w:rsidP="00362DC1">
            <w:pPr>
              <w:rPr>
                <w:rFonts w:ascii="Times New Roman" w:hAnsi="Times New Roman" w:cs="Times New Roman"/>
                <w:sz w:val="28"/>
                <w:szCs w:val="28"/>
              </w:rPr>
            </w:pPr>
            <w:r w:rsidRPr="00362DC1">
              <w:rPr>
                <w:rFonts w:ascii="Times New Roman" w:hAnsi="Times New Roman" w:cs="Times New Roman"/>
                <w:sz w:val="28"/>
                <w:szCs w:val="28"/>
              </w:rPr>
              <w:t>Dr Agnieszka Kurdyś-Kujawska</w:t>
            </w:r>
            <w:r w:rsidR="002533B8">
              <w:rPr>
                <w:rFonts w:ascii="Times New Roman" w:hAnsi="Times New Roman" w:cs="Times New Roman"/>
                <w:sz w:val="28"/>
                <w:szCs w:val="28"/>
              </w:rPr>
              <w:t xml:space="preserve"> </w:t>
            </w:r>
            <w:r w:rsidR="002533B8">
              <w:rPr>
                <w:rFonts w:ascii="Times New Roman" w:hAnsi="Times New Roman" w:cs="Times New Roman"/>
                <w:sz w:val="28"/>
                <w:szCs w:val="28"/>
              </w:rPr>
              <w:br/>
            </w:r>
            <w:r w:rsidR="002533B8">
              <w:rPr>
                <w:rFonts w:ascii="Times New Roman" w:hAnsi="Times New Roman" w:cs="Times New Roman"/>
                <w:sz w:val="24"/>
                <w:szCs w:val="24"/>
              </w:rPr>
              <w:t>(</w:t>
            </w:r>
            <w:r w:rsidR="002533B8" w:rsidRPr="002533B8">
              <w:rPr>
                <w:rFonts w:ascii="Times New Roman" w:hAnsi="Times New Roman" w:cs="Times New Roman"/>
                <w:sz w:val="24"/>
                <w:szCs w:val="24"/>
              </w:rPr>
              <w:t>Politechnika Koszalińska</w:t>
            </w:r>
            <w:r w:rsidR="002533B8">
              <w:rPr>
                <w:rFonts w:ascii="Times New Roman" w:hAnsi="Times New Roman" w:cs="Times New Roman"/>
                <w:sz w:val="24"/>
                <w:szCs w:val="24"/>
              </w:rPr>
              <w:t>)</w:t>
            </w:r>
          </w:p>
        </w:tc>
      </w:tr>
      <w:tr w:rsidR="00362DC1" w:rsidRPr="00362DC1" w14:paraId="5D3DC818" w14:textId="77777777" w:rsidTr="00362DC1">
        <w:trPr>
          <w:trHeight w:val="546"/>
        </w:trPr>
        <w:tc>
          <w:tcPr>
            <w:tcW w:w="6384" w:type="dxa"/>
          </w:tcPr>
          <w:p w14:paraId="310A24D1" w14:textId="77777777" w:rsidR="002533B8" w:rsidRDefault="002533B8" w:rsidP="00362DC1">
            <w:pPr>
              <w:rPr>
                <w:rFonts w:ascii="Times New Roman" w:hAnsi="Times New Roman" w:cs="Times New Roman"/>
                <w:sz w:val="28"/>
                <w:szCs w:val="28"/>
              </w:rPr>
            </w:pPr>
          </w:p>
          <w:p w14:paraId="5D8F4B04" w14:textId="3CD77757" w:rsidR="00362DC1" w:rsidRPr="00362DC1" w:rsidRDefault="00362DC1" w:rsidP="00362DC1">
            <w:pPr>
              <w:rPr>
                <w:rFonts w:ascii="Times New Roman" w:hAnsi="Times New Roman" w:cs="Times New Roman"/>
                <w:sz w:val="28"/>
                <w:szCs w:val="28"/>
              </w:rPr>
            </w:pPr>
            <w:r w:rsidRPr="00362DC1">
              <w:rPr>
                <w:rFonts w:ascii="Times New Roman" w:hAnsi="Times New Roman" w:cs="Times New Roman"/>
                <w:sz w:val="28"/>
                <w:szCs w:val="28"/>
              </w:rPr>
              <w:t>Dr inż. Michał Soliwoda</w:t>
            </w:r>
          </w:p>
        </w:tc>
      </w:tr>
      <w:tr w:rsidR="00362DC1" w:rsidRPr="00362DC1" w14:paraId="6EE646F1" w14:textId="77777777" w:rsidTr="00362DC1">
        <w:trPr>
          <w:trHeight w:val="710"/>
        </w:trPr>
        <w:tc>
          <w:tcPr>
            <w:tcW w:w="6384" w:type="dxa"/>
          </w:tcPr>
          <w:p w14:paraId="5DAFC716" w14:textId="77777777" w:rsidR="002533B8" w:rsidRDefault="002533B8" w:rsidP="00362DC1">
            <w:pPr>
              <w:rPr>
                <w:rFonts w:ascii="Times New Roman" w:hAnsi="Times New Roman" w:cs="Times New Roman"/>
                <w:sz w:val="28"/>
                <w:szCs w:val="28"/>
              </w:rPr>
            </w:pPr>
          </w:p>
          <w:p w14:paraId="26323349" w14:textId="6D332217" w:rsidR="00362DC1" w:rsidRPr="00362DC1" w:rsidRDefault="00362DC1" w:rsidP="00362DC1">
            <w:pPr>
              <w:rPr>
                <w:rFonts w:ascii="Times New Roman" w:hAnsi="Times New Roman" w:cs="Times New Roman"/>
                <w:sz w:val="28"/>
                <w:szCs w:val="28"/>
              </w:rPr>
            </w:pPr>
            <w:r w:rsidRPr="00362DC1">
              <w:rPr>
                <w:rFonts w:ascii="Times New Roman" w:hAnsi="Times New Roman" w:cs="Times New Roman"/>
                <w:sz w:val="28"/>
                <w:szCs w:val="28"/>
              </w:rPr>
              <w:t>W badaniach uczestniczyła Ewa Gac</w:t>
            </w:r>
          </w:p>
        </w:tc>
      </w:tr>
    </w:tbl>
    <w:p w14:paraId="546E59C7" w14:textId="77777777" w:rsidR="00362DC1" w:rsidRPr="00314562" w:rsidRDefault="00362DC1" w:rsidP="00375D7D">
      <w:pPr>
        <w:jc w:val="center"/>
        <w:rPr>
          <w:rFonts w:ascii="Times New Roman" w:hAnsi="Times New Roman" w:cs="Times New Roman"/>
          <w:b/>
          <w:bCs/>
          <w:sz w:val="36"/>
          <w:szCs w:val="36"/>
        </w:rPr>
      </w:pPr>
    </w:p>
    <w:p w14:paraId="1053D193" w14:textId="28D8A424" w:rsidR="007C469E" w:rsidRPr="00362DC1" w:rsidRDefault="007C469E">
      <w:pPr>
        <w:rPr>
          <w:rFonts w:ascii="Times New Roman" w:hAnsi="Times New Roman" w:cs="Times New Roman"/>
          <w:b/>
          <w:bCs/>
          <w:sz w:val="32"/>
          <w:szCs w:val="32"/>
        </w:rPr>
      </w:pPr>
    </w:p>
    <w:p w14:paraId="42EF8A37" w14:textId="77777777" w:rsidR="00362DC1" w:rsidRPr="00362DC1" w:rsidRDefault="00362DC1" w:rsidP="007C469E">
      <w:pPr>
        <w:jc w:val="center"/>
        <w:rPr>
          <w:rFonts w:ascii="Times New Roman" w:hAnsi="Times New Roman" w:cs="Times New Roman"/>
          <w:b/>
          <w:bCs/>
          <w:sz w:val="32"/>
          <w:szCs w:val="32"/>
        </w:rPr>
      </w:pPr>
    </w:p>
    <w:p w14:paraId="717F9016" w14:textId="77777777" w:rsidR="00362DC1" w:rsidRPr="00362DC1" w:rsidRDefault="00362DC1" w:rsidP="007C469E">
      <w:pPr>
        <w:jc w:val="center"/>
        <w:rPr>
          <w:rFonts w:ascii="Times New Roman" w:hAnsi="Times New Roman" w:cs="Times New Roman"/>
          <w:b/>
          <w:bCs/>
          <w:sz w:val="32"/>
          <w:szCs w:val="32"/>
        </w:rPr>
      </w:pPr>
    </w:p>
    <w:p w14:paraId="13A953F8" w14:textId="77777777" w:rsidR="00362DC1" w:rsidRPr="00362DC1" w:rsidRDefault="00362DC1" w:rsidP="007C469E">
      <w:pPr>
        <w:jc w:val="center"/>
        <w:rPr>
          <w:rFonts w:ascii="Times New Roman" w:hAnsi="Times New Roman" w:cs="Times New Roman"/>
          <w:b/>
          <w:bCs/>
          <w:sz w:val="32"/>
          <w:szCs w:val="32"/>
        </w:rPr>
      </w:pPr>
    </w:p>
    <w:p w14:paraId="43247CC1" w14:textId="77777777" w:rsidR="00362DC1" w:rsidRPr="00362DC1" w:rsidRDefault="00362DC1" w:rsidP="007C469E">
      <w:pPr>
        <w:jc w:val="center"/>
        <w:rPr>
          <w:rFonts w:ascii="Times New Roman" w:hAnsi="Times New Roman" w:cs="Times New Roman"/>
          <w:b/>
          <w:bCs/>
          <w:sz w:val="32"/>
          <w:szCs w:val="32"/>
        </w:rPr>
      </w:pPr>
    </w:p>
    <w:p w14:paraId="562C8210" w14:textId="77777777" w:rsidR="00362DC1" w:rsidRPr="00362DC1" w:rsidRDefault="00362DC1" w:rsidP="007C469E">
      <w:pPr>
        <w:jc w:val="center"/>
        <w:rPr>
          <w:rFonts w:ascii="Times New Roman" w:hAnsi="Times New Roman" w:cs="Times New Roman"/>
          <w:b/>
          <w:bCs/>
          <w:sz w:val="32"/>
          <w:szCs w:val="32"/>
        </w:rPr>
      </w:pPr>
    </w:p>
    <w:p w14:paraId="393487F7" w14:textId="77777777" w:rsidR="00362DC1" w:rsidRPr="00362DC1" w:rsidRDefault="00362DC1" w:rsidP="007C469E">
      <w:pPr>
        <w:jc w:val="center"/>
        <w:rPr>
          <w:rFonts w:ascii="Times New Roman" w:hAnsi="Times New Roman" w:cs="Times New Roman"/>
          <w:b/>
          <w:bCs/>
          <w:sz w:val="32"/>
          <w:szCs w:val="32"/>
        </w:rPr>
      </w:pPr>
    </w:p>
    <w:p w14:paraId="1BDBAE08" w14:textId="77777777" w:rsidR="00362DC1" w:rsidRDefault="00362DC1" w:rsidP="007C469E">
      <w:pPr>
        <w:jc w:val="center"/>
        <w:rPr>
          <w:rFonts w:ascii="Times New Roman" w:hAnsi="Times New Roman" w:cs="Times New Roman"/>
          <w:b/>
          <w:bCs/>
          <w:sz w:val="32"/>
          <w:szCs w:val="32"/>
        </w:rPr>
      </w:pPr>
    </w:p>
    <w:p w14:paraId="1223DB62" w14:textId="77777777" w:rsidR="00362DC1" w:rsidRDefault="00362DC1" w:rsidP="007C469E">
      <w:pPr>
        <w:jc w:val="center"/>
        <w:rPr>
          <w:rFonts w:ascii="Times New Roman" w:hAnsi="Times New Roman" w:cs="Times New Roman"/>
          <w:b/>
          <w:bCs/>
          <w:sz w:val="32"/>
          <w:szCs w:val="32"/>
        </w:rPr>
      </w:pPr>
    </w:p>
    <w:p w14:paraId="2AB1E660" w14:textId="77777777" w:rsidR="0072625F" w:rsidRDefault="0072625F" w:rsidP="007C469E">
      <w:pPr>
        <w:jc w:val="center"/>
        <w:rPr>
          <w:rFonts w:ascii="Times New Roman" w:hAnsi="Times New Roman" w:cs="Times New Roman"/>
          <w:b/>
          <w:bCs/>
          <w:sz w:val="32"/>
          <w:szCs w:val="32"/>
        </w:rPr>
      </w:pPr>
    </w:p>
    <w:p w14:paraId="238A3869" w14:textId="3F01138B" w:rsidR="00362DC1" w:rsidRPr="0072625F" w:rsidRDefault="0072625F" w:rsidP="007C469E">
      <w:pPr>
        <w:jc w:val="center"/>
        <w:rPr>
          <w:rFonts w:ascii="Times New Roman" w:hAnsi="Times New Roman" w:cs="Times New Roman"/>
          <w:sz w:val="32"/>
          <w:szCs w:val="32"/>
        </w:rPr>
      </w:pPr>
      <w:r w:rsidRPr="0072625F">
        <w:rPr>
          <w:rFonts w:ascii="Times New Roman" w:hAnsi="Times New Roman" w:cs="Times New Roman"/>
          <w:sz w:val="32"/>
          <w:szCs w:val="32"/>
        </w:rPr>
        <w:t>Warszawa, listopad 2024</w:t>
      </w:r>
    </w:p>
    <w:p w14:paraId="4FB38FD7" w14:textId="09CD1643" w:rsidR="007C469E" w:rsidRDefault="007C469E" w:rsidP="007C469E">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Spis treści</w:t>
      </w:r>
    </w:p>
    <w:tbl>
      <w:tblPr>
        <w:tblStyle w:val="Tabela-Siatk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703"/>
      </w:tblGrid>
      <w:tr w:rsidR="0028057B" w:rsidRPr="0028057B" w14:paraId="489A922F" w14:textId="77777777" w:rsidTr="00AA0C79">
        <w:trPr>
          <w:trHeight w:hRule="exact" w:val="694"/>
        </w:trPr>
        <w:tc>
          <w:tcPr>
            <w:tcW w:w="704" w:type="dxa"/>
          </w:tcPr>
          <w:p w14:paraId="21E94D05" w14:textId="77777777" w:rsidR="0028057B" w:rsidRPr="0028057B" w:rsidRDefault="0028057B" w:rsidP="0028057B">
            <w:pPr>
              <w:rPr>
                <w:rFonts w:ascii="Times New Roman" w:hAnsi="Times New Roman"/>
                <w:sz w:val="24"/>
                <w:szCs w:val="24"/>
              </w:rPr>
            </w:pPr>
          </w:p>
        </w:tc>
        <w:tc>
          <w:tcPr>
            <w:tcW w:w="7655" w:type="dxa"/>
            <w:hideMark/>
          </w:tcPr>
          <w:p w14:paraId="0E3C6B52" w14:textId="381FB472" w:rsidR="0028057B" w:rsidRPr="0028057B" w:rsidRDefault="0028057B" w:rsidP="0028057B">
            <w:pPr>
              <w:rPr>
                <w:rFonts w:ascii="Times New Roman" w:hAnsi="Times New Roman"/>
                <w:sz w:val="24"/>
                <w:szCs w:val="24"/>
              </w:rPr>
            </w:pPr>
            <w:r w:rsidRPr="0028057B">
              <w:rPr>
                <w:rFonts w:ascii="Times New Roman" w:hAnsi="Times New Roman"/>
                <w:sz w:val="24"/>
                <w:szCs w:val="24"/>
              </w:rPr>
              <w:t xml:space="preserve">Wprowadzenie </w:t>
            </w:r>
            <w:r>
              <w:rPr>
                <w:rFonts w:ascii="Times New Roman" w:hAnsi="Times New Roman"/>
                <w:sz w:val="24"/>
                <w:szCs w:val="24"/>
              </w:rPr>
              <w:br/>
            </w:r>
            <w:r w:rsidRPr="0028057B">
              <w:rPr>
                <w:rFonts w:ascii="Times New Roman" w:hAnsi="Times New Roman"/>
                <w:sz w:val="24"/>
                <w:szCs w:val="24"/>
              </w:rPr>
              <w:t>(</w:t>
            </w:r>
            <w:r w:rsidRPr="0028057B">
              <w:rPr>
                <w:rFonts w:ascii="Times New Roman" w:hAnsi="Times New Roman"/>
                <w:i/>
                <w:iCs/>
                <w:sz w:val="24"/>
                <w:szCs w:val="24"/>
              </w:rPr>
              <w:t>J. Kulawik</w:t>
            </w:r>
            <w:r w:rsidRPr="0028057B">
              <w:rPr>
                <w:rFonts w:ascii="Times New Roman" w:hAnsi="Times New Roman"/>
                <w:sz w:val="24"/>
                <w:szCs w:val="24"/>
              </w:rPr>
              <w:t>)</w:t>
            </w:r>
          </w:p>
        </w:tc>
        <w:tc>
          <w:tcPr>
            <w:tcW w:w="703" w:type="dxa"/>
          </w:tcPr>
          <w:p w14:paraId="3EEDEC99" w14:textId="5961A7BA" w:rsidR="0028057B" w:rsidRPr="00AA0C79" w:rsidRDefault="00F86E79" w:rsidP="0028057B">
            <w:pPr>
              <w:rPr>
                <w:rFonts w:ascii="Times New Roman" w:hAnsi="Times New Roman"/>
                <w:sz w:val="24"/>
                <w:szCs w:val="24"/>
              </w:rPr>
            </w:pPr>
            <w:r w:rsidRPr="00AA0C79">
              <w:rPr>
                <w:rFonts w:ascii="Times New Roman" w:hAnsi="Times New Roman"/>
                <w:sz w:val="24"/>
                <w:szCs w:val="24"/>
              </w:rPr>
              <w:t>3</w:t>
            </w:r>
          </w:p>
        </w:tc>
      </w:tr>
      <w:tr w:rsidR="0028057B" w:rsidRPr="0028057B" w14:paraId="6EA58960" w14:textId="77777777" w:rsidTr="00AA0C79">
        <w:trPr>
          <w:trHeight w:hRule="exact" w:val="718"/>
        </w:trPr>
        <w:tc>
          <w:tcPr>
            <w:tcW w:w="704" w:type="dxa"/>
          </w:tcPr>
          <w:p w14:paraId="6CE6DE6D" w14:textId="77777777" w:rsidR="0028057B" w:rsidRPr="0028057B" w:rsidRDefault="0028057B" w:rsidP="0028057B">
            <w:pPr>
              <w:numPr>
                <w:ilvl w:val="0"/>
                <w:numId w:val="84"/>
              </w:numPr>
              <w:contextualSpacing/>
              <w:jc w:val="both"/>
              <w:rPr>
                <w:rFonts w:ascii="Times New Roman" w:hAnsi="Times New Roman"/>
                <w:sz w:val="24"/>
                <w:szCs w:val="24"/>
              </w:rPr>
            </w:pPr>
          </w:p>
        </w:tc>
        <w:tc>
          <w:tcPr>
            <w:tcW w:w="7655" w:type="dxa"/>
            <w:hideMark/>
          </w:tcPr>
          <w:p w14:paraId="6FEFF521" w14:textId="77777777" w:rsidR="0028057B" w:rsidRPr="0028057B" w:rsidRDefault="0028057B" w:rsidP="0028057B">
            <w:pPr>
              <w:rPr>
                <w:rFonts w:ascii="Times New Roman" w:hAnsi="Times New Roman"/>
                <w:sz w:val="24"/>
                <w:szCs w:val="24"/>
              </w:rPr>
            </w:pPr>
            <w:r w:rsidRPr="0028057B">
              <w:rPr>
                <w:rFonts w:ascii="Times New Roman" w:hAnsi="Times New Roman"/>
                <w:sz w:val="24"/>
                <w:szCs w:val="24"/>
              </w:rPr>
              <w:t xml:space="preserve">Zarys teorii programu subsydiowania ubezpieczeń rolnych </w:t>
            </w:r>
            <w:r w:rsidRPr="0028057B">
              <w:rPr>
                <w:rFonts w:ascii="Times New Roman" w:hAnsi="Times New Roman"/>
                <w:sz w:val="24"/>
                <w:szCs w:val="24"/>
              </w:rPr>
              <w:br/>
              <w:t>(</w:t>
            </w:r>
            <w:r w:rsidRPr="0028057B">
              <w:rPr>
                <w:rFonts w:ascii="Times New Roman" w:hAnsi="Times New Roman"/>
                <w:i/>
                <w:iCs/>
                <w:sz w:val="24"/>
                <w:szCs w:val="24"/>
              </w:rPr>
              <w:t>J. Kulawik</w:t>
            </w:r>
            <w:r w:rsidRPr="0028057B">
              <w:rPr>
                <w:rFonts w:ascii="Times New Roman" w:hAnsi="Times New Roman"/>
                <w:sz w:val="24"/>
                <w:szCs w:val="24"/>
              </w:rPr>
              <w:t>)</w:t>
            </w:r>
          </w:p>
        </w:tc>
        <w:tc>
          <w:tcPr>
            <w:tcW w:w="703" w:type="dxa"/>
          </w:tcPr>
          <w:p w14:paraId="639BE4CD" w14:textId="126C67B6" w:rsidR="0028057B" w:rsidRPr="00AA0C79" w:rsidRDefault="00F86E79" w:rsidP="0028057B">
            <w:pPr>
              <w:rPr>
                <w:rFonts w:ascii="Times New Roman" w:hAnsi="Times New Roman"/>
                <w:sz w:val="24"/>
                <w:szCs w:val="24"/>
              </w:rPr>
            </w:pPr>
            <w:r w:rsidRPr="00AA0C79">
              <w:rPr>
                <w:rFonts w:ascii="Times New Roman" w:hAnsi="Times New Roman"/>
                <w:sz w:val="24"/>
                <w:szCs w:val="24"/>
              </w:rPr>
              <w:t>5</w:t>
            </w:r>
          </w:p>
        </w:tc>
      </w:tr>
      <w:tr w:rsidR="0028057B" w:rsidRPr="0028057B" w14:paraId="6E1D927B" w14:textId="77777777" w:rsidTr="00AA0C79">
        <w:trPr>
          <w:trHeight w:hRule="exact" w:val="700"/>
        </w:trPr>
        <w:tc>
          <w:tcPr>
            <w:tcW w:w="704" w:type="dxa"/>
          </w:tcPr>
          <w:p w14:paraId="5F942035" w14:textId="77777777" w:rsidR="0028057B" w:rsidRPr="0028057B" w:rsidRDefault="0028057B" w:rsidP="0028057B">
            <w:pPr>
              <w:numPr>
                <w:ilvl w:val="0"/>
                <w:numId w:val="84"/>
              </w:numPr>
              <w:contextualSpacing/>
              <w:jc w:val="both"/>
              <w:rPr>
                <w:rFonts w:ascii="Times New Roman" w:hAnsi="Times New Roman"/>
                <w:sz w:val="24"/>
                <w:szCs w:val="24"/>
              </w:rPr>
            </w:pPr>
          </w:p>
        </w:tc>
        <w:tc>
          <w:tcPr>
            <w:tcW w:w="7655" w:type="dxa"/>
            <w:hideMark/>
          </w:tcPr>
          <w:p w14:paraId="50A486AA" w14:textId="5364916D" w:rsidR="0028057B" w:rsidRPr="0028057B" w:rsidRDefault="0028057B" w:rsidP="0028057B">
            <w:pPr>
              <w:rPr>
                <w:rFonts w:ascii="Times New Roman" w:hAnsi="Times New Roman"/>
                <w:sz w:val="24"/>
                <w:szCs w:val="24"/>
              </w:rPr>
            </w:pPr>
            <w:r w:rsidRPr="0028057B">
              <w:rPr>
                <w:rFonts w:ascii="Times New Roman" w:hAnsi="Times New Roman"/>
                <w:sz w:val="24"/>
                <w:szCs w:val="24"/>
              </w:rPr>
              <w:t xml:space="preserve">Przyczynowość i wnioskowanie przyczynowe oraz kontrfaktyczność </w:t>
            </w:r>
            <w:r w:rsidRPr="0028057B">
              <w:rPr>
                <w:rFonts w:ascii="Times New Roman" w:hAnsi="Times New Roman"/>
                <w:sz w:val="24"/>
                <w:szCs w:val="24"/>
              </w:rPr>
              <w:br/>
            </w:r>
            <w:r w:rsidR="0005626D" w:rsidRPr="0005626D">
              <w:rPr>
                <w:rFonts w:ascii="Times New Roman" w:hAnsi="Times New Roman"/>
                <w:sz w:val="24"/>
                <w:szCs w:val="24"/>
              </w:rPr>
              <w:t>(</w:t>
            </w:r>
            <w:r w:rsidRPr="0028057B">
              <w:rPr>
                <w:rFonts w:ascii="Times New Roman" w:hAnsi="Times New Roman"/>
                <w:i/>
                <w:iCs/>
                <w:sz w:val="24"/>
                <w:szCs w:val="24"/>
              </w:rPr>
              <w:t>J. Kulawik</w:t>
            </w:r>
            <w:r w:rsidRPr="0028057B">
              <w:rPr>
                <w:rFonts w:ascii="Times New Roman" w:hAnsi="Times New Roman"/>
                <w:sz w:val="24"/>
                <w:szCs w:val="24"/>
              </w:rPr>
              <w:t>)</w:t>
            </w:r>
          </w:p>
        </w:tc>
        <w:tc>
          <w:tcPr>
            <w:tcW w:w="703" w:type="dxa"/>
          </w:tcPr>
          <w:p w14:paraId="52CF19CC" w14:textId="3E821B81" w:rsidR="0028057B" w:rsidRPr="00AA0C79" w:rsidRDefault="00F86E79" w:rsidP="0028057B">
            <w:pPr>
              <w:rPr>
                <w:rFonts w:ascii="Times New Roman" w:hAnsi="Times New Roman"/>
                <w:sz w:val="24"/>
                <w:szCs w:val="24"/>
              </w:rPr>
            </w:pPr>
            <w:r w:rsidRPr="00AA0C79">
              <w:rPr>
                <w:rFonts w:ascii="Times New Roman" w:hAnsi="Times New Roman"/>
                <w:sz w:val="24"/>
                <w:szCs w:val="24"/>
              </w:rPr>
              <w:t>48</w:t>
            </w:r>
          </w:p>
        </w:tc>
      </w:tr>
      <w:tr w:rsidR="0028057B" w:rsidRPr="0028057B" w14:paraId="5434164D" w14:textId="77777777" w:rsidTr="00AA0C79">
        <w:trPr>
          <w:trHeight w:hRule="exact" w:val="709"/>
        </w:trPr>
        <w:tc>
          <w:tcPr>
            <w:tcW w:w="704" w:type="dxa"/>
          </w:tcPr>
          <w:p w14:paraId="7F895DAF" w14:textId="77777777" w:rsidR="0028057B" w:rsidRPr="0028057B" w:rsidRDefault="0028057B" w:rsidP="0028057B">
            <w:pPr>
              <w:numPr>
                <w:ilvl w:val="0"/>
                <w:numId w:val="84"/>
              </w:numPr>
              <w:contextualSpacing/>
              <w:jc w:val="both"/>
              <w:rPr>
                <w:rFonts w:ascii="Times New Roman" w:hAnsi="Times New Roman"/>
                <w:sz w:val="24"/>
                <w:szCs w:val="24"/>
              </w:rPr>
            </w:pPr>
          </w:p>
        </w:tc>
        <w:tc>
          <w:tcPr>
            <w:tcW w:w="7655" w:type="dxa"/>
            <w:hideMark/>
          </w:tcPr>
          <w:p w14:paraId="53DBFD15" w14:textId="77777777" w:rsidR="0028057B" w:rsidRPr="0028057B" w:rsidRDefault="0028057B" w:rsidP="0028057B">
            <w:pPr>
              <w:rPr>
                <w:rFonts w:ascii="Times New Roman" w:hAnsi="Times New Roman"/>
                <w:sz w:val="24"/>
                <w:szCs w:val="24"/>
              </w:rPr>
            </w:pPr>
            <w:r w:rsidRPr="0028057B">
              <w:rPr>
                <w:rFonts w:ascii="Times New Roman" w:hAnsi="Times New Roman"/>
                <w:sz w:val="24"/>
                <w:szCs w:val="24"/>
              </w:rPr>
              <w:t>Pomiar efektów interwencji i programów</w:t>
            </w:r>
            <w:r w:rsidRPr="0028057B">
              <w:rPr>
                <w:rFonts w:ascii="Times New Roman" w:hAnsi="Times New Roman"/>
                <w:sz w:val="24"/>
                <w:szCs w:val="24"/>
              </w:rPr>
              <w:br/>
            </w:r>
            <w:r w:rsidRPr="0028057B">
              <w:rPr>
                <w:rFonts w:ascii="Times New Roman" w:hAnsi="Times New Roman"/>
                <w:i/>
                <w:iCs/>
                <w:sz w:val="24"/>
                <w:szCs w:val="24"/>
              </w:rPr>
              <w:t>(J. Kulawik</w:t>
            </w:r>
            <w:r w:rsidRPr="0028057B">
              <w:rPr>
                <w:rFonts w:ascii="Times New Roman" w:hAnsi="Times New Roman"/>
                <w:sz w:val="24"/>
                <w:szCs w:val="24"/>
              </w:rPr>
              <w:t>)</w:t>
            </w:r>
          </w:p>
        </w:tc>
        <w:tc>
          <w:tcPr>
            <w:tcW w:w="703" w:type="dxa"/>
          </w:tcPr>
          <w:p w14:paraId="3988E7DF" w14:textId="047D8BA9" w:rsidR="0028057B" w:rsidRPr="00AA0C79" w:rsidRDefault="00F86E79" w:rsidP="0028057B">
            <w:pPr>
              <w:rPr>
                <w:rFonts w:ascii="Times New Roman" w:hAnsi="Times New Roman"/>
                <w:sz w:val="24"/>
                <w:szCs w:val="24"/>
              </w:rPr>
            </w:pPr>
            <w:r w:rsidRPr="00AA0C79">
              <w:rPr>
                <w:rFonts w:ascii="Times New Roman" w:hAnsi="Times New Roman"/>
                <w:sz w:val="24"/>
                <w:szCs w:val="24"/>
              </w:rPr>
              <w:t>65</w:t>
            </w:r>
          </w:p>
        </w:tc>
      </w:tr>
      <w:tr w:rsidR="0028057B" w:rsidRPr="0028057B" w14:paraId="623134D8" w14:textId="77777777" w:rsidTr="00AA0C79">
        <w:trPr>
          <w:trHeight w:hRule="exact" w:val="719"/>
        </w:trPr>
        <w:tc>
          <w:tcPr>
            <w:tcW w:w="704" w:type="dxa"/>
          </w:tcPr>
          <w:p w14:paraId="6D485BF7" w14:textId="77777777" w:rsidR="0028057B" w:rsidRPr="0028057B" w:rsidRDefault="0028057B" w:rsidP="0028057B">
            <w:pPr>
              <w:numPr>
                <w:ilvl w:val="0"/>
                <w:numId w:val="84"/>
              </w:numPr>
              <w:contextualSpacing/>
              <w:jc w:val="both"/>
              <w:rPr>
                <w:rFonts w:ascii="Times New Roman" w:hAnsi="Times New Roman"/>
                <w:sz w:val="24"/>
                <w:szCs w:val="24"/>
              </w:rPr>
            </w:pPr>
          </w:p>
        </w:tc>
        <w:tc>
          <w:tcPr>
            <w:tcW w:w="7655" w:type="dxa"/>
            <w:hideMark/>
          </w:tcPr>
          <w:p w14:paraId="0BFD0453" w14:textId="77777777" w:rsidR="0028057B" w:rsidRPr="0028057B" w:rsidRDefault="0028057B" w:rsidP="0028057B">
            <w:pPr>
              <w:rPr>
                <w:rFonts w:ascii="Times New Roman" w:hAnsi="Times New Roman"/>
                <w:sz w:val="24"/>
                <w:szCs w:val="24"/>
              </w:rPr>
            </w:pPr>
            <w:r w:rsidRPr="0028057B">
              <w:rPr>
                <w:rFonts w:ascii="Times New Roman" w:hAnsi="Times New Roman"/>
                <w:sz w:val="24"/>
                <w:szCs w:val="24"/>
              </w:rPr>
              <w:t xml:space="preserve">Pytania oraz wskaźniki ewaluacyjne </w:t>
            </w:r>
            <w:r w:rsidRPr="0028057B">
              <w:rPr>
                <w:rFonts w:ascii="Times New Roman" w:hAnsi="Times New Roman"/>
                <w:sz w:val="24"/>
                <w:szCs w:val="24"/>
              </w:rPr>
              <w:br/>
              <w:t>(</w:t>
            </w:r>
            <w:r w:rsidRPr="0028057B">
              <w:rPr>
                <w:rFonts w:ascii="Times New Roman" w:hAnsi="Times New Roman"/>
                <w:i/>
                <w:iCs/>
                <w:sz w:val="24"/>
                <w:szCs w:val="24"/>
              </w:rPr>
              <w:t>A. Kagan, J. Kulawik, M. Soliwoda</w:t>
            </w:r>
            <w:r w:rsidRPr="0028057B">
              <w:rPr>
                <w:rFonts w:ascii="Times New Roman" w:hAnsi="Times New Roman"/>
                <w:sz w:val="24"/>
                <w:szCs w:val="24"/>
              </w:rPr>
              <w:t>)</w:t>
            </w:r>
          </w:p>
        </w:tc>
        <w:tc>
          <w:tcPr>
            <w:tcW w:w="703" w:type="dxa"/>
          </w:tcPr>
          <w:p w14:paraId="049BA5B8" w14:textId="081C2D4D" w:rsidR="0028057B" w:rsidRPr="00AA0C79" w:rsidRDefault="00F86E79" w:rsidP="0028057B">
            <w:pPr>
              <w:rPr>
                <w:rFonts w:ascii="Times New Roman" w:hAnsi="Times New Roman"/>
                <w:sz w:val="24"/>
                <w:szCs w:val="24"/>
              </w:rPr>
            </w:pPr>
            <w:r w:rsidRPr="00AA0C79">
              <w:rPr>
                <w:rFonts w:ascii="Times New Roman" w:hAnsi="Times New Roman"/>
                <w:sz w:val="24"/>
                <w:szCs w:val="24"/>
              </w:rPr>
              <w:t>72</w:t>
            </w:r>
          </w:p>
        </w:tc>
      </w:tr>
      <w:tr w:rsidR="0028057B" w:rsidRPr="0028057B" w14:paraId="0048B38C" w14:textId="77777777" w:rsidTr="00AA0C79">
        <w:trPr>
          <w:trHeight w:hRule="exact" w:val="701"/>
        </w:trPr>
        <w:tc>
          <w:tcPr>
            <w:tcW w:w="704" w:type="dxa"/>
          </w:tcPr>
          <w:p w14:paraId="14C53ABB" w14:textId="77777777" w:rsidR="0028057B" w:rsidRPr="0028057B" w:rsidRDefault="0028057B" w:rsidP="0028057B">
            <w:pPr>
              <w:numPr>
                <w:ilvl w:val="0"/>
                <w:numId w:val="84"/>
              </w:numPr>
              <w:contextualSpacing/>
              <w:rPr>
                <w:rFonts w:ascii="Times New Roman" w:hAnsi="Times New Roman"/>
                <w:sz w:val="24"/>
                <w:szCs w:val="24"/>
              </w:rPr>
            </w:pPr>
          </w:p>
        </w:tc>
        <w:tc>
          <w:tcPr>
            <w:tcW w:w="7655" w:type="dxa"/>
            <w:hideMark/>
          </w:tcPr>
          <w:p w14:paraId="6D6ADFDD" w14:textId="4F16555C" w:rsidR="0028057B" w:rsidRPr="0028057B" w:rsidRDefault="0028057B" w:rsidP="0028057B">
            <w:pPr>
              <w:rPr>
                <w:rFonts w:ascii="Times New Roman" w:hAnsi="Times New Roman"/>
                <w:sz w:val="24"/>
                <w:szCs w:val="24"/>
              </w:rPr>
            </w:pPr>
            <w:r w:rsidRPr="0028057B">
              <w:rPr>
                <w:rFonts w:ascii="Times New Roman" w:hAnsi="Times New Roman"/>
                <w:sz w:val="24"/>
                <w:szCs w:val="24"/>
              </w:rPr>
              <w:t xml:space="preserve">Propensity Score Matching (PSM) jako przykład zastosowania </w:t>
            </w:r>
            <w:r w:rsidR="00F86E79">
              <w:rPr>
                <w:rFonts w:ascii="Times New Roman" w:hAnsi="Times New Roman"/>
                <w:sz w:val="24"/>
                <w:szCs w:val="24"/>
              </w:rPr>
              <w:t>matchingu</w:t>
            </w:r>
            <w:r w:rsidRPr="0028057B">
              <w:rPr>
                <w:rFonts w:ascii="Times New Roman" w:hAnsi="Times New Roman"/>
                <w:sz w:val="24"/>
                <w:szCs w:val="24"/>
              </w:rPr>
              <w:br/>
              <w:t>(</w:t>
            </w:r>
            <w:r w:rsidRPr="0028057B">
              <w:rPr>
                <w:rFonts w:ascii="Times New Roman" w:hAnsi="Times New Roman"/>
                <w:i/>
                <w:iCs/>
                <w:sz w:val="24"/>
                <w:szCs w:val="24"/>
              </w:rPr>
              <w:t>M. Soliwoda, J. Kulawik</w:t>
            </w:r>
            <w:r w:rsidRPr="0028057B">
              <w:rPr>
                <w:rFonts w:ascii="Times New Roman" w:hAnsi="Times New Roman"/>
                <w:sz w:val="24"/>
                <w:szCs w:val="24"/>
              </w:rPr>
              <w:t>)</w:t>
            </w:r>
          </w:p>
        </w:tc>
        <w:tc>
          <w:tcPr>
            <w:tcW w:w="703" w:type="dxa"/>
          </w:tcPr>
          <w:p w14:paraId="381B0983" w14:textId="48670190" w:rsidR="0028057B" w:rsidRPr="00AA0C79" w:rsidRDefault="00F86E79" w:rsidP="0028057B">
            <w:pPr>
              <w:rPr>
                <w:rFonts w:ascii="Times New Roman" w:hAnsi="Times New Roman"/>
                <w:sz w:val="24"/>
                <w:szCs w:val="24"/>
              </w:rPr>
            </w:pPr>
            <w:r w:rsidRPr="00AA0C79">
              <w:rPr>
                <w:rFonts w:ascii="Times New Roman" w:hAnsi="Times New Roman"/>
                <w:sz w:val="24"/>
                <w:szCs w:val="24"/>
              </w:rPr>
              <w:t>84</w:t>
            </w:r>
          </w:p>
        </w:tc>
      </w:tr>
      <w:tr w:rsidR="0028057B" w:rsidRPr="00F3595A" w14:paraId="43FC657F" w14:textId="77777777" w:rsidTr="00AA0C79">
        <w:trPr>
          <w:trHeight w:hRule="exact" w:val="712"/>
        </w:trPr>
        <w:tc>
          <w:tcPr>
            <w:tcW w:w="704" w:type="dxa"/>
          </w:tcPr>
          <w:p w14:paraId="001CA3E2" w14:textId="77777777" w:rsidR="0028057B" w:rsidRPr="0028057B" w:rsidRDefault="0028057B" w:rsidP="0028057B">
            <w:pPr>
              <w:numPr>
                <w:ilvl w:val="0"/>
                <w:numId w:val="84"/>
              </w:numPr>
              <w:contextualSpacing/>
              <w:rPr>
                <w:rFonts w:ascii="Times New Roman" w:hAnsi="Times New Roman"/>
                <w:sz w:val="24"/>
                <w:szCs w:val="24"/>
              </w:rPr>
            </w:pPr>
          </w:p>
        </w:tc>
        <w:tc>
          <w:tcPr>
            <w:tcW w:w="7655" w:type="dxa"/>
            <w:hideMark/>
          </w:tcPr>
          <w:p w14:paraId="65C7B40C" w14:textId="77777777" w:rsidR="0028057B" w:rsidRPr="0028057B" w:rsidRDefault="0028057B" w:rsidP="0028057B">
            <w:pPr>
              <w:rPr>
                <w:rFonts w:ascii="Times New Roman" w:hAnsi="Times New Roman"/>
                <w:sz w:val="24"/>
                <w:szCs w:val="24"/>
                <w:lang w:val="en-US"/>
              </w:rPr>
            </w:pPr>
            <w:r w:rsidRPr="0028057B">
              <w:rPr>
                <w:rFonts w:ascii="Times New Roman" w:hAnsi="Times New Roman"/>
                <w:sz w:val="24"/>
                <w:szCs w:val="24"/>
                <w:lang w:val="en-US"/>
              </w:rPr>
              <w:t xml:space="preserve">Estymator difference-in-differences (DID) </w:t>
            </w:r>
            <w:r w:rsidRPr="0028057B">
              <w:rPr>
                <w:rFonts w:ascii="Times New Roman" w:hAnsi="Times New Roman"/>
                <w:sz w:val="24"/>
                <w:szCs w:val="24"/>
                <w:lang w:val="en-US"/>
              </w:rPr>
              <w:br/>
              <w:t>(</w:t>
            </w:r>
            <w:r w:rsidRPr="0028057B">
              <w:rPr>
                <w:rFonts w:ascii="Times New Roman" w:hAnsi="Times New Roman"/>
                <w:i/>
                <w:iCs/>
                <w:sz w:val="24"/>
                <w:szCs w:val="24"/>
                <w:lang w:val="en-US"/>
              </w:rPr>
              <w:t>A. Kagan, J. Kulawik</w:t>
            </w:r>
            <w:r w:rsidRPr="0028057B">
              <w:rPr>
                <w:rFonts w:ascii="Times New Roman" w:hAnsi="Times New Roman"/>
                <w:sz w:val="24"/>
                <w:szCs w:val="24"/>
                <w:lang w:val="en-US"/>
              </w:rPr>
              <w:t>)</w:t>
            </w:r>
          </w:p>
        </w:tc>
        <w:tc>
          <w:tcPr>
            <w:tcW w:w="703" w:type="dxa"/>
          </w:tcPr>
          <w:p w14:paraId="3953193F" w14:textId="58D15CBD" w:rsidR="0028057B" w:rsidRPr="00AA0C79" w:rsidRDefault="00AA0C79" w:rsidP="0028057B">
            <w:pPr>
              <w:rPr>
                <w:rFonts w:ascii="Times New Roman" w:hAnsi="Times New Roman"/>
                <w:sz w:val="24"/>
                <w:szCs w:val="24"/>
                <w:lang w:val="en-US"/>
              </w:rPr>
            </w:pPr>
            <w:r w:rsidRPr="00AA0C79">
              <w:rPr>
                <w:rFonts w:ascii="Times New Roman" w:hAnsi="Times New Roman"/>
                <w:sz w:val="24"/>
                <w:szCs w:val="24"/>
                <w:lang w:val="en-US"/>
              </w:rPr>
              <w:t>104</w:t>
            </w:r>
          </w:p>
        </w:tc>
      </w:tr>
      <w:tr w:rsidR="0028057B" w:rsidRPr="00F3595A" w14:paraId="6E8312F6" w14:textId="77777777" w:rsidTr="00AA0C79">
        <w:trPr>
          <w:trHeight w:hRule="exact" w:val="707"/>
        </w:trPr>
        <w:tc>
          <w:tcPr>
            <w:tcW w:w="704" w:type="dxa"/>
          </w:tcPr>
          <w:p w14:paraId="44CE8A49" w14:textId="77777777" w:rsidR="0028057B" w:rsidRPr="0028057B" w:rsidRDefault="0028057B" w:rsidP="0028057B">
            <w:pPr>
              <w:numPr>
                <w:ilvl w:val="0"/>
                <w:numId w:val="84"/>
              </w:numPr>
              <w:contextualSpacing/>
              <w:rPr>
                <w:rFonts w:ascii="Times New Roman" w:hAnsi="Times New Roman"/>
                <w:sz w:val="24"/>
                <w:szCs w:val="24"/>
                <w:lang w:val="en-US"/>
              </w:rPr>
            </w:pPr>
          </w:p>
        </w:tc>
        <w:tc>
          <w:tcPr>
            <w:tcW w:w="7655" w:type="dxa"/>
            <w:hideMark/>
          </w:tcPr>
          <w:p w14:paraId="429BE17E" w14:textId="2AA728E5" w:rsidR="0028057B" w:rsidRPr="00727412" w:rsidRDefault="0028057B" w:rsidP="0028057B">
            <w:pPr>
              <w:rPr>
                <w:rFonts w:ascii="Times New Roman" w:hAnsi="Times New Roman"/>
                <w:sz w:val="24"/>
                <w:szCs w:val="24"/>
                <w:lang w:val="en-US"/>
              </w:rPr>
            </w:pPr>
            <w:r w:rsidRPr="00727412">
              <w:rPr>
                <w:rFonts w:ascii="Times New Roman" w:hAnsi="Times New Roman"/>
                <w:sz w:val="24"/>
                <w:szCs w:val="24"/>
                <w:lang w:val="en-US"/>
              </w:rPr>
              <w:t>Estymator PSM + DID</w:t>
            </w:r>
            <w:r w:rsidR="00727412" w:rsidRPr="00727412">
              <w:rPr>
                <w:rFonts w:ascii="Times New Roman" w:hAnsi="Times New Roman"/>
                <w:sz w:val="24"/>
                <w:szCs w:val="24"/>
                <w:lang w:val="en-US"/>
              </w:rPr>
              <w:t xml:space="preserve"> (a condit</w:t>
            </w:r>
            <w:r w:rsidR="00727412">
              <w:rPr>
                <w:rFonts w:ascii="Times New Roman" w:hAnsi="Times New Roman"/>
                <w:sz w:val="24"/>
                <w:szCs w:val="24"/>
                <w:lang w:val="en-US"/>
              </w:rPr>
              <w:t>ional DID/MDID</w:t>
            </w:r>
            <w:r w:rsidR="00417BE1">
              <w:rPr>
                <w:rFonts w:ascii="Times New Roman" w:hAnsi="Times New Roman"/>
                <w:sz w:val="24"/>
                <w:szCs w:val="24"/>
                <w:lang w:val="en-US"/>
              </w:rPr>
              <w:t>)</w:t>
            </w:r>
            <w:r w:rsidRPr="00727412">
              <w:rPr>
                <w:rFonts w:ascii="Times New Roman" w:hAnsi="Times New Roman"/>
                <w:sz w:val="24"/>
                <w:szCs w:val="24"/>
                <w:lang w:val="en-US"/>
              </w:rPr>
              <w:br/>
              <w:t xml:space="preserve"> (</w:t>
            </w:r>
            <w:r w:rsidRPr="00727412">
              <w:rPr>
                <w:rFonts w:ascii="Times New Roman" w:hAnsi="Times New Roman"/>
                <w:i/>
                <w:iCs/>
                <w:sz w:val="24"/>
                <w:szCs w:val="24"/>
                <w:lang w:val="en-US"/>
              </w:rPr>
              <w:t>A. Kagan, M. Soliwoda, J. Kulawik</w:t>
            </w:r>
            <w:r w:rsidRPr="00727412">
              <w:rPr>
                <w:rFonts w:ascii="Times New Roman" w:hAnsi="Times New Roman"/>
                <w:sz w:val="24"/>
                <w:szCs w:val="24"/>
                <w:lang w:val="en-US"/>
              </w:rPr>
              <w:t>)</w:t>
            </w:r>
          </w:p>
        </w:tc>
        <w:tc>
          <w:tcPr>
            <w:tcW w:w="703" w:type="dxa"/>
          </w:tcPr>
          <w:p w14:paraId="712689D8" w14:textId="3D3ED646" w:rsidR="0028057B" w:rsidRPr="00AA0C79" w:rsidRDefault="00AA0C79" w:rsidP="0028057B">
            <w:pPr>
              <w:rPr>
                <w:rFonts w:ascii="Times New Roman" w:hAnsi="Times New Roman"/>
                <w:sz w:val="24"/>
                <w:szCs w:val="24"/>
                <w:lang w:val="en-US"/>
              </w:rPr>
            </w:pPr>
            <w:r w:rsidRPr="00AA0C79">
              <w:rPr>
                <w:rFonts w:ascii="Times New Roman" w:hAnsi="Times New Roman"/>
                <w:sz w:val="24"/>
                <w:szCs w:val="24"/>
                <w:lang w:val="en-US"/>
              </w:rPr>
              <w:t>130</w:t>
            </w:r>
          </w:p>
        </w:tc>
      </w:tr>
      <w:tr w:rsidR="0028057B" w:rsidRPr="0028057B" w14:paraId="306970BA" w14:textId="77777777" w:rsidTr="00AA0C79">
        <w:trPr>
          <w:trHeight w:hRule="exact" w:val="703"/>
        </w:trPr>
        <w:tc>
          <w:tcPr>
            <w:tcW w:w="704" w:type="dxa"/>
          </w:tcPr>
          <w:p w14:paraId="357B4BFF" w14:textId="77777777" w:rsidR="0028057B" w:rsidRPr="00727412" w:rsidRDefault="0028057B" w:rsidP="0028057B">
            <w:pPr>
              <w:numPr>
                <w:ilvl w:val="0"/>
                <w:numId w:val="84"/>
              </w:numPr>
              <w:contextualSpacing/>
              <w:rPr>
                <w:rFonts w:ascii="Times New Roman" w:hAnsi="Times New Roman"/>
                <w:sz w:val="24"/>
                <w:szCs w:val="24"/>
                <w:lang w:val="en-US"/>
              </w:rPr>
            </w:pPr>
          </w:p>
        </w:tc>
        <w:tc>
          <w:tcPr>
            <w:tcW w:w="7655" w:type="dxa"/>
            <w:hideMark/>
          </w:tcPr>
          <w:p w14:paraId="561F4D60" w14:textId="2655E4F8" w:rsidR="0028057B" w:rsidRPr="0028057B" w:rsidRDefault="0028057B" w:rsidP="0028057B">
            <w:pPr>
              <w:rPr>
                <w:rFonts w:ascii="Times New Roman" w:hAnsi="Times New Roman"/>
                <w:sz w:val="24"/>
                <w:szCs w:val="24"/>
              </w:rPr>
            </w:pPr>
            <w:r w:rsidRPr="0028057B">
              <w:rPr>
                <w:rFonts w:ascii="Times New Roman" w:hAnsi="Times New Roman"/>
                <w:sz w:val="24"/>
                <w:szCs w:val="24"/>
              </w:rPr>
              <w:t>Konstrukcja zbioru</w:t>
            </w:r>
            <w:r w:rsidR="006B3303">
              <w:rPr>
                <w:rFonts w:ascii="Times New Roman" w:hAnsi="Times New Roman"/>
                <w:sz w:val="24"/>
                <w:szCs w:val="24"/>
              </w:rPr>
              <w:t xml:space="preserve"> zmiennych</w:t>
            </w:r>
            <w:r w:rsidRPr="0028057B">
              <w:rPr>
                <w:rFonts w:ascii="Times New Roman" w:hAnsi="Times New Roman"/>
                <w:sz w:val="24"/>
                <w:szCs w:val="24"/>
              </w:rPr>
              <w:t xml:space="preserve"> wynikow</w:t>
            </w:r>
            <w:r w:rsidR="006B3303">
              <w:rPr>
                <w:rFonts w:ascii="Times New Roman" w:hAnsi="Times New Roman"/>
                <w:sz w:val="24"/>
                <w:szCs w:val="24"/>
              </w:rPr>
              <w:t>ych</w:t>
            </w:r>
            <w:r w:rsidR="00193FF3">
              <w:rPr>
                <w:rFonts w:ascii="Times New Roman" w:hAnsi="Times New Roman"/>
                <w:sz w:val="24"/>
                <w:szCs w:val="24"/>
              </w:rPr>
              <w:t xml:space="preserve"> Y</w:t>
            </w:r>
            <w:r w:rsidRPr="0028057B">
              <w:rPr>
                <w:rFonts w:ascii="Times New Roman" w:hAnsi="Times New Roman"/>
                <w:i/>
                <w:iCs/>
                <w:sz w:val="24"/>
                <w:szCs w:val="24"/>
              </w:rPr>
              <w:t xml:space="preserve"> </w:t>
            </w:r>
            <w:r w:rsidRPr="0028057B">
              <w:rPr>
                <w:rFonts w:ascii="Times New Roman" w:hAnsi="Times New Roman"/>
                <w:i/>
                <w:iCs/>
                <w:sz w:val="24"/>
                <w:szCs w:val="24"/>
              </w:rPr>
              <w:br/>
            </w:r>
            <w:r w:rsidRPr="0028057B">
              <w:rPr>
                <w:rFonts w:ascii="Times New Roman" w:hAnsi="Times New Roman"/>
                <w:sz w:val="24"/>
                <w:szCs w:val="24"/>
              </w:rPr>
              <w:t>(</w:t>
            </w:r>
            <w:r w:rsidRPr="0028057B">
              <w:rPr>
                <w:rFonts w:ascii="Times New Roman" w:hAnsi="Times New Roman"/>
                <w:i/>
                <w:iCs/>
                <w:sz w:val="24"/>
                <w:szCs w:val="24"/>
              </w:rPr>
              <w:t>J. Kulawik, M. Soliwoda</w:t>
            </w:r>
            <w:r w:rsidRPr="0028057B">
              <w:rPr>
                <w:rFonts w:ascii="Times New Roman" w:hAnsi="Times New Roman"/>
                <w:sz w:val="24"/>
                <w:szCs w:val="24"/>
              </w:rPr>
              <w:t>)</w:t>
            </w:r>
          </w:p>
        </w:tc>
        <w:tc>
          <w:tcPr>
            <w:tcW w:w="703" w:type="dxa"/>
          </w:tcPr>
          <w:p w14:paraId="09E8509E" w14:textId="151A93F9" w:rsidR="0028057B" w:rsidRPr="00AA0C79" w:rsidRDefault="00AA0C79" w:rsidP="0028057B">
            <w:pPr>
              <w:rPr>
                <w:rFonts w:ascii="Times New Roman" w:hAnsi="Times New Roman"/>
                <w:sz w:val="24"/>
                <w:szCs w:val="24"/>
              </w:rPr>
            </w:pPr>
            <w:r w:rsidRPr="00AA0C79">
              <w:rPr>
                <w:rFonts w:ascii="Times New Roman" w:hAnsi="Times New Roman"/>
                <w:sz w:val="24"/>
                <w:szCs w:val="24"/>
              </w:rPr>
              <w:t>142</w:t>
            </w:r>
          </w:p>
        </w:tc>
      </w:tr>
      <w:tr w:rsidR="0028057B" w:rsidRPr="0028057B" w14:paraId="1191E6FD" w14:textId="77777777" w:rsidTr="00AA0C79">
        <w:trPr>
          <w:trHeight w:hRule="exact" w:val="713"/>
        </w:trPr>
        <w:tc>
          <w:tcPr>
            <w:tcW w:w="704" w:type="dxa"/>
          </w:tcPr>
          <w:p w14:paraId="5816534E" w14:textId="77777777" w:rsidR="0028057B" w:rsidRPr="0028057B" w:rsidRDefault="0028057B" w:rsidP="0028057B">
            <w:pPr>
              <w:numPr>
                <w:ilvl w:val="0"/>
                <w:numId w:val="84"/>
              </w:numPr>
              <w:contextualSpacing/>
              <w:rPr>
                <w:rFonts w:ascii="Times New Roman" w:hAnsi="Times New Roman"/>
                <w:sz w:val="24"/>
                <w:szCs w:val="24"/>
              </w:rPr>
            </w:pPr>
          </w:p>
        </w:tc>
        <w:tc>
          <w:tcPr>
            <w:tcW w:w="7655" w:type="dxa"/>
            <w:hideMark/>
          </w:tcPr>
          <w:p w14:paraId="6B86B8F7" w14:textId="77777777" w:rsidR="0028057B" w:rsidRPr="0028057B" w:rsidRDefault="0028057B" w:rsidP="0028057B">
            <w:pPr>
              <w:rPr>
                <w:rFonts w:ascii="Times New Roman" w:hAnsi="Times New Roman"/>
                <w:sz w:val="24"/>
                <w:szCs w:val="24"/>
              </w:rPr>
            </w:pPr>
            <w:r w:rsidRPr="0028057B">
              <w:rPr>
                <w:rFonts w:ascii="Times New Roman" w:hAnsi="Times New Roman"/>
                <w:sz w:val="24"/>
                <w:szCs w:val="24"/>
              </w:rPr>
              <w:t xml:space="preserve">Konstrukcja zbioru kowariatów X </w:t>
            </w:r>
            <w:r w:rsidRPr="0028057B">
              <w:rPr>
                <w:rFonts w:ascii="Times New Roman" w:hAnsi="Times New Roman"/>
                <w:sz w:val="24"/>
                <w:szCs w:val="24"/>
              </w:rPr>
              <w:br/>
              <w:t>(</w:t>
            </w:r>
            <w:r w:rsidRPr="0028057B">
              <w:rPr>
                <w:rFonts w:ascii="Times New Roman" w:hAnsi="Times New Roman"/>
                <w:i/>
                <w:iCs/>
                <w:sz w:val="24"/>
                <w:szCs w:val="24"/>
              </w:rPr>
              <w:t>A. Kurdyś-Kujawska, J. Kulawik, M. Soliwoda</w:t>
            </w:r>
            <w:r w:rsidRPr="0028057B">
              <w:rPr>
                <w:rFonts w:ascii="Times New Roman" w:hAnsi="Times New Roman"/>
                <w:sz w:val="24"/>
                <w:szCs w:val="24"/>
              </w:rPr>
              <w:t>)</w:t>
            </w:r>
          </w:p>
        </w:tc>
        <w:tc>
          <w:tcPr>
            <w:tcW w:w="703" w:type="dxa"/>
          </w:tcPr>
          <w:p w14:paraId="2A72CF92" w14:textId="68FD8F17" w:rsidR="0028057B" w:rsidRPr="00AA0C79" w:rsidRDefault="00AA0C79" w:rsidP="0028057B">
            <w:pPr>
              <w:rPr>
                <w:rFonts w:ascii="Times New Roman" w:hAnsi="Times New Roman"/>
                <w:sz w:val="24"/>
                <w:szCs w:val="24"/>
              </w:rPr>
            </w:pPr>
            <w:r w:rsidRPr="00AA0C79">
              <w:rPr>
                <w:rFonts w:ascii="Times New Roman" w:hAnsi="Times New Roman"/>
                <w:sz w:val="24"/>
                <w:szCs w:val="24"/>
              </w:rPr>
              <w:t>143</w:t>
            </w:r>
          </w:p>
        </w:tc>
      </w:tr>
      <w:tr w:rsidR="0028057B" w:rsidRPr="0028057B" w14:paraId="11FFA472" w14:textId="77777777" w:rsidTr="00AA0C79">
        <w:trPr>
          <w:trHeight w:hRule="exact" w:val="710"/>
        </w:trPr>
        <w:tc>
          <w:tcPr>
            <w:tcW w:w="704" w:type="dxa"/>
          </w:tcPr>
          <w:p w14:paraId="25572E4F" w14:textId="77777777" w:rsidR="0028057B" w:rsidRPr="0028057B" w:rsidRDefault="0028057B" w:rsidP="0028057B">
            <w:pPr>
              <w:numPr>
                <w:ilvl w:val="0"/>
                <w:numId w:val="84"/>
              </w:numPr>
              <w:contextualSpacing/>
              <w:rPr>
                <w:rFonts w:ascii="Times New Roman" w:hAnsi="Times New Roman"/>
                <w:sz w:val="24"/>
                <w:szCs w:val="24"/>
              </w:rPr>
            </w:pPr>
          </w:p>
        </w:tc>
        <w:tc>
          <w:tcPr>
            <w:tcW w:w="7655" w:type="dxa"/>
            <w:hideMark/>
          </w:tcPr>
          <w:p w14:paraId="1C986198" w14:textId="77777777" w:rsidR="0028057B" w:rsidRPr="0028057B" w:rsidRDefault="0028057B" w:rsidP="0028057B">
            <w:pPr>
              <w:rPr>
                <w:rFonts w:ascii="Times New Roman" w:hAnsi="Times New Roman"/>
                <w:sz w:val="24"/>
                <w:szCs w:val="24"/>
              </w:rPr>
            </w:pPr>
            <w:r w:rsidRPr="0028057B">
              <w:rPr>
                <w:rFonts w:ascii="Times New Roman" w:hAnsi="Times New Roman"/>
                <w:sz w:val="24"/>
                <w:szCs w:val="24"/>
              </w:rPr>
              <w:t>Źródła danych i informacji oraz próby badawcze</w:t>
            </w:r>
            <w:r w:rsidRPr="0028057B">
              <w:rPr>
                <w:rFonts w:ascii="Times New Roman" w:hAnsi="Times New Roman"/>
                <w:sz w:val="24"/>
                <w:szCs w:val="24"/>
              </w:rPr>
              <w:br/>
              <w:t>(</w:t>
            </w:r>
            <w:r w:rsidRPr="0028057B">
              <w:rPr>
                <w:rFonts w:ascii="Times New Roman" w:hAnsi="Times New Roman"/>
                <w:i/>
                <w:iCs/>
                <w:sz w:val="24"/>
                <w:szCs w:val="24"/>
              </w:rPr>
              <w:t>J. Kulawik, M. Soliwoda</w:t>
            </w:r>
            <w:r w:rsidRPr="0028057B">
              <w:rPr>
                <w:rFonts w:ascii="Times New Roman" w:hAnsi="Times New Roman"/>
                <w:sz w:val="24"/>
                <w:szCs w:val="24"/>
              </w:rPr>
              <w:t>)</w:t>
            </w:r>
          </w:p>
        </w:tc>
        <w:tc>
          <w:tcPr>
            <w:tcW w:w="703" w:type="dxa"/>
          </w:tcPr>
          <w:p w14:paraId="1CE4D658" w14:textId="7BC1F7EA" w:rsidR="0028057B" w:rsidRPr="00AA0C79" w:rsidRDefault="00AA0C79" w:rsidP="0028057B">
            <w:pPr>
              <w:rPr>
                <w:rFonts w:ascii="Times New Roman" w:hAnsi="Times New Roman"/>
                <w:sz w:val="24"/>
                <w:szCs w:val="24"/>
              </w:rPr>
            </w:pPr>
            <w:r w:rsidRPr="00AA0C79">
              <w:rPr>
                <w:rFonts w:ascii="Times New Roman" w:hAnsi="Times New Roman"/>
                <w:sz w:val="24"/>
                <w:szCs w:val="24"/>
              </w:rPr>
              <w:t>201</w:t>
            </w:r>
          </w:p>
        </w:tc>
      </w:tr>
      <w:tr w:rsidR="0028057B" w:rsidRPr="0028057B" w14:paraId="4C5DA187" w14:textId="77777777" w:rsidTr="00AA0C79">
        <w:trPr>
          <w:trHeight w:hRule="exact" w:val="706"/>
        </w:trPr>
        <w:tc>
          <w:tcPr>
            <w:tcW w:w="704" w:type="dxa"/>
          </w:tcPr>
          <w:p w14:paraId="17545EEA" w14:textId="77777777" w:rsidR="0028057B" w:rsidRPr="0028057B" w:rsidRDefault="0028057B" w:rsidP="0028057B">
            <w:pPr>
              <w:numPr>
                <w:ilvl w:val="0"/>
                <w:numId w:val="84"/>
              </w:numPr>
              <w:contextualSpacing/>
              <w:rPr>
                <w:rFonts w:ascii="Times New Roman" w:hAnsi="Times New Roman"/>
                <w:sz w:val="24"/>
                <w:szCs w:val="24"/>
              </w:rPr>
            </w:pPr>
          </w:p>
        </w:tc>
        <w:tc>
          <w:tcPr>
            <w:tcW w:w="7655" w:type="dxa"/>
            <w:hideMark/>
          </w:tcPr>
          <w:p w14:paraId="1ACA0503" w14:textId="77777777" w:rsidR="0028057B" w:rsidRPr="0028057B" w:rsidRDefault="0028057B" w:rsidP="0028057B">
            <w:pPr>
              <w:rPr>
                <w:rFonts w:ascii="Times New Roman" w:hAnsi="Times New Roman"/>
                <w:sz w:val="24"/>
                <w:szCs w:val="24"/>
              </w:rPr>
            </w:pPr>
            <w:r w:rsidRPr="0028057B">
              <w:rPr>
                <w:rFonts w:ascii="Times New Roman" w:hAnsi="Times New Roman"/>
                <w:sz w:val="24"/>
                <w:szCs w:val="24"/>
              </w:rPr>
              <w:t xml:space="preserve">Analiza ryzyka badań ewaluacyjnych </w:t>
            </w:r>
            <w:r w:rsidRPr="0028057B">
              <w:rPr>
                <w:rFonts w:ascii="Times New Roman" w:hAnsi="Times New Roman"/>
                <w:sz w:val="24"/>
                <w:szCs w:val="24"/>
              </w:rPr>
              <w:br/>
              <w:t>(</w:t>
            </w:r>
            <w:r w:rsidRPr="0028057B">
              <w:rPr>
                <w:rFonts w:ascii="Times New Roman" w:hAnsi="Times New Roman"/>
                <w:i/>
                <w:iCs/>
                <w:sz w:val="24"/>
                <w:szCs w:val="24"/>
              </w:rPr>
              <w:t>J. Kulawik, M. Soliwoda</w:t>
            </w:r>
            <w:r w:rsidRPr="0028057B">
              <w:rPr>
                <w:rFonts w:ascii="Times New Roman" w:hAnsi="Times New Roman"/>
                <w:sz w:val="24"/>
                <w:szCs w:val="24"/>
              </w:rPr>
              <w:t>)</w:t>
            </w:r>
          </w:p>
        </w:tc>
        <w:tc>
          <w:tcPr>
            <w:tcW w:w="703" w:type="dxa"/>
          </w:tcPr>
          <w:p w14:paraId="532EFAF0" w14:textId="411309EB" w:rsidR="0028057B" w:rsidRPr="00AA0C79" w:rsidRDefault="00AA0C79" w:rsidP="0028057B">
            <w:pPr>
              <w:rPr>
                <w:rFonts w:ascii="Times New Roman" w:hAnsi="Times New Roman"/>
                <w:sz w:val="24"/>
                <w:szCs w:val="24"/>
              </w:rPr>
            </w:pPr>
            <w:r w:rsidRPr="00AA0C79">
              <w:rPr>
                <w:rFonts w:ascii="Times New Roman" w:hAnsi="Times New Roman"/>
                <w:sz w:val="24"/>
                <w:szCs w:val="24"/>
              </w:rPr>
              <w:t>208</w:t>
            </w:r>
          </w:p>
        </w:tc>
      </w:tr>
      <w:tr w:rsidR="0028057B" w:rsidRPr="0028057B" w14:paraId="2D2D6509" w14:textId="77777777" w:rsidTr="00AA0C79">
        <w:trPr>
          <w:trHeight w:hRule="exact" w:val="715"/>
        </w:trPr>
        <w:tc>
          <w:tcPr>
            <w:tcW w:w="704" w:type="dxa"/>
          </w:tcPr>
          <w:p w14:paraId="3F0A97CD" w14:textId="77777777" w:rsidR="0028057B" w:rsidRPr="0028057B" w:rsidRDefault="0028057B" w:rsidP="0028057B">
            <w:pPr>
              <w:numPr>
                <w:ilvl w:val="0"/>
                <w:numId w:val="84"/>
              </w:numPr>
              <w:contextualSpacing/>
              <w:rPr>
                <w:rFonts w:ascii="Times New Roman" w:hAnsi="Times New Roman"/>
                <w:sz w:val="24"/>
                <w:szCs w:val="24"/>
              </w:rPr>
            </w:pPr>
          </w:p>
        </w:tc>
        <w:tc>
          <w:tcPr>
            <w:tcW w:w="7655" w:type="dxa"/>
          </w:tcPr>
          <w:p w14:paraId="146E728F" w14:textId="36DE6602" w:rsidR="0028057B" w:rsidRPr="0028057B" w:rsidRDefault="0028057B" w:rsidP="0028057B">
            <w:pPr>
              <w:rPr>
                <w:rFonts w:ascii="Times New Roman" w:hAnsi="Times New Roman"/>
                <w:sz w:val="24"/>
                <w:szCs w:val="24"/>
              </w:rPr>
            </w:pPr>
            <w:r w:rsidRPr="0028057B">
              <w:rPr>
                <w:rFonts w:ascii="Times New Roman" w:hAnsi="Times New Roman"/>
                <w:sz w:val="24"/>
                <w:szCs w:val="24"/>
              </w:rPr>
              <w:t>Podsumowanie</w:t>
            </w:r>
            <w:r w:rsidR="00727412">
              <w:rPr>
                <w:rFonts w:ascii="Times New Roman" w:hAnsi="Times New Roman"/>
                <w:sz w:val="24"/>
                <w:szCs w:val="24"/>
              </w:rPr>
              <w:t xml:space="preserve"> </w:t>
            </w:r>
            <w:r w:rsidR="00727412" w:rsidRPr="0028057B">
              <w:rPr>
                <w:rFonts w:ascii="Times New Roman" w:hAnsi="Times New Roman"/>
                <w:sz w:val="24"/>
                <w:szCs w:val="24"/>
              </w:rPr>
              <w:t>(</w:t>
            </w:r>
            <w:r w:rsidR="00727412" w:rsidRPr="0028057B">
              <w:rPr>
                <w:rFonts w:ascii="Times New Roman" w:hAnsi="Times New Roman"/>
                <w:i/>
                <w:iCs/>
                <w:sz w:val="24"/>
                <w:szCs w:val="24"/>
              </w:rPr>
              <w:t>A. Kagan, J. Kulawik, M. Soliwoda</w:t>
            </w:r>
            <w:r w:rsidR="00727412" w:rsidRPr="0028057B">
              <w:rPr>
                <w:rFonts w:ascii="Times New Roman" w:hAnsi="Times New Roman"/>
                <w:sz w:val="24"/>
                <w:szCs w:val="24"/>
              </w:rPr>
              <w:t>)</w:t>
            </w:r>
          </w:p>
        </w:tc>
        <w:tc>
          <w:tcPr>
            <w:tcW w:w="703" w:type="dxa"/>
          </w:tcPr>
          <w:p w14:paraId="6C2D9EAE" w14:textId="0A8FDA25" w:rsidR="0028057B" w:rsidRPr="00AA0C79" w:rsidRDefault="00AA0C79" w:rsidP="0028057B">
            <w:pPr>
              <w:rPr>
                <w:rFonts w:ascii="Times New Roman" w:hAnsi="Times New Roman"/>
                <w:sz w:val="24"/>
                <w:szCs w:val="24"/>
              </w:rPr>
            </w:pPr>
            <w:r w:rsidRPr="00AA0C79">
              <w:rPr>
                <w:rFonts w:ascii="Times New Roman" w:hAnsi="Times New Roman"/>
                <w:sz w:val="24"/>
                <w:szCs w:val="24"/>
              </w:rPr>
              <w:t>213</w:t>
            </w:r>
          </w:p>
        </w:tc>
      </w:tr>
      <w:tr w:rsidR="0028057B" w:rsidRPr="0028057B" w14:paraId="18F59013" w14:textId="77777777" w:rsidTr="00AA0C79">
        <w:trPr>
          <w:trHeight w:hRule="exact" w:val="711"/>
        </w:trPr>
        <w:tc>
          <w:tcPr>
            <w:tcW w:w="704" w:type="dxa"/>
          </w:tcPr>
          <w:p w14:paraId="4189CC6E" w14:textId="77777777" w:rsidR="0028057B" w:rsidRPr="0028057B" w:rsidRDefault="0028057B" w:rsidP="0028057B">
            <w:pPr>
              <w:numPr>
                <w:ilvl w:val="0"/>
                <w:numId w:val="84"/>
              </w:numPr>
              <w:contextualSpacing/>
              <w:rPr>
                <w:rFonts w:ascii="Times New Roman" w:hAnsi="Times New Roman"/>
                <w:sz w:val="24"/>
                <w:szCs w:val="24"/>
              </w:rPr>
            </w:pPr>
          </w:p>
        </w:tc>
        <w:tc>
          <w:tcPr>
            <w:tcW w:w="7655" w:type="dxa"/>
          </w:tcPr>
          <w:p w14:paraId="5E7480B6" w14:textId="77777777" w:rsidR="0028057B" w:rsidRPr="0028057B" w:rsidRDefault="0028057B" w:rsidP="0028057B">
            <w:pPr>
              <w:rPr>
                <w:rFonts w:ascii="Times New Roman" w:hAnsi="Times New Roman"/>
                <w:sz w:val="24"/>
                <w:szCs w:val="24"/>
              </w:rPr>
            </w:pPr>
            <w:r w:rsidRPr="0028057B">
              <w:rPr>
                <w:rFonts w:ascii="Times New Roman" w:hAnsi="Times New Roman"/>
                <w:sz w:val="24"/>
                <w:szCs w:val="24"/>
              </w:rPr>
              <w:t>Literatura</w:t>
            </w:r>
          </w:p>
        </w:tc>
        <w:tc>
          <w:tcPr>
            <w:tcW w:w="703" w:type="dxa"/>
          </w:tcPr>
          <w:p w14:paraId="367A9D69" w14:textId="35524B9D" w:rsidR="0028057B" w:rsidRPr="00AA0C79" w:rsidRDefault="00AA0C79" w:rsidP="0028057B">
            <w:pPr>
              <w:rPr>
                <w:rFonts w:ascii="Times New Roman" w:hAnsi="Times New Roman"/>
                <w:sz w:val="24"/>
                <w:szCs w:val="24"/>
              </w:rPr>
            </w:pPr>
            <w:r w:rsidRPr="00AA0C79">
              <w:rPr>
                <w:rFonts w:ascii="Times New Roman" w:hAnsi="Times New Roman"/>
                <w:sz w:val="24"/>
                <w:szCs w:val="24"/>
              </w:rPr>
              <w:t>216</w:t>
            </w:r>
          </w:p>
        </w:tc>
      </w:tr>
    </w:tbl>
    <w:p w14:paraId="286FCA36" w14:textId="59D15B97" w:rsidR="00B362D2" w:rsidRPr="007C469E" w:rsidRDefault="00B362D2">
      <w:pPr>
        <w:rPr>
          <w:rFonts w:ascii="Times New Roman" w:hAnsi="Times New Roman" w:cs="Times New Roman"/>
          <w:b/>
          <w:bCs/>
          <w:sz w:val="32"/>
          <w:szCs w:val="32"/>
        </w:rPr>
      </w:pPr>
      <w:r w:rsidRPr="007C469E">
        <w:rPr>
          <w:rFonts w:ascii="Times New Roman" w:hAnsi="Times New Roman" w:cs="Times New Roman"/>
          <w:b/>
          <w:bCs/>
          <w:sz w:val="32"/>
          <w:szCs w:val="32"/>
        </w:rPr>
        <w:br w:type="page"/>
      </w:r>
    </w:p>
    <w:p w14:paraId="633AB2EB" w14:textId="77777777" w:rsidR="00B362D2" w:rsidRDefault="00B362D2" w:rsidP="00B362D2">
      <w:pPr>
        <w:jc w:val="center"/>
        <w:rPr>
          <w:rFonts w:ascii="Times New Roman" w:hAnsi="Times New Roman" w:cs="Times New Roman"/>
          <w:b/>
          <w:bCs/>
          <w:sz w:val="28"/>
          <w:szCs w:val="28"/>
        </w:rPr>
      </w:pPr>
      <w:r w:rsidRPr="00B362D2">
        <w:rPr>
          <w:rFonts w:ascii="Times New Roman" w:hAnsi="Times New Roman" w:cs="Times New Roman"/>
          <w:b/>
          <w:bCs/>
          <w:sz w:val="28"/>
          <w:szCs w:val="28"/>
        </w:rPr>
        <w:lastRenderedPageBreak/>
        <w:t>Wprowadzenie</w:t>
      </w:r>
    </w:p>
    <w:p w14:paraId="262F51A5" w14:textId="41784833" w:rsidR="00DC31EA" w:rsidRDefault="00B362D2" w:rsidP="00CB6322">
      <w:pPr>
        <w:ind w:firstLine="567"/>
        <w:jc w:val="both"/>
        <w:rPr>
          <w:rFonts w:ascii="Times New Roman" w:hAnsi="Times New Roman" w:cs="Times New Roman"/>
          <w:sz w:val="28"/>
          <w:szCs w:val="28"/>
        </w:rPr>
      </w:pPr>
      <w:r w:rsidRPr="00B362D2">
        <w:rPr>
          <w:rFonts w:ascii="Times New Roman" w:hAnsi="Times New Roman" w:cs="Times New Roman"/>
          <w:sz w:val="28"/>
          <w:szCs w:val="28"/>
        </w:rPr>
        <w:t>Po</w:t>
      </w:r>
      <w:r>
        <w:rPr>
          <w:rFonts w:ascii="Times New Roman" w:hAnsi="Times New Roman" w:cs="Times New Roman"/>
          <w:sz w:val="28"/>
          <w:szCs w:val="28"/>
        </w:rPr>
        <w:t>dstawowym celem raportu, zgodnie z umową za</w:t>
      </w:r>
      <w:r w:rsidR="00CB6322">
        <w:rPr>
          <w:rFonts w:ascii="Times New Roman" w:hAnsi="Times New Roman" w:cs="Times New Roman"/>
          <w:sz w:val="28"/>
          <w:szCs w:val="28"/>
        </w:rPr>
        <w:t>wartą z MRiRW, jest zaprojektowanie metodologii i narzędzi niezbędnych do przeprowadzenia ewaluacji ex-post dotowanych ubezpieczeń i zwierząt gospodarskich. Całość prac ewaluacyjnych ma zakończyć się w 2028 roku. Wydaje się zatem rzeczą logiczną, żeby przedłożony raport był zarazem swoistą mapą drogową dojścia do ewaluacji finalnej. Stąd też metodologię pomyślano jako</w:t>
      </w:r>
      <w:r w:rsidR="00787BA4">
        <w:rPr>
          <w:rFonts w:ascii="Times New Roman" w:hAnsi="Times New Roman" w:cs="Times New Roman"/>
          <w:sz w:val="28"/>
          <w:szCs w:val="28"/>
        </w:rPr>
        <w:t xml:space="preserve"> konstrukcję złożoną z elementów względnie stałych (trzy narzędzia analizy wpływu, zbiór zmiennych wynikowych</w:t>
      </w:r>
      <w:r w:rsidR="0091677E">
        <w:rPr>
          <w:rFonts w:ascii="Times New Roman" w:hAnsi="Times New Roman" w:cs="Times New Roman"/>
          <w:sz w:val="28"/>
          <w:szCs w:val="28"/>
        </w:rPr>
        <w:t xml:space="preserve"> Y</w:t>
      </w:r>
      <w:r w:rsidR="00787BA4">
        <w:rPr>
          <w:rFonts w:ascii="Times New Roman" w:hAnsi="Times New Roman" w:cs="Times New Roman"/>
          <w:sz w:val="28"/>
          <w:szCs w:val="28"/>
        </w:rPr>
        <w:t xml:space="preserve"> oraz zbiór kowariatów X)</w:t>
      </w:r>
      <w:r w:rsidR="00C33862">
        <w:rPr>
          <w:rFonts w:ascii="Times New Roman" w:hAnsi="Times New Roman" w:cs="Times New Roman"/>
          <w:sz w:val="28"/>
          <w:szCs w:val="28"/>
        </w:rPr>
        <w:t>, ale i sukcesywnie doskonalonych (głównie teoria programu). W ten sposób opracowanie będzie zgodne również z wymaganiami Komisji Europejskiej, która oczekuje w pierwszym rzędzie, iż ewaluacja będzie miała cechy wytworu opartego o naukę. Z powyższego w żadnym razie nie wynika, że ewaluatorzy nie będą aktualizować trzech narzędzi analizy wpływu. Wprost przeciwnie. Na bieżąco będzie</w:t>
      </w:r>
      <w:r w:rsidR="00DC31EA">
        <w:rPr>
          <w:rFonts w:ascii="Times New Roman" w:hAnsi="Times New Roman" w:cs="Times New Roman"/>
          <w:sz w:val="28"/>
          <w:szCs w:val="28"/>
        </w:rPr>
        <w:t xml:space="preserve"> się śledzić najnowsze osiągnięcia w tym obszarze. Jedynym ograniczeniem ich zastosowania będzie w pierwszym rzędzie dostępność danych i odpowiednich aplikacji komputerowych.</w:t>
      </w:r>
    </w:p>
    <w:p w14:paraId="60247D8A" w14:textId="12D450E2" w:rsidR="00DC31EA" w:rsidRDefault="00DC31EA" w:rsidP="00CB6322">
      <w:pPr>
        <w:ind w:firstLine="567"/>
        <w:jc w:val="both"/>
        <w:rPr>
          <w:rFonts w:ascii="Times New Roman" w:hAnsi="Times New Roman" w:cs="Times New Roman"/>
          <w:sz w:val="28"/>
          <w:szCs w:val="28"/>
        </w:rPr>
      </w:pPr>
      <w:r>
        <w:rPr>
          <w:rFonts w:ascii="Times New Roman" w:hAnsi="Times New Roman" w:cs="Times New Roman"/>
          <w:sz w:val="28"/>
          <w:szCs w:val="28"/>
        </w:rPr>
        <w:t xml:space="preserve">Zgodnie z załącznikiem 1 do umowy zawartej z MRiRW </w:t>
      </w:r>
      <w:r w:rsidR="006D68C5">
        <w:rPr>
          <w:rFonts w:ascii="Times New Roman" w:hAnsi="Times New Roman" w:cs="Times New Roman"/>
          <w:sz w:val="28"/>
          <w:szCs w:val="28"/>
        </w:rPr>
        <w:t>przedkładany</w:t>
      </w:r>
      <w:r>
        <w:rPr>
          <w:rFonts w:ascii="Times New Roman" w:hAnsi="Times New Roman" w:cs="Times New Roman"/>
          <w:sz w:val="28"/>
          <w:szCs w:val="28"/>
        </w:rPr>
        <w:t xml:space="preserve"> raport składa się z jedenastu rozdziałów.</w:t>
      </w:r>
    </w:p>
    <w:p w14:paraId="6E9A1546" w14:textId="0C244035" w:rsidR="00DC31EA" w:rsidRDefault="00DC31EA" w:rsidP="00CB6322">
      <w:pPr>
        <w:ind w:firstLine="567"/>
        <w:jc w:val="both"/>
        <w:rPr>
          <w:rFonts w:ascii="Times New Roman" w:hAnsi="Times New Roman" w:cs="Times New Roman"/>
          <w:sz w:val="28"/>
          <w:szCs w:val="28"/>
        </w:rPr>
      </w:pPr>
      <w:r>
        <w:rPr>
          <w:rFonts w:ascii="Times New Roman" w:hAnsi="Times New Roman" w:cs="Times New Roman"/>
          <w:sz w:val="28"/>
          <w:szCs w:val="28"/>
        </w:rPr>
        <w:t>Rozdział pierwszy dotyczy zarysu teorii programu subsydiowania ubezpieczeń rolnych</w:t>
      </w:r>
      <w:r w:rsidR="00FF7663">
        <w:rPr>
          <w:rFonts w:ascii="Times New Roman" w:hAnsi="Times New Roman" w:cs="Times New Roman"/>
          <w:sz w:val="28"/>
          <w:szCs w:val="28"/>
        </w:rPr>
        <w:t>. Przedstawia się w nim ewolucję powyższe</w:t>
      </w:r>
      <w:r w:rsidR="004737E7">
        <w:rPr>
          <w:rFonts w:ascii="Times New Roman" w:hAnsi="Times New Roman" w:cs="Times New Roman"/>
          <w:sz w:val="28"/>
          <w:szCs w:val="28"/>
        </w:rPr>
        <w:t>j</w:t>
      </w:r>
      <w:r w:rsidR="00FF7663">
        <w:rPr>
          <w:rFonts w:ascii="Times New Roman" w:hAnsi="Times New Roman" w:cs="Times New Roman"/>
          <w:sz w:val="28"/>
          <w:szCs w:val="28"/>
        </w:rPr>
        <w:t xml:space="preserve"> teorii oraz przegląd literatury nt. uzasadnień </w:t>
      </w:r>
      <w:r w:rsidR="00434E9A">
        <w:rPr>
          <w:rFonts w:ascii="Times New Roman" w:hAnsi="Times New Roman" w:cs="Times New Roman"/>
          <w:sz w:val="28"/>
          <w:szCs w:val="28"/>
        </w:rPr>
        <w:t>subsydiowania</w:t>
      </w:r>
      <w:r w:rsidR="0091677E">
        <w:rPr>
          <w:rFonts w:ascii="Times New Roman" w:hAnsi="Times New Roman" w:cs="Times New Roman"/>
          <w:sz w:val="28"/>
          <w:szCs w:val="28"/>
        </w:rPr>
        <w:t xml:space="preserve"> ubezpieczeń</w:t>
      </w:r>
      <w:r w:rsidR="00FF7663">
        <w:rPr>
          <w:rFonts w:ascii="Times New Roman" w:hAnsi="Times New Roman" w:cs="Times New Roman"/>
          <w:sz w:val="28"/>
          <w:szCs w:val="28"/>
        </w:rPr>
        <w:t xml:space="preserve"> oraz jego wpływu na funkcjonowanie gospodarstw i s</w:t>
      </w:r>
      <w:r w:rsidR="00434E9A">
        <w:rPr>
          <w:rFonts w:ascii="Times New Roman" w:hAnsi="Times New Roman" w:cs="Times New Roman"/>
          <w:sz w:val="28"/>
          <w:szCs w:val="28"/>
        </w:rPr>
        <w:t>ektora rolnego.</w:t>
      </w:r>
    </w:p>
    <w:p w14:paraId="73A450C2" w14:textId="2A5FBE61" w:rsidR="00434E9A" w:rsidRDefault="00434E9A" w:rsidP="00CB6322">
      <w:pPr>
        <w:ind w:firstLine="567"/>
        <w:jc w:val="both"/>
        <w:rPr>
          <w:rFonts w:ascii="Times New Roman" w:hAnsi="Times New Roman" w:cs="Times New Roman"/>
          <w:sz w:val="28"/>
          <w:szCs w:val="28"/>
        </w:rPr>
      </w:pPr>
      <w:r>
        <w:rPr>
          <w:rFonts w:ascii="Times New Roman" w:hAnsi="Times New Roman" w:cs="Times New Roman"/>
          <w:sz w:val="28"/>
          <w:szCs w:val="28"/>
        </w:rPr>
        <w:t xml:space="preserve">Rozdział drugi poświęcony jest podstawowym problemom rozumienia przyczynowości i wnioskowania przyczynowego w ramach badań ewaluacyjnych </w:t>
      </w:r>
      <w:r w:rsidR="00754FCF">
        <w:rPr>
          <w:rFonts w:ascii="Times New Roman" w:hAnsi="Times New Roman" w:cs="Times New Roman"/>
          <w:sz w:val="28"/>
          <w:szCs w:val="28"/>
        </w:rPr>
        <w:br/>
      </w:r>
      <w:r>
        <w:rPr>
          <w:rFonts w:ascii="Times New Roman" w:hAnsi="Times New Roman" w:cs="Times New Roman"/>
          <w:sz w:val="28"/>
          <w:szCs w:val="28"/>
        </w:rPr>
        <w:t>i fundamentalne</w:t>
      </w:r>
      <w:r w:rsidR="0091677E">
        <w:rPr>
          <w:rFonts w:ascii="Times New Roman" w:hAnsi="Times New Roman" w:cs="Times New Roman"/>
          <w:sz w:val="28"/>
          <w:szCs w:val="28"/>
        </w:rPr>
        <w:t>j</w:t>
      </w:r>
      <w:r>
        <w:rPr>
          <w:rFonts w:ascii="Times New Roman" w:hAnsi="Times New Roman" w:cs="Times New Roman"/>
          <w:sz w:val="28"/>
          <w:szCs w:val="28"/>
        </w:rPr>
        <w:t xml:space="preserve"> analizy </w:t>
      </w:r>
      <w:r w:rsidR="007C5993">
        <w:rPr>
          <w:rFonts w:ascii="Times New Roman" w:hAnsi="Times New Roman" w:cs="Times New Roman"/>
          <w:sz w:val="28"/>
          <w:szCs w:val="28"/>
        </w:rPr>
        <w:t>wpływu interwencji kwestii, jaką jest kontrfaktyczność.</w:t>
      </w:r>
    </w:p>
    <w:p w14:paraId="5AC62A85" w14:textId="68D05F3B" w:rsidR="007C5993" w:rsidRDefault="007C5993" w:rsidP="00CB6322">
      <w:pPr>
        <w:ind w:firstLine="567"/>
        <w:jc w:val="both"/>
        <w:rPr>
          <w:rFonts w:ascii="Times New Roman" w:hAnsi="Times New Roman" w:cs="Times New Roman"/>
          <w:sz w:val="28"/>
          <w:szCs w:val="28"/>
        </w:rPr>
      </w:pPr>
      <w:r>
        <w:rPr>
          <w:rFonts w:ascii="Times New Roman" w:hAnsi="Times New Roman" w:cs="Times New Roman"/>
          <w:sz w:val="28"/>
          <w:szCs w:val="28"/>
        </w:rPr>
        <w:t>Pomiar rozmaitych efektów interwencji oraz programów i polityk publicznych jest przedmiotem rozważań w rozdziale trzecim.</w:t>
      </w:r>
    </w:p>
    <w:p w14:paraId="2DC849EC" w14:textId="7C9315F6" w:rsidR="007C5993" w:rsidRDefault="007C5993" w:rsidP="00CB6322">
      <w:pPr>
        <w:ind w:firstLine="567"/>
        <w:jc w:val="both"/>
        <w:rPr>
          <w:rFonts w:ascii="Times New Roman" w:hAnsi="Times New Roman" w:cs="Times New Roman"/>
          <w:sz w:val="28"/>
          <w:szCs w:val="28"/>
        </w:rPr>
      </w:pPr>
      <w:r>
        <w:rPr>
          <w:rFonts w:ascii="Times New Roman" w:hAnsi="Times New Roman" w:cs="Times New Roman"/>
          <w:sz w:val="28"/>
          <w:szCs w:val="28"/>
        </w:rPr>
        <w:t>W oparciu o koncepcję łańcuchów wyników (modeli logicznych) i</w:t>
      </w:r>
      <w:r w:rsidR="00E10EE7">
        <w:rPr>
          <w:rFonts w:ascii="Times New Roman" w:hAnsi="Times New Roman" w:cs="Times New Roman"/>
          <w:sz w:val="28"/>
          <w:szCs w:val="28"/>
        </w:rPr>
        <w:t xml:space="preserve"> ustawowe</w:t>
      </w:r>
      <w:r>
        <w:rPr>
          <w:rFonts w:ascii="Times New Roman" w:hAnsi="Times New Roman" w:cs="Times New Roman"/>
          <w:sz w:val="28"/>
          <w:szCs w:val="28"/>
        </w:rPr>
        <w:t xml:space="preserve"> założenia subsydiowania ubezpieczeń rolnych w Polsce w rozdziale czwartym zaprezentowano zestaw pytań i wskaźników ewaluacyjnych. Te pierwsze staną się głównym elementem w planowanej w przyszłości ankietyzacji wśród rolników-beneficjentów interwencji objętych systemem Polski FADN.</w:t>
      </w:r>
    </w:p>
    <w:p w14:paraId="31906897" w14:textId="4BA20F84" w:rsidR="007C5993" w:rsidRDefault="007C5993" w:rsidP="00CB6322">
      <w:pPr>
        <w:ind w:firstLine="567"/>
        <w:jc w:val="both"/>
        <w:rPr>
          <w:rFonts w:ascii="Times New Roman" w:hAnsi="Times New Roman" w:cs="Times New Roman"/>
          <w:sz w:val="28"/>
          <w:szCs w:val="28"/>
        </w:rPr>
      </w:pPr>
      <w:r>
        <w:rPr>
          <w:rFonts w:ascii="Times New Roman" w:hAnsi="Times New Roman" w:cs="Times New Roman"/>
          <w:sz w:val="28"/>
          <w:szCs w:val="28"/>
        </w:rPr>
        <w:t>Rozdziały piąty</w:t>
      </w:r>
      <w:r w:rsidR="00E10EE7">
        <w:rPr>
          <w:rFonts w:ascii="Times New Roman" w:hAnsi="Times New Roman" w:cs="Times New Roman"/>
          <w:sz w:val="28"/>
          <w:szCs w:val="28"/>
        </w:rPr>
        <w:t>, szósty</w:t>
      </w:r>
      <w:r>
        <w:rPr>
          <w:rFonts w:ascii="Times New Roman" w:hAnsi="Times New Roman" w:cs="Times New Roman"/>
          <w:sz w:val="28"/>
          <w:szCs w:val="28"/>
        </w:rPr>
        <w:t xml:space="preserve"> i siódmy dedykowane są trzem ww. narzędziom ilościowej analizy wpływu subsydiowania ubezpieczeń na wybrane wskaźniki </w:t>
      </w:r>
      <w:r>
        <w:rPr>
          <w:rFonts w:ascii="Times New Roman" w:hAnsi="Times New Roman" w:cs="Times New Roman"/>
          <w:sz w:val="28"/>
          <w:szCs w:val="28"/>
        </w:rPr>
        <w:lastRenderedPageBreak/>
        <w:t>ekonomiczno-finansowe (zbiór Y</w:t>
      </w:r>
      <w:r w:rsidR="00E10EE7">
        <w:rPr>
          <w:rFonts w:ascii="Times New Roman" w:hAnsi="Times New Roman" w:cs="Times New Roman"/>
          <w:sz w:val="28"/>
          <w:szCs w:val="28"/>
        </w:rPr>
        <w:t>)</w:t>
      </w:r>
      <w:r>
        <w:rPr>
          <w:rFonts w:ascii="Times New Roman" w:hAnsi="Times New Roman" w:cs="Times New Roman"/>
          <w:sz w:val="28"/>
          <w:szCs w:val="28"/>
        </w:rPr>
        <w:t>, któr</w:t>
      </w:r>
      <w:r w:rsidR="00E10EE7">
        <w:rPr>
          <w:rFonts w:ascii="Times New Roman" w:hAnsi="Times New Roman" w:cs="Times New Roman"/>
          <w:sz w:val="28"/>
          <w:szCs w:val="28"/>
        </w:rPr>
        <w:t>e</w:t>
      </w:r>
      <w:r>
        <w:rPr>
          <w:rFonts w:ascii="Times New Roman" w:hAnsi="Times New Roman" w:cs="Times New Roman"/>
          <w:sz w:val="28"/>
          <w:szCs w:val="28"/>
        </w:rPr>
        <w:t xml:space="preserve"> zaprezentowano </w:t>
      </w:r>
      <w:r w:rsidR="008D7C42">
        <w:rPr>
          <w:rFonts w:ascii="Times New Roman" w:hAnsi="Times New Roman" w:cs="Times New Roman"/>
          <w:sz w:val="28"/>
          <w:szCs w:val="28"/>
        </w:rPr>
        <w:t>w rozdziale ósmym. Mają one bardzo podobną strukturę. Ich integralnym uzupełnieniem jest rozdział 9., w którym omawia się zbiór X, czyli tzw. kowariatów. Zmienne te posłużą do identyfikacji gospodarstw z ubezpieczeniami (</w:t>
      </w:r>
      <w:r w:rsidR="00C05EC4">
        <w:rPr>
          <w:rFonts w:ascii="Times New Roman" w:hAnsi="Times New Roman" w:cs="Times New Roman"/>
          <w:sz w:val="28"/>
          <w:szCs w:val="28"/>
        </w:rPr>
        <w:t>grupa badana) i obiektów bez nich (grupa kontrolna). W rozdziale tym dokonano również bardzo szerokiego przeglądu literatury światowej nt. determinant uczestnictwa rolników w rynku ubezpieczeniowym.</w:t>
      </w:r>
    </w:p>
    <w:p w14:paraId="5874D5DA" w14:textId="18465CD2" w:rsidR="00C05EC4" w:rsidRDefault="00C05EC4" w:rsidP="00CB6322">
      <w:pPr>
        <w:ind w:firstLine="567"/>
        <w:jc w:val="both"/>
        <w:rPr>
          <w:rFonts w:ascii="Times New Roman" w:hAnsi="Times New Roman" w:cs="Times New Roman"/>
          <w:sz w:val="28"/>
          <w:szCs w:val="28"/>
        </w:rPr>
      </w:pPr>
      <w:r>
        <w:rPr>
          <w:rFonts w:ascii="Times New Roman" w:hAnsi="Times New Roman" w:cs="Times New Roman"/>
          <w:sz w:val="28"/>
          <w:szCs w:val="28"/>
        </w:rPr>
        <w:t xml:space="preserve">W rozdziale 10. </w:t>
      </w:r>
      <w:r w:rsidR="00334492">
        <w:rPr>
          <w:rFonts w:ascii="Times New Roman" w:hAnsi="Times New Roman" w:cs="Times New Roman"/>
          <w:sz w:val="28"/>
          <w:szCs w:val="28"/>
        </w:rPr>
        <w:t>s</w:t>
      </w:r>
      <w:r>
        <w:rPr>
          <w:rFonts w:ascii="Times New Roman" w:hAnsi="Times New Roman" w:cs="Times New Roman"/>
          <w:sz w:val="28"/>
          <w:szCs w:val="28"/>
        </w:rPr>
        <w:t>charakteryzowano źródła danych i informacji wraz z próbami badawczymi, które są niezbędne do udzielenia odpowiedzi na pytania ewaluacyjne, obliczenia wskaźników i zmierzenia efektów interwencji. Odwołano się w nim m.in. do pracy wykonanej w 2024 roku dla MRiRW pt. Przygotowanie dokumentów i danych niezbędnych do przeprowadzenia oceny ex-post programów pomocy krajowej.</w:t>
      </w:r>
    </w:p>
    <w:p w14:paraId="66406464" w14:textId="500B2EBA" w:rsidR="00C05EC4" w:rsidRDefault="00C05EC4" w:rsidP="00CB6322">
      <w:pPr>
        <w:ind w:firstLine="567"/>
        <w:jc w:val="both"/>
        <w:rPr>
          <w:rFonts w:ascii="Times New Roman" w:hAnsi="Times New Roman" w:cs="Times New Roman"/>
          <w:sz w:val="28"/>
          <w:szCs w:val="28"/>
        </w:rPr>
      </w:pPr>
      <w:r>
        <w:rPr>
          <w:rFonts w:ascii="Times New Roman" w:hAnsi="Times New Roman" w:cs="Times New Roman"/>
          <w:sz w:val="28"/>
          <w:szCs w:val="28"/>
        </w:rPr>
        <w:t>Jako novum w badaniach ewaluacyjnych można potraktować rozdział jedenasty, który poświęcony jest ryzykom mogącym w nich się pojawić.</w:t>
      </w:r>
    </w:p>
    <w:p w14:paraId="19D19001" w14:textId="77777777" w:rsidR="00C05EC4" w:rsidRDefault="00C05EC4" w:rsidP="00CB6322">
      <w:pPr>
        <w:ind w:firstLine="567"/>
        <w:jc w:val="both"/>
        <w:rPr>
          <w:rFonts w:ascii="Times New Roman" w:hAnsi="Times New Roman" w:cs="Times New Roman"/>
          <w:sz w:val="28"/>
          <w:szCs w:val="28"/>
        </w:rPr>
      </w:pPr>
    </w:p>
    <w:p w14:paraId="64A57516" w14:textId="77777777" w:rsidR="00C05EC4" w:rsidRDefault="00C05EC4" w:rsidP="00CB6322">
      <w:pPr>
        <w:ind w:firstLine="567"/>
        <w:jc w:val="both"/>
        <w:rPr>
          <w:rFonts w:ascii="Times New Roman" w:hAnsi="Times New Roman" w:cs="Times New Roman"/>
          <w:sz w:val="28"/>
          <w:szCs w:val="28"/>
        </w:rPr>
      </w:pPr>
    </w:p>
    <w:p w14:paraId="57BD18C2" w14:textId="77777777" w:rsidR="00434E9A" w:rsidRDefault="00434E9A" w:rsidP="00CB6322">
      <w:pPr>
        <w:ind w:firstLine="567"/>
        <w:jc w:val="both"/>
        <w:rPr>
          <w:rFonts w:ascii="Times New Roman" w:hAnsi="Times New Roman" w:cs="Times New Roman"/>
          <w:sz w:val="28"/>
          <w:szCs w:val="28"/>
        </w:rPr>
      </w:pPr>
    </w:p>
    <w:p w14:paraId="67043394" w14:textId="7048714C" w:rsidR="00B362D2" w:rsidRPr="00B362D2" w:rsidRDefault="00B362D2" w:rsidP="00CB6322">
      <w:pPr>
        <w:ind w:firstLine="567"/>
        <w:jc w:val="both"/>
        <w:rPr>
          <w:rFonts w:ascii="Times New Roman" w:hAnsi="Times New Roman" w:cs="Times New Roman"/>
          <w:sz w:val="28"/>
          <w:szCs w:val="28"/>
        </w:rPr>
      </w:pPr>
      <w:r w:rsidRPr="00B362D2">
        <w:rPr>
          <w:rFonts w:ascii="Times New Roman" w:hAnsi="Times New Roman" w:cs="Times New Roman"/>
          <w:sz w:val="28"/>
          <w:szCs w:val="28"/>
        </w:rPr>
        <w:br w:type="page"/>
      </w:r>
    </w:p>
    <w:p w14:paraId="094941BA" w14:textId="4D77E9BA" w:rsidR="00EF5D20" w:rsidRPr="00CD58C1" w:rsidRDefault="00EF5D20" w:rsidP="00EF5D20">
      <w:pPr>
        <w:pStyle w:val="Akapitzlist"/>
        <w:numPr>
          <w:ilvl w:val="0"/>
          <w:numId w:val="1"/>
        </w:numPr>
        <w:ind w:left="567" w:hanging="567"/>
        <w:jc w:val="both"/>
        <w:rPr>
          <w:rFonts w:ascii="Times New Roman" w:hAnsi="Times New Roman" w:cs="Times New Roman"/>
          <w:b/>
          <w:bCs/>
          <w:sz w:val="28"/>
          <w:szCs w:val="28"/>
        </w:rPr>
      </w:pPr>
      <w:r w:rsidRPr="00CD58C1">
        <w:rPr>
          <w:rFonts w:ascii="Times New Roman" w:hAnsi="Times New Roman" w:cs="Times New Roman"/>
          <w:b/>
          <w:bCs/>
          <w:sz w:val="28"/>
          <w:szCs w:val="28"/>
        </w:rPr>
        <w:lastRenderedPageBreak/>
        <w:t>Zarys teorii programu subsydiowania ubezpieczeń rolnych</w:t>
      </w:r>
    </w:p>
    <w:p w14:paraId="09138E36" w14:textId="7057316B" w:rsidR="008D28A7" w:rsidRPr="00DB6AED" w:rsidRDefault="008D28A7" w:rsidP="008D28A7">
      <w:pPr>
        <w:spacing w:line="264" w:lineRule="auto"/>
        <w:ind w:firstLine="709"/>
        <w:jc w:val="both"/>
        <w:rPr>
          <w:rFonts w:ascii="Times New Roman" w:hAnsi="Times New Roman" w:cs="Times New Roman"/>
          <w:sz w:val="28"/>
          <w:szCs w:val="28"/>
        </w:rPr>
      </w:pPr>
      <w:r w:rsidRPr="00DB6AED">
        <w:rPr>
          <w:rFonts w:ascii="Times New Roman" w:hAnsi="Times New Roman" w:cs="Times New Roman"/>
          <w:sz w:val="28"/>
          <w:szCs w:val="28"/>
        </w:rPr>
        <w:t xml:space="preserve">Bardzo pożądane jest, by wszelka ewaluacja bazowała na jakiejś teorii lub ich zestawie. W literaturze anglojęzycznej podejście takie określa się jako </w:t>
      </w:r>
      <w:r w:rsidRPr="00DB6AED">
        <w:rPr>
          <w:rFonts w:ascii="Times New Roman" w:hAnsi="Times New Roman" w:cs="Times New Roman"/>
          <w:i/>
          <w:iCs/>
          <w:sz w:val="28"/>
          <w:szCs w:val="28"/>
        </w:rPr>
        <w:t>theory-based evaluation methods</w:t>
      </w:r>
      <w:r w:rsidRPr="00DB6AED">
        <w:rPr>
          <w:rFonts w:ascii="Times New Roman" w:hAnsi="Times New Roman" w:cs="Times New Roman"/>
          <w:sz w:val="28"/>
          <w:szCs w:val="28"/>
        </w:rPr>
        <w:t xml:space="preserve"> (TBEMs). Dzięki jego stosowaniu ma się w końcu dotrzeć do momentu, w którym ustalimy wkład określonej interwencji w uzyskiwane wyniki i zmiany w systemach społeczno-ekonomicznych (Schmitt i Beach, 2015). W ujęciu klasycznym TBEMs składa się z dwóch części: </w:t>
      </w:r>
      <w:r w:rsidRPr="00DB6AED">
        <w:rPr>
          <w:rFonts w:ascii="Times New Roman" w:hAnsi="Times New Roman" w:cs="Times New Roman"/>
          <w:i/>
          <w:iCs/>
          <w:sz w:val="28"/>
          <w:szCs w:val="28"/>
        </w:rPr>
        <w:t>realistic evaluation</w:t>
      </w:r>
      <w:r w:rsidRPr="00DB6AED">
        <w:rPr>
          <w:rFonts w:ascii="Times New Roman" w:hAnsi="Times New Roman" w:cs="Times New Roman"/>
          <w:sz w:val="28"/>
          <w:szCs w:val="28"/>
        </w:rPr>
        <w:t xml:space="preserve"> (RE) i </w:t>
      </w:r>
      <w:r w:rsidRPr="00DB6AED">
        <w:rPr>
          <w:rFonts w:ascii="Times New Roman" w:hAnsi="Times New Roman" w:cs="Times New Roman"/>
          <w:i/>
          <w:iCs/>
          <w:sz w:val="28"/>
          <w:szCs w:val="28"/>
        </w:rPr>
        <w:t>contribution analysis</w:t>
      </w:r>
      <w:r w:rsidRPr="00DB6AED">
        <w:rPr>
          <w:rFonts w:ascii="Times New Roman" w:hAnsi="Times New Roman" w:cs="Times New Roman"/>
          <w:sz w:val="28"/>
          <w:szCs w:val="28"/>
        </w:rPr>
        <w:t xml:space="preserve"> (CA). RE ma ewaluatorom udzielić odpowiedzi na następujące pytania: co działa na rzecz kogo, w jakich okolicznościach, warunkach i kontekstach oraz jak? Uwaga koncentruje się tu na zachowaniach mikro podmiotów w celu wyjaśnienia, dlaczego reagują one tak, a nie inaczej na daną interwencję. Bardziej precyzyjniej chodzi o identyfikację mechanizmów, które z jednej strony odzwierciedlają ich preferencje, rozumowania, motywację oraz aktywatory decyzji, a z drugiej strony w unikalny sposób łączą podejmowane działania, zasoby, możliwości i ograniczenia (Aston, 2020). Konkretyzacją RE jest realistyczna teoria zmiany (</w:t>
      </w:r>
      <w:r w:rsidRPr="00DB6AED">
        <w:rPr>
          <w:rFonts w:ascii="Times New Roman" w:hAnsi="Times New Roman" w:cs="Times New Roman"/>
          <w:i/>
          <w:iCs/>
          <w:sz w:val="28"/>
          <w:szCs w:val="28"/>
        </w:rPr>
        <w:t>realistic theory of change</w:t>
      </w:r>
      <w:r w:rsidRPr="00DB6AED">
        <w:rPr>
          <w:rFonts w:ascii="Times New Roman" w:hAnsi="Times New Roman" w:cs="Times New Roman"/>
          <w:sz w:val="28"/>
          <w:szCs w:val="28"/>
        </w:rPr>
        <w:t>, TOCs). To specyficzna kombinacja kontekstu (</w:t>
      </w:r>
      <w:r w:rsidRPr="00DB6AED">
        <w:rPr>
          <w:rFonts w:ascii="Times New Roman" w:hAnsi="Times New Roman" w:cs="Times New Roman"/>
          <w:i/>
          <w:iCs/>
          <w:sz w:val="28"/>
          <w:szCs w:val="28"/>
        </w:rPr>
        <w:t>context</w:t>
      </w:r>
      <w:r w:rsidRPr="00DB6AED">
        <w:rPr>
          <w:rFonts w:ascii="Times New Roman" w:hAnsi="Times New Roman" w:cs="Times New Roman"/>
          <w:sz w:val="28"/>
          <w:szCs w:val="28"/>
        </w:rPr>
        <w:t>, C), mechanizmów (</w:t>
      </w:r>
      <w:r w:rsidRPr="00DB6AED">
        <w:rPr>
          <w:rFonts w:ascii="Times New Roman" w:hAnsi="Times New Roman" w:cs="Times New Roman"/>
          <w:i/>
          <w:iCs/>
          <w:sz w:val="28"/>
          <w:szCs w:val="28"/>
        </w:rPr>
        <w:t>mechanisms</w:t>
      </w:r>
      <w:r w:rsidRPr="00DB6AED">
        <w:rPr>
          <w:rFonts w:ascii="Times New Roman" w:hAnsi="Times New Roman" w:cs="Times New Roman"/>
          <w:sz w:val="28"/>
          <w:szCs w:val="28"/>
        </w:rPr>
        <w:t>, M) i rezultatów (</w:t>
      </w:r>
      <w:r w:rsidRPr="00DB6AED">
        <w:rPr>
          <w:rFonts w:ascii="Times New Roman" w:hAnsi="Times New Roman" w:cs="Times New Roman"/>
          <w:i/>
          <w:iCs/>
          <w:sz w:val="28"/>
          <w:szCs w:val="28"/>
        </w:rPr>
        <w:t>products</w:t>
      </w:r>
      <w:r w:rsidRPr="00DB6AED">
        <w:rPr>
          <w:rFonts w:ascii="Times New Roman" w:hAnsi="Times New Roman" w:cs="Times New Roman"/>
          <w:sz w:val="28"/>
          <w:szCs w:val="28"/>
        </w:rPr>
        <w:t>/</w:t>
      </w:r>
      <w:r w:rsidRPr="00DB6AED">
        <w:rPr>
          <w:rFonts w:ascii="Times New Roman" w:hAnsi="Times New Roman" w:cs="Times New Roman"/>
          <w:i/>
          <w:iCs/>
          <w:sz w:val="28"/>
          <w:szCs w:val="28"/>
        </w:rPr>
        <w:t>outcomes</w:t>
      </w:r>
      <w:r w:rsidRPr="00DB6AED">
        <w:rPr>
          <w:rFonts w:ascii="Times New Roman" w:hAnsi="Times New Roman" w:cs="Times New Roman"/>
          <w:sz w:val="28"/>
          <w:szCs w:val="28"/>
        </w:rPr>
        <w:t>, P/O). Jej istotę oddaje następujący ciąg logiczny:</w:t>
      </w:r>
    </w:p>
    <w:p w14:paraId="0CDC05C5" w14:textId="77777777" w:rsidR="008D28A7" w:rsidRPr="00DB6AED" w:rsidRDefault="008D28A7" w:rsidP="008D28A7">
      <w:pPr>
        <w:ind w:hanging="426"/>
        <w:jc w:val="center"/>
        <w:rPr>
          <w:rFonts w:ascii="Times New Roman" w:hAnsi="Times New Roman" w:cs="Times New Roman"/>
          <w:noProof/>
          <w:sz w:val="28"/>
          <w:szCs w:val="28"/>
        </w:rPr>
      </w:pPr>
      <w:r w:rsidRPr="00DB6AED">
        <w:rPr>
          <w:rFonts w:ascii="Times New Roman" w:hAnsi="Times New Roman" w:cs="Times New Roman"/>
          <w:noProof/>
          <w:sz w:val="28"/>
          <w:szCs w:val="28"/>
        </w:rPr>
        <w:drawing>
          <wp:inline distT="0" distB="0" distL="0" distR="0" wp14:anchorId="017F5A55" wp14:editId="0DB9201C">
            <wp:extent cx="5760720" cy="587017"/>
            <wp:effectExtent l="0" t="0" r="0" b="3810"/>
            <wp:docPr id="774744358" name="Obraz 3" descr="Obraz zawierający zrzut ekranu, tekst,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44358" name="Obraz 3" descr="Obraz zawierający zrzut ekranu, tekst, Czcionka&#10;&#10;Opis wygenerowany automatyczni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87017"/>
                    </a:xfrm>
                    <a:prstGeom prst="rect">
                      <a:avLst/>
                    </a:prstGeom>
                    <a:noFill/>
                  </pic:spPr>
                </pic:pic>
              </a:graphicData>
            </a:graphic>
          </wp:inline>
        </w:drawing>
      </w:r>
      <w:r w:rsidRPr="00DB6AED">
        <w:rPr>
          <w:rFonts w:ascii="Times New Roman" w:hAnsi="Times New Roman" w:cs="Times New Roman"/>
          <w:noProof/>
          <w:sz w:val="28"/>
          <w:szCs w:val="28"/>
        </w:rPr>
        <w:t>.</w:t>
      </w:r>
    </w:p>
    <w:p w14:paraId="01A255CB" w14:textId="77777777" w:rsidR="008D28A7" w:rsidRPr="00DB6AED" w:rsidRDefault="008D28A7" w:rsidP="008D28A7">
      <w:pPr>
        <w:ind w:firstLine="708"/>
        <w:jc w:val="both"/>
        <w:rPr>
          <w:rFonts w:ascii="Times New Roman" w:hAnsi="Times New Roman" w:cs="Times New Roman"/>
          <w:sz w:val="28"/>
          <w:szCs w:val="28"/>
        </w:rPr>
      </w:pPr>
      <w:r w:rsidRPr="00DB6AED">
        <w:rPr>
          <w:rFonts w:ascii="Times New Roman" w:hAnsi="Times New Roman" w:cs="Times New Roman"/>
          <w:sz w:val="28"/>
          <w:szCs w:val="28"/>
        </w:rPr>
        <w:t>CA wykorzystuje ToCs jako model do opisu relacji wiążących nakłady, aktywności, produkty, rezultaty i wpływy ewaluowanej interwencji. Jej ogólnym celem jest znalezienie dowodów empirycznych, które potwierdzą sensowność przyjętej teorii zmiany w zakresie założonych związków przyczynowo-skutkowych. Odzwierciedla to poniższy ciąg logiczny:</w:t>
      </w:r>
    </w:p>
    <w:p w14:paraId="4BC1F73B" w14:textId="77777777" w:rsidR="008D28A7" w:rsidRPr="00DB6AED" w:rsidRDefault="008D28A7" w:rsidP="008D28A7">
      <w:pPr>
        <w:tabs>
          <w:tab w:val="left" w:pos="1272"/>
        </w:tabs>
        <w:jc w:val="center"/>
        <w:rPr>
          <w:noProof/>
        </w:rPr>
      </w:pPr>
      <w:r w:rsidRPr="00DB6AED">
        <w:rPr>
          <w:noProof/>
        </w:rPr>
        <w:drawing>
          <wp:inline distT="0" distB="0" distL="0" distR="0" wp14:anchorId="1211929D" wp14:editId="4732581B">
            <wp:extent cx="5015493" cy="580224"/>
            <wp:effectExtent l="0" t="0" r="0" b="0"/>
            <wp:docPr id="208143328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6296" t="60700" r="5078" b="14881"/>
                    <a:stretch/>
                  </pic:blipFill>
                  <pic:spPr bwMode="auto">
                    <a:xfrm>
                      <a:off x="0" y="0"/>
                      <a:ext cx="5049284" cy="584133"/>
                    </a:xfrm>
                    <a:prstGeom prst="rect">
                      <a:avLst/>
                    </a:prstGeom>
                    <a:noFill/>
                    <a:ln>
                      <a:noFill/>
                    </a:ln>
                    <a:extLst>
                      <a:ext uri="{53640926-AAD7-44D8-BBD7-CCE9431645EC}">
                        <a14:shadowObscured xmlns:a14="http://schemas.microsoft.com/office/drawing/2010/main"/>
                      </a:ext>
                    </a:extLst>
                  </pic:spPr>
                </pic:pic>
              </a:graphicData>
            </a:graphic>
          </wp:inline>
        </w:drawing>
      </w:r>
      <w:r w:rsidRPr="00DB6AED">
        <w:rPr>
          <w:noProof/>
        </w:rPr>
        <w:t>.</w:t>
      </w:r>
    </w:p>
    <w:p w14:paraId="6B366BE6" w14:textId="77777777" w:rsidR="008D28A7" w:rsidRPr="00DB6AED" w:rsidRDefault="008D28A7" w:rsidP="008D28A7">
      <w:pPr>
        <w:tabs>
          <w:tab w:val="left" w:pos="1272"/>
        </w:tabs>
        <w:ind w:firstLine="709"/>
        <w:jc w:val="both"/>
        <w:rPr>
          <w:rFonts w:ascii="Times New Roman" w:hAnsi="Times New Roman" w:cs="Times New Roman"/>
          <w:sz w:val="28"/>
          <w:szCs w:val="28"/>
        </w:rPr>
      </w:pPr>
      <w:r w:rsidRPr="00DB6AED">
        <w:rPr>
          <w:rFonts w:ascii="Times New Roman" w:hAnsi="Times New Roman" w:cs="Times New Roman"/>
          <w:sz w:val="28"/>
          <w:szCs w:val="28"/>
        </w:rPr>
        <w:t xml:space="preserve">Teoria zmiany, odwołująca się do koncepcji RE i CA, ma kilka istotnych słabości. Po pierwsze, otrzymujemy dzięki niej tylko statyczną, niejako jednorodną teorię zmiany, gdyż wymiary czasowe i interakcje w ramach interwencji nie są opisane adekwatną teorią (Lemire i in., 2020; Schmitt, 2020). Po drugie, w konsekwencji sama teoria zmiany staje się ujęciem jednostronnym, bo nie oddaje się tu jej relacyjnego charakteru (Cartwright, 2021). Po trzecie, niezadowalająco odzwierciedla się dzięki niej interakcje między interesariuszami i ich dynamikę </w:t>
      </w:r>
      <w:r w:rsidRPr="00DB6AED">
        <w:rPr>
          <w:rFonts w:ascii="Times New Roman" w:hAnsi="Times New Roman" w:cs="Times New Roman"/>
          <w:sz w:val="28"/>
          <w:szCs w:val="28"/>
        </w:rPr>
        <w:lastRenderedPageBreak/>
        <w:t>(Garland i Beach, 2023). Wreszcie po czwarte, mamy tu odwołania tylko do mechanizmów na poziomie mikro (Shyamashree i Singh, 2023).</w:t>
      </w:r>
    </w:p>
    <w:p w14:paraId="21D63737" w14:textId="423E8F5F" w:rsidR="008D28A7" w:rsidRPr="00DB6AED" w:rsidRDefault="008D28A7" w:rsidP="008D28A7">
      <w:pPr>
        <w:tabs>
          <w:tab w:val="left" w:pos="1272"/>
        </w:tabs>
        <w:ind w:firstLine="709"/>
        <w:jc w:val="both"/>
        <w:rPr>
          <w:rFonts w:ascii="Times New Roman" w:hAnsi="Times New Roman" w:cs="Times New Roman"/>
          <w:sz w:val="28"/>
          <w:szCs w:val="28"/>
        </w:rPr>
      </w:pPr>
      <w:r w:rsidRPr="00DB6AED">
        <w:rPr>
          <w:rFonts w:ascii="Times New Roman" w:hAnsi="Times New Roman" w:cs="Times New Roman"/>
          <w:sz w:val="28"/>
          <w:szCs w:val="28"/>
        </w:rPr>
        <w:t>Mankamenty powyższe może przynajmniej w części złagodzić rozszerzenie TBEMs o metody śledzenia procesów (process-tracing methods) (Aston, 2020; Garland i Beach, 2023; Lemire i in., 2020). Dają one umożliwić ewaluatorom skonstruowanie bardziej pogłębionych i uszczegółowionych koncepcji teoretycznych do formułowania teorii zmiany jako ciągu procesów. Stąd Cartwright (2021) zaproponował używanie pojęcia „</w:t>
      </w:r>
      <w:r w:rsidRPr="00DB6AED">
        <w:rPr>
          <w:rFonts w:ascii="Times New Roman" w:hAnsi="Times New Roman" w:cs="Times New Roman"/>
          <w:i/>
          <w:iCs/>
          <w:sz w:val="28"/>
          <w:szCs w:val="28"/>
        </w:rPr>
        <w:t>proces theories of change</w:t>
      </w:r>
      <w:r w:rsidRPr="00DB6AED">
        <w:rPr>
          <w:rFonts w:ascii="Times New Roman" w:hAnsi="Times New Roman" w:cs="Times New Roman"/>
          <w:sz w:val="28"/>
          <w:szCs w:val="28"/>
        </w:rPr>
        <w:t xml:space="preserve">” (pToCs), które prace ewaluacyjne mają przybliżyć do warunków realnego wdrażania interwencji. Dzięki temu ma się osiągnąć trzy bezpośrednie korzyści: 1. Uzyskanie możliwości badania empirycznego, w jaki sposób interwencja przynosi określone rezultaty (outcomes); 2. Możemy poddać empirycznej walidacji całą teorię zmiany; 3. Zyskujemy wiedzę dającą podstawę do poprawiania  danej interwencji, ale też narzędzie doskonalenia kolejnych interwencji (Schmitt, 2020). Ogólną logikę funkcjonowania pToC przedstawiono na rysunku </w:t>
      </w:r>
      <w:r w:rsidR="00844A69">
        <w:rPr>
          <w:rFonts w:ascii="Times New Roman" w:hAnsi="Times New Roman" w:cs="Times New Roman"/>
          <w:sz w:val="28"/>
          <w:szCs w:val="28"/>
        </w:rPr>
        <w:t>1</w:t>
      </w:r>
      <w:r w:rsidRPr="00DB6AED">
        <w:rPr>
          <w:rFonts w:ascii="Times New Roman" w:hAnsi="Times New Roman" w:cs="Times New Roman"/>
          <w:sz w:val="28"/>
          <w:szCs w:val="28"/>
        </w:rPr>
        <w:t>.</w:t>
      </w:r>
    </w:p>
    <w:p w14:paraId="3210F8BF" w14:textId="77777777" w:rsidR="008D28A7" w:rsidRPr="00DB6AED" w:rsidRDefault="008D28A7" w:rsidP="008D28A7">
      <w:pPr>
        <w:tabs>
          <w:tab w:val="left" w:pos="1272"/>
        </w:tabs>
        <w:ind w:firstLine="709"/>
        <w:jc w:val="both"/>
        <w:rPr>
          <w:rFonts w:ascii="Times New Roman" w:hAnsi="Times New Roman" w:cs="Times New Roman"/>
          <w:sz w:val="28"/>
          <w:szCs w:val="28"/>
        </w:rPr>
      </w:pPr>
      <w:r w:rsidRPr="00DB6AED">
        <w:rPr>
          <w:rFonts w:ascii="Times New Roman" w:hAnsi="Times New Roman" w:cs="Times New Roman"/>
          <w:sz w:val="28"/>
          <w:szCs w:val="28"/>
        </w:rPr>
        <w:t>Skonstruowanie dobrej pToC nie jest łatwe, gdyż trzeba znaleźć równowagę między zbyt szczegółowym opisem interwencji a zbytnim jej uproszczeniem, zredukowanym wręcz do poziomu czarnej skrzynki (Garland i Beach, 2023). W pierwszym przypadku trudno jest ewaluatorowi dotrzeć do dominujących mechanizmów prowadzących do uzyskiwania zamierzonych  rezultatów. W drugim zaś na ogół nie będą oni w stanie odwołać się do jakiejś teorii wspartej solidnymi dowodami empirycznymi objaśniającymi istotę tychże mechanizmów. Jeśli uda się natomiast zaproponować taką zrównoważoną pToC, uzyskujemy teoretyczny model zależności między przebiegiem w czasie interakcji między różnymi interesariuszami, aktywnościami i wynikami (</w:t>
      </w:r>
      <w:r w:rsidRPr="00DB6AED">
        <w:rPr>
          <w:rFonts w:ascii="Times New Roman" w:hAnsi="Times New Roman" w:cs="Times New Roman"/>
          <w:i/>
          <w:iCs/>
          <w:sz w:val="28"/>
          <w:szCs w:val="28"/>
        </w:rPr>
        <w:t>outcomes</w:t>
      </w:r>
      <w:r w:rsidRPr="00DB6AED">
        <w:rPr>
          <w:rFonts w:ascii="Times New Roman" w:hAnsi="Times New Roman" w:cs="Times New Roman"/>
          <w:sz w:val="28"/>
          <w:szCs w:val="28"/>
        </w:rPr>
        <w:t xml:space="preserve">) interwencji. W takiej właśnie konwencji docieranie do teorii zmiany jest procesem przemyślanego przetwarzania danych i informacji, by w końcu otworzyć czarną skrzynkę i zrozumieć, co w niej było ukryte (Aston, 2020). Według Garland i Beacha (2023) dobra pToC powinna posiadać trzy atrybuty: </w:t>
      </w:r>
    </w:p>
    <w:p w14:paraId="502380F7" w14:textId="77777777" w:rsidR="008D28A7" w:rsidRPr="00DB6AED" w:rsidRDefault="008D28A7" w:rsidP="008D28A7">
      <w:pPr>
        <w:pStyle w:val="Akapitzlist"/>
        <w:numPr>
          <w:ilvl w:val="0"/>
          <w:numId w:val="3"/>
        </w:numPr>
        <w:tabs>
          <w:tab w:val="left" w:pos="1272"/>
        </w:tabs>
        <w:ind w:left="284" w:hanging="284"/>
        <w:jc w:val="both"/>
        <w:rPr>
          <w:rFonts w:ascii="Times New Roman" w:hAnsi="Times New Roman" w:cs="Times New Roman"/>
          <w:sz w:val="28"/>
          <w:szCs w:val="28"/>
        </w:rPr>
      </w:pPr>
      <w:r w:rsidRPr="00DB6AED">
        <w:rPr>
          <w:rFonts w:ascii="Times New Roman" w:hAnsi="Times New Roman" w:cs="Times New Roman"/>
          <w:sz w:val="28"/>
          <w:szCs w:val="28"/>
        </w:rPr>
        <w:t xml:space="preserve">Aktorzy (kto), działania (co) oraz zasady przyczynowości (dlaczego), które odzwierciedlają interakcje między tymi elementami, owocujące m.in. barierami i wyzwaniami dla dokonania zmian muszą zostać usunięte. </w:t>
      </w:r>
    </w:p>
    <w:p w14:paraId="7D176BCD" w14:textId="77777777" w:rsidR="008D28A7" w:rsidRPr="00DB6AED" w:rsidRDefault="008D28A7" w:rsidP="008D28A7">
      <w:pPr>
        <w:pStyle w:val="Akapitzlist"/>
        <w:tabs>
          <w:tab w:val="left" w:pos="1272"/>
        </w:tabs>
        <w:ind w:left="284"/>
        <w:jc w:val="both"/>
        <w:rPr>
          <w:rFonts w:ascii="Times New Roman" w:hAnsi="Times New Roman" w:cs="Times New Roman"/>
          <w:sz w:val="28"/>
          <w:szCs w:val="28"/>
        </w:rPr>
      </w:pPr>
    </w:p>
    <w:p w14:paraId="068FA325" w14:textId="77777777" w:rsidR="008D28A7" w:rsidRPr="00DB6AED" w:rsidRDefault="008D28A7" w:rsidP="008D28A7">
      <w:pPr>
        <w:tabs>
          <w:tab w:val="left" w:pos="1272"/>
        </w:tabs>
        <w:jc w:val="both"/>
        <w:rPr>
          <w:rFonts w:ascii="Times New Roman" w:hAnsi="Times New Roman" w:cs="Times New Roman"/>
          <w:sz w:val="28"/>
          <w:szCs w:val="28"/>
        </w:rPr>
        <w:sectPr w:rsidR="008D28A7" w:rsidRPr="00DB6AED" w:rsidSect="0017102F">
          <w:footerReference w:type="default" r:id="rId11"/>
          <w:pgSz w:w="11906" w:h="16838" w:code="9"/>
          <w:pgMar w:top="1418" w:right="1418" w:bottom="1418" w:left="1418" w:header="709" w:footer="709" w:gutter="0"/>
          <w:cols w:space="708"/>
          <w:titlePg/>
          <w:docGrid w:linePitch="360"/>
        </w:sectPr>
      </w:pPr>
    </w:p>
    <w:p w14:paraId="4F7265BB" w14:textId="5E6AA1E8" w:rsidR="008D28A7" w:rsidRPr="00DB6AED" w:rsidRDefault="008D28A7" w:rsidP="008D28A7">
      <w:pPr>
        <w:rPr>
          <w:lang w:val="en-US"/>
        </w:rPr>
      </w:pPr>
      <w:r w:rsidRPr="00DB6AED">
        <w:rPr>
          <w:rFonts w:ascii="Times New Roman" w:hAnsi="Times New Roman" w:cs="Times New Roman"/>
          <w:noProof/>
          <w:sz w:val="28"/>
          <w:szCs w:val="28"/>
        </w:rPr>
        <w:lastRenderedPageBreak/>
        <mc:AlternateContent>
          <mc:Choice Requires="wps">
            <w:drawing>
              <wp:anchor distT="0" distB="0" distL="114300" distR="114300" simplePos="0" relativeHeight="251799552" behindDoc="0" locked="0" layoutInCell="1" allowOverlap="1" wp14:anchorId="716AD571" wp14:editId="2A8B391A">
                <wp:simplePos x="0" y="0"/>
                <wp:positionH relativeFrom="column">
                  <wp:posOffset>258049</wp:posOffset>
                </wp:positionH>
                <wp:positionV relativeFrom="paragraph">
                  <wp:posOffset>291696</wp:posOffset>
                </wp:positionV>
                <wp:extent cx="8000975" cy="4008729"/>
                <wp:effectExtent l="0" t="0" r="19685" b="11430"/>
                <wp:wrapNone/>
                <wp:docPr id="1751876696" name="Prostokąt 27"/>
                <wp:cNvGraphicFramePr/>
                <a:graphic xmlns:a="http://schemas.openxmlformats.org/drawingml/2006/main">
                  <a:graphicData uri="http://schemas.microsoft.com/office/word/2010/wordprocessingShape">
                    <wps:wsp>
                      <wps:cNvSpPr/>
                      <wps:spPr>
                        <a:xfrm>
                          <a:off x="0" y="0"/>
                          <a:ext cx="8000975" cy="4008729"/>
                        </a:xfrm>
                        <a:prstGeom prst="rect">
                          <a:avLst/>
                        </a:prstGeom>
                        <a:noFill/>
                        <a:ln w="12700" cap="flat" cmpd="sng" algn="ctr">
                          <a:solidFill>
                            <a:srgbClr val="E9713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09383" id="Prostokąt 27" o:spid="_x0000_s1026" style="position:absolute;margin-left:20.3pt;margin-top:22.95pt;width:630pt;height:315.6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" filled="f" strokecolor="#e97132" strokeweight="1pt"/>
            </w:pict>
          </mc:Fallback>
        </mc:AlternateContent>
      </w:r>
      <w:r w:rsidRPr="006B3303">
        <w:rPr>
          <w:rFonts w:ascii="Times New Roman" w:hAnsi="Times New Roman" w:cs="Times New Roman"/>
          <w:sz w:val="28"/>
          <w:szCs w:val="28"/>
          <w:lang w:val="en-US"/>
        </w:rPr>
        <w:t xml:space="preserve">       </w:t>
      </w:r>
      <w:r w:rsidRPr="00DB6AED">
        <w:rPr>
          <w:rFonts w:ascii="Times New Roman" w:hAnsi="Times New Roman" w:cs="Times New Roman"/>
          <w:b/>
          <w:bCs/>
          <w:sz w:val="28"/>
          <w:szCs w:val="28"/>
          <w:lang w:val="en-US"/>
        </w:rPr>
        <w:t xml:space="preserve">Rysunek </w:t>
      </w:r>
      <w:r w:rsidR="00844A69">
        <w:rPr>
          <w:rFonts w:ascii="Times New Roman" w:hAnsi="Times New Roman" w:cs="Times New Roman"/>
          <w:b/>
          <w:bCs/>
          <w:sz w:val="28"/>
          <w:szCs w:val="28"/>
          <w:lang w:val="en-US"/>
        </w:rPr>
        <w:t>1</w:t>
      </w:r>
      <w:r w:rsidRPr="00DB6AED">
        <w:rPr>
          <w:rFonts w:ascii="Times New Roman" w:hAnsi="Times New Roman" w:cs="Times New Roman"/>
          <w:b/>
          <w:bCs/>
          <w:sz w:val="28"/>
          <w:szCs w:val="28"/>
          <w:lang w:val="en-US"/>
        </w:rPr>
        <w:t>.</w:t>
      </w:r>
      <w:r w:rsidRPr="00DB6AED">
        <w:rPr>
          <w:rFonts w:ascii="Times New Roman" w:hAnsi="Times New Roman" w:cs="Times New Roman"/>
          <w:sz w:val="28"/>
          <w:szCs w:val="28"/>
          <w:lang w:val="en-US"/>
        </w:rPr>
        <w:t xml:space="preserve"> Istota proces-tracing theory of change</w:t>
      </w:r>
      <w:r w:rsidRPr="00DB6AED">
        <w:rPr>
          <w:sz w:val="28"/>
          <w:szCs w:val="28"/>
          <w:lang w:val="en-US"/>
        </w:rPr>
        <w:t xml:space="preserve"> (</w:t>
      </w:r>
      <w:r w:rsidRPr="00DB6AED">
        <w:rPr>
          <w:rFonts w:ascii="Times New Roman" w:hAnsi="Times New Roman" w:cs="Times New Roman"/>
          <w:sz w:val="28"/>
          <w:szCs w:val="28"/>
          <w:lang w:val="en-US"/>
        </w:rPr>
        <w:t>pToC</w:t>
      </w:r>
      <w:r w:rsidRPr="00DB6AED">
        <w:rPr>
          <w:sz w:val="28"/>
          <w:szCs w:val="28"/>
          <w:lang w:val="en-US"/>
        </w:rPr>
        <w:t>)</w:t>
      </w:r>
    </w:p>
    <w:p w14:paraId="72B5A5F9" w14:textId="77777777" w:rsidR="008D28A7" w:rsidRPr="00DB6AED" w:rsidRDefault="008D28A7" w:rsidP="008D28A7">
      <w:pPr>
        <w:tabs>
          <w:tab w:val="left" w:pos="1340"/>
        </w:tabs>
        <w:rPr>
          <w:lang w:val="en-US"/>
        </w:rPr>
      </w:pPr>
      <w:r w:rsidRPr="00DB6AED">
        <w:rPr>
          <w:noProof/>
        </w:rPr>
        <mc:AlternateContent>
          <mc:Choice Requires="wps">
            <w:drawing>
              <wp:anchor distT="0" distB="0" distL="114300" distR="114300" simplePos="0" relativeHeight="251787264" behindDoc="0" locked="0" layoutInCell="1" allowOverlap="1" wp14:anchorId="3A1A6766" wp14:editId="21FD7C70">
                <wp:simplePos x="0" y="0"/>
                <wp:positionH relativeFrom="column">
                  <wp:posOffset>4879340</wp:posOffset>
                </wp:positionH>
                <wp:positionV relativeFrom="paragraph">
                  <wp:posOffset>311785</wp:posOffset>
                </wp:positionV>
                <wp:extent cx="1367790" cy="592455"/>
                <wp:effectExtent l="0" t="0" r="3810" b="0"/>
                <wp:wrapNone/>
                <wp:docPr id="1866110198" name="Pole tekstowe 24"/>
                <wp:cNvGraphicFramePr/>
                <a:graphic xmlns:a="http://schemas.openxmlformats.org/drawingml/2006/main">
                  <a:graphicData uri="http://schemas.microsoft.com/office/word/2010/wordprocessingShape">
                    <wps:wsp>
                      <wps:cNvSpPr txBox="1"/>
                      <wps:spPr>
                        <a:xfrm>
                          <a:off x="0" y="0"/>
                          <a:ext cx="1367790" cy="592455"/>
                        </a:xfrm>
                        <a:prstGeom prst="rect">
                          <a:avLst/>
                        </a:prstGeom>
                        <a:solidFill>
                          <a:sysClr val="window" lastClr="FFFFFF"/>
                        </a:solidFill>
                        <a:ln w="6350">
                          <a:noFill/>
                        </a:ln>
                      </wps:spPr>
                      <wps:txbx>
                        <w:txbxContent>
                          <w:p w14:paraId="3FEC58E3" w14:textId="77777777" w:rsidR="008D28A7" w:rsidRDefault="008D28A7" w:rsidP="008D28A7">
                            <w:pPr>
                              <w:jc w:val="center"/>
                            </w:pPr>
                            <w:r>
                              <w:t>Dalsze epizody (jeśli konieczne)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A6766" id="_x0000_t202" coordsize="21600,21600" o:spt="202" path="m,l,21600r21600,l21600,xe">
                <v:stroke joinstyle="miter"/>
                <v:path gradientshapeok="t" o:connecttype="rect"/>
              </v:shapetype>
              <v:shape id="Pole tekstowe 24" o:spid="_x0000_s1026" type="#_x0000_t202" style="position:absolute;margin-left:384.2pt;margin-top:24.55pt;width:107.7pt;height:46.6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" fillcolor="window" stroked="f" strokeweight=".5pt">
                <v:textbox>
                  <w:txbxContent>
                    <w:p w14:paraId="3FEC58E3" w14:textId="77777777" w:rsidR="008D28A7" w:rsidRDefault="008D28A7" w:rsidP="008D28A7">
                      <w:pPr>
                        <w:jc w:val="center"/>
                      </w:pPr>
                      <w:r>
                        <w:t>Dalsze epizody (jeśli konieczne)</w:t>
                      </w:r>
                    </w:p>
                  </w:txbxContent>
                </v:textbox>
              </v:shape>
            </w:pict>
          </mc:Fallback>
        </mc:AlternateContent>
      </w:r>
      <w:r w:rsidRPr="00DB6AED">
        <w:rPr>
          <w:noProof/>
        </w:rPr>
        <mc:AlternateContent>
          <mc:Choice Requires="wps">
            <w:drawing>
              <wp:anchor distT="0" distB="0" distL="114300" distR="114300" simplePos="0" relativeHeight="251797504" behindDoc="0" locked="0" layoutInCell="1" allowOverlap="1" wp14:anchorId="149B9A00" wp14:editId="306FA627">
                <wp:simplePos x="0" y="0"/>
                <wp:positionH relativeFrom="column">
                  <wp:posOffset>3126740</wp:posOffset>
                </wp:positionH>
                <wp:positionV relativeFrom="paragraph">
                  <wp:posOffset>257861</wp:posOffset>
                </wp:positionV>
                <wp:extent cx="409765" cy="1556842"/>
                <wp:effectExtent l="0" t="1905" r="26670" b="26670"/>
                <wp:wrapNone/>
                <wp:docPr id="1030807949" name="Nawias klamrowy otwierający 26"/>
                <wp:cNvGraphicFramePr/>
                <a:graphic xmlns:a="http://schemas.openxmlformats.org/drawingml/2006/main">
                  <a:graphicData uri="http://schemas.microsoft.com/office/word/2010/wordprocessingShape">
                    <wps:wsp>
                      <wps:cNvSpPr/>
                      <wps:spPr>
                        <a:xfrm rot="5400000">
                          <a:off x="0" y="0"/>
                          <a:ext cx="409765" cy="1556842"/>
                        </a:xfrm>
                        <a:prstGeom prst="leftBrace">
                          <a:avLst/>
                        </a:prstGeom>
                        <a:noFill/>
                        <a:ln w="635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D5FAA0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Nawias klamrowy otwierający 26" o:spid="_x0000_s1026" type="#_x0000_t87" style="position:absolute;margin-left:246.2pt;margin-top:20.3pt;width:32.25pt;height:122.6pt;rotation:90;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" adj="474" strokecolor="#156082" strokeweight=".5pt">
                <v:stroke joinstyle="miter"/>
              </v:shape>
            </w:pict>
          </mc:Fallback>
        </mc:AlternateContent>
      </w:r>
      <w:r w:rsidRPr="00DB6AED">
        <w:rPr>
          <w:lang w:val="en-US"/>
        </w:rPr>
        <w:tab/>
      </w:r>
    </w:p>
    <w:p w14:paraId="3DAD4901" w14:textId="77777777" w:rsidR="008D28A7" w:rsidRPr="00DB6AED" w:rsidRDefault="008D28A7" w:rsidP="008D28A7">
      <w:pPr>
        <w:tabs>
          <w:tab w:val="right" w:pos="14004"/>
        </w:tabs>
        <w:rPr>
          <w:lang w:val="en-US"/>
        </w:rPr>
      </w:pPr>
      <w:r w:rsidRPr="00DB6AED">
        <w:rPr>
          <w:noProof/>
        </w:rPr>
        <mc:AlternateContent>
          <mc:Choice Requires="wps">
            <w:drawing>
              <wp:anchor distT="0" distB="0" distL="114300" distR="114300" simplePos="0" relativeHeight="251798528" behindDoc="0" locked="0" layoutInCell="1" allowOverlap="1" wp14:anchorId="4645E9D4" wp14:editId="032844AF">
                <wp:simplePos x="0" y="0"/>
                <wp:positionH relativeFrom="column">
                  <wp:posOffset>5355742</wp:posOffset>
                </wp:positionH>
                <wp:positionV relativeFrom="paragraph">
                  <wp:posOffset>98171</wp:posOffset>
                </wp:positionV>
                <wp:extent cx="409575" cy="1261390"/>
                <wp:effectExtent l="0" t="6667" r="21907" b="21908"/>
                <wp:wrapNone/>
                <wp:docPr id="224013185" name="Nawias klamrowy otwierający 26"/>
                <wp:cNvGraphicFramePr/>
                <a:graphic xmlns:a="http://schemas.openxmlformats.org/drawingml/2006/main">
                  <a:graphicData uri="http://schemas.microsoft.com/office/word/2010/wordprocessingShape">
                    <wps:wsp>
                      <wps:cNvSpPr/>
                      <wps:spPr>
                        <a:xfrm rot="5400000">
                          <a:off x="0" y="0"/>
                          <a:ext cx="409575" cy="1261390"/>
                        </a:xfrm>
                        <a:prstGeom prst="leftBrace">
                          <a:avLst/>
                        </a:prstGeom>
                        <a:noFill/>
                        <a:ln w="635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724A9" id="Nawias klamrowy otwierający 26" o:spid="_x0000_s1026" type="#_x0000_t87" style="position:absolute;margin-left:421.7pt;margin-top:7.75pt;width:32.25pt;height:99.3pt;rotation:9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" adj="584" strokecolor="#156082" strokeweight=".5pt">
                <v:stroke joinstyle="miter"/>
              </v:shape>
            </w:pict>
          </mc:Fallback>
        </mc:AlternateContent>
      </w:r>
      <w:r w:rsidRPr="00DB6AED">
        <w:rPr>
          <w:noProof/>
        </w:rPr>
        <mc:AlternateContent>
          <mc:Choice Requires="wps">
            <w:drawing>
              <wp:anchor distT="0" distB="0" distL="114300" distR="114300" simplePos="0" relativeHeight="251786240" behindDoc="0" locked="0" layoutInCell="1" allowOverlap="1" wp14:anchorId="3ADF98CF" wp14:editId="2EF60FA0">
                <wp:simplePos x="0" y="0"/>
                <wp:positionH relativeFrom="column">
                  <wp:posOffset>2708783</wp:posOffset>
                </wp:positionH>
                <wp:positionV relativeFrom="paragraph">
                  <wp:posOffset>104140</wp:posOffset>
                </wp:positionV>
                <wp:extent cx="1552575" cy="352425"/>
                <wp:effectExtent l="0" t="0" r="9525" b="9525"/>
                <wp:wrapNone/>
                <wp:docPr id="791290232" name="Pole tekstowe 24"/>
                <wp:cNvGraphicFramePr/>
                <a:graphic xmlns:a="http://schemas.openxmlformats.org/drawingml/2006/main">
                  <a:graphicData uri="http://schemas.microsoft.com/office/word/2010/wordprocessingShape">
                    <wps:wsp>
                      <wps:cNvSpPr txBox="1"/>
                      <wps:spPr>
                        <a:xfrm>
                          <a:off x="0" y="0"/>
                          <a:ext cx="1552575" cy="352425"/>
                        </a:xfrm>
                        <a:prstGeom prst="rect">
                          <a:avLst/>
                        </a:prstGeom>
                        <a:solidFill>
                          <a:sysClr val="window" lastClr="FFFFFF"/>
                        </a:solidFill>
                        <a:ln w="6350">
                          <a:noFill/>
                        </a:ln>
                      </wps:spPr>
                      <wps:txbx>
                        <w:txbxContent>
                          <w:p w14:paraId="691AD75A" w14:textId="77777777" w:rsidR="008D28A7" w:rsidRDefault="008D28A7" w:rsidP="008D28A7">
                            <w:r>
                              <w:t>Epizod/Zdarzenie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F98CF" id="_x0000_s1027" type="#_x0000_t202" style="position:absolute;margin-left:213.3pt;margin-top:8.2pt;width:122.25pt;height:27.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" fillcolor="window" stroked="f" strokeweight=".5pt">
                <v:textbox>
                  <w:txbxContent>
                    <w:p w14:paraId="691AD75A" w14:textId="77777777" w:rsidR="008D28A7" w:rsidRDefault="008D28A7" w:rsidP="008D28A7">
                      <w:r>
                        <w:t>Epizod/Zdarzenie 1</w:t>
                      </w:r>
                    </w:p>
                  </w:txbxContent>
                </v:textbox>
              </v:shape>
            </w:pict>
          </mc:Fallback>
        </mc:AlternateContent>
      </w:r>
      <w:r w:rsidRPr="00DB6AED">
        <w:rPr>
          <w:lang w:val="en-US"/>
        </w:rPr>
        <w:tab/>
      </w:r>
    </w:p>
    <w:p w14:paraId="3BD67578" w14:textId="77777777" w:rsidR="008D28A7" w:rsidRPr="00DB6AED" w:rsidRDefault="008D28A7" w:rsidP="008D28A7">
      <w:pPr>
        <w:rPr>
          <w:lang w:val="en-US"/>
        </w:rPr>
      </w:pPr>
    </w:p>
    <w:p w14:paraId="2D6548B9" w14:textId="77777777" w:rsidR="008D28A7" w:rsidRPr="00DB6AED" w:rsidRDefault="008D28A7" w:rsidP="008D28A7">
      <w:pPr>
        <w:rPr>
          <w:lang w:val="en-US"/>
        </w:rPr>
      </w:pPr>
    </w:p>
    <w:p w14:paraId="21A3A9AA" w14:textId="77777777" w:rsidR="008D28A7" w:rsidRPr="00DB6AED" w:rsidRDefault="008D28A7" w:rsidP="008D28A7">
      <w:pPr>
        <w:rPr>
          <w:lang w:val="en-US"/>
        </w:rPr>
      </w:pPr>
      <w:r w:rsidRPr="00DB6AED">
        <w:rPr>
          <w:noProof/>
        </w:rPr>
        <mc:AlternateContent>
          <mc:Choice Requires="wps">
            <w:drawing>
              <wp:anchor distT="0" distB="0" distL="114300" distR="114300" simplePos="0" relativeHeight="251784192" behindDoc="0" locked="0" layoutInCell="1" allowOverlap="1" wp14:anchorId="30C2301D" wp14:editId="24BC8AD9">
                <wp:simplePos x="0" y="0"/>
                <wp:positionH relativeFrom="column">
                  <wp:posOffset>6444666</wp:posOffset>
                </wp:positionH>
                <wp:positionV relativeFrom="paragraph">
                  <wp:posOffset>60300</wp:posOffset>
                </wp:positionV>
                <wp:extent cx="1603146" cy="365760"/>
                <wp:effectExtent l="0" t="0" r="16510" b="15240"/>
                <wp:wrapNone/>
                <wp:docPr id="1607425017" name="Prostokąt 19"/>
                <wp:cNvGraphicFramePr/>
                <a:graphic xmlns:a="http://schemas.openxmlformats.org/drawingml/2006/main">
                  <a:graphicData uri="http://schemas.microsoft.com/office/word/2010/wordprocessingShape">
                    <wps:wsp>
                      <wps:cNvSpPr/>
                      <wps:spPr>
                        <a:xfrm>
                          <a:off x="0" y="0"/>
                          <a:ext cx="1603146" cy="365760"/>
                        </a:xfrm>
                        <a:prstGeom prst="re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solidFill>
                            <a:srgbClr val="E97132"/>
                          </a:solidFill>
                          <a:prstDash val="solid"/>
                          <a:miter lim="800000"/>
                        </a:ln>
                        <a:effectLst/>
                      </wps:spPr>
                      <wps:txbx>
                        <w:txbxContent>
                          <w:p w14:paraId="45C47E32" w14:textId="77777777" w:rsidR="008D28A7" w:rsidRDefault="008D28A7" w:rsidP="008D28A7">
                            <w:pPr>
                              <w:jc w:val="center"/>
                            </w:pPr>
                            <w:r>
                              <w:t>Wyniki (oucomes)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2301D" id="Prostokąt 19" o:spid="_x0000_s1028" style="position:absolute;margin-left:507.45pt;margin-top:4.75pt;width:126.25pt;height:28.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" fillcolor="#f5b8a4" strokecolor="#e97132" strokeweight=".5pt">
                <v:fill color2="#f59e81" rotate="t" colors="0 #f5b8a4;.5 #f2ab96;1 #f59e81" focus="100%" type="gradient">
                  <o:fill v:ext="view" type="gradientUnscaled"/>
                </v:fill>
                <v:textbox>
                  <w:txbxContent>
                    <w:p w14:paraId="45C47E32" w14:textId="77777777" w:rsidR="008D28A7" w:rsidRDefault="008D28A7" w:rsidP="008D28A7">
                      <w:pPr>
                        <w:jc w:val="center"/>
                      </w:pPr>
                      <w:r>
                        <w:t>Wyniki (oucomes)</w:t>
                      </w:r>
                    </w:p>
                  </w:txbxContent>
                </v:textbox>
              </v:rect>
            </w:pict>
          </mc:Fallback>
        </mc:AlternateContent>
      </w:r>
      <w:r w:rsidRPr="00DB6AED">
        <w:rPr>
          <w:noProof/>
        </w:rPr>
        <mc:AlternateContent>
          <mc:Choice Requires="wps">
            <w:drawing>
              <wp:anchor distT="0" distB="0" distL="114300" distR="114300" simplePos="0" relativeHeight="251796480" behindDoc="0" locked="0" layoutInCell="1" allowOverlap="1" wp14:anchorId="70277727" wp14:editId="35130895">
                <wp:simplePos x="0" y="0"/>
                <wp:positionH relativeFrom="column">
                  <wp:posOffset>6062371</wp:posOffset>
                </wp:positionH>
                <wp:positionV relativeFrom="paragraph">
                  <wp:posOffset>218415</wp:posOffset>
                </wp:positionV>
                <wp:extent cx="335915" cy="65405"/>
                <wp:effectExtent l="0" t="19050" r="45085" b="29845"/>
                <wp:wrapNone/>
                <wp:docPr id="1174921162" name="Strzałka: w prawo 25"/>
                <wp:cNvGraphicFramePr/>
                <a:graphic xmlns:a="http://schemas.openxmlformats.org/drawingml/2006/main">
                  <a:graphicData uri="http://schemas.microsoft.com/office/word/2010/wordprocessingShape">
                    <wps:wsp>
                      <wps:cNvSpPr/>
                      <wps:spPr>
                        <a:xfrm>
                          <a:off x="0" y="0"/>
                          <a:ext cx="335915" cy="65405"/>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8EA1B1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25" o:spid="_x0000_s1026" type="#_x0000_t13" style="position:absolute;margin-left:477.35pt;margin-top:17.2pt;width:26.45pt;height:5.1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" adj="19497" fillcolor="#156082" strokecolor="#042433" strokeweight="1pt"/>
            </w:pict>
          </mc:Fallback>
        </mc:AlternateContent>
      </w:r>
      <w:r w:rsidRPr="00DB6AED">
        <w:rPr>
          <w:noProof/>
        </w:rPr>
        <mc:AlternateContent>
          <mc:Choice Requires="wps">
            <w:drawing>
              <wp:anchor distT="0" distB="0" distL="114300" distR="114300" simplePos="0" relativeHeight="251795456" behindDoc="0" locked="0" layoutInCell="1" allowOverlap="1" wp14:anchorId="363D07E2" wp14:editId="5E643514">
                <wp:simplePos x="0" y="0"/>
                <wp:positionH relativeFrom="column">
                  <wp:posOffset>4592320</wp:posOffset>
                </wp:positionH>
                <wp:positionV relativeFrom="paragraph">
                  <wp:posOffset>213995</wp:posOffset>
                </wp:positionV>
                <wp:extent cx="335915" cy="65405"/>
                <wp:effectExtent l="0" t="19050" r="45085" b="29845"/>
                <wp:wrapNone/>
                <wp:docPr id="670132692" name="Strzałka: w prawo 25"/>
                <wp:cNvGraphicFramePr/>
                <a:graphic xmlns:a="http://schemas.openxmlformats.org/drawingml/2006/main">
                  <a:graphicData uri="http://schemas.microsoft.com/office/word/2010/wordprocessingShape">
                    <wps:wsp>
                      <wps:cNvSpPr/>
                      <wps:spPr>
                        <a:xfrm>
                          <a:off x="0" y="0"/>
                          <a:ext cx="335915" cy="65405"/>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A94164" id="Strzałka: w prawo 25" o:spid="_x0000_s1026" type="#_x0000_t13" style="position:absolute;margin-left:361.6pt;margin-top:16.85pt;width:26.45pt;height:5.1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" adj="19497" fillcolor="#156082" strokecolor="#042433" strokeweight="1pt"/>
            </w:pict>
          </mc:Fallback>
        </mc:AlternateContent>
      </w:r>
      <w:r w:rsidRPr="00DB6AED">
        <w:rPr>
          <w:noProof/>
        </w:rPr>
        <mc:AlternateContent>
          <mc:Choice Requires="wps">
            <w:drawing>
              <wp:anchor distT="0" distB="0" distL="114300" distR="114300" simplePos="0" relativeHeight="251783168" behindDoc="0" locked="0" layoutInCell="1" allowOverlap="1" wp14:anchorId="45552126" wp14:editId="6DE58352">
                <wp:simplePos x="0" y="0"/>
                <wp:positionH relativeFrom="column">
                  <wp:posOffset>4975200</wp:posOffset>
                </wp:positionH>
                <wp:positionV relativeFrom="paragraph">
                  <wp:posOffset>60021</wp:posOffset>
                </wp:positionV>
                <wp:extent cx="1089965" cy="365760"/>
                <wp:effectExtent l="0" t="0" r="15240" b="15240"/>
                <wp:wrapNone/>
                <wp:docPr id="198662013" name="Prostokąt 19"/>
                <wp:cNvGraphicFramePr/>
                <a:graphic xmlns:a="http://schemas.openxmlformats.org/drawingml/2006/main">
                  <a:graphicData uri="http://schemas.microsoft.com/office/word/2010/wordprocessingShape">
                    <wps:wsp>
                      <wps:cNvSpPr/>
                      <wps:spPr>
                        <a:xfrm>
                          <a:off x="0" y="0"/>
                          <a:ext cx="1089965" cy="365760"/>
                        </a:xfrm>
                        <a:prstGeom prst="re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solidFill>
                            <a:srgbClr val="E97132"/>
                          </a:solidFill>
                          <a:prstDash val="solid"/>
                          <a:miter lim="800000"/>
                        </a:ln>
                        <a:effectLst/>
                      </wps:spPr>
                      <wps:txbx>
                        <w:txbxContent>
                          <w:p w14:paraId="1E2A3096" w14:textId="77777777" w:rsidR="008D28A7" w:rsidRPr="008A3EC2" w:rsidRDefault="008D28A7" w:rsidP="008D28A7">
                            <w:pPr>
                              <w:spacing w:after="0"/>
                            </w:pPr>
                            <w:r>
                              <w:rPr>
                                <w:rFonts w:ascii="Calibri" w:hAnsi="Calibri" w:cs="Calibri"/>
                                <w:sz w:val="36"/>
                                <w:szCs w:val="36"/>
                              </w:rPr>
                              <w:t xml:space="preserve">    </w:t>
                            </w:r>
                            <w:r w:rsidRPr="008A3EC2">
                              <w:rPr>
                                <w:rFonts w:ascii="Calibri" w:hAnsi="Calibri" w:cs="Calibri"/>
                              </w:rPr>
                              <w:t xml:space="preserve"> </w:t>
                            </w:r>
                            <w:r>
                              <w:rPr>
                                <w:rFonts w:ascii="Calibri" w:hAnsi="Calibri" w:cs="Calibri"/>
                              </w:rPr>
                              <w:t xml:space="preserve">    </w:t>
                            </w:r>
                            <w:r w:rsidRPr="008A3EC2">
                              <w:rPr>
                                <w:rFonts w:ascii="Calibri" w:hAnsi="Calibri" w:cs="Calibri"/>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52126" id="_x0000_s1029" style="position:absolute;margin-left:391.75pt;margin-top:4.75pt;width:85.8pt;height:28.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" fillcolor="#f5b8a4" strokecolor="#e97132" strokeweight=".5pt">
                <v:fill color2="#f59e81" rotate="t" colors="0 #f5b8a4;.5 #f2ab96;1 #f59e81" focus="100%" type="gradient">
                  <o:fill v:ext="view" type="gradientUnscaled"/>
                </v:fill>
                <v:textbox>
                  <w:txbxContent>
                    <w:p w14:paraId="1E2A3096" w14:textId="77777777" w:rsidR="008D28A7" w:rsidRPr="008A3EC2" w:rsidRDefault="008D28A7" w:rsidP="008D28A7">
                      <w:pPr>
                        <w:spacing w:after="0"/>
                      </w:pPr>
                      <w:r>
                        <w:rPr>
                          <w:rFonts w:ascii="Calibri" w:hAnsi="Calibri" w:cs="Calibri"/>
                          <w:sz w:val="36"/>
                          <w:szCs w:val="36"/>
                        </w:rPr>
                        <w:t xml:space="preserve">    </w:t>
                      </w:r>
                      <w:r w:rsidRPr="008A3EC2">
                        <w:rPr>
                          <w:rFonts w:ascii="Calibri" w:hAnsi="Calibri" w:cs="Calibri"/>
                        </w:rPr>
                        <w:t xml:space="preserve"> </w:t>
                      </w:r>
                      <w:r>
                        <w:rPr>
                          <w:rFonts w:ascii="Calibri" w:hAnsi="Calibri" w:cs="Calibri"/>
                        </w:rPr>
                        <w:t xml:space="preserve">    </w:t>
                      </w:r>
                      <w:r w:rsidRPr="008A3EC2">
                        <w:rPr>
                          <w:rFonts w:ascii="Calibri" w:hAnsi="Calibri" w:cs="Calibri"/>
                        </w:rPr>
                        <w:t>•••</w:t>
                      </w:r>
                    </w:p>
                  </w:txbxContent>
                </v:textbox>
              </v:rect>
            </w:pict>
          </mc:Fallback>
        </mc:AlternateContent>
      </w:r>
      <w:r w:rsidRPr="00DB6AED">
        <w:rPr>
          <w:noProof/>
        </w:rPr>
        <mc:AlternateContent>
          <mc:Choice Requires="wps">
            <w:drawing>
              <wp:anchor distT="0" distB="0" distL="114300" distR="114300" simplePos="0" relativeHeight="251794432" behindDoc="0" locked="0" layoutInCell="1" allowOverlap="1" wp14:anchorId="18EBDCCC" wp14:editId="2B824944">
                <wp:simplePos x="0" y="0"/>
                <wp:positionH relativeFrom="column">
                  <wp:posOffset>3195904</wp:posOffset>
                </wp:positionH>
                <wp:positionV relativeFrom="paragraph">
                  <wp:posOffset>232359</wp:posOffset>
                </wp:positionV>
                <wp:extent cx="336499" cy="65836"/>
                <wp:effectExtent l="0" t="19050" r="45085" b="29845"/>
                <wp:wrapNone/>
                <wp:docPr id="1006881272" name="Strzałka: w prawo 25"/>
                <wp:cNvGraphicFramePr/>
                <a:graphic xmlns:a="http://schemas.openxmlformats.org/drawingml/2006/main">
                  <a:graphicData uri="http://schemas.microsoft.com/office/word/2010/wordprocessingShape">
                    <wps:wsp>
                      <wps:cNvSpPr/>
                      <wps:spPr>
                        <a:xfrm>
                          <a:off x="0" y="0"/>
                          <a:ext cx="336499" cy="65836"/>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8664E3" id="Strzałka: w prawo 25" o:spid="_x0000_s1026" type="#_x0000_t13" style="position:absolute;margin-left:251.65pt;margin-top:18.3pt;width:26.5pt;height:5.2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" adj="19487" fillcolor="#156082" strokecolor="#042433" strokeweight="1pt"/>
            </w:pict>
          </mc:Fallback>
        </mc:AlternateContent>
      </w:r>
      <w:r w:rsidRPr="00DB6AED">
        <w:rPr>
          <w:noProof/>
        </w:rPr>
        <mc:AlternateContent>
          <mc:Choice Requires="wps">
            <w:drawing>
              <wp:anchor distT="0" distB="0" distL="114300" distR="114300" simplePos="0" relativeHeight="251793408" behindDoc="0" locked="0" layoutInCell="1" allowOverlap="1" wp14:anchorId="4041704C" wp14:editId="297DEF19">
                <wp:simplePos x="0" y="0"/>
                <wp:positionH relativeFrom="column">
                  <wp:posOffset>1755623</wp:posOffset>
                </wp:positionH>
                <wp:positionV relativeFrom="paragraph">
                  <wp:posOffset>243180</wp:posOffset>
                </wp:positionV>
                <wp:extent cx="336499" cy="65836"/>
                <wp:effectExtent l="0" t="19050" r="45085" b="29845"/>
                <wp:wrapNone/>
                <wp:docPr id="1401197471" name="Strzałka: w prawo 25"/>
                <wp:cNvGraphicFramePr/>
                <a:graphic xmlns:a="http://schemas.openxmlformats.org/drawingml/2006/main">
                  <a:graphicData uri="http://schemas.microsoft.com/office/word/2010/wordprocessingShape">
                    <wps:wsp>
                      <wps:cNvSpPr/>
                      <wps:spPr>
                        <a:xfrm>
                          <a:off x="0" y="0"/>
                          <a:ext cx="336499" cy="65836"/>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1C96B1" id="Strzałka: w prawo 25" o:spid="_x0000_s1026" type="#_x0000_t13" style="position:absolute;margin-left:138.25pt;margin-top:19.15pt;width:26.5pt;height:5.2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" adj="19487" fillcolor="#156082" strokecolor="#042433" strokeweight="1pt"/>
            </w:pict>
          </mc:Fallback>
        </mc:AlternateContent>
      </w:r>
      <w:r w:rsidRPr="00DB6AED">
        <w:rPr>
          <w:noProof/>
        </w:rPr>
        <mc:AlternateContent>
          <mc:Choice Requires="wps">
            <w:drawing>
              <wp:anchor distT="0" distB="0" distL="114300" distR="114300" simplePos="0" relativeHeight="251780096" behindDoc="0" locked="0" layoutInCell="1" allowOverlap="1" wp14:anchorId="5F4A639A" wp14:editId="43DBFCC3">
                <wp:simplePos x="0" y="0"/>
                <wp:positionH relativeFrom="column">
                  <wp:posOffset>446201</wp:posOffset>
                </wp:positionH>
                <wp:positionV relativeFrom="paragraph">
                  <wp:posOffset>60300</wp:posOffset>
                </wp:positionV>
                <wp:extent cx="1265529" cy="365760"/>
                <wp:effectExtent l="0" t="0" r="11430" b="15240"/>
                <wp:wrapNone/>
                <wp:docPr id="1942488803" name="Prostokąt 19"/>
                <wp:cNvGraphicFramePr/>
                <a:graphic xmlns:a="http://schemas.openxmlformats.org/drawingml/2006/main">
                  <a:graphicData uri="http://schemas.microsoft.com/office/word/2010/wordprocessingShape">
                    <wps:wsp>
                      <wps:cNvSpPr/>
                      <wps:spPr>
                        <a:xfrm>
                          <a:off x="0" y="0"/>
                          <a:ext cx="1265529" cy="365760"/>
                        </a:xfrm>
                        <a:prstGeom prst="re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solidFill>
                            <a:srgbClr val="E97132"/>
                          </a:solidFill>
                          <a:prstDash val="solid"/>
                          <a:miter lim="800000"/>
                        </a:ln>
                        <a:effectLst/>
                      </wps:spPr>
                      <wps:txbx>
                        <w:txbxContent>
                          <w:p w14:paraId="5396BDF6" w14:textId="77777777" w:rsidR="008D28A7" w:rsidRDefault="008D28A7" w:rsidP="008D28A7">
                            <w:pPr>
                              <w:jc w:val="center"/>
                            </w:pPr>
                            <w:r>
                              <w:t>Instrukcja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A639A" id="_x0000_s1030" style="position:absolute;margin-left:35.15pt;margin-top:4.75pt;width:99.65pt;height:28.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" fillcolor="#f5b8a4" strokecolor="#e97132" strokeweight=".5pt">
                <v:fill color2="#f59e81" rotate="t" colors="0 #f5b8a4;.5 #f2ab96;1 #f59e81" focus="100%" type="gradient">
                  <o:fill v:ext="view" type="gradientUnscaled"/>
                </v:fill>
                <v:textbox>
                  <w:txbxContent>
                    <w:p w14:paraId="5396BDF6" w14:textId="77777777" w:rsidR="008D28A7" w:rsidRDefault="008D28A7" w:rsidP="008D28A7">
                      <w:pPr>
                        <w:jc w:val="center"/>
                      </w:pPr>
                      <w:r>
                        <w:t>Instrukcja</w:t>
                      </w:r>
                    </w:p>
                  </w:txbxContent>
                </v:textbox>
              </v:rect>
            </w:pict>
          </mc:Fallback>
        </mc:AlternateContent>
      </w:r>
      <w:r w:rsidRPr="00DB6AED">
        <w:rPr>
          <w:noProof/>
        </w:rPr>
        <mc:AlternateContent>
          <mc:Choice Requires="wps">
            <w:drawing>
              <wp:anchor distT="0" distB="0" distL="114300" distR="114300" simplePos="0" relativeHeight="251781120" behindDoc="0" locked="0" layoutInCell="1" allowOverlap="1" wp14:anchorId="697C9B4E" wp14:editId="6C5EF0B3">
                <wp:simplePos x="0" y="0"/>
                <wp:positionH relativeFrom="column">
                  <wp:posOffset>2092121</wp:posOffset>
                </wp:positionH>
                <wp:positionV relativeFrom="paragraph">
                  <wp:posOffset>52984</wp:posOffset>
                </wp:positionV>
                <wp:extent cx="1104595" cy="365760"/>
                <wp:effectExtent l="0" t="0" r="19685" b="15240"/>
                <wp:wrapNone/>
                <wp:docPr id="1964040023" name="Prostokąt 19"/>
                <wp:cNvGraphicFramePr/>
                <a:graphic xmlns:a="http://schemas.openxmlformats.org/drawingml/2006/main">
                  <a:graphicData uri="http://schemas.microsoft.com/office/word/2010/wordprocessingShape">
                    <wps:wsp>
                      <wps:cNvSpPr/>
                      <wps:spPr>
                        <a:xfrm>
                          <a:off x="0" y="0"/>
                          <a:ext cx="1104595" cy="365760"/>
                        </a:xfrm>
                        <a:prstGeom prst="re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solidFill>
                            <a:srgbClr val="E97132"/>
                          </a:solidFill>
                          <a:prstDash val="solid"/>
                          <a:miter lim="800000"/>
                        </a:ln>
                        <a:effectLst/>
                      </wps:spPr>
                      <wps:txbx>
                        <w:txbxContent>
                          <w:p w14:paraId="59026D8B" w14:textId="77777777" w:rsidR="008D28A7" w:rsidRDefault="008D28A7" w:rsidP="008D28A7">
                            <w:pPr>
                              <w:jc w:val="center"/>
                            </w:pPr>
                            <w:r>
                              <w:t>Część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C9B4E" id="_x0000_s1031" style="position:absolute;margin-left:164.75pt;margin-top:4.15pt;width:87pt;height:28.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" fillcolor="#f5b8a4" strokecolor="#e97132" strokeweight=".5pt">
                <v:fill color2="#f59e81" rotate="t" colors="0 #f5b8a4;.5 #f2ab96;1 #f59e81" focus="100%" type="gradient">
                  <o:fill v:ext="view" type="gradientUnscaled"/>
                </v:fill>
                <v:textbox>
                  <w:txbxContent>
                    <w:p w14:paraId="59026D8B" w14:textId="77777777" w:rsidR="008D28A7" w:rsidRDefault="008D28A7" w:rsidP="008D28A7">
                      <w:pPr>
                        <w:jc w:val="center"/>
                      </w:pPr>
                      <w:r>
                        <w:t>Część I</w:t>
                      </w:r>
                    </w:p>
                  </w:txbxContent>
                </v:textbox>
              </v:rect>
            </w:pict>
          </mc:Fallback>
        </mc:AlternateContent>
      </w:r>
      <w:r w:rsidRPr="00DB6AED">
        <w:rPr>
          <w:noProof/>
        </w:rPr>
        <mc:AlternateContent>
          <mc:Choice Requires="wps">
            <w:drawing>
              <wp:anchor distT="0" distB="0" distL="114300" distR="114300" simplePos="0" relativeHeight="251782144" behindDoc="0" locked="0" layoutInCell="1" allowOverlap="1" wp14:anchorId="1144FC6A" wp14:editId="1E942BE0">
                <wp:simplePos x="0" y="0"/>
                <wp:positionH relativeFrom="column">
                  <wp:posOffset>3563188</wp:posOffset>
                </wp:positionH>
                <wp:positionV relativeFrom="paragraph">
                  <wp:posOffset>52375</wp:posOffset>
                </wp:positionV>
                <wp:extent cx="1031444" cy="365760"/>
                <wp:effectExtent l="0" t="0" r="16510" b="15240"/>
                <wp:wrapNone/>
                <wp:docPr id="1969405842" name="Prostokąt 19"/>
                <wp:cNvGraphicFramePr/>
                <a:graphic xmlns:a="http://schemas.openxmlformats.org/drawingml/2006/main">
                  <a:graphicData uri="http://schemas.microsoft.com/office/word/2010/wordprocessingShape">
                    <wps:wsp>
                      <wps:cNvSpPr/>
                      <wps:spPr>
                        <a:xfrm>
                          <a:off x="0" y="0"/>
                          <a:ext cx="1031444" cy="365760"/>
                        </a:xfrm>
                        <a:prstGeom prst="re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solidFill>
                            <a:srgbClr val="E97132"/>
                          </a:solidFill>
                          <a:prstDash val="solid"/>
                          <a:miter lim="800000"/>
                        </a:ln>
                        <a:effectLst/>
                      </wps:spPr>
                      <wps:txbx>
                        <w:txbxContent>
                          <w:p w14:paraId="4D314BE8" w14:textId="77777777" w:rsidR="008D28A7" w:rsidRDefault="008D28A7" w:rsidP="008D28A7">
                            <w:pPr>
                              <w:jc w:val="center"/>
                            </w:pPr>
                            <w:r>
                              <w:t>Część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4FC6A" id="_x0000_s1032" style="position:absolute;margin-left:280.55pt;margin-top:4.1pt;width:81.2pt;height:28.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" fillcolor="#f5b8a4" strokecolor="#e97132" strokeweight=".5pt">
                <v:fill color2="#f59e81" rotate="t" colors="0 #f5b8a4;.5 #f2ab96;1 #f59e81" focus="100%" type="gradient">
                  <o:fill v:ext="view" type="gradientUnscaled"/>
                </v:fill>
                <v:textbox>
                  <w:txbxContent>
                    <w:p w14:paraId="4D314BE8" w14:textId="77777777" w:rsidR="008D28A7" w:rsidRDefault="008D28A7" w:rsidP="008D28A7">
                      <w:pPr>
                        <w:jc w:val="center"/>
                      </w:pPr>
                      <w:r>
                        <w:t>Część II</w:t>
                      </w:r>
                    </w:p>
                  </w:txbxContent>
                </v:textbox>
              </v:rect>
            </w:pict>
          </mc:Fallback>
        </mc:AlternateContent>
      </w:r>
    </w:p>
    <w:p w14:paraId="1EB0AB0A" w14:textId="77777777" w:rsidR="008D28A7" w:rsidRPr="00DB6AED" w:rsidRDefault="008D28A7" w:rsidP="008D28A7">
      <w:pPr>
        <w:rPr>
          <w:lang w:val="en-US"/>
        </w:rPr>
      </w:pPr>
      <w:r w:rsidRPr="00DB6AED">
        <w:rPr>
          <w:noProof/>
        </w:rPr>
        <mc:AlternateContent>
          <mc:Choice Requires="wps">
            <w:drawing>
              <wp:anchor distT="0" distB="0" distL="114300" distR="114300" simplePos="0" relativeHeight="251785216" behindDoc="0" locked="0" layoutInCell="1" allowOverlap="1" wp14:anchorId="35640126" wp14:editId="588CE14D">
                <wp:simplePos x="0" y="0"/>
                <wp:positionH relativeFrom="column">
                  <wp:posOffset>431841</wp:posOffset>
                </wp:positionH>
                <wp:positionV relativeFrom="paragraph">
                  <wp:posOffset>279747</wp:posOffset>
                </wp:positionV>
                <wp:extent cx="1543507" cy="1140765"/>
                <wp:effectExtent l="0" t="0" r="19050" b="21590"/>
                <wp:wrapNone/>
                <wp:docPr id="1258563257" name="Pole tekstowe 23"/>
                <wp:cNvGraphicFramePr/>
                <a:graphic xmlns:a="http://schemas.openxmlformats.org/drawingml/2006/main">
                  <a:graphicData uri="http://schemas.microsoft.com/office/word/2010/wordprocessingShape">
                    <wps:wsp>
                      <wps:cNvSpPr txBox="1"/>
                      <wps:spPr>
                        <a:xfrm>
                          <a:off x="0" y="0"/>
                          <a:ext cx="1543507" cy="1140765"/>
                        </a:xfrm>
                        <a:prstGeom prst="rect">
                          <a:avLst/>
                        </a:prstGeom>
                        <a:solidFill>
                          <a:sysClr val="window" lastClr="FFFFFF"/>
                        </a:solidFill>
                        <a:ln w="12700" cap="flat" cmpd="sng" algn="ctr">
                          <a:solidFill>
                            <a:srgbClr val="E97132"/>
                          </a:solidFill>
                          <a:prstDash val="solid"/>
                          <a:miter lim="800000"/>
                        </a:ln>
                        <a:effectLst/>
                      </wps:spPr>
                      <wps:txbx>
                        <w:txbxContent>
                          <w:p w14:paraId="7739D806" w14:textId="77777777" w:rsidR="008D28A7" w:rsidRDefault="008D28A7" w:rsidP="008D28A7">
                            <w:r>
                              <w:t xml:space="preserve">    Aktorzy i działania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40126" id="Pole tekstowe 23" o:spid="_x0000_s1033" type="#_x0000_t202" style="position:absolute;margin-left:34pt;margin-top:22.05pt;width:121.55pt;height:89.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" fillcolor="window" strokecolor="#e97132" strokeweight="1pt">
                <v:textbox>
                  <w:txbxContent>
                    <w:p w14:paraId="7739D806" w14:textId="77777777" w:rsidR="008D28A7" w:rsidRDefault="008D28A7" w:rsidP="008D28A7">
                      <w:r>
                        <w:t xml:space="preserve">    Aktorzy i działania</w:t>
                      </w:r>
                    </w:p>
                  </w:txbxContent>
                </v:textbox>
              </v:shape>
            </w:pict>
          </mc:Fallback>
        </mc:AlternateContent>
      </w:r>
      <w:r w:rsidRPr="00DB6AED">
        <w:rPr>
          <w:noProof/>
        </w:rPr>
        <mc:AlternateContent>
          <mc:Choice Requires="wps">
            <w:drawing>
              <wp:anchor distT="0" distB="0" distL="114300" distR="114300" simplePos="0" relativeHeight="251788288" behindDoc="0" locked="0" layoutInCell="1" allowOverlap="1" wp14:anchorId="2FAC204A" wp14:editId="795F7E23">
                <wp:simplePos x="0" y="0"/>
                <wp:positionH relativeFrom="column">
                  <wp:posOffset>2133253</wp:posOffset>
                </wp:positionH>
                <wp:positionV relativeFrom="paragraph">
                  <wp:posOffset>296925</wp:posOffset>
                </wp:positionV>
                <wp:extent cx="1355065" cy="1148487"/>
                <wp:effectExtent l="0" t="0" r="17145" b="13970"/>
                <wp:wrapNone/>
                <wp:docPr id="865291983" name="Pole tekstowe 23"/>
                <wp:cNvGraphicFramePr/>
                <a:graphic xmlns:a="http://schemas.openxmlformats.org/drawingml/2006/main">
                  <a:graphicData uri="http://schemas.microsoft.com/office/word/2010/wordprocessingShape">
                    <wps:wsp>
                      <wps:cNvSpPr txBox="1"/>
                      <wps:spPr>
                        <a:xfrm>
                          <a:off x="0" y="0"/>
                          <a:ext cx="1355065" cy="1148487"/>
                        </a:xfrm>
                        <a:prstGeom prst="rect">
                          <a:avLst/>
                        </a:prstGeom>
                        <a:solidFill>
                          <a:sysClr val="window" lastClr="FFFFFF"/>
                        </a:solidFill>
                        <a:ln w="12700" cap="flat" cmpd="sng" algn="ctr">
                          <a:solidFill>
                            <a:srgbClr val="E97132"/>
                          </a:solidFill>
                          <a:prstDash val="solid"/>
                          <a:miter lim="800000"/>
                        </a:ln>
                        <a:effectLst/>
                      </wps:spPr>
                      <wps:txbx>
                        <w:txbxContent>
                          <w:p w14:paraId="012148BB" w14:textId="77777777" w:rsidR="008D28A7" w:rsidRDefault="008D28A7" w:rsidP="008D28A7">
                            <w:pPr>
                              <w:jc w:val="center"/>
                            </w:pPr>
                            <w:r>
                              <w:t xml:space="preserve">Aktorzy, działania, zasada przyczynowości prowadząca </w:t>
                            </w:r>
                            <w:r>
                              <w:br/>
                              <w:t>do części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C204A" id="_x0000_s1034" type="#_x0000_t202" style="position:absolute;margin-left:167.95pt;margin-top:23.4pt;width:106.7pt;height:90.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" fillcolor="window" strokecolor="#e97132" strokeweight="1pt">
                <v:textbox>
                  <w:txbxContent>
                    <w:p w14:paraId="012148BB" w14:textId="77777777" w:rsidR="008D28A7" w:rsidRDefault="008D28A7" w:rsidP="008D28A7">
                      <w:pPr>
                        <w:jc w:val="center"/>
                      </w:pPr>
                      <w:r>
                        <w:t xml:space="preserve">Aktorzy, działania, zasada przyczynowości prowadząca </w:t>
                      </w:r>
                      <w:r>
                        <w:br/>
                        <w:t>do części 2</w:t>
                      </w:r>
                    </w:p>
                  </w:txbxContent>
                </v:textbox>
              </v:shape>
            </w:pict>
          </mc:Fallback>
        </mc:AlternateContent>
      </w:r>
      <w:r w:rsidRPr="00DB6AED">
        <w:rPr>
          <w:noProof/>
        </w:rPr>
        <mc:AlternateContent>
          <mc:Choice Requires="wps">
            <w:drawing>
              <wp:anchor distT="0" distB="0" distL="114300" distR="114300" simplePos="0" relativeHeight="251789312" behindDoc="0" locked="0" layoutInCell="1" allowOverlap="1" wp14:anchorId="5F76FAF3" wp14:editId="72862E64">
                <wp:simplePos x="0" y="0"/>
                <wp:positionH relativeFrom="column">
                  <wp:posOffset>3678242</wp:posOffset>
                </wp:positionH>
                <wp:positionV relativeFrom="paragraph">
                  <wp:posOffset>301179</wp:posOffset>
                </wp:positionV>
                <wp:extent cx="1355065" cy="1148487"/>
                <wp:effectExtent l="0" t="0" r="17145" b="13970"/>
                <wp:wrapNone/>
                <wp:docPr id="2094743487" name="Pole tekstowe 23"/>
                <wp:cNvGraphicFramePr/>
                <a:graphic xmlns:a="http://schemas.openxmlformats.org/drawingml/2006/main">
                  <a:graphicData uri="http://schemas.microsoft.com/office/word/2010/wordprocessingShape">
                    <wps:wsp>
                      <wps:cNvSpPr txBox="1"/>
                      <wps:spPr>
                        <a:xfrm>
                          <a:off x="0" y="0"/>
                          <a:ext cx="1355065" cy="1148487"/>
                        </a:xfrm>
                        <a:prstGeom prst="rect">
                          <a:avLst/>
                        </a:prstGeom>
                        <a:solidFill>
                          <a:sysClr val="window" lastClr="FFFFFF"/>
                        </a:solidFill>
                        <a:ln w="12700" cap="flat" cmpd="sng" algn="ctr">
                          <a:solidFill>
                            <a:srgbClr val="E97132"/>
                          </a:solidFill>
                          <a:prstDash val="solid"/>
                          <a:miter lim="800000"/>
                        </a:ln>
                        <a:effectLst/>
                      </wps:spPr>
                      <wps:txbx>
                        <w:txbxContent>
                          <w:p w14:paraId="74EFECCC" w14:textId="77777777" w:rsidR="008D28A7" w:rsidRDefault="008D28A7" w:rsidP="008D28A7">
                            <w:pPr>
                              <w:jc w:val="center"/>
                            </w:pPr>
                            <w:r>
                              <w:t xml:space="preserve">Aktorzy docelowi, zasada przyczynowości </w:t>
                            </w:r>
                            <w:r>
                              <w:br/>
                              <w:t xml:space="preserve">prowadząca </w:t>
                            </w:r>
                            <w:r>
                              <w:br/>
                              <w:t>do części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6FAF3" id="_x0000_s1035" type="#_x0000_t202" style="position:absolute;margin-left:289.65pt;margin-top:23.7pt;width:106.7pt;height:90.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" fillcolor="window" strokecolor="#e97132" strokeweight="1pt">
                <v:textbox>
                  <w:txbxContent>
                    <w:p w14:paraId="74EFECCC" w14:textId="77777777" w:rsidR="008D28A7" w:rsidRDefault="008D28A7" w:rsidP="008D28A7">
                      <w:pPr>
                        <w:jc w:val="center"/>
                      </w:pPr>
                      <w:r>
                        <w:t xml:space="preserve">Aktorzy docelowi, zasada przyczynowości </w:t>
                      </w:r>
                      <w:r>
                        <w:br/>
                        <w:t xml:space="preserve">prowadząca </w:t>
                      </w:r>
                      <w:r>
                        <w:br/>
                        <w:t>do części 3</w:t>
                      </w:r>
                    </w:p>
                  </w:txbxContent>
                </v:textbox>
              </v:shape>
            </w:pict>
          </mc:Fallback>
        </mc:AlternateContent>
      </w:r>
      <w:r w:rsidRPr="00DB6AED">
        <w:rPr>
          <w:noProof/>
        </w:rPr>
        <mc:AlternateContent>
          <mc:Choice Requires="wps">
            <w:drawing>
              <wp:anchor distT="0" distB="0" distL="114300" distR="114300" simplePos="0" relativeHeight="251790336" behindDoc="0" locked="0" layoutInCell="1" allowOverlap="1" wp14:anchorId="20AEA4AC" wp14:editId="66F01527">
                <wp:simplePos x="0" y="0"/>
                <wp:positionH relativeFrom="column">
                  <wp:posOffset>5228120</wp:posOffset>
                </wp:positionH>
                <wp:positionV relativeFrom="paragraph">
                  <wp:posOffset>306482</wp:posOffset>
                </wp:positionV>
                <wp:extent cx="1355065" cy="1148487"/>
                <wp:effectExtent l="0" t="0" r="17145" b="13970"/>
                <wp:wrapNone/>
                <wp:docPr id="1980906916" name="Pole tekstowe 23"/>
                <wp:cNvGraphicFramePr/>
                <a:graphic xmlns:a="http://schemas.openxmlformats.org/drawingml/2006/main">
                  <a:graphicData uri="http://schemas.microsoft.com/office/word/2010/wordprocessingShape">
                    <wps:wsp>
                      <wps:cNvSpPr txBox="1"/>
                      <wps:spPr>
                        <a:xfrm>
                          <a:off x="0" y="0"/>
                          <a:ext cx="1355065" cy="1148487"/>
                        </a:xfrm>
                        <a:prstGeom prst="rect">
                          <a:avLst/>
                        </a:prstGeom>
                        <a:solidFill>
                          <a:sysClr val="window" lastClr="FFFFFF"/>
                        </a:solidFill>
                        <a:ln w="12700" cap="flat" cmpd="sng" algn="ctr">
                          <a:solidFill>
                            <a:srgbClr val="E97132"/>
                          </a:solidFill>
                          <a:prstDash val="solid"/>
                          <a:miter lim="800000"/>
                        </a:ln>
                        <a:effectLst/>
                      </wps:spPr>
                      <wps:txbx>
                        <w:txbxContent>
                          <w:p w14:paraId="335C3729" w14:textId="77777777" w:rsidR="008D28A7" w:rsidRDefault="008D28A7" w:rsidP="008D28A7">
                            <w:pPr>
                              <w:jc w:val="center"/>
                            </w:pPr>
                            <w:r>
                              <w:t xml:space="preserve">Aktorzy, działania, zasada przyczynowości prowadząca </w:t>
                            </w:r>
                            <w:r>
                              <w:br/>
                              <w:t>do wyników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EA4AC" id="_x0000_s1036" type="#_x0000_t202" style="position:absolute;margin-left:411.65pt;margin-top:24.15pt;width:106.7pt;height:90.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" fillcolor="window" strokecolor="#e97132" strokeweight="1pt">
                <v:textbox>
                  <w:txbxContent>
                    <w:p w14:paraId="335C3729" w14:textId="77777777" w:rsidR="008D28A7" w:rsidRDefault="008D28A7" w:rsidP="008D28A7">
                      <w:pPr>
                        <w:jc w:val="center"/>
                      </w:pPr>
                      <w:r>
                        <w:t xml:space="preserve">Aktorzy, działania, zasada przyczynowości prowadząca </w:t>
                      </w:r>
                      <w:r>
                        <w:br/>
                        <w:t>do wyników</w:t>
                      </w:r>
                    </w:p>
                  </w:txbxContent>
                </v:textbox>
              </v:shape>
            </w:pict>
          </mc:Fallback>
        </mc:AlternateContent>
      </w:r>
      <w:r w:rsidRPr="00DB6AED">
        <w:rPr>
          <w:noProof/>
        </w:rPr>
        <mc:AlternateContent>
          <mc:Choice Requires="wps">
            <w:drawing>
              <wp:anchor distT="0" distB="0" distL="114300" distR="114300" simplePos="0" relativeHeight="251791360" behindDoc="0" locked="0" layoutInCell="1" allowOverlap="1" wp14:anchorId="23685BA0" wp14:editId="758FD686">
                <wp:simplePos x="0" y="0"/>
                <wp:positionH relativeFrom="column">
                  <wp:posOffset>6766915</wp:posOffset>
                </wp:positionH>
                <wp:positionV relativeFrom="paragraph">
                  <wp:posOffset>288034</wp:posOffset>
                </wp:positionV>
                <wp:extent cx="1355065" cy="1148487"/>
                <wp:effectExtent l="0" t="0" r="17145" b="13970"/>
                <wp:wrapNone/>
                <wp:docPr id="1609905937" name="Pole tekstowe 23"/>
                <wp:cNvGraphicFramePr/>
                <a:graphic xmlns:a="http://schemas.openxmlformats.org/drawingml/2006/main">
                  <a:graphicData uri="http://schemas.microsoft.com/office/word/2010/wordprocessingShape">
                    <wps:wsp>
                      <wps:cNvSpPr txBox="1"/>
                      <wps:spPr>
                        <a:xfrm>
                          <a:off x="0" y="0"/>
                          <a:ext cx="1355065" cy="1148487"/>
                        </a:xfrm>
                        <a:prstGeom prst="rect">
                          <a:avLst/>
                        </a:prstGeom>
                        <a:solidFill>
                          <a:sysClr val="window" lastClr="FFFFFF"/>
                        </a:solidFill>
                        <a:ln w="12700" cap="flat" cmpd="sng" algn="ctr">
                          <a:solidFill>
                            <a:srgbClr val="E97132"/>
                          </a:solidFill>
                          <a:prstDash val="solid"/>
                          <a:miter lim="800000"/>
                        </a:ln>
                        <a:effectLst/>
                      </wps:spPr>
                      <wps:txbx>
                        <w:txbxContent>
                          <w:p w14:paraId="73BCF83B" w14:textId="77777777" w:rsidR="008D28A7" w:rsidRDefault="008D28A7" w:rsidP="008D28A7">
                            <w:pPr>
                              <w:jc w:val="center"/>
                            </w:pPr>
                            <w:r>
                              <w:t xml:space="preserve">Wiarygodne </w:t>
                            </w:r>
                            <w:r>
                              <w:br/>
                              <w:t>wyniki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85BA0" id="_x0000_s1037" type="#_x0000_t202" style="position:absolute;margin-left:532.85pt;margin-top:22.7pt;width:106.7pt;height:90.4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" fillcolor="window" strokecolor="#e97132" strokeweight="1pt">
                <v:textbox>
                  <w:txbxContent>
                    <w:p w14:paraId="73BCF83B" w14:textId="77777777" w:rsidR="008D28A7" w:rsidRDefault="008D28A7" w:rsidP="008D28A7">
                      <w:pPr>
                        <w:jc w:val="center"/>
                      </w:pPr>
                      <w:r>
                        <w:t xml:space="preserve">Wiarygodne </w:t>
                      </w:r>
                      <w:r>
                        <w:br/>
                        <w:t>wyniki</w:t>
                      </w:r>
                    </w:p>
                  </w:txbxContent>
                </v:textbox>
              </v:shape>
            </w:pict>
          </mc:Fallback>
        </mc:AlternateContent>
      </w:r>
    </w:p>
    <w:p w14:paraId="7A9E4EA9" w14:textId="77777777" w:rsidR="008D28A7" w:rsidRPr="00DB6AED" w:rsidRDefault="008D28A7" w:rsidP="008D28A7">
      <w:pPr>
        <w:tabs>
          <w:tab w:val="left" w:pos="3405"/>
        </w:tabs>
        <w:rPr>
          <w:lang w:val="en-US"/>
        </w:rPr>
      </w:pPr>
      <w:r w:rsidRPr="00DB6AED">
        <w:rPr>
          <w:lang w:val="en-US"/>
        </w:rPr>
        <w:tab/>
      </w:r>
    </w:p>
    <w:p w14:paraId="263C93CB" w14:textId="77777777" w:rsidR="008D28A7" w:rsidRPr="00DB6AED" w:rsidRDefault="008D28A7" w:rsidP="008D28A7">
      <w:pPr>
        <w:rPr>
          <w:lang w:val="en-US"/>
        </w:rPr>
      </w:pPr>
    </w:p>
    <w:p w14:paraId="7CFEA9E2" w14:textId="77777777" w:rsidR="008D28A7" w:rsidRPr="00DB6AED" w:rsidRDefault="008D28A7" w:rsidP="008D28A7">
      <w:pPr>
        <w:rPr>
          <w:lang w:val="en-US"/>
        </w:rPr>
      </w:pPr>
    </w:p>
    <w:p w14:paraId="50C84CD2" w14:textId="77777777" w:rsidR="008D28A7" w:rsidRPr="00DB6AED" w:rsidRDefault="008D28A7" w:rsidP="008D28A7">
      <w:pPr>
        <w:rPr>
          <w:lang w:val="en-US"/>
        </w:rPr>
      </w:pPr>
      <w:r w:rsidRPr="00DB6AED">
        <w:rPr>
          <w:noProof/>
        </w:rPr>
        <mc:AlternateContent>
          <mc:Choice Requires="wps">
            <w:drawing>
              <wp:anchor distT="0" distB="0" distL="114300" distR="114300" simplePos="0" relativeHeight="251792384" behindDoc="0" locked="0" layoutInCell="1" allowOverlap="1" wp14:anchorId="2A25C4DF" wp14:editId="05FE71F6">
                <wp:simplePos x="0" y="0"/>
                <wp:positionH relativeFrom="column">
                  <wp:posOffset>401378</wp:posOffset>
                </wp:positionH>
                <wp:positionV relativeFrom="paragraph">
                  <wp:posOffset>265075</wp:posOffset>
                </wp:positionV>
                <wp:extent cx="7718679" cy="534009"/>
                <wp:effectExtent l="0" t="0" r="15875" b="19050"/>
                <wp:wrapNone/>
                <wp:docPr id="484449986" name="Prostokąt 19"/>
                <wp:cNvGraphicFramePr/>
                <a:graphic xmlns:a="http://schemas.openxmlformats.org/drawingml/2006/main">
                  <a:graphicData uri="http://schemas.microsoft.com/office/word/2010/wordprocessingShape">
                    <wps:wsp>
                      <wps:cNvSpPr/>
                      <wps:spPr>
                        <a:xfrm>
                          <a:off x="0" y="0"/>
                          <a:ext cx="7718679" cy="534009"/>
                        </a:xfrm>
                        <a:prstGeom prst="re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solidFill>
                            <a:srgbClr val="E97132"/>
                          </a:solidFill>
                          <a:prstDash val="solid"/>
                          <a:miter lim="800000"/>
                        </a:ln>
                        <a:effectLst/>
                      </wps:spPr>
                      <wps:txbx>
                        <w:txbxContent>
                          <w:p w14:paraId="338BF58E" w14:textId="77777777" w:rsidR="008D28A7" w:rsidRDefault="008D28A7" w:rsidP="008D28A7">
                            <w:pPr>
                              <w:jc w:val="center"/>
                            </w:pPr>
                            <w:r>
                              <w:t>Czynniki kontekstualne (np. zaufanie między aktorami)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5C4DF" id="_x0000_s1038" style="position:absolute;margin-left:31.6pt;margin-top:20.85pt;width:607.75pt;height:42.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" fillcolor="#f5b8a4" strokecolor="#e97132" strokeweight=".5pt">
                <v:fill color2="#f59e81" rotate="t" colors="0 #f5b8a4;.5 #f2ab96;1 #f59e81" focus="100%" type="gradient">
                  <o:fill v:ext="view" type="gradientUnscaled"/>
                </v:fill>
                <v:textbox>
                  <w:txbxContent>
                    <w:p w14:paraId="338BF58E" w14:textId="77777777" w:rsidR="008D28A7" w:rsidRDefault="008D28A7" w:rsidP="008D28A7">
                      <w:pPr>
                        <w:jc w:val="center"/>
                      </w:pPr>
                      <w:r>
                        <w:t>Czynniki kontekstualne (np. zaufanie między aktorami)</w:t>
                      </w:r>
                    </w:p>
                  </w:txbxContent>
                </v:textbox>
              </v:rect>
            </w:pict>
          </mc:Fallback>
        </mc:AlternateContent>
      </w:r>
    </w:p>
    <w:p w14:paraId="2F37E8BC" w14:textId="77777777" w:rsidR="008D28A7" w:rsidRPr="00DB6AED" w:rsidRDefault="008D28A7" w:rsidP="008D28A7">
      <w:pPr>
        <w:rPr>
          <w:lang w:val="en-US"/>
        </w:rPr>
      </w:pPr>
    </w:p>
    <w:p w14:paraId="0EE842FA" w14:textId="77777777" w:rsidR="008D28A7" w:rsidRPr="00DB6AED" w:rsidRDefault="008D28A7" w:rsidP="008D28A7">
      <w:pPr>
        <w:rPr>
          <w:lang w:val="en-US"/>
        </w:rPr>
      </w:pPr>
    </w:p>
    <w:p w14:paraId="7F5E19A7" w14:textId="77777777" w:rsidR="008D28A7" w:rsidRPr="00DB6AED" w:rsidRDefault="008D28A7" w:rsidP="008D28A7">
      <w:pPr>
        <w:rPr>
          <w:lang w:val="en-US"/>
        </w:rPr>
      </w:pPr>
    </w:p>
    <w:p w14:paraId="580B1BA5" w14:textId="77777777" w:rsidR="008D28A7" w:rsidRPr="00DB6AED" w:rsidRDefault="008D28A7" w:rsidP="008D28A7">
      <w:pPr>
        <w:tabs>
          <w:tab w:val="left" w:pos="2366"/>
        </w:tabs>
        <w:rPr>
          <w:rFonts w:ascii="Times New Roman" w:hAnsi="Times New Roman" w:cs="Times New Roman"/>
          <w:i/>
          <w:iCs/>
          <w:lang w:val="en-US"/>
        </w:rPr>
      </w:pPr>
      <w:r w:rsidRPr="00DB6AED">
        <w:rPr>
          <w:rFonts w:ascii="Times New Roman" w:hAnsi="Times New Roman" w:cs="Times New Roman"/>
          <w:i/>
          <w:iCs/>
          <w:lang w:val="en-US"/>
        </w:rPr>
        <w:t xml:space="preserve">Źródło: opracowanie własne na podstawie: </w:t>
      </w:r>
      <w:bookmarkStart w:id="0" w:name="_Hlk181701709"/>
      <w:r w:rsidRPr="00DB6AED">
        <w:rPr>
          <w:rFonts w:ascii="Times New Roman" w:hAnsi="Times New Roman" w:cs="Times New Roman"/>
          <w:i/>
          <w:iCs/>
          <w:lang w:val="en-US"/>
        </w:rPr>
        <w:t>Garland CG., Beach D. (2023), Theorizing how interventions work in evaluation: Process-trading methods and theorizing process theories of change, Evaluation, 29(4), 1-20.</w:t>
      </w:r>
    </w:p>
    <w:bookmarkEnd w:id="0"/>
    <w:p w14:paraId="3D306C12" w14:textId="77777777" w:rsidR="008D28A7" w:rsidRPr="00DB6AED" w:rsidRDefault="008D28A7" w:rsidP="008D28A7">
      <w:pPr>
        <w:tabs>
          <w:tab w:val="left" w:pos="1795"/>
        </w:tabs>
        <w:rPr>
          <w:rFonts w:ascii="Times New Roman" w:hAnsi="Times New Roman" w:cs="Times New Roman"/>
          <w:lang w:val="en-US"/>
        </w:rPr>
        <w:sectPr w:rsidR="008D28A7" w:rsidRPr="00DB6AED" w:rsidSect="008D28A7">
          <w:pgSz w:w="16838" w:h="11906" w:orient="landscape"/>
          <w:pgMar w:top="1417" w:right="1417" w:bottom="1417" w:left="1417" w:header="708" w:footer="708" w:gutter="0"/>
          <w:cols w:space="708"/>
          <w:docGrid w:linePitch="360"/>
        </w:sectPr>
      </w:pPr>
      <w:r w:rsidRPr="00DB6AED">
        <w:rPr>
          <w:rFonts w:ascii="Times New Roman" w:hAnsi="Times New Roman" w:cs="Times New Roman"/>
          <w:lang w:val="en-US"/>
        </w:rPr>
        <w:tab/>
      </w:r>
    </w:p>
    <w:p w14:paraId="05AED44C" w14:textId="77777777" w:rsidR="008D28A7" w:rsidRPr="00DB6AED" w:rsidRDefault="008D28A7" w:rsidP="008D28A7">
      <w:pPr>
        <w:pStyle w:val="Akapitzlist"/>
        <w:numPr>
          <w:ilvl w:val="0"/>
          <w:numId w:val="3"/>
        </w:numPr>
        <w:tabs>
          <w:tab w:val="left" w:pos="1795"/>
        </w:tabs>
        <w:ind w:left="567" w:hanging="567"/>
        <w:jc w:val="both"/>
        <w:rPr>
          <w:rFonts w:ascii="Times New Roman" w:hAnsi="Times New Roman" w:cs="Times New Roman"/>
          <w:sz w:val="28"/>
          <w:szCs w:val="28"/>
        </w:rPr>
      </w:pPr>
      <w:r w:rsidRPr="00DB6AED">
        <w:rPr>
          <w:rFonts w:ascii="Times New Roman" w:hAnsi="Times New Roman" w:cs="Times New Roman"/>
          <w:sz w:val="28"/>
          <w:szCs w:val="28"/>
        </w:rPr>
        <w:lastRenderedPageBreak/>
        <w:t>Należy explicite opisać prawdopodobny kontekst, w którym pToC będzie stosowana.</w:t>
      </w:r>
    </w:p>
    <w:p w14:paraId="1F130E5A" w14:textId="77777777" w:rsidR="008D28A7" w:rsidRPr="00DB6AED" w:rsidRDefault="008D28A7" w:rsidP="008D28A7">
      <w:pPr>
        <w:pStyle w:val="Akapitzlist"/>
        <w:numPr>
          <w:ilvl w:val="0"/>
          <w:numId w:val="3"/>
        </w:numPr>
        <w:tabs>
          <w:tab w:val="left" w:pos="1795"/>
        </w:tabs>
        <w:ind w:left="567" w:hanging="567"/>
        <w:jc w:val="both"/>
        <w:rPr>
          <w:rFonts w:ascii="Times New Roman" w:hAnsi="Times New Roman" w:cs="Times New Roman"/>
          <w:sz w:val="28"/>
          <w:szCs w:val="28"/>
        </w:rPr>
      </w:pPr>
      <w:r w:rsidRPr="00DB6AED">
        <w:rPr>
          <w:rFonts w:ascii="Times New Roman" w:hAnsi="Times New Roman" w:cs="Times New Roman"/>
          <w:sz w:val="28"/>
          <w:szCs w:val="28"/>
        </w:rPr>
        <w:t>pToC musi być tak prosta, jak to tylko będzie możliwe. To wprost implikuje posługiwanie się przez ewaluatorów maksymalnie małą liczbą epizodów/zdarzeń.</w:t>
      </w:r>
    </w:p>
    <w:p w14:paraId="391A42A6" w14:textId="77777777" w:rsidR="008D28A7" w:rsidRPr="00DB6AED" w:rsidRDefault="008D28A7" w:rsidP="008D28A7">
      <w:pPr>
        <w:tabs>
          <w:tab w:val="left" w:pos="709"/>
        </w:tabs>
        <w:rPr>
          <w:rFonts w:ascii="Times New Roman" w:hAnsi="Times New Roman" w:cs="Times New Roman"/>
          <w:sz w:val="28"/>
          <w:szCs w:val="28"/>
        </w:rPr>
      </w:pPr>
      <w:r w:rsidRPr="00DB6AED">
        <w:tab/>
      </w:r>
      <w:r w:rsidRPr="00DB6AED">
        <w:rPr>
          <w:rFonts w:ascii="Times New Roman" w:hAnsi="Times New Roman" w:cs="Times New Roman"/>
          <w:sz w:val="28"/>
          <w:szCs w:val="28"/>
        </w:rPr>
        <w:t>Garland i Beach (2023) proponują, żeby konstruowanie lub rekonstruowanie pToC realizować w trzech poniższych krokach:</w:t>
      </w:r>
    </w:p>
    <w:p w14:paraId="3F7BBDBC" w14:textId="77777777" w:rsidR="008D28A7" w:rsidRPr="00DB6AED" w:rsidRDefault="008D28A7" w:rsidP="008D28A7">
      <w:pPr>
        <w:pStyle w:val="Akapitzlist"/>
        <w:numPr>
          <w:ilvl w:val="0"/>
          <w:numId w:val="4"/>
        </w:numPr>
        <w:tabs>
          <w:tab w:val="left" w:pos="1175"/>
        </w:tabs>
        <w:jc w:val="both"/>
        <w:rPr>
          <w:rFonts w:ascii="Times New Roman" w:hAnsi="Times New Roman" w:cs="Times New Roman"/>
          <w:sz w:val="28"/>
          <w:szCs w:val="28"/>
        </w:rPr>
      </w:pPr>
      <w:r w:rsidRPr="00DB6AED">
        <w:rPr>
          <w:rFonts w:ascii="Times New Roman" w:hAnsi="Times New Roman" w:cs="Times New Roman"/>
          <w:sz w:val="28"/>
          <w:szCs w:val="28"/>
        </w:rPr>
        <w:t>Zdefiniowanie interwencji i jej potencjalnych rezultatów (</w:t>
      </w:r>
      <w:r w:rsidRPr="00DB6AED">
        <w:rPr>
          <w:rFonts w:ascii="Times New Roman" w:hAnsi="Times New Roman" w:cs="Times New Roman"/>
          <w:i/>
          <w:iCs/>
          <w:sz w:val="28"/>
          <w:szCs w:val="28"/>
        </w:rPr>
        <w:t>oucomes</w:t>
      </w:r>
      <w:r w:rsidRPr="00DB6AED">
        <w:rPr>
          <w:rFonts w:ascii="Times New Roman" w:hAnsi="Times New Roman" w:cs="Times New Roman"/>
          <w:sz w:val="28"/>
          <w:szCs w:val="28"/>
        </w:rPr>
        <w:t>).</w:t>
      </w:r>
    </w:p>
    <w:p w14:paraId="092AB090" w14:textId="77777777" w:rsidR="008D28A7" w:rsidRPr="00DB6AED" w:rsidRDefault="008D28A7" w:rsidP="008D28A7">
      <w:pPr>
        <w:pStyle w:val="Akapitzlist"/>
        <w:numPr>
          <w:ilvl w:val="0"/>
          <w:numId w:val="4"/>
        </w:numPr>
        <w:tabs>
          <w:tab w:val="left" w:pos="1175"/>
        </w:tabs>
        <w:jc w:val="both"/>
        <w:rPr>
          <w:rFonts w:ascii="Times New Roman" w:hAnsi="Times New Roman" w:cs="Times New Roman"/>
          <w:sz w:val="28"/>
          <w:szCs w:val="28"/>
        </w:rPr>
      </w:pPr>
      <w:r w:rsidRPr="00DB6AED">
        <w:rPr>
          <w:rFonts w:ascii="Times New Roman" w:hAnsi="Times New Roman" w:cs="Times New Roman"/>
          <w:sz w:val="28"/>
          <w:szCs w:val="28"/>
        </w:rPr>
        <w:t>Zidentyfikowanie potencjalnych ścieżek prowadzących do rezultatów.</w:t>
      </w:r>
    </w:p>
    <w:p w14:paraId="45C440EE" w14:textId="77777777" w:rsidR="008D28A7" w:rsidRPr="00DB6AED" w:rsidRDefault="008D28A7" w:rsidP="008D28A7">
      <w:pPr>
        <w:pStyle w:val="Akapitzlist"/>
        <w:numPr>
          <w:ilvl w:val="0"/>
          <w:numId w:val="4"/>
        </w:numPr>
        <w:tabs>
          <w:tab w:val="left" w:pos="1175"/>
        </w:tabs>
        <w:jc w:val="both"/>
        <w:rPr>
          <w:rFonts w:ascii="Times New Roman" w:hAnsi="Times New Roman" w:cs="Times New Roman"/>
          <w:sz w:val="28"/>
          <w:szCs w:val="28"/>
        </w:rPr>
      </w:pPr>
      <w:r w:rsidRPr="00DB6AED">
        <w:rPr>
          <w:rFonts w:ascii="Times New Roman" w:hAnsi="Times New Roman" w:cs="Times New Roman"/>
          <w:sz w:val="28"/>
          <w:szCs w:val="28"/>
        </w:rPr>
        <w:t>Zdekomponowanie ścieżek w epizody prowadzące do bardziej zdezagregowanej pToC.</w:t>
      </w:r>
    </w:p>
    <w:p w14:paraId="14FBC248" w14:textId="77777777" w:rsidR="008D28A7" w:rsidRPr="00DB6AED" w:rsidRDefault="008D28A7" w:rsidP="008D28A7">
      <w:pPr>
        <w:tabs>
          <w:tab w:val="left" w:pos="851"/>
        </w:tabs>
        <w:ind w:firstLine="720"/>
        <w:jc w:val="both"/>
        <w:rPr>
          <w:rFonts w:ascii="Times New Roman" w:hAnsi="Times New Roman" w:cs="Times New Roman"/>
          <w:sz w:val="28"/>
          <w:szCs w:val="28"/>
        </w:rPr>
      </w:pPr>
      <w:r w:rsidRPr="00DB6AED">
        <w:rPr>
          <w:rFonts w:ascii="Times New Roman" w:hAnsi="Times New Roman" w:cs="Times New Roman"/>
          <w:sz w:val="28"/>
          <w:szCs w:val="28"/>
        </w:rPr>
        <w:t>Wyniki (</w:t>
      </w:r>
      <w:r w:rsidRPr="00DB6AED">
        <w:rPr>
          <w:rFonts w:ascii="Times New Roman" w:hAnsi="Times New Roman" w:cs="Times New Roman"/>
          <w:i/>
          <w:iCs/>
          <w:sz w:val="28"/>
          <w:szCs w:val="28"/>
        </w:rPr>
        <w:t>outomes</w:t>
      </w:r>
      <w:r w:rsidRPr="00DB6AED">
        <w:rPr>
          <w:rFonts w:ascii="Times New Roman" w:hAnsi="Times New Roman" w:cs="Times New Roman"/>
          <w:sz w:val="28"/>
          <w:szCs w:val="28"/>
        </w:rPr>
        <w:t>) w kroku pierwszym najlepiej jest ujmować w kontekście barier i wyzwań występujących w danej interwencji. Wtedy sama pToC powinna służyć do sformułowania metod i narzędzi do ich pokonania. Rzecz jasna, i interwencja, i wyniki muszą mieć charakter kategorii realistycznych, wiarygodnych, pożądanych i jednoznacznych, i maksymalnie ścisłych. Wyniki należy określić już na początku interwencji albo na zasadzie analizy istniejących źródeł (</w:t>
      </w:r>
      <w:r w:rsidRPr="00DB6AED">
        <w:rPr>
          <w:rFonts w:ascii="Times New Roman" w:hAnsi="Times New Roman" w:cs="Times New Roman"/>
          <w:i/>
          <w:iCs/>
          <w:sz w:val="28"/>
          <w:szCs w:val="28"/>
        </w:rPr>
        <w:t>desk research</w:t>
      </w:r>
      <w:r w:rsidRPr="00DB6AED">
        <w:rPr>
          <w:rFonts w:ascii="Times New Roman" w:hAnsi="Times New Roman" w:cs="Times New Roman"/>
          <w:sz w:val="28"/>
          <w:szCs w:val="28"/>
        </w:rPr>
        <w:t>), albo w formie współpracy ewaluatorów z głównymi interesariuszami. Wyniki i interwencje bardzo dobrze jest przy tym zsyntetyzować w postaci map i łańcuchów zależności przyczynowo-skutkowych. Oczywiście, wybór metody prezentacji graficznej wprost zależy od typu ewolucji oraz od złożoności interwencji. Integralnym składnikiem tej części postępowania powinna być konstrukcja mechanizmów, dzięki którym interwencja prowadzić będzie do zakładanych wyników, oraz identyfikacji innych możliwości ich uzyskania.</w:t>
      </w:r>
    </w:p>
    <w:p w14:paraId="1958F324" w14:textId="77777777" w:rsidR="008D28A7" w:rsidRPr="00DB6AED" w:rsidRDefault="008D28A7" w:rsidP="008D28A7">
      <w:pPr>
        <w:tabs>
          <w:tab w:val="left" w:pos="851"/>
        </w:tabs>
        <w:ind w:firstLine="720"/>
        <w:jc w:val="both"/>
        <w:rPr>
          <w:rFonts w:ascii="Times New Roman" w:hAnsi="Times New Roman" w:cs="Times New Roman"/>
          <w:sz w:val="28"/>
          <w:szCs w:val="28"/>
        </w:rPr>
      </w:pPr>
      <w:r w:rsidRPr="00DB6AED">
        <w:rPr>
          <w:rFonts w:ascii="Times New Roman" w:hAnsi="Times New Roman" w:cs="Times New Roman"/>
          <w:sz w:val="28"/>
          <w:szCs w:val="28"/>
        </w:rPr>
        <w:t>Krok drugi w istocie koncentruje się głównie na barierach i wyzwaniach stojących przed skutecznym wdrożeniem interwencji. Sprawą oczywistą jest to, że w rzeczywistości istnieje wiele ścieżek radzenia sobie z utrudnieniami. Trzeba zatem sięgnąć do istniejącego na ten temat piśmiennictwa. W razie jego braku ewaluator sam musi skonstruować metodę, najlepiej przypominającą teoretyczną burzę mózgów. W ten sposób powinien on dotrzeć do drzewa ścieżek prowadzących do założonych wyników i wybrać tą, która w danym kontekście wydaje się najbardziej realistyczną i wiarygodną.</w:t>
      </w:r>
    </w:p>
    <w:p w14:paraId="04745B49" w14:textId="77777777" w:rsidR="008D28A7" w:rsidRPr="00DB6AED" w:rsidRDefault="008D28A7" w:rsidP="008D28A7">
      <w:pPr>
        <w:tabs>
          <w:tab w:val="left" w:pos="851"/>
        </w:tabs>
        <w:ind w:firstLine="720"/>
        <w:jc w:val="both"/>
        <w:rPr>
          <w:rFonts w:ascii="Times New Roman" w:hAnsi="Times New Roman" w:cs="Times New Roman"/>
          <w:sz w:val="28"/>
          <w:szCs w:val="28"/>
        </w:rPr>
      </w:pPr>
      <w:r w:rsidRPr="00DB6AED">
        <w:rPr>
          <w:rFonts w:ascii="Times New Roman" w:hAnsi="Times New Roman" w:cs="Times New Roman"/>
          <w:sz w:val="28"/>
          <w:szCs w:val="28"/>
        </w:rPr>
        <w:t xml:space="preserve">W kroku trzecim ewaluator powinien zająć się kwestią zdezagregowania epizodów/zdarzeń, które w sposób szczegółowy, jak w konwencji zależności przyczynowo-skutkowych, należy tak sekwencjonować, żeby poprzez wyniki </w:t>
      </w:r>
      <w:r w:rsidRPr="00DB6AED">
        <w:rPr>
          <w:rFonts w:ascii="Times New Roman" w:hAnsi="Times New Roman" w:cs="Times New Roman"/>
          <w:sz w:val="28"/>
          <w:szCs w:val="28"/>
        </w:rPr>
        <w:lastRenderedPageBreak/>
        <w:t>pośrednie i produkty uzyskać rezultaty końcowe (</w:t>
      </w:r>
      <w:r w:rsidRPr="00DB6AED">
        <w:rPr>
          <w:rFonts w:ascii="Times New Roman" w:hAnsi="Times New Roman" w:cs="Times New Roman"/>
          <w:i/>
          <w:iCs/>
          <w:sz w:val="28"/>
          <w:szCs w:val="28"/>
        </w:rPr>
        <w:t>outcomes</w:t>
      </w:r>
      <w:r w:rsidRPr="00DB6AED">
        <w:rPr>
          <w:rFonts w:ascii="Times New Roman" w:hAnsi="Times New Roman" w:cs="Times New Roman"/>
          <w:sz w:val="28"/>
          <w:szCs w:val="28"/>
        </w:rPr>
        <w:t>). W praktyce należy stworzyć unikatową kombinację:</w:t>
      </w:r>
    </w:p>
    <w:p w14:paraId="7EDEC3A0" w14:textId="77777777" w:rsidR="008D28A7" w:rsidRPr="00DB6AED" w:rsidRDefault="008D28A7" w:rsidP="008D28A7">
      <w:pPr>
        <w:pStyle w:val="Akapitzlist"/>
        <w:numPr>
          <w:ilvl w:val="0"/>
          <w:numId w:val="5"/>
        </w:numPr>
        <w:tabs>
          <w:tab w:val="left" w:pos="851"/>
        </w:tabs>
        <w:ind w:left="567" w:hanging="567"/>
        <w:jc w:val="both"/>
        <w:rPr>
          <w:rFonts w:ascii="Times New Roman" w:hAnsi="Times New Roman" w:cs="Times New Roman"/>
          <w:sz w:val="28"/>
          <w:szCs w:val="28"/>
        </w:rPr>
      </w:pPr>
      <w:r w:rsidRPr="00DB6AED">
        <w:rPr>
          <w:rFonts w:ascii="Times New Roman" w:hAnsi="Times New Roman" w:cs="Times New Roman"/>
          <w:sz w:val="28"/>
          <w:szCs w:val="28"/>
        </w:rPr>
        <w:t>wyników otrzymywanych w odpowiednio zaprojektowanych badaniach terenowych;</w:t>
      </w:r>
    </w:p>
    <w:p w14:paraId="4303D599" w14:textId="77777777" w:rsidR="008D28A7" w:rsidRPr="00DB6AED" w:rsidRDefault="008D28A7" w:rsidP="008D28A7">
      <w:pPr>
        <w:pStyle w:val="Akapitzlist"/>
        <w:numPr>
          <w:ilvl w:val="0"/>
          <w:numId w:val="5"/>
        </w:numPr>
        <w:tabs>
          <w:tab w:val="left" w:pos="851"/>
        </w:tabs>
        <w:ind w:left="567" w:hanging="567"/>
        <w:jc w:val="both"/>
        <w:rPr>
          <w:rFonts w:ascii="Times New Roman" w:hAnsi="Times New Roman" w:cs="Times New Roman"/>
          <w:sz w:val="28"/>
          <w:szCs w:val="28"/>
        </w:rPr>
      </w:pPr>
      <w:r w:rsidRPr="00DB6AED">
        <w:rPr>
          <w:rFonts w:ascii="Times New Roman" w:hAnsi="Times New Roman" w:cs="Times New Roman"/>
          <w:sz w:val="28"/>
          <w:szCs w:val="28"/>
        </w:rPr>
        <w:t>przykładów udanych i nieudanych wdrożeń takich samych lub bardzo podobnych interwencji udokumentowanych w przedmiotowym piśmiennictwie;</w:t>
      </w:r>
    </w:p>
    <w:p w14:paraId="05262DD2" w14:textId="77777777" w:rsidR="008D28A7" w:rsidRPr="00DB6AED" w:rsidRDefault="008D28A7" w:rsidP="008D28A7">
      <w:pPr>
        <w:pStyle w:val="Akapitzlist"/>
        <w:numPr>
          <w:ilvl w:val="0"/>
          <w:numId w:val="5"/>
        </w:numPr>
        <w:tabs>
          <w:tab w:val="left" w:pos="851"/>
        </w:tabs>
        <w:ind w:left="567" w:hanging="567"/>
        <w:jc w:val="both"/>
        <w:rPr>
          <w:rFonts w:ascii="Times New Roman" w:hAnsi="Times New Roman" w:cs="Times New Roman"/>
          <w:sz w:val="28"/>
          <w:szCs w:val="28"/>
        </w:rPr>
      </w:pPr>
      <w:r w:rsidRPr="00DB6AED">
        <w:rPr>
          <w:rFonts w:ascii="Times New Roman" w:hAnsi="Times New Roman" w:cs="Times New Roman"/>
          <w:sz w:val="28"/>
          <w:szCs w:val="28"/>
        </w:rPr>
        <w:t>eksperymentów zbliżonych do burzy mózgów.</w:t>
      </w:r>
    </w:p>
    <w:p w14:paraId="24B87F99" w14:textId="77777777" w:rsidR="008D28A7" w:rsidRPr="00DB6AED" w:rsidRDefault="008D28A7" w:rsidP="008D28A7">
      <w:pPr>
        <w:ind w:firstLine="708"/>
        <w:jc w:val="both"/>
        <w:rPr>
          <w:rFonts w:ascii="Times New Roman" w:hAnsi="Times New Roman" w:cs="Times New Roman"/>
          <w:sz w:val="28"/>
          <w:szCs w:val="28"/>
        </w:rPr>
      </w:pPr>
      <w:r w:rsidRPr="00DB6AED">
        <w:rPr>
          <w:rFonts w:ascii="Times New Roman" w:hAnsi="Times New Roman" w:cs="Times New Roman"/>
          <w:sz w:val="28"/>
          <w:szCs w:val="28"/>
        </w:rPr>
        <w:t>Jak to piszą Garland i Beach (2023), pToC nigdy nie będzie doskonałą reprezentacją tego, co się już zdarzyło i tego, co może się zdarzyć w przyszłości, bo zawsze będzie uproszczeniem rzeczywistości, gdyż jest tylko modelem. Jak zawsze, trzeba tu również znaleźć równowagę między prostotą modelu a precyzją opisu związków przyczynowo-skutkowych i mechanizmów rządzących konkretną interwencją. Musimy także pamiętać i o tym, że pToC jest relatywnie nową koncepcją, która wciąż czeka na empiryczne potwierdzenie słuszności przyjmowanych założeń teoretycznych i skuteczności praktycznej.</w:t>
      </w:r>
    </w:p>
    <w:p w14:paraId="5503CDCC" w14:textId="77777777" w:rsidR="008D28A7" w:rsidRPr="00DB6AED" w:rsidRDefault="008D28A7" w:rsidP="008D28A7">
      <w:pPr>
        <w:ind w:firstLine="708"/>
        <w:jc w:val="both"/>
        <w:rPr>
          <w:rFonts w:ascii="Times New Roman" w:hAnsi="Times New Roman" w:cs="Times New Roman"/>
          <w:sz w:val="28"/>
          <w:szCs w:val="28"/>
        </w:rPr>
      </w:pPr>
      <w:r w:rsidRPr="00DB6AED">
        <w:rPr>
          <w:rFonts w:ascii="Times New Roman" w:hAnsi="Times New Roman" w:cs="Times New Roman"/>
          <w:sz w:val="28"/>
          <w:szCs w:val="28"/>
        </w:rPr>
        <w:t>The contribution analysis (CA) może być podstawą konstruowania jeszcze innej teorii zmiany, a mianowicie COM-B ToC. Tą ostatnią zaproponował J. Mayne jako rozwinięcie teorii zmiany przedstawionej na rysunku 2. Dosyć wyraźnie różni się ona od ujęć, w których mamy liniową sekwencję zależności przyczynowo-skutkowych. Pojawiają się tu pętle sprzężeń zwrotnych, nieliniowości, wyniki pośrednie i bezpośrednie oraz aktywności wspierające, które mogą być opisywane za pomocą oddzielnych teorii zmiany. Całość konstrukcji opiera się natomiast  na dwóch założeniach:</w:t>
      </w:r>
    </w:p>
    <w:p w14:paraId="0DFAF450" w14:textId="77777777" w:rsidR="008D28A7" w:rsidRPr="00DB6AED" w:rsidRDefault="008D28A7" w:rsidP="008D28A7">
      <w:pPr>
        <w:pStyle w:val="Akapitzlist"/>
        <w:numPr>
          <w:ilvl w:val="0"/>
          <w:numId w:val="6"/>
        </w:numPr>
        <w:ind w:left="426" w:hanging="426"/>
        <w:jc w:val="both"/>
        <w:rPr>
          <w:rFonts w:ascii="Times New Roman" w:hAnsi="Times New Roman" w:cs="Times New Roman"/>
          <w:sz w:val="28"/>
          <w:szCs w:val="28"/>
        </w:rPr>
      </w:pPr>
      <w:r w:rsidRPr="00DB6AED">
        <w:rPr>
          <w:rFonts w:ascii="Times New Roman" w:hAnsi="Times New Roman" w:cs="Times New Roman"/>
          <w:sz w:val="28"/>
          <w:szCs w:val="28"/>
        </w:rPr>
        <w:t xml:space="preserve">Ogniwie przyczyna-efekt, które występuje między jednym a drugim rezultatem, ale też między aktywnościami i rezultatami. </w:t>
      </w:r>
    </w:p>
    <w:p w14:paraId="6F7B556F" w14:textId="77777777" w:rsidR="008D28A7" w:rsidRPr="00DB6AED" w:rsidRDefault="008D28A7" w:rsidP="008D28A7">
      <w:pPr>
        <w:pStyle w:val="Akapitzlist"/>
        <w:numPr>
          <w:ilvl w:val="0"/>
          <w:numId w:val="6"/>
        </w:numPr>
        <w:ind w:left="426" w:hanging="426"/>
        <w:jc w:val="both"/>
        <w:rPr>
          <w:rFonts w:ascii="Times New Roman" w:hAnsi="Times New Roman" w:cs="Times New Roman"/>
          <w:sz w:val="28"/>
          <w:szCs w:val="28"/>
        </w:rPr>
      </w:pPr>
      <w:r w:rsidRPr="00DB6AED">
        <w:rPr>
          <w:rFonts w:ascii="Times New Roman" w:hAnsi="Times New Roman" w:cs="Times New Roman"/>
          <w:sz w:val="28"/>
          <w:szCs w:val="28"/>
        </w:rPr>
        <w:t>Więzi przyczynowej. Informuje ona o warunkach, które są niezbędne do tego, żeby ona rzeczywiście się pojawiła (Mayne, 2013).</w:t>
      </w:r>
    </w:p>
    <w:p w14:paraId="69898240" w14:textId="77777777" w:rsidR="008D28A7" w:rsidRPr="00DB6AED" w:rsidRDefault="008D28A7" w:rsidP="008D28A7">
      <w:pPr>
        <w:ind w:firstLine="708"/>
        <w:jc w:val="both"/>
        <w:rPr>
          <w:rFonts w:ascii="Times New Roman" w:hAnsi="Times New Roman" w:cs="Times New Roman"/>
          <w:sz w:val="28"/>
          <w:szCs w:val="28"/>
        </w:rPr>
      </w:pPr>
      <w:r w:rsidRPr="00DB6AED">
        <w:rPr>
          <w:rFonts w:ascii="Times New Roman" w:hAnsi="Times New Roman" w:cs="Times New Roman"/>
          <w:sz w:val="28"/>
          <w:szCs w:val="28"/>
        </w:rPr>
        <w:t>COM-B ToC jest pochodną obserwacji empirycznych, które pokazały, że praktycznie każda interwencja wiąże się ze zmianą zachowań kluczowych jej aktorów (Mayne, 2019). Sam zaś model COM-B do nauk społecznych wprowadzili Michie, Atkins i West (2014), przy czym przez B oznaczyli oni zachowanie, które jest wypadkową interakcji między zdolnościami/kompetencjami (C) a możliwościami (M). Charakterystykę COM-B ToC zaprezentowano z kolei na rysunku 3.</w:t>
      </w:r>
    </w:p>
    <w:p w14:paraId="5B56C610" w14:textId="77777777" w:rsidR="008D28A7" w:rsidRPr="00DB6AED" w:rsidRDefault="008D28A7" w:rsidP="008D28A7">
      <w:pPr>
        <w:rPr>
          <w:rFonts w:ascii="Times New Roman" w:hAnsi="Times New Roman" w:cs="Times New Roman"/>
          <w:sz w:val="28"/>
          <w:szCs w:val="28"/>
        </w:rPr>
      </w:pPr>
    </w:p>
    <w:p w14:paraId="2AF93479" w14:textId="77777777" w:rsidR="008D28A7" w:rsidRPr="00DB6AED" w:rsidRDefault="008D28A7" w:rsidP="008D28A7">
      <w:pPr>
        <w:rPr>
          <w:rFonts w:ascii="Times New Roman" w:hAnsi="Times New Roman" w:cs="Times New Roman"/>
          <w:sz w:val="28"/>
          <w:szCs w:val="28"/>
        </w:rPr>
        <w:sectPr w:rsidR="008D28A7" w:rsidRPr="00DB6AED" w:rsidSect="008D28A7">
          <w:pgSz w:w="11906" w:h="16838"/>
          <w:pgMar w:top="1417" w:right="1417" w:bottom="1417" w:left="1417" w:header="708" w:footer="708" w:gutter="0"/>
          <w:cols w:space="708"/>
          <w:docGrid w:linePitch="360"/>
        </w:sectPr>
      </w:pPr>
    </w:p>
    <w:bookmarkStart w:id="1" w:name="_Hlk181621945"/>
    <w:p w14:paraId="355EC592" w14:textId="77777777" w:rsidR="008D28A7" w:rsidRPr="00DB6AED" w:rsidRDefault="008D28A7" w:rsidP="008D28A7">
      <w:pPr>
        <w:tabs>
          <w:tab w:val="left" w:pos="1693"/>
        </w:tabs>
        <w:rPr>
          <w:rFonts w:ascii="Times New Roman" w:hAnsi="Times New Roman" w:cs="Times New Roman"/>
          <w:sz w:val="28"/>
          <w:szCs w:val="28"/>
        </w:rPr>
      </w:pPr>
      <w:r w:rsidRPr="00DB6AED">
        <w:rPr>
          <w:noProof/>
        </w:rPr>
        <w:lastRenderedPageBreak/>
        <mc:AlternateContent>
          <mc:Choice Requires="wps">
            <w:drawing>
              <wp:anchor distT="0" distB="0" distL="114300" distR="114300" simplePos="0" relativeHeight="251811840" behindDoc="0" locked="0" layoutInCell="1" allowOverlap="1" wp14:anchorId="0D66A0C5" wp14:editId="35325419">
                <wp:simplePos x="0" y="0"/>
                <wp:positionH relativeFrom="column">
                  <wp:posOffset>6532448</wp:posOffset>
                </wp:positionH>
                <wp:positionV relativeFrom="paragraph">
                  <wp:posOffset>287325</wp:posOffset>
                </wp:positionV>
                <wp:extent cx="2150669" cy="575444"/>
                <wp:effectExtent l="0" t="0" r="21590" b="15240"/>
                <wp:wrapNone/>
                <wp:docPr id="142119743" name="Pole tekstowe 23"/>
                <wp:cNvGraphicFramePr/>
                <a:graphic xmlns:a="http://schemas.openxmlformats.org/drawingml/2006/main">
                  <a:graphicData uri="http://schemas.microsoft.com/office/word/2010/wordprocessingShape">
                    <wps:wsp>
                      <wps:cNvSpPr txBox="1"/>
                      <wps:spPr>
                        <a:xfrm>
                          <a:off x="0" y="0"/>
                          <a:ext cx="2150669" cy="575444"/>
                        </a:xfrm>
                        <a:prstGeom prst="rect">
                          <a:avLst/>
                        </a:prstGeom>
                        <a:solidFill>
                          <a:sysClr val="window" lastClr="FFFFFF"/>
                        </a:solidFill>
                        <a:ln w="12700" cap="flat" cmpd="sng" algn="ctr">
                          <a:solidFill>
                            <a:srgbClr val="E97132"/>
                          </a:solidFill>
                          <a:prstDash val="solid"/>
                          <a:miter lim="800000"/>
                        </a:ln>
                        <a:effectLst/>
                      </wps:spPr>
                      <wps:txbx>
                        <w:txbxContent>
                          <w:p w14:paraId="1B5827D3" w14:textId="77777777" w:rsidR="008D28A7" w:rsidRDefault="008D28A7" w:rsidP="008D28A7">
                            <w:pPr>
                              <w:jc w:val="center"/>
                            </w:pPr>
                            <w:r>
                              <w:t>Zagnieżdżone teorie zmiany dla aktywności wspierających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6A0C5" id="_x0000_s1039" type="#_x0000_t202" style="position:absolute;margin-left:514.35pt;margin-top:22.6pt;width:169.35pt;height:45.3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" fillcolor="window" strokecolor="#e97132" strokeweight="1pt">
                <v:textbox>
                  <w:txbxContent>
                    <w:p w14:paraId="1B5827D3" w14:textId="77777777" w:rsidR="008D28A7" w:rsidRDefault="008D28A7" w:rsidP="008D28A7">
                      <w:pPr>
                        <w:jc w:val="center"/>
                      </w:pPr>
                      <w:r>
                        <w:t>Zagnieżdżone teorie zmiany dla aktywności wspierających</w:t>
                      </w:r>
                    </w:p>
                  </w:txbxContent>
                </v:textbox>
              </v:shape>
            </w:pict>
          </mc:Fallback>
        </mc:AlternateContent>
      </w:r>
      <w:r w:rsidRPr="00DB6AED">
        <w:rPr>
          <w:noProof/>
        </w:rPr>
        <mc:AlternateContent>
          <mc:Choice Requires="wps">
            <w:drawing>
              <wp:anchor distT="0" distB="0" distL="114300" distR="114300" simplePos="0" relativeHeight="251802624" behindDoc="0" locked="0" layoutInCell="1" allowOverlap="1" wp14:anchorId="66D11534" wp14:editId="7E2748B9">
                <wp:simplePos x="0" y="0"/>
                <wp:positionH relativeFrom="column">
                  <wp:posOffset>2619933</wp:posOffset>
                </wp:positionH>
                <wp:positionV relativeFrom="paragraph">
                  <wp:posOffset>287604</wp:posOffset>
                </wp:positionV>
                <wp:extent cx="848563" cy="336499"/>
                <wp:effectExtent l="0" t="0" r="27940" b="26035"/>
                <wp:wrapNone/>
                <wp:docPr id="1896613475" name="Pole tekstowe 23"/>
                <wp:cNvGraphicFramePr/>
                <a:graphic xmlns:a="http://schemas.openxmlformats.org/drawingml/2006/main">
                  <a:graphicData uri="http://schemas.microsoft.com/office/word/2010/wordprocessingShape">
                    <wps:wsp>
                      <wps:cNvSpPr txBox="1"/>
                      <wps:spPr>
                        <a:xfrm>
                          <a:off x="0" y="0"/>
                          <a:ext cx="848563" cy="336499"/>
                        </a:xfrm>
                        <a:prstGeom prst="rect">
                          <a:avLst/>
                        </a:prstGeom>
                        <a:solidFill>
                          <a:sysClr val="window" lastClr="FFFFFF"/>
                        </a:solidFill>
                        <a:ln w="12700" cap="flat" cmpd="sng" algn="ctr">
                          <a:solidFill>
                            <a:srgbClr val="E97132"/>
                          </a:solidFill>
                          <a:prstDash val="solid"/>
                          <a:miter lim="800000"/>
                        </a:ln>
                        <a:effectLst/>
                      </wps:spPr>
                      <wps:txbx>
                        <w:txbxContent>
                          <w:p w14:paraId="1FFC77F6" w14:textId="77777777" w:rsidR="008D28A7" w:rsidRDefault="008D28A7" w:rsidP="008D28A7">
                            <w:r>
                              <w:t xml:space="preserve">   Wpływ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11534" id="_x0000_s1040" type="#_x0000_t202" style="position:absolute;margin-left:206.3pt;margin-top:22.65pt;width:66.8pt;height:2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" fillcolor="window" strokecolor="#e97132" strokeweight="1pt">
                <v:textbox>
                  <w:txbxContent>
                    <w:p w14:paraId="1FFC77F6" w14:textId="77777777" w:rsidR="008D28A7" w:rsidRDefault="008D28A7" w:rsidP="008D28A7">
                      <w:r>
                        <w:t xml:space="preserve">   Wpływ</w:t>
                      </w:r>
                    </w:p>
                  </w:txbxContent>
                </v:textbox>
              </v:shape>
            </w:pict>
          </mc:Fallback>
        </mc:AlternateContent>
      </w:r>
      <w:r w:rsidRPr="00DB6AED">
        <w:rPr>
          <w:rFonts w:ascii="Times New Roman" w:hAnsi="Times New Roman" w:cs="Times New Roman"/>
        </w:rPr>
        <w:t xml:space="preserve">     </w:t>
      </w:r>
      <w:r w:rsidRPr="00DB6AED">
        <w:rPr>
          <w:rFonts w:ascii="Times New Roman" w:hAnsi="Times New Roman" w:cs="Times New Roman"/>
          <w:b/>
          <w:bCs/>
          <w:sz w:val="28"/>
          <w:szCs w:val="28"/>
        </w:rPr>
        <w:t>Rysunek 2.</w:t>
      </w:r>
      <w:r w:rsidRPr="00DB6AED">
        <w:rPr>
          <w:rFonts w:ascii="Times New Roman" w:hAnsi="Times New Roman" w:cs="Times New Roman"/>
          <w:sz w:val="28"/>
          <w:szCs w:val="28"/>
        </w:rPr>
        <w:t xml:space="preserve"> Ogólna teoria zmiany według J. Mayne’a</w:t>
      </w:r>
    </w:p>
    <w:p w14:paraId="0FCE540C" w14:textId="77777777" w:rsidR="008D28A7" w:rsidRPr="00DB6AED" w:rsidRDefault="008D28A7" w:rsidP="008D28A7">
      <w:pPr>
        <w:tabs>
          <w:tab w:val="left" w:pos="2488"/>
        </w:tabs>
      </w:pPr>
      <w:r w:rsidRPr="00DB6AED">
        <w:rPr>
          <w:noProof/>
        </w:rPr>
        <mc:AlternateContent>
          <mc:Choice Requires="wps">
            <w:drawing>
              <wp:anchor distT="0" distB="0" distL="114300" distR="114300" simplePos="0" relativeHeight="251807744" behindDoc="0" locked="0" layoutInCell="1" allowOverlap="1" wp14:anchorId="441DE36F" wp14:editId="49AAE779">
                <wp:simplePos x="0" y="0"/>
                <wp:positionH relativeFrom="column">
                  <wp:posOffset>4125429</wp:posOffset>
                </wp:positionH>
                <wp:positionV relativeFrom="paragraph">
                  <wp:posOffset>304744</wp:posOffset>
                </wp:positionV>
                <wp:extent cx="1901825" cy="724359"/>
                <wp:effectExtent l="0" t="0" r="22225" b="19050"/>
                <wp:wrapNone/>
                <wp:docPr id="240611759" name="Pole tekstowe 23"/>
                <wp:cNvGraphicFramePr/>
                <a:graphic xmlns:a="http://schemas.openxmlformats.org/drawingml/2006/main">
                  <a:graphicData uri="http://schemas.microsoft.com/office/word/2010/wordprocessingShape">
                    <wps:wsp>
                      <wps:cNvSpPr txBox="1"/>
                      <wps:spPr>
                        <a:xfrm>
                          <a:off x="0" y="0"/>
                          <a:ext cx="1901825" cy="724359"/>
                        </a:xfrm>
                        <a:prstGeom prst="rect">
                          <a:avLst/>
                        </a:prstGeom>
                        <a:solidFill>
                          <a:sysClr val="window" lastClr="FFFFFF"/>
                        </a:solidFill>
                        <a:ln w="12700" cap="flat" cmpd="sng" algn="ctr">
                          <a:solidFill>
                            <a:srgbClr val="E97132"/>
                          </a:solidFill>
                          <a:prstDash val="solid"/>
                          <a:miter lim="800000"/>
                        </a:ln>
                        <a:effectLst/>
                      </wps:spPr>
                      <wps:txbx>
                        <w:txbxContent>
                          <w:p w14:paraId="3392D596" w14:textId="77777777" w:rsidR="008D28A7" w:rsidRDefault="008D28A7" w:rsidP="008D28A7">
                            <w:pPr>
                              <w:jc w:val="center"/>
                            </w:pPr>
                            <w:r>
                              <w:t xml:space="preserve">Wpływ </w:t>
                            </w:r>
                            <w:r>
                              <w:br/>
                              <w:t xml:space="preserve">Założenia dotyczące więzi </w:t>
                            </w:r>
                            <w:bookmarkStart w:id="2" w:name="_Hlk181796830"/>
                            <w:bookmarkStart w:id="3" w:name="_Hlk181796831"/>
                            <w:r>
                              <w:t>przyczynowych</w:t>
                            </w:r>
                            <w:bookmarkEnd w:id="2"/>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DE36F" id="_x0000_s1041" type="#_x0000_t202" style="position:absolute;margin-left:324.85pt;margin-top:24pt;width:149.75pt;height:57.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" fillcolor="window" strokecolor="#e97132" strokeweight="1pt">
                <v:textbox>
                  <w:txbxContent>
                    <w:p w14:paraId="3392D596" w14:textId="77777777" w:rsidR="008D28A7" w:rsidRDefault="008D28A7" w:rsidP="008D28A7">
                      <w:pPr>
                        <w:jc w:val="center"/>
                      </w:pPr>
                      <w:r>
                        <w:t xml:space="preserve">Wpływ </w:t>
                      </w:r>
                      <w:r>
                        <w:br/>
                        <w:t xml:space="preserve">Założenia dotyczące więzi </w:t>
                      </w:r>
                      <w:bookmarkStart w:id="4" w:name="_Hlk181796830"/>
                      <w:bookmarkStart w:id="5" w:name="_Hlk181796831"/>
                      <w:r>
                        <w:t>przyczynowych</w:t>
                      </w:r>
                      <w:bookmarkEnd w:id="4"/>
                      <w:bookmarkEnd w:id="5"/>
                    </w:p>
                  </w:txbxContent>
                </v:textbox>
              </v:shape>
            </w:pict>
          </mc:Fallback>
        </mc:AlternateContent>
      </w:r>
      <w:r w:rsidRPr="00DB6AED">
        <w:rPr>
          <w:noProof/>
        </w:rPr>
        <mc:AlternateContent>
          <mc:Choice Requires="wps">
            <w:drawing>
              <wp:anchor distT="0" distB="0" distL="114300" distR="114300" simplePos="0" relativeHeight="251833344" behindDoc="0" locked="0" layoutInCell="1" allowOverlap="1" wp14:anchorId="3C7EF81B" wp14:editId="6E00F3E8">
                <wp:simplePos x="0" y="0"/>
                <wp:positionH relativeFrom="column">
                  <wp:posOffset>262712</wp:posOffset>
                </wp:positionH>
                <wp:positionV relativeFrom="paragraph">
                  <wp:posOffset>14503</wp:posOffset>
                </wp:positionV>
                <wp:extent cx="0" cy="3723437"/>
                <wp:effectExtent l="76200" t="38100" r="57150" b="10795"/>
                <wp:wrapNone/>
                <wp:docPr id="882347684" name="Łącznik prosty ze strzałką 46"/>
                <wp:cNvGraphicFramePr/>
                <a:graphic xmlns:a="http://schemas.openxmlformats.org/drawingml/2006/main">
                  <a:graphicData uri="http://schemas.microsoft.com/office/word/2010/wordprocessingShape">
                    <wps:wsp>
                      <wps:cNvCnPr/>
                      <wps:spPr>
                        <a:xfrm flipV="1">
                          <a:off x="0" y="0"/>
                          <a:ext cx="0" cy="3723437"/>
                        </a:xfrm>
                        <a:prstGeom prst="straightConnector1">
                          <a:avLst/>
                        </a:prstGeom>
                        <a:noFill/>
                        <a:ln w="22225" cap="flat" cmpd="sng" algn="ctr">
                          <a:solidFill>
                            <a:srgbClr val="156082"/>
                          </a:solidFill>
                          <a:prstDash val="solid"/>
                          <a:miter lim="800000"/>
                          <a:tailEnd type="triangle"/>
                        </a:ln>
                        <a:effectLst/>
                      </wps:spPr>
                      <wps:bodyPr/>
                    </wps:wsp>
                  </a:graphicData>
                </a:graphic>
              </wp:anchor>
            </w:drawing>
          </mc:Choice>
          <mc:Fallback>
            <w:pict>
              <v:shapetype w14:anchorId="1953AE00" id="_x0000_t32" coordsize="21600,21600" o:spt="32" o:oned="t" path="m,l21600,21600e" filled="f">
                <v:path arrowok="t" fillok="f" o:connecttype="none"/>
                <o:lock v:ext="edit" shapetype="t"/>
              </v:shapetype>
              <v:shape id="Łącznik prosty ze strzałką 46" o:spid="_x0000_s1026" type="#_x0000_t32" style="position:absolute;margin-left:20.7pt;margin-top:1.15pt;width:0;height:293.2pt;flip:y;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" strokecolor="#156082" strokeweight="1.75pt">
                <v:stroke endarrow="block" joinstyle="miter"/>
              </v:shape>
            </w:pict>
          </mc:Fallback>
        </mc:AlternateContent>
      </w:r>
      <w:r w:rsidRPr="00DB6AED">
        <w:rPr>
          <w:noProof/>
        </w:rPr>
        <mc:AlternateContent>
          <mc:Choice Requires="wps">
            <w:drawing>
              <wp:anchor distT="0" distB="0" distL="114300" distR="114300" simplePos="0" relativeHeight="251800576" behindDoc="0" locked="0" layoutInCell="1" allowOverlap="1" wp14:anchorId="3599EBCA" wp14:editId="6CF77C6C">
                <wp:simplePos x="0" y="0"/>
                <wp:positionH relativeFrom="column">
                  <wp:posOffset>468173</wp:posOffset>
                </wp:positionH>
                <wp:positionV relativeFrom="paragraph">
                  <wp:posOffset>101778</wp:posOffset>
                </wp:positionV>
                <wp:extent cx="1228953" cy="614476"/>
                <wp:effectExtent l="0" t="0" r="28575" b="14605"/>
                <wp:wrapNone/>
                <wp:docPr id="1843087394" name="Pole tekstowe 23"/>
                <wp:cNvGraphicFramePr/>
                <a:graphic xmlns:a="http://schemas.openxmlformats.org/drawingml/2006/main">
                  <a:graphicData uri="http://schemas.microsoft.com/office/word/2010/wordprocessingShape">
                    <wps:wsp>
                      <wps:cNvSpPr txBox="1"/>
                      <wps:spPr>
                        <a:xfrm>
                          <a:off x="0" y="0"/>
                          <a:ext cx="1228953" cy="614476"/>
                        </a:xfrm>
                        <a:prstGeom prst="rect">
                          <a:avLst/>
                        </a:prstGeom>
                        <a:solidFill>
                          <a:sysClr val="window" lastClr="FFFFFF"/>
                        </a:solidFill>
                        <a:ln w="12700" cap="flat" cmpd="sng" algn="ctr">
                          <a:solidFill>
                            <a:srgbClr val="E97132"/>
                          </a:solidFill>
                          <a:prstDash val="solid"/>
                          <a:miter lim="800000"/>
                        </a:ln>
                        <a:effectLst/>
                      </wps:spPr>
                      <wps:txbx>
                        <w:txbxContent>
                          <w:p w14:paraId="23189E55" w14:textId="77777777" w:rsidR="008D28A7" w:rsidRDefault="008D28A7" w:rsidP="008D28A7">
                            <w:pPr>
                              <w:jc w:val="center"/>
                            </w:pPr>
                            <w:r>
                              <w:t xml:space="preserve">Efekty </w:t>
                            </w:r>
                            <w:r>
                              <w:br/>
                              <w:t>niezamierzone</w:t>
                            </w:r>
                          </w:p>
                          <w:p w14:paraId="027ED742" w14:textId="77777777" w:rsidR="008D28A7" w:rsidRDefault="008D28A7" w:rsidP="008D28A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9EBCA" id="_x0000_s1042" type="#_x0000_t202" style="position:absolute;margin-left:36.85pt;margin-top:8pt;width:96.75pt;height:48.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" fillcolor="window" strokecolor="#e97132" strokeweight="1pt">
                <v:textbox>
                  <w:txbxContent>
                    <w:p w14:paraId="23189E55" w14:textId="77777777" w:rsidR="008D28A7" w:rsidRDefault="008D28A7" w:rsidP="008D28A7">
                      <w:pPr>
                        <w:jc w:val="center"/>
                      </w:pPr>
                      <w:r>
                        <w:t xml:space="preserve">Efekty </w:t>
                      </w:r>
                      <w:r>
                        <w:br/>
                        <w:t>niezamierzone</w:t>
                      </w:r>
                    </w:p>
                    <w:p w14:paraId="027ED742" w14:textId="77777777" w:rsidR="008D28A7" w:rsidRDefault="008D28A7" w:rsidP="008D28A7"/>
                  </w:txbxContent>
                </v:textbox>
              </v:shape>
            </w:pict>
          </mc:Fallback>
        </mc:AlternateContent>
      </w:r>
      <w:r w:rsidRPr="00DB6AED">
        <w:tab/>
      </w:r>
    </w:p>
    <w:p w14:paraId="797B1A4F"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25152" behindDoc="0" locked="0" layoutInCell="1" allowOverlap="1" wp14:anchorId="6D6D257B" wp14:editId="0F43CF68">
                <wp:simplePos x="0" y="0"/>
                <wp:positionH relativeFrom="column">
                  <wp:posOffset>3206679</wp:posOffset>
                </wp:positionH>
                <wp:positionV relativeFrom="paragraph">
                  <wp:posOffset>165659</wp:posOffset>
                </wp:positionV>
                <wp:extent cx="860547" cy="0"/>
                <wp:effectExtent l="0" t="0" r="0" b="0"/>
                <wp:wrapNone/>
                <wp:docPr id="50254282" name="Łącznik prosty 42"/>
                <wp:cNvGraphicFramePr/>
                <a:graphic xmlns:a="http://schemas.openxmlformats.org/drawingml/2006/main">
                  <a:graphicData uri="http://schemas.microsoft.com/office/word/2010/wordprocessingShape">
                    <wps:wsp>
                      <wps:cNvCnPr/>
                      <wps:spPr>
                        <a:xfrm>
                          <a:off x="0" y="0"/>
                          <a:ext cx="860547" cy="0"/>
                        </a:xfrm>
                        <a:prstGeom prst="line">
                          <a:avLst/>
                        </a:prstGeom>
                        <a:noFill/>
                        <a:ln w="22225" cap="flat" cmpd="sng" algn="ctr">
                          <a:solidFill>
                            <a:srgbClr val="156082"/>
                          </a:solidFill>
                          <a:prstDash val="dash"/>
                          <a:miter lim="800000"/>
                        </a:ln>
                        <a:effectLst/>
                      </wps:spPr>
                      <wps:bodyPr/>
                    </wps:wsp>
                  </a:graphicData>
                </a:graphic>
              </wp:anchor>
            </w:drawing>
          </mc:Choice>
          <mc:Fallback>
            <w:pict>
              <v:line w14:anchorId="60CD89BC" id="Łącznik prosty 42" o:spid="_x0000_s1026" style="position:absolute;z-index:251825152;visibility:visible;mso-wrap-style:square;mso-wrap-distance-left:9pt;mso-wrap-distance-top:0;mso-wrap-distance-right:9pt;mso-wrap-distance-bottom:0;mso-position-horizontal:absolute;mso-position-horizontal-relative:text;mso-position-vertical:absolute;mso-position-vertical-relative:text" from="252.5pt,13.05pt" to="320.2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" strokecolor="#156082" strokeweight="1.75pt">
                <v:stroke dashstyle="dash" joinstyle="miter"/>
              </v:line>
            </w:pict>
          </mc:Fallback>
        </mc:AlternateContent>
      </w:r>
      <w:r w:rsidRPr="00DB6AED">
        <w:rPr>
          <w:noProof/>
        </w:rPr>
        <mc:AlternateContent>
          <mc:Choice Requires="wps">
            <w:drawing>
              <wp:anchor distT="0" distB="0" distL="114300" distR="114300" simplePos="0" relativeHeight="251824128" behindDoc="0" locked="0" layoutInCell="1" allowOverlap="1" wp14:anchorId="377875AA" wp14:editId="2346CD08">
                <wp:simplePos x="0" y="0"/>
                <wp:positionH relativeFrom="column">
                  <wp:posOffset>2981338</wp:posOffset>
                </wp:positionH>
                <wp:positionV relativeFrom="paragraph">
                  <wp:posOffset>97498</wp:posOffset>
                </wp:positionV>
                <wp:extent cx="293014" cy="80468"/>
                <wp:effectExtent l="11113" t="26987" r="42227" b="23178"/>
                <wp:wrapNone/>
                <wp:docPr id="565831561" name="Strzałka: w prawo 39"/>
                <wp:cNvGraphicFramePr/>
                <a:graphic xmlns:a="http://schemas.openxmlformats.org/drawingml/2006/main">
                  <a:graphicData uri="http://schemas.microsoft.com/office/word/2010/wordprocessingShape">
                    <wps:wsp>
                      <wps:cNvSpPr/>
                      <wps:spPr>
                        <a:xfrm rot="16200000">
                          <a:off x="0" y="0"/>
                          <a:ext cx="293014" cy="80468"/>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6E126" id="Strzałka: w prawo 39" o:spid="_x0000_s1026" type="#_x0000_t13" style="position:absolute;margin-left:234.75pt;margin-top:7.7pt;width:23.05pt;height:6.35pt;rotation:-9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" adj="18634" fillcolor="#156082" strokecolor="#042433" strokeweight="1pt"/>
            </w:pict>
          </mc:Fallback>
        </mc:AlternateContent>
      </w:r>
      <w:r w:rsidRPr="00DB6AED">
        <w:rPr>
          <w:noProof/>
        </w:rPr>
        <mc:AlternateContent>
          <mc:Choice Requires="wps">
            <w:drawing>
              <wp:anchor distT="0" distB="0" distL="114300" distR="114300" simplePos="0" relativeHeight="251803648" behindDoc="0" locked="0" layoutInCell="1" allowOverlap="1" wp14:anchorId="6E347050" wp14:editId="6CC5A70B">
                <wp:simplePos x="0" y="0"/>
                <wp:positionH relativeFrom="column">
                  <wp:posOffset>2472029</wp:posOffset>
                </wp:positionH>
                <wp:positionV relativeFrom="paragraph">
                  <wp:posOffset>318745</wp:posOffset>
                </wp:positionV>
                <wp:extent cx="1140688" cy="548640"/>
                <wp:effectExtent l="0" t="0" r="21590" b="22860"/>
                <wp:wrapNone/>
                <wp:docPr id="837020252" name="Pole tekstowe 23"/>
                <wp:cNvGraphicFramePr/>
                <a:graphic xmlns:a="http://schemas.openxmlformats.org/drawingml/2006/main">
                  <a:graphicData uri="http://schemas.microsoft.com/office/word/2010/wordprocessingShape">
                    <wps:wsp>
                      <wps:cNvSpPr txBox="1"/>
                      <wps:spPr>
                        <a:xfrm>
                          <a:off x="0" y="0"/>
                          <a:ext cx="1140688" cy="548640"/>
                        </a:xfrm>
                        <a:prstGeom prst="rect">
                          <a:avLst/>
                        </a:prstGeom>
                        <a:solidFill>
                          <a:sysClr val="window" lastClr="FFFFFF"/>
                        </a:solidFill>
                        <a:ln w="12700" cap="flat" cmpd="sng" algn="ctr">
                          <a:solidFill>
                            <a:srgbClr val="E97132"/>
                          </a:solidFill>
                          <a:prstDash val="solid"/>
                          <a:miter lim="800000"/>
                        </a:ln>
                        <a:effectLst/>
                      </wps:spPr>
                      <wps:txbx>
                        <w:txbxContent>
                          <w:p w14:paraId="5714B12D" w14:textId="77777777" w:rsidR="008D28A7" w:rsidRDefault="008D28A7" w:rsidP="008D28A7">
                            <w:pPr>
                              <w:jc w:val="center"/>
                            </w:pPr>
                            <w:r>
                              <w:t xml:space="preserve">Wyniki </w:t>
                            </w:r>
                            <w:r>
                              <w:br/>
                              <w:t>pośrednie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47050" id="_x0000_s1043" type="#_x0000_t202" style="position:absolute;margin-left:194.65pt;margin-top:25.1pt;width:89.8pt;height:43.2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" fillcolor="window" strokecolor="#e97132" strokeweight="1pt">
                <v:textbox>
                  <w:txbxContent>
                    <w:p w14:paraId="5714B12D" w14:textId="77777777" w:rsidR="008D28A7" w:rsidRDefault="008D28A7" w:rsidP="008D28A7">
                      <w:pPr>
                        <w:jc w:val="center"/>
                      </w:pPr>
                      <w:r>
                        <w:t xml:space="preserve">Wyniki </w:t>
                      </w:r>
                      <w:r>
                        <w:br/>
                        <w:t>pośrednie</w:t>
                      </w:r>
                    </w:p>
                  </w:txbxContent>
                </v:textbox>
              </v:shape>
            </w:pict>
          </mc:Fallback>
        </mc:AlternateContent>
      </w:r>
    </w:p>
    <w:p w14:paraId="02AD539F"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32320" behindDoc="0" locked="0" layoutInCell="1" allowOverlap="1" wp14:anchorId="75A6461B" wp14:editId="06DC766B">
                <wp:simplePos x="0" y="0"/>
                <wp:positionH relativeFrom="column">
                  <wp:posOffset>6532448</wp:posOffset>
                </wp:positionH>
                <wp:positionV relativeFrom="paragraph">
                  <wp:posOffset>126136</wp:posOffset>
                </wp:positionV>
                <wp:extent cx="0" cy="534010"/>
                <wp:effectExtent l="76200" t="0" r="57150" b="57150"/>
                <wp:wrapNone/>
                <wp:docPr id="87351626" name="Łącznik prosty ze strzałką 44"/>
                <wp:cNvGraphicFramePr/>
                <a:graphic xmlns:a="http://schemas.openxmlformats.org/drawingml/2006/main">
                  <a:graphicData uri="http://schemas.microsoft.com/office/word/2010/wordprocessingShape">
                    <wps:wsp>
                      <wps:cNvCnPr/>
                      <wps:spPr>
                        <a:xfrm>
                          <a:off x="0" y="0"/>
                          <a:ext cx="0" cy="534010"/>
                        </a:xfrm>
                        <a:prstGeom prst="straightConnector1">
                          <a:avLst/>
                        </a:prstGeom>
                        <a:noFill/>
                        <a:ln w="6350" cap="flat" cmpd="sng" algn="ctr">
                          <a:solidFill>
                            <a:srgbClr val="156082"/>
                          </a:solidFill>
                          <a:prstDash val="solid"/>
                          <a:miter lim="800000"/>
                          <a:tailEnd type="triangle"/>
                        </a:ln>
                        <a:effectLst/>
                      </wps:spPr>
                      <wps:bodyPr/>
                    </wps:wsp>
                  </a:graphicData>
                </a:graphic>
              </wp:anchor>
            </w:drawing>
          </mc:Choice>
          <mc:Fallback>
            <w:pict>
              <v:shape w14:anchorId="2881B9FF" id="Łącznik prosty ze strzałką 44" o:spid="_x0000_s1026" type="#_x0000_t32" style="position:absolute;margin-left:514.35pt;margin-top:9.95pt;width:0;height:42.05pt;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" strokecolor="#156082" strokeweight=".5pt">
                <v:stroke endarrow="block" joinstyle="miter"/>
              </v:shape>
            </w:pict>
          </mc:Fallback>
        </mc:AlternateContent>
      </w:r>
      <w:r w:rsidRPr="00DB6AED">
        <w:rPr>
          <w:noProof/>
        </w:rPr>
        <mc:AlternateContent>
          <mc:Choice Requires="wps">
            <w:drawing>
              <wp:anchor distT="0" distB="0" distL="114300" distR="114300" simplePos="0" relativeHeight="251812864" behindDoc="0" locked="0" layoutInCell="1" allowOverlap="1" wp14:anchorId="52B79D0B" wp14:editId="69109559">
                <wp:simplePos x="0" y="0"/>
                <wp:positionH relativeFrom="column">
                  <wp:posOffset>6744589</wp:posOffset>
                </wp:positionH>
                <wp:positionV relativeFrom="paragraph">
                  <wp:posOffset>228549</wp:posOffset>
                </wp:positionV>
                <wp:extent cx="2004365" cy="1170432"/>
                <wp:effectExtent l="0" t="0" r="15240" b="10795"/>
                <wp:wrapNone/>
                <wp:docPr id="1677865612" name="Pole tekstowe 23"/>
                <wp:cNvGraphicFramePr/>
                <a:graphic xmlns:a="http://schemas.openxmlformats.org/drawingml/2006/main">
                  <a:graphicData uri="http://schemas.microsoft.com/office/word/2010/wordprocessingShape">
                    <wps:wsp>
                      <wps:cNvSpPr txBox="1"/>
                      <wps:spPr>
                        <a:xfrm>
                          <a:off x="0" y="0"/>
                          <a:ext cx="2004365" cy="1170432"/>
                        </a:xfrm>
                        <a:prstGeom prst="rect">
                          <a:avLst/>
                        </a:prstGeom>
                        <a:solidFill>
                          <a:sysClr val="window" lastClr="FFFFFF"/>
                        </a:solidFill>
                        <a:ln w="12700" cap="flat" cmpd="sng" algn="ctr">
                          <a:solidFill>
                            <a:srgbClr val="E97132"/>
                          </a:solidFill>
                          <a:prstDash val="solid"/>
                          <a:miter lim="800000"/>
                        </a:ln>
                        <a:effectLst/>
                      </wps:spPr>
                      <wps:txbx>
                        <w:txbxContent>
                          <w:p w14:paraId="4FDE0003" w14:textId="77777777" w:rsidR="008D28A7" w:rsidRDefault="008D28A7" w:rsidP="008D28A7">
                            <w:pPr>
                              <w:jc w:val="center"/>
                            </w:pPr>
                            <w:r>
                              <w:t xml:space="preserve">Aktywności wspierające (pomagające wprowadzić założenia, obejmujące sprzyjające otoczenie)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79D0B" id="_x0000_s1044" type="#_x0000_t202" style="position:absolute;margin-left:531.05pt;margin-top:18pt;width:157.8pt;height:92.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" fillcolor="window" strokecolor="#e97132" strokeweight="1pt">
                <v:textbox>
                  <w:txbxContent>
                    <w:p w14:paraId="4FDE0003" w14:textId="77777777" w:rsidR="008D28A7" w:rsidRDefault="008D28A7" w:rsidP="008D28A7">
                      <w:pPr>
                        <w:jc w:val="center"/>
                      </w:pPr>
                      <w:r>
                        <w:t xml:space="preserve">Aktywności wspierające (pomagające wprowadzić założenia, obejmujące sprzyjające otoczenie) </w:t>
                      </w:r>
                    </w:p>
                  </w:txbxContent>
                </v:textbox>
              </v:shape>
            </w:pict>
          </mc:Fallback>
        </mc:AlternateContent>
      </w:r>
      <w:r w:rsidRPr="00DB6AED">
        <w:rPr>
          <w:noProof/>
        </w:rPr>
        <mc:AlternateContent>
          <mc:Choice Requires="wps">
            <w:drawing>
              <wp:anchor distT="0" distB="0" distL="114300" distR="114300" simplePos="0" relativeHeight="251817984" behindDoc="0" locked="0" layoutInCell="1" allowOverlap="1" wp14:anchorId="3C3E55D1" wp14:editId="3E6F0EA3">
                <wp:simplePos x="0" y="0"/>
                <wp:positionH relativeFrom="column">
                  <wp:posOffset>1861821</wp:posOffset>
                </wp:positionH>
                <wp:positionV relativeFrom="paragraph">
                  <wp:posOffset>10516</wp:posOffset>
                </wp:positionV>
                <wp:extent cx="416966" cy="81184"/>
                <wp:effectExtent l="0" t="95250" r="2540" b="109855"/>
                <wp:wrapNone/>
                <wp:docPr id="649430851" name="Strzałka: w prawo 39"/>
                <wp:cNvGraphicFramePr/>
                <a:graphic xmlns:a="http://schemas.openxmlformats.org/drawingml/2006/main">
                  <a:graphicData uri="http://schemas.microsoft.com/office/word/2010/wordprocessingShape">
                    <wps:wsp>
                      <wps:cNvSpPr/>
                      <wps:spPr>
                        <a:xfrm rot="12577936">
                          <a:off x="0" y="0"/>
                          <a:ext cx="416966" cy="81184"/>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591F53" id="Strzałka: w prawo 39" o:spid="_x0000_s1026" type="#_x0000_t13" style="position:absolute;margin-left:146.6pt;margin-top:.85pt;width:32.85pt;height:6.4pt;rotation:-9854500fd;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" adj="19497" fillcolor="#156082" strokecolor="#042433" strokeweight="1pt"/>
            </w:pict>
          </mc:Fallback>
        </mc:AlternateContent>
      </w:r>
    </w:p>
    <w:p w14:paraId="4E6DA53F"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08768" behindDoc="0" locked="0" layoutInCell="1" allowOverlap="1" wp14:anchorId="459169A4" wp14:editId="768E9E07">
                <wp:simplePos x="0" y="0"/>
                <wp:positionH relativeFrom="column">
                  <wp:posOffset>4198620</wp:posOffset>
                </wp:positionH>
                <wp:positionV relativeFrom="paragraph">
                  <wp:posOffset>216470</wp:posOffset>
                </wp:positionV>
                <wp:extent cx="1908683" cy="760730"/>
                <wp:effectExtent l="0" t="0" r="15875" b="20320"/>
                <wp:wrapNone/>
                <wp:docPr id="1552650801" name="Pole tekstowe 23"/>
                <wp:cNvGraphicFramePr/>
                <a:graphic xmlns:a="http://schemas.openxmlformats.org/drawingml/2006/main">
                  <a:graphicData uri="http://schemas.microsoft.com/office/word/2010/wordprocessingShape">
                    <wps:wsp>
                      <wps:cNvSpPr txBox="1"/>
                      <wps:spPr>
                        <a:xfrm>
                          <a:off x="0" y="0"/>
                          <a:ext cx="1908683" cy="760730"/>
                        </a:xfrm>
                        <a:prstGeom prst="rect">
                          <a:avLst/>
                        </a:prstGeom>
                        <a:solidFill>
                          <a:sysClr val="window" lastClr="FFFFFF"/>
                        </a:solidFill>
                        <a:ln w="12700" cap="flat" cmpd="sng" algn="ctr">
                          <a:solidFill>
                            <a:srgbClr val="E97132"/>
                          </a:solidFill>
                          <a:prstDash val="solid"/>
                          <a:miter lim="800000"/>
                        </a:ln>
                        <a:effectLst/>
                      </wps:spPr>
                      <wps:txbx>
                        <w:txbxContent>
                          <w:p w14:paraId="12B35CD1" w14:textId="77777777" w:rsidR="008D28A7" w:rsidRDefault="008D28A7" w:rsidP="008D28A7">
                            <w:pPr>
                              <w:jc w:val="center"/>
                            </w:pPr>
                            <w:r>
                              <w:t>Wyniki pośrednie Założenia dotyczące więzi</w:t>
                            </w:r>
                            <w:r w:rsidRPr="004F2727">
                              <w:t xml:space="preserve"> </w:t>
                            </w:r>
                            <w:r>
                              <w:br/>
                              <w:t>przyczynowych</w:t>
                            </w:r>
                          </w:p>
                          <w:p w14:paraId="05FC7CB8" w14:textId="77777777" w:rsidR="008D28A7" w:rsidRDefault="008D28A7" w:rsidP="008D28A7">
                            <w:pPr>
                              <w:jc w:val="center"/>
                            </w:pPr>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169A4" id="_x0000_s1045" type="#_x0000_t202" style="position:absolute;margin-left:330.6pt;margin-top:17.05pt;width:150.3pt;height:59.9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" fillcolor="window" strokecolor="#e97132" strokeweight="1pt">
                <v:textbox>
                  <w:txbxContent>
                    <w:p w14:paraId="12B35CD1" w14:textId="77777777" w:rsidR="008D28A7" w:rsidRDefault="008D28A7" w:rsidP="008D28A7">
                      <w:pPr>
                        <w:jc w:val="center"/>
                      </w:pPr>
                      <w:r>
                        <w:t>Wyniki pośrednie Założenia dotyczące więzi</w:t>
                      </w:r>
                      <w:r w:rsidRPr="004F2727">
                        <w:t xml:space="preserve"> </w:t>
                      </w:r>
                      <w:r>
                        <w:br/>
                        <w:t>przyczynowych</w:t>
                      </w:r>
                    </w:p>
                    <w:p w14:paraId="05FC7CB8" w14:textId="77777777" w:rsidR="008D28A7" w:rsidRDefault="008D28A7" w:rsidP="008D28A7">
                      <w:pPr>
                        <w:jc w:val="center"/>
                      </w:pPr>
                      <w:r>
                        <w:br/>
                      </w:r>
                    </w:p>
                  </w:txbxContent>
                </v:textbox>
              </v:shape>
            </w:pict>
          </mc:Fallback>
        </mc:AlternateContent>
      </w:r>
      <w:r w:rsidRPr="00DB6AED">
        <w:rPr>
          <w:noProof/>
        </w:rPr>
        <mc:AlternateContent>
          <mc:Choice Requires="wps">
            <w:drawing>
              <wp:anchor distT="0" distB="0" distL="114300" distR="114300" simplePos="0" relativeHeight="251814912" behindDoc="0" locked="0" layoutInCell="1" allowOverlap="1" wp14:anchorId="5851707F" wp14:editId="47559F03">
                <wp:simplePos x="0" y="0"/>
                <wp:positionH relativeFrom="column">
                  <wp:posOffset>1774730</wp:posOffset>
                </wp:positionH>
                <wp:positionV relativeFrom="paragraph">
                  <wp:posOffset>207049</wp:posOffset>
                </wp:positionV>
                <wp:extent cx="416966" cy="81184"/>
                <wp:effectExtent l="0" t="133350" r="0" b="147955"/>
                <wp:wrapNone/>
                <wp:docPr id="417459983" name="Strzałka: w prawo 39"/>
                <wp:cNvGraphicFramePr/>
                <a:graphic xmlns:a="http://schemas.openxmlformats.org/drawingml/2006/main">
                  <a:graphicData uri="http://schemas.microsoft.com/office/word/2010/wordprocessingShape">
                    <wps:wsp>
                      <wps:cNvSpPr/>
                      <wps:spPr>
                        <a:xfrm rot="18982702">
                          <a:off x="0" y="0"/>
                          <a:ext cx="416966" cy="81184"/>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02D25B" id="Strzałka: w prawo 39" o:spid="_x0000_s1026" type="#_x0000_t13" style="position:absolute;margin-left:139.75pt;margin-top:16.3pt;width:32.85pt;height:6.4pt;rotation:-2858787fd;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" adj="19497" fillcolor="#156082" strokecolor="#042433" strokeweight="1pt"/>
            </w:pict>
          </mc:Fallback>
        </mc:AlternateContent>
      </w:r>
      <w:r w:rsidRPr="00DB6AED">
        <w:rPr>
          <w:noProof/>
        </w:rPr>
        <mc:AlternateContent>
          <mc:Choice Requires="wps">
            <w:drawing>
              <wp:anchor distT="0" distB="0" distL="114300" distR="114300" simplePos="0" relativeHeight="251801600" behindDoc="0" locked="0" layoutInCell="1" allowOverlap="1" wp14:anchorId="3AC21EFD" wp14:editId="442BB523">
                <wp:simplePos x="0" y="0"/>
                <wp:positionH relativeFrom="column">
                  <wp:posOffset>467360</wp:posOffset>
                </wp:positionH>
                <wp:positionV relativeFrom="paragraph">
                  <wp:posOffset>254508</wp:posOffset>
                </wp:positionV>
                <wp:extent cx="1228953" cy="614476"/>
                <wp:effectExtent l="0" t="0" r="28575" b="14605"/>
                <wp:wrapNone/>
                <wp:docPr id="1571455174" name="Pole tekstowe 23"/>
                <wp:cNvGraphicFramePr/>
                <a:graphic xmlns:a="http://schemas.openxmlformats.org/drawingml/2006/main">
                  <a:graphicData uri="http://schemas.microsoft.com/office/word/2010/wordprocessingShape">
                    <wps:wsp>
                      <wps:cNvSpPr txBox="1"/>
                      <wps:spPr>
                        <a:xfrm>
                          <a:off x="0" y="0"/>
                          <a:ext cx="1228953" cy="614476"/>
                        </a:xfrm>
                        <a:prstGeom prst="rect">
                          <a:avLst/>
                        </a:prstGeom>
                        <a:solidFill>
                          <a:sysClr val="window" lastClr="FFFFFF"/>
                        </a:solidFill>
                        <a:ln w="12700" cap="flat" cmpd="sng" algn="ctr">
                          <a:solidFill>
                            <a:srgbClr val="E97132"/>
                          </a:solidFill>
                          <a:prstDash val="solid"/>
                          <a:miter lim="800000"/>
                        </a:ln>
                        <a:effectLst/>
                      </wps:spPr>
                      <wps:txbx>
                        <w:txbxContent>
                          <w:p w14:paraId="42495A90" w14:textId="77777777" w:rsidR="008D28A7" w:rsidRDefault="008D28A7" w:rsidP="008D28A7">
                            <w:pPr>
                              <w:jc w:val="center"/>
                            </w:pPr>
                            <w:r>
                              <w:t xml:space="preserve">Wpływy </w:t>
                            </w:r>
                            <w:r>
                              <w:br/>
                              <w:t>zewnętrzne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21EFD" id="_x0000_s1046" type="#_x0000_t202" style="position:absolute;margin-left:36.8pt;margin-top:20.05pt;width:96.75pt;height:48.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" fillcolor="window" strokecolor="#e97132" strokeweight="1pt">
                <v:textbox>
                  <w:txbxContent>
                    <w:p w14:paraId="42495A90" w14:textId="77777777" w:rsidR="008D28A7" w:rsidRDefault="008D28A7" w:rsidP="008D28A7">
                      <w:pPr>
                        <w:jc w:val="center"/>
                      </w:pPr>
                      <w:r>
                        <w:t xml:space="preserve">Wpływy </w:t>
                      </w:r>
                      <w:r>
                        <w:br/>
                        <w:t>zewnętrzne</w:t>
                      </w:r>
                    </w:p>
                  </w:txbxContent>
                </v:textbox>
              </v:shape>
            </w:pict>
          </mc:Fallback>
        </mc:AlternateContent>
      </w:r>
      <w:r w:rsidRPr="00DB6AED">
        <w:tab/>
      </w:r>
    </w:p>
    <w:p w14:paraId="5F693B5A"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29248" behindDoc="0" locked="0" layoutInCell="1" allowOverlap="1" wp14:anchorId="5BD0E8C3" wp14:editId="787E7400">
                <wp:simplePos x="0" y="0"/>
                <wp:positionH relativeFrom="column">
                  <wp:posOffset>2627630</wp:posOffset>
                </wp:positionH>
                <wp:positionV relativeFrom="paragraph">
                  <wp:posOffset>20955</wp:posOffset>
                </wp:positionV>
                <wp:extent cx="350520" cy="352425"/>
                <wp:effectExtent l="0" t="0" r="0" b="0"/>
                <wp:wrapNone/>
                <wp:docPr id="1799240280" name="Pole tekstowe 24"/>
                <wp:cNvGraphicFramePr/>
                <a:graphic xmlns:a="http://schemas.openxmlformats.org/drawingml/2006/main">
                  <a:graphicData uri="http://schemas.microsoft.com/office/word/2010/wordprocessingShape">
                    <wps:wsp>
                      <wps:cNvSpPr txBox="1"/>
                      <wps:spPr>
                        <a:xfrm>
                          <a:off x="0" y="0"/>
                          <a:ext cx="350520" cy="352425"/>
                        </a:xfrm>
                        <a:prstGeom prst="rect">
                          <a:avLst/>
                        </a:prstGeom>
                        <a:solidFill>
                          <a:sysClr val="window" lastClr="FFFFFF">
                            <a:alpha val="0"/>
                          </a:sysClr>
                        </a:solidFill>
                        <a:ln w="6350">
                          <a:noFill/>
                        </a:ln>
                      </wps:spPr>
                      <wps:txbx>
                        <w:txbxContent>
                          <w:p w14:paraId="1324173D" w14:textId="77777777" w:rsidR="008D28A7" w:rsidRPr="00AF1337" w:rsidRDefault="008D28A7" w:rsidP="008D28A7">
                            <w:pPr>
                              <w:rPr>
                                <w:b/>
                                <w:bCs/>
                                <w:sz w:val="28"/>
                                <w:szCs w:val="28"/>
                              </w:rPr>
                            </w:pPr>
                            <w:r w:rsidRPr="00AF1337">
                              <w:rPr>
                                <w:b/>
                                <w:bCs/>
                                <w:sz w:val="28"/>
                                <w:szCs w:val="28"/>
                              </w:rPr>
                              <w:t>F</w:t>
                            </w:r>
                            <w:r w:rsidRPr="00AF1337">
                              <w:rPr>
                                <w:b/>
                                <w:bCs/>
                                <w:sz w:val="28"/>
                                <w:szCs w:val="28"/>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0E8C3" id="_x0000_s1047" type="#_x0000_t202" style="position:absolute;margin-left:206.9pt;margin-top:1.65pt;width:27.6pt;height:27.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" fillcolor="window" stroked="f" strokeweight=".5pt">
                <v:fill opacity="0"/>
                <v:textbox>
                  <w:txbxContent>
                    <w:p w14:paraId="1324173D" w14:textId="77777777" w:rsidR="008D28A7" w:rsidRPr="00AF1337" w:rsidRDefault="008D28A7" w:rsidP="008D28A7">
                      <w:pPr>
                        <w:rPr>
                          <w:b/>
                          <w:bCs/>
                          <w:sz w:val="28"/>
                          <w:szCs w:val="28"/>
                        </w:rPr>
                      </w:pPr>
                      <w:r w:rsidRPr="00AF1337">
                        <w:rPr>
                          <w:b/>
                          <w:bCs/>
                          <w:sz w:val="28"/>
                          <w:szCs w:val="28"/>
                        </w:rPr>
                        <w:t>F</w:t>
                      </w:r>
                      <w:r w:rsidRPr="00AF1337">
                        <w:rPr>
                          <w:b/>
                          <w:bCs/>
                          <w:sz w:val="28"/>
                          <w:szCs w:val="28"/>
                          <w:vertAlign w:val="subscript"/>
                        </w:rPr>
                        <w:t>2</w:t>
                      </w:r>
                    </w:p>
                  </w:txbxContent>
                </v:textbox>
              </v:shape>
            </w:pict>
          </mc:Fallback>
        </mc:AlternateContent>
      </w:r>
      <w:r w:rsidRPr="00DB6AED">
        <w:rPr>
          <w:noProof/>
        </w:rPr>
        <mc:AlternateContent>
          <mc:Choice Requires="wps">
            <w:drawing>
              <wp:anchor distT="0" distB="0" distL="114300" distR="114300" simplePos="0" relativeHeight="251831296" behindDoc="0" locked="0" layoutInCell="1" allowOverlap="1" wp14:anchorId="26352B2C" wp14:editId="60C60489">
                <wp:simplePos x="0" y="0"/>
                <wp:positionH relativeFrom="column">
                  <wp:posOffset>6393358</wp:posOffset>
                </wp:positionH>
                <wp:positionV relativeFrom="paragraph">
                  <wp:posOffset>249327</wp:posOffset>
                </wp:positionV>
                <wp:extent cx="240665" cy="176784"/>
                <wp:effectExtent l="95250" t="152400" r="64135" b="147320"/>
                <wp:wrapNone/>
                <wp:docPr id="337640938" name="Strzałka: w prawo 39"/>
                <wp:cNvGraphicFramePr/>
                <a:graphic xmlns:a="http://schemas.openxmlformats.org/drawingml/2006/main">
                  <a:graphicData uri="http://schemas.microsoft.com/office/word/2010/wordprocessingShape">
                    <wps:wsp>
                      <wps:cNvSpPr/>
                      <wps:spPr>
                        <a:xfrm rot="10800000">
                          <a:off x="0" y="0"/>
                          <a:ext cx="240665" cy="176784"/>
                        </a:xfrm>
                        <a:prstGeom prst="rightArrow">
                          <a:avLst/>
                        </a:prstGeom>
                        <a:solidFill>
                          <a:srgbClr val="156082"/>
                        </a:solidFill>
                        <a:ln w="1174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7A8C5" id="Strzałka: w prawo 39" o:spid="_x0000_s1026" type="#_x0000_t13" style="position:absolute;margin-left:503.4pt;margin-top:19.65pt;width:18.95pt;height:13.9pt;rotation:180;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" adj="13667" fillcolor="#156082" strokecolor="#042433" strokeweight="9.25pt"/>
            </w:pict>
          </mc:Fallback>
        </mc:AlternateContent>
      </w:r>
      <w:r w:rsidRPr="00DB6AED">
        <w:rPr>
          <w:noProof/>
        </w:rPr>
        <mc:AlternateContent>
          <mc:Choice Requires="wps">
            <w:drawing>
              <wp:anchor distT="0" distB="0" distL="114300" distR="114300" simplePos="0" relativeHeight="251826176" behindDoc="0" locked="0" layoutInCell="1" allowOverlap="1" wp14:anchorId="27A8D589" wp14:editId="1314B37A">
                <wp:simplePos x="0" y="0"/>
                <wp:positionH relativeFrom="column">
                  <wp:posOffset>3204032</wp:posOffset>
                </wp:positionH>
                <wp:positionV relativeFrom="paragraph">
                  <wp:posOffset>147879</wp:posOffset>
                </wp:positionV>
                <wp:extent cx="958291" cy="2895"/>
                <wp:effectExtent l="0" t="0" r="32385" b="35560"/>
                <wp:wrapNone/>
                <wp:docPr id="1104108440" name="Łącznik prosty 42"/>
                <wp:cNvGraphicFramePr/>
                <a:graphic xmlns:a="http://schemas.openxmlformats.org/drawingml/2006/main">
                  <a:graphicData uri="http://schemas.microsoft.com/office/word/2010/wordprocessingShape">
                    <wps:wsp>
                      <wps:cNvCnPr/>
                      <wps:spPr>
                        <a:xfrm flipV="1">
                          <a:off x="0" y="0"/>
                          <a:ext cx="958291" cy="2895"/>
                        </a:xfrm>
                        <a:prstGeom prst="line">
                          <a:avLst/>
                        </a:prstGeom>
                        <a:noFill/>
                        <a:ln w="22225" cap="flat" cmpd="sng" algn="ctr">
                          <a:solidFill>
                            <a:srgbClr val="156082"/>
                          </a:solidFill>
                          <a:prstDash val="dash"/>
                          <a:miter lim="800000"/>
                        </a:ln>
                        <a:effectLst/>
                      </wps:spPr>
                      <wps:bodyPr/>
                    </wps:wsp>
                  </a:graphicData>
                </a:graphic>
                <wp14:sizeRelH relativeFrom="margin">
                  <wp14:pctWidth>0</wp14:pctWidth>
                </wp14:sizeRelH>
              </wp:anchor>
            </w:drawing>
          </mc:Choice>
          <mc:Fallback>
            <w:pict>
              <v:line w14:anchorId="4E210DDE" id="Łącznik prosty 42" o:spid="_x0000_s1026" style="position:absolute;flip:y;z-index:25182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2.3pt,11.65pt" to="327.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" strokecolor="#156082" strokeweight="1.75pt">
                <v:stroke dashstyle="dash" joinstyle="miter"/>
              </v:line>
            </w:pict>
          </mc:Fallback>
        </mc:AlternateContent>
      </w:r>
      <w:r w:rsidRPr="00DB6AED">
        <w:rPr>
          <w:noProof/>
        </w:rPr>
        <mc:AlternateContent>
          <mc:Choice Requires="wps">
            <w:drawing>
              <wp:anchor distT="0" distB="0" distL="114300" distR="114300" simplePos="0" relativeHeight="251819008" behindDoc="0" locked="0" layoutInCell="1" allowOverlap="1" wp14:anchorId="1C360678" wp14:editId="5FA2F771">
                <wp:simplePos x="0" y="0"/>
                <wp:positionH relativeFrom="column">
                  <wp:posOffset>2728050</wp:posOffset>
                </wp:positionH>
                <wp:positionV relativeFrom="paragraph">
                  <wp:posOffset>131763</wp:posOffset>
                </wp:positionV>
                <wp:extent cx="416966" cy="81184"/>
                <wp:effectExtent l="15557" t="3493" r="37148" b="37147"/>
                <wp:wrapNone/>
                <wp:docPr id="420618555" name="Strzałka: w prawo 39"/>
                <wp:cNvGraphicFramePr/>
                <a:graphic xmlns:a="http://schemas.openxmlformats.org/drawingml/2006/main">
                  <a:graphicData uri="http://schemas.microsoft.com/office/word/2010/wordprocessingShape">
                    <wps:wsp>
                      <wps:cNvSpPr/>
                      <wps:spPr>
                        <a:xfrm rot="5400000">
                          <a:off x="0" y="0"/>
                          <a:ext cx="416966" cy="81184"/>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A9F41A" id="Strzałka: w prawo 39" o:spid="_x0000_s1026" type="#_x0000_t13" style="position:absolute;margin-left:214.8pt;margin-top:10.4pt;width:32.85pt;height:6.4pt;rotation:90;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" adj="19497" fillcolor="#156082" strokecolor="#042433" strokeweight="1pt"/>
            </w:pict>
          </mc:Fallback>
        </mc:AlternateContent>
      </w:r>
      <w:r w:rsidRPr="00DB6AED">
        <w:rPr>
          <w:noProof/>
        </w:rPr>
        <mc:AlternateContent>
          <mc:Choice Requires="wps">
            <w:drawing>
              <wp:anchor distT="0" distB="0" distL="114300" distR="114300" simplePos="0" relativeHeight="251820032" behindDoc="0" locked="0" layoutInCell="1" allowOverlap="1" wp14:anchorId="09FB9FB1" wp14:editId="152A0386">
                <wp:simplePos x="0" y="0"/>
                <wp:positionH relativeFrom="column">
                  <wp:posOffset>2918143</wp:posOffset>
                </wp:positionH>
                <wp:positionV relativeFrom="paragraph">
                  <wp:posOffset>125905</wp:posOffset>
                </wp:positionV>
                <wp:extent cx="416966" cy="81184"/>
                <wp:effectExtent l="15557" t="22543" r="37148" b="18097"/>
                <wp:wrapNone/>
                <wp:docPr id="2038681810" name="Strzałka: w prawo 39"/>
                <wp:cNvGraphicFramePr/>
                <a:graphic xmlns:a="http://schemas.openxmlformats.org/drawingml/2006/main">
                  <a:graphicData uri="http://schemas.microsoft.com/office/word/2010/wordprocessingShape">
                    <wps:wsp>
                      <wps:cNvSpPr/>
                      <wps:spPr>
                        <a:xfrm rot="16200000">
                          <a:off x="0" y="0"/>
                          <a:ext cx="416966" cy="81184"/>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5C060D" id="Strzałka: w prawo 39" o:spid="_x0000_s1026" type="#_x0000_t13" style="position:absolute;margin-left:229.8pt;margin-top:9.9pt;width:32.85pt;height:6.4pt;rotation:-90;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" adj="19497" fillcolor="#156082" strokecolor="#042433" strokeweight="1pt"/>
            </w:pict>
          </mc:Fallback>
        </mc:AlternateContent>
      </w:r>
      <w:r w:rsidRPr="00DB6AED">
        <w:rPr>
          <w:noProof/>
        </w:rPr>
        <mc:AlternateContent>
          <mc:Choice Requires="wps">
            <w:drawing>
              <wp:anchor distT="0" distB="0" distL="114300" distR="114300" simplePos="0" relativeHeight="251815936" behindDoc="0" locked="0" layoutInCell="1" allowOverlap="1" wp14:anchorId="07D5E454" wp14:editId="33A52A48">
                <wp:simplePos x="0" y="0"/>
                <wp:positionH relativeFrom="column">
                  <wp:posOffset>1774189</wp:posOffset>
                </wp:positionH>
                <wp:positionV relativeFrom="paragraph">
                  <wp:posOffset>146176</wp:posOffset>
                </wp:positionV>
                <wp:extent cx="416966" cy="81184"/>
                <wp:effectExtent l="0" t="19050" r="40640" b="33655"/>
                <wp:wrapNone/>
                <wp:docPr id="961429128" name="Strzałka: w prawo 39"/>
                <wp:cNvGraphicFramePr/>
                <a:graphic xmlns:a="http://schemas.openxmlformats.org/drawingml/2006/main">
                  <a:graphicData uri="http://schemas.microsoft.com/office/word/2010/wordprocessingShape">
                    <wps:wsp>
                      <wps:cNvSpPr/>
                      <wps:spPr>
                        <a:xfrm>
                          <a:off x="0" y="0"/>
                          <a:ext cx="416966" cy="81184"/>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A5005A" id="Strzałka: w prawo 39" o:spid="_x0000_s1026" type="#_x0000_t13" style="position:absolute;margin-left:139.7pt;margin-top:11.5pt;width:32.85pt;height:6.4pt;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" adj="19497" fillcolor="#156082" strokecolor="#042433" strokeweight="1pt"/>
            </w:pict>
          </mc:Fallback>
        </mc:AlternateContent>
      </w:r>
    </w:p>
    <w:p w14:paraId="6316D7E4"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16960" behindDoc="0" locked="0" layoutInCell="1" allowOverlap="1" wp14:anchorId="6253D5BC" wp14:editId="453B755F">
                <wp:simplePos x="0" y="0"/>
                <wp:positionH relativeFrom="column">
                  <wp:posOffset>1806829</wp:posOffset>
                </wp:positionH>
                <wp:positionV relativeFrom="paragraph">
                  <wp:posOffset>137617</wp:posOffset>
                </wp:positionV>
                <wp:extent cx="416966" cy="81184"/>
                <wp:effectExtent l="0" t="133350" r="0" b="128905"/>
                <wp:wrapNone/>
                <wp:docPr id="2058149981" name="Strzałka: w prawo 39"/>
                <wp:cNvGraphicFramePr/>
                <a:graphic xmlns:a="http://schemas.openxmlformats.org/drawingml/2006/main">
                  <a:graphicData uri="http://schemas.microsoft.com/office/word/2010/wordprocessingShape">
                    <wps:wsp>
                      <wps:cNvSpPr/>
                      <wps:spPr>
                        <a:xfrm rot="2605041">
                          <a:off x="0" y="0"/>
                          <a:ext cx="416966" cy="81184"/>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66C589" id="Strzałka: w prawo 39" o:spid="_x0000_s1026" type="#_x0000_t13" style="position:absolute;margin-left:142.25pt;margin-top:10.85pt;width:32.85pt;height:6.4pt;rotation:2845399fd;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" adj="19497" fillcolor="#156082" strokecolor="#042433" strokeweight="1pt"/>
            </w:pict>
          </mc:Fallback>
        </mc:AlternateContent>
      </w:r>
      <w:r w:rsidRPr="00DB6AED">
        <w:rPr>
          <w:noProof/>
        </w:rPr>
        <mc:AlternateContent>
          <mc:Choice Requires="wps">
            <w:drawing>
              <wp:anchor distT="0" distB="0" distL="114300" distR="114300" simplePos="0" relativeHeight="251804672" behindDoc="0" locked="0" layoutInCell="1" allowOverlap="1" wp14:anchorId="1512A2D1" wp14:editId="06FCF596">
                <wp:simplePos x="0" y="0"/>
                <wp:positionH relativeFrom="column">
                  <wp:posOffset>2471877</wp:posOffset>
                </wp:positionH>
                <wp:positionV relativeFrom="paragraph">
                  <wp:posOffset>102870</wp:posOffset>
                </wp:positionV>
                <wp:extent cx="1192378" cy="548640"/>
                <wp:effectExtent l="0" t="0" r="27305" b="22860"/>
                <wp:wrapNone/>
                <wp:docPr id="1999455806" name="Pole tekstowe 23"/>
                <wp:cNvGraphicFramePr/>
                <a:graphic xmlns:a="http://schemas.openxmlformats.org/drawingml/2006/main">
                  <a:graphicData uri="http://schemas.microsoft.com/office/word/2010/wordprocessingShape">
                    <wps:wsp>
                      <wps:cNvSpPr txBox="1"/>
                      <wps:spPr>
                        <a:xfrm>
                          <a:off x="0" y="0"/>
                          <a:ext cx="1192378" cy="548640"/>
                        </a:xfrm>
                        <a:prstGeom prst="rect">
                          <a:avLst/>
                        </a:prstGeom>
                        <a:solidFill>
                          <a:sysClr val="window" lastClr="FFFFFF"/>
                        </a:solidFill>
                        <a:ln w="12700" cap="flat" cmpd="sng" algn="ctr">
                          <a:solidFill>
                            <a:srgbClr val="E97132"/>
                          </a:solidFill>
                          <a:prstDash val="solid"/>
                          <a:miter lim="800000"/>
                        </a:ln>
                        <a:effectLst/>
                      </wps:spPr>
                      <wps:txbx>
                        <w:txbxContent>
                          <w:p w14:paraId="6A9C393A" w14:textId="77777777" w:rsidR="008D28A7" w:rsidRDefault="008D28A7" w:rsidP="008D28A7">
                            <w:pPr>
                              <w:jc w:val="center"/>
                            </w:pPr>
                            <w:r>
                              <w:t xml:space="preserve">Wyniki </w:t>
                            </w:r>
                            <w:r>
                              <w:br/>
                              <w:t>bezpośrednie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2A2D1" id="_x0000_s1048" type="#_x0000_t202" style="position:absolute;margin-left:194.65pt;margin-top:8.1pt;width:93.9pt;height:43.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" fillcolor="window" strokecolor="#e97132" strokeweight="1pt">
                <v:textbox>
                  <w:txbxContent>
                    <w:p w14:paraId="6A9C393A" w14:textId="77777777" w:rsidR="008D28A7" w:rsidRDefault="008D28A7" w:rsidP="008D28A7">
                      <w:pPr>
                        <w:jc w:val="center"/>
                      </w:pPr>
                      <w:r>
                        <w:t xml:space="preserve">Wyniki </w:t>
                      </w:r>
                      <w:r>
                        <w:br/>
                        <w:t>bezpośrednie</w:t>
                      </w:r>
                    </w:p>
                  </w:txbxContent>
                </v:textbox>
              </v:shape>
            </w:pict>
          </mc:Fallback>
        </mc:AlternateContent>
      </w:r>
    </w:p>
    <w:p w14:paraId="7E652AC1"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09792" behindDoc="0" locked="0" layoutInCell="1" allowOverlap="1" wp14:anchorId="31661DD0" wp14:editId="35926F62">
                <wp:simplePos x="0" y="0"/>
                <wp:positionH relativeFrom="column">
                  <wp:posOffset>4157235</wp:posOffset>
                </wp:positionH>
                <wp:positionV relativeFrom="paragraph">
                  <wp:posOffset>191328</wp:posOffset>
                </wp:positionV>
                <wp:extent cx="1908175" cy="739472"/>
                <wp:effectExtent l="0" t="0" r="15875" b="22860"/>
                <wp:wrapNone/>
                <wp:docPr id="2065649685" name="Pole tekstowe 23"/>
                <wp:cNvGraphicFramePr/>
                <a:graphic xmlns:a="http://schemas.openxmlformats.org/drawingml/2006/main">
                  <a:graphicData uri="http://schemas.microsoft.com/office/word/2010/wordprocessingShape">
                    <wps:wsp>
                      <wps:cNvSpPr txBox="1"/>
                      <wps:spPr>
                        <a:xfrm>
                          <a:off x="0" y="0"/>
                          <a:ext cx="1908175" cy="739472"/>
                        </a:xfrm>
                        <a:prstGeom prst="rect">
                          <a:avLst/>
                        </a:prstGeom>
                        <a:solidFill>
                          <a:sysClr val="window" lastClr="FFFFFF"/>
                        </a:solidFill>
                        <a:ln w="12700" cap="flat" cmpd="sng" algn="ctr">
                          <a:solidFill>
                            <a:srgbClr val="E97132"/>
                          </a:solidFill>
                          <a:prstDash val="solid"/>
                          <a:miter lim="800000"/>
                        </a:ln>
                        <a:effectLst/>
                      </wps:spPr>
                      <wps:txbx>
                        <w:txbxContent>
                          <w:p w14:paraId="064C5D83" w14:textId="77777777" w:rsidR="008D28A7" w:rsidRDefault="008D28A7" w:rsidP="008D28A7">
                            <w:pPr>
                              <w:jc w:val="center"/>
                            </w:pPr>
                            <w:r>
                              <w:t>Wyniki bezpośrednie Założenia dotyczące więzi</w:t>
                            </w:r>
                            <w:r w:rsidRPr="004F2727">
                              <w:t xml:space="preserve"> </w:t>
                            </w:r>
                            <w:r>
                              <w:t>przyczynowych</w:t>
                            </w:r>
                          </w:p>
                          <w:p w14:paraId="3AAC0C3C" w14:textId="77777777" w:rsidR="008D28A7" w:rsidRDefault="008D28A7" w:rsidP="008D28A7">
                            <w:pPr>
                              <w:jc w:val="center"/>
                            </w:pPr>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61DD0" id="_x0000_s1049" type="#_x0000_t202" style="position:absolute;margin-left:327.35pt;margin-top:15.05pt;width:150.25pt;height:58.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" fillcolor="window" strokecolor="#e97132" strokeweight="1pt">
                <v:textbox>
                  <w:txbxContent>
                    <w:p w14:paraId="064C5D83" w14:textId="77777777" w:rsidR="008D28A7" w:rsidRDefault="008D28A7" w:rsidP="008D28A7">
                      <w:pPr>
                        <w:jc w:val="center"/>
                      </w:pPr>
                      <w:r>
                        <w:t>Wyniki bezpośrednie Założenia dotyczące więzi</w:t>
                      </w:r>
                      <w:r w:rsidRPr="004F2727">
                        <w:t xml:space="preserve"> </w:t>
                      </w:r>
                      <w:r>
                        <w:t>przyczynowych</w:t>
                      </w:r>
                    </w:p>
                    <w:p w14:paraId="3AAC0C3C" w14:textId="77777777" w:rsidR="008D28A7" w:rsidRDefault="008D28A7" w:rsidP="008D28A7">
                      <w:pPr>
                        <w:jc w:val="center"/>
                      </w:pPr>
                      <w:r>
                        <w:br/>
                      </w:r>
                    </w:p>
                  </w:txbxContent>
                </v:textbox>
              </v:shape>
            </w:pict>
          </mc:Fallback>
        </mc:AlternateContent>
      </w:r>
      <w:r w:rsidRPr="00DB6AED">
        <w:rPr>
          <w:noProof/>
        </w:rPr>
        <mc:AlternateContent>
          <mc:Choice Requires="wps">
            <w:drawing>
              <wp:anchor distT="0" distB="0" distL="114300" distR="114300" simplePos="0" relativeHeight="251823104" behindDoc="0" locked="0" layoutInCell="1" allowOverlap="1" wp14:anchorId="4DC7CCA1" wp14:editId="05022804">
                <wp:simplePos x="0" y="0"/>
                <wp:positionH relativeFrom="column">
                  <wp:posOffset>1675155</wp:posOffset>
                </wp:positionH>
                <wp:positionV relativeFrom="paragraph">
                  <wp:posOffset>233451</wp:posOffset>
                </wp:positionV>
                <wp:extent cx="1244909" cy="1483208"/>
                <wp:effectExtent l="0" t="95250" r="0" b="250825"/>
                <wp:wrapNone/>
                <wp:docPr id="960425033" name="Łuk 41"/>
                <wp:cNvGraphicFramePr/>
                <a:graphic xmlns:a="http://schemas.openxmlformats.org/drawingml/2006/main">
                  <a:graphicData uri="http://schemas.microsoft.com/office/word/2010/wordprocessingShape">
                    <wps:wsp>
                      <wps:cNvSpPr/>
                      <wps:spPr>
                        <a:xfrm rot="12596000">
                          <a:off x="0" y="0"/>
                          <a:ext cx="1244909" cy="1483208"/>
                        </a:xfrm>
                        <a:custGeom>
                          <a:avLst/>
                          <a:gdLst>
                            <a:gd name="connsiteX0" fmla="*/ 263989 w 1257300"/>
                            <a:gd name="connsiteY0" fmla="*/ 191461 h 2065020"/>
                            <a:gd name="connsiteX1" fmla="*/ 1142793 w 1257300"/>
                            <a:gd name="connsiteY1" fmla="*/ 438374 h 2065020"/>
                            <a:gd name="connsiteX2" fmla="*/ 1248890 w 1257300"/>
                            <a:gd name="connsiteY2" fmla="*/ 1200838 h 2065020"/>
                            <a:gd name="connsiteX3" fmla="*/ 628650 w 1257300"/>
                            <a:gd name="connsiteY3" fmla="*/ 1032510 h 2065020"/>
                            <a:gd name="connsiteX4" fmla="*/ 263989 w 1257300"/>
                            <a:gd name="connsiteY4" fmla="*/ 191461 h 2065020"/>
                            <a:gd name="connsiteX0" fmla="*/ 263989 w 1257300"/>
                            <a:gd name="connsiteY0" fmla="*/ 191461 h 2065020"/>
                            <a:gd name="connsiteX1" fmla="*/ 1142793 w 1257300"/>
                            <a:gd name="connsiteY1" fmla="*/ 438374 h 2065020"/>
                            <a:gd name="connsiteX2" fmla="*/ 1248890 w 1257300"/>
                            <a:gd name="connsiteY2" fmla="*/ 1200838 h 2065020"/>
                            <a:gd name="connsiteX0" fmla="*/ 387294 w 1380607"/>
                            <a:gd name="connsiteY0" fmla="*/ 364977 h 1374354"/>
                            <a:gd name="connsiteX1" fmla="*/ 1266098 w 1380607"/>
                            <a:gd name="connsiteY1" fmla="*/ 611890 h 1374354"/>
                            <a:gd name="connsiteX2" fmla="*/ 1372195 w 1380607"/>
                            <a:gd name="connsiteY2" fmla="*/ 1374354 h 1374354"/>
                            <a:gd name="connsiteX3" fmla="*/ 751955 w 1380607"/>
                            <a:gd name="connsiteY3" fmla="*/ 1206026 h 1374354"/>
                            <a:gd name="connsiteX4" fmla="*/ 387294 w 1380607"/>
                            <a:gd name="connsiteY4" fmla="*/ 364977 h 1374354"/>
                            <a:gd name="connsiteX0" fmla="*/ 0 w 1380607"/>
                            <a:gd name="connsiteY0" fmla="*/ 132156 h 1374354"/>
                            <a:gd name="connsiteX1" fmla="*/ 1266098 w 1380607"/>
                            <a:gd name="connsiteY1" fmla="*/ 611890 h 1374354"/>
                            <a:gd name="connsiteX2" fmla="*/ 1372195 w 1380607"/>
                            <a:gd name="connsiteY2" fmla="*/ 1374354 h 1374354"/>
                            <a:gd name="connsiteX0" fmla="*/ 387294 w 1380607"/>
                            <a:gd name="connsiteY0" fmla="*/ 364977 h 1815663"/>
                            <a:gd name="connsiteX1" fmla="*/ 1266098 w 1380607"/>
                            <a:gd name="connsiteY1" fmla="*/ 611890 h 1815663"/>
                            <a:gd name="connsiteX2" fmla="*/ 1372195 w 1380607"/>
                            <a:gd name="connsiteY2" fmla="*/ 1374354 h 1815663"/>
                            <a:gd name="connsiteX3" fmla="*/ 751955 w 1380607"/>
                            <a:gd name="connsiteY3" fmla="*/ 1206026 h 1815663"/>
                            <a:gd name="connsiteX4" fmla="*/ 387294 w 1380607"/>
                            <a:gd name="connsiteY4" fmla="*/ 364977 h 1815663"/>
                            <a:gd name="connsiteX0" fmla="*/ 0 w 1380607"/>
                            <a:gd name="connsiteY0" fmla="*/ 132156 h 1815663"/>
                            <a:gd name="connsiteX1" fmla="*/ 1266098 w 1380607"/>
                            <a:gd name="connsiteY1" fmla="*/ 611890 h 1815663"/>
                            <a:gd name="connsiteX2" fmla="*/ 1048045 w 1380607"/>
                            <a:gd name="connsiteY2" fmla="*/ 1815663 h 1815663"/>
                            <a:gd name="connsiteX0" fmla="*/ 387294 w 1380607"/>
                            <a:gd name="connsiteY0" fmla="*/ 364977 h 1815663"/>
                            <a:gd name="connsiteX1" fmla="*/ 1266098 w 1380607"/>
                            <a:gd name="connsiteY1" fmla="*/ 611890 h 1815663"/>
                            <a:gd name="connsiteX2" fmla="*/ 1372195 w 1380607"/>
                            <a:gd name="connsiteY2" fmla="*/ 1374354 h 1815663"/>
                            <a:gd name="connsiteX3" fmla="*/ 751955 w 1380607"/>
                            <a:gd name="connsiteY3" fmla="*/ 1206026 h 1815663"/>
                            <a:gd name="connsiteX4" fmla="*/ 387294 w 1380607"/>
                            <a:gd name="connsiteY4" fmla="*/ 364977 h 1815663"/>
                            <a:gd name="connsiteX0" fmla="*/ 0 w 1380607"/>
                            <a:gd name="connsiteY0" fmla="*/ 132156 h 1815663"/>
                            <a:gd name="connsiteX1" fmla="*/ 1266098 w 1380607"/>
                            <a:gd name="connsiteY1" fmla="*/ 611890 h 1815663"/>
                            <a:gd name="connsiteX2" fmla="*/ 1048045 w 1380607"/>
                            <a:gd name="connsiteY2" fmla="*/ 1815663 h 1815663"/>
                            <a:gd name="connsiteX0" fmla="*/ 387294 w 1380607"/>
                            <a:gd name="connsiteY0" fmla="*/ 304560 h 1755246"/>
                            <a:gd name="connsiteX1" fmla="*/ 1266098 w 1380607"/>
                            <a:gd name="connsiteY1" fmla="*/ 551473 h 1755246"/>
                            <a:gd name="connsiteX2" fmla="*/ 1372195 w 1380607"/>
                            <a:gd name="connsiteY2" fmla="*/ 1313937 h 1755246"/>
                            <a:gd name="connsiteX3" fmla="*/ 751955 w 1380607"/>
                            <a:gd name="connsiteY3" fmla="*/ 1145609 h 1755246"/>
                            <a:gd name="connsiteX4" fmla="*/ 387294 w 1380607"/>
                            <a:gd name="connsiteY4" fmla="*/ 304560 h 1755246"/>
                            <a:gd name="connsiteX0" fmla="*/ 0 w 1380607"/>
                            <a:gd name="connsiteY0" fmla="*/ 71739 h 1755246"/>
                            <a:gd name="connsiteX1" fmla="*/ 1266098 w 1380607"/>
                            <a:gd name="connsiteY1" fmla="*/ 551473 h 1755246"/>
                            <a:gd name="connsiteX2" fmla="*/ 1048045 w 1380607"/>
                            <a:gd name="connsiteY2" fmla="*/ 1755246 h 1755246"/>
                            <a:gd name="connsiteX0" fmla="*/ 387294 w 1380607"/>
                            <a:gd name="connsiteY0" fmla="*/ 346497 h 1797183"/>
                            <a:gd name="connsiteX1" fmla="*/ 1266098 w 1380607"/>
                            <a:gd name="connsiteY1" fmla="*/ 593410 h 1797183"/>
                            <a:gd name="connsiteX2" fmla="*/ 1372195 w 1380607"/>
                            <a:gd name="connsiteY2" fmla="*/ 1355874 h 1797183"/>
                            <a:gd name="connsiteX3" fmla="*/ 751955 w 1380607"/>
                            <a:gd name="connsiteY3" fmla="*/ 1187546 h 1797183"/>
                            <a:gd name="connsiteX4" fmla="*/ 387294 w 1380607"/>
                            <a:gd name="connsiteY4" fmla="*/ 346497 h 1797183"/>
                            <a:gd name="connsiteX0" fmla="*/ 0 w 1380607"/>
                            <a:gd name="connsiteY0" fmla="*/ 113676 h 1797183"/>
                            <a:gd name="connsiteX1" fmla="*/ 1266098 w 1380607"/>
                            <a:gd name="connsiteY1" fmla="*/ 593410 h 1797183"/>
                            <a:gd name="connsiteX2" fmla="*/ 1048045 w 1380607"/>
                            <a:gd name="connsiteY2" fmla="*/ 1797183 h 1797183"/>
                            <a:gd name="connsiteX0" fmla="*/ 387294 w 1380607"/>
                            <a:gd name="connsiteY0" fmla="*/ 335696 h 1786382"/>
                            <a:gd name="connsiteX1" fmla="*/ 1266098 w 1380607"/>
                            <a:gd name="connsiteY1" fmla="*/ 582609 h 1786382"/>
                            <a:gd name="connsiteX2" fmla="*/ 1372195 w 1380607"/>
                            <a:gd name="connsiteY2" fmla="*/ 1345073 h 1786382"/>
                            <a:gd name="connsiteX3" fmla="*/ 751955 w 1380607"/>
                            <a:gd name="connsiteY3" fmla="*/ 1176745 h 1786382"/>
                            <a:gd name="connsiteX4" fmla="*/ 387294 w 1380607"/>
                            <a:gd name="connsiteY4" fmla="*/ 335696 h 1786382"/>
                            <a:gd name="connsiteX0" fmla="*/ 0 w 1380607"/>
                            <a:gd name="connsiteY0" fmla="*/ 102875 h 1786382"/>
                            <a:gd name="connsiteX1" fmla="*/ 1109329 w 1380607"/>
                            <a:gd name="connsiteY1" fmla="*/ 647598 h 1786382"/>
                            <a:gd name="connsiteX2" fmla="*/ 1048045 w 1380607"/>
                            <a:gd name="connsiteY2" fmla="*/ 1786382 h 1786382"/>
                            <a:gd name="connsiteX0" fmla="*/ 387294 w 1380607"/>
                            <a:gd name="connsiteY0" fmla="*/ 335696 h 1786382"/>
                            <a:gd name="connsiteX1" fmla="*/ 1266098 w 1380607"/>
                            <a:gd name="connsiteY1" fmla="*/ 582609 h 1786382"/>
                            <a:gd name="connsiteX2" fmla="*/ 1372195 w 1380607"/>
                            <a:gd name="connsiteY2" fmla="*/ 1345073 h 1786382"/>
                            <a:gd name="connsiteX3" fmla="*/ 751955 w 1380607"/>
                            <a:gd name="connsiteY3" fmla="*/ 1176745 h 1786382"/>
                            <a:gd name="connsiteX4" fmla="*/ 387294 w 1380607"/>
                            <a:gd name="connsiteY4" fmla="*/ 335696 h 1786382"/>
                            <a:gd name="connsiteX0" fmla="*/ 0 w 1380607"/>
                            <a:gd name="connsiteY0" fmla="*/ 102875 h 1786382"/>
                            <a:gd name="connsiteX1" fmla="*/ 1109329 w 1380607"/>
                            <a:gd name="connsiteY1" fmla="*/ 647598 h 1786382"/>
                            <a:gd name="connsiteX2" fmla="*/ 1048045 w 1380607"/>
                            <a:gd name="connsiteY2" fmla="*/ 1786382 h 1786382"/>
                            <a:gd name="connsiteX0" fmla="*/ 387294 w 1380607"/>
                            <a:gd name="connsiteY0" fmla="*/ 277324 h 1728010"/>
                            <a:gd name="connsiteX1" fmla="*/ 1266098 w 1380607"/>
                            <a:gd name="connsiteY1" fmla="*/ 524237 h 1728010"/>
                            <a:gd name="connsiteX2" fmla="*/ 1372195 w 1380607"/>
                            <a:gd name="connsiteY2" fmla="*/ 1286701 h 1728010"/>
                            <a:gd name="connsiteX3" fmla="*/ 751955 w 1380607"/>
                            <a:gd name="connsiteY3" fmla="*/ 1118373 h 1728010"/>
                            <a:gd name="connsiteX4" fmla="*/ 387294 w 1380607"/>
                            <a:gd name="connsiteY4" fmla="*/ 277324 h 1728010"/>
                            <a:gd name="connsiteX0" fmla="*/ 0 w 1380607"/>
                            <a:gd name="connsiteY0" fmla="*/ 44503 h 1728010"/>
                            <a:gd name="connsiteX1" fmla="*/ 1109329 w 1380607"/>
                            <a:gd name="connsiteY1" fmla="*/ 589226 h 1728010"/>
                            <a:gd name="connsiteX2" fmla="*/ 1048045 w 1380607"/>
                            <a:gd name="connsiteY2" fmla="*/ 1728010 h 1728010"/>
                            <a:gd name="connsiteX0" fmla="*/ 387294 w 1380607"/>
                            <a:gd name="connsiteY0" fmla="*/ 234123 h 1684809"/>
                            <a:gd name="connsiteX1" fmla="*/ 1266098 w 1380607"/>
                            <a:gd name="connsiteY1" fmla="*/ 481036 h 1684809"/>
                            <a:gd name="connsiteX2" fmla="*/ 1372195 w 1380607"/>
                            <a:gd name="connsiteY2" fmla="*/ 1243500 h 1684809"/>
                            <a:gd name="connsiteX3" fmla="*/ 751955 w 1380607"/>
                            <a:gd name="connsiteY3" fmla="*/ 1075172 h 1684809"/>
                            <a:gd name="connsiteX4" fmla="*/ 387294 w 1380607"/>
                            <a:gd name="connsiteY4" fmla="*/ 234123 h 1684809"/>
                            <a:gd name="connsiteX0" fmla="*/ 0 w 1380607"/>
                            <a:gd name="connsiteY0" fmla="*/ 1302 h 1684809"/>
                            <a:gd name="connsiteX1" fmla="*/ 1109329 w 1380607"/>
                            <a:gd name="connsiteY1" fmla="*/ 546025 h 1684809"/>
                            <a:gd name="connsiteX2" fmla="*/ 1048045 w 1380607"/>
                            <a:gd name="connsiteY2" fmla="*/ 1684809 h 1684809"/>
                            <a:gd name="connsiteX0" fmla="*/ 387294 w 1380607"/>
                            <a:gd name="connsiteY0" fmla="*/ 234013 h 1684699"/>
                            <a:gd name="connsiteX1" fmla="*/ 1266098 w 1380607"/>
                            <a:gd name="connsiteY1" fmla="*/ 480926 h 1684699"/>
                            <a:gd name="connsiteX2" fmla="*/ 1372195 w 1380607"/>
                            <a:gd name="connsiteY2" fmla="*/ 1243390 h 1684699"/>
                            <a:gd name="connsiteX3" fmla="*/ 751955 w 1380607"/>
                            <a:gd name="connsiteY3" fmla="*/ 1075062 h 1684699"/>
                            <a:gd name="connsiteX4" fmla="*/ 387294 w 1380607"/>
                            <a:gd name="connsiteY4" fmla="*/ 234013 h 1684699"/>
                            <a:gd name="connsiteX0" fmla="*/ 0 w 1380607"/>
                            <a:gd name="connsiteY0" fmla="*/ 1192 h 1684699"/>
                            <a:gd name="connsiteX1" fmla="*/ 1074487 w 1380607"/>
                            <a:gd name="connsiteY1" fmla="*/ 556916 h 1684699"/>
                            <a:gd name="connsiteX2" fmla="*/ 1048045 w 1380607"/>
                            <a:gd name="connsiteY2" fmla="*/ 1684699 h 1684699"/>
                            <a:gd name="connsiteX0" fmla="*/ 387294 w 1380607"/>
                            <a:gd name="connsiteY0" fmla="*/ 234013 h 1684699"/>
                            <a:gd name="connsiteX1" fmla="*/ 1266098 w 1380607"/>
                            <a:gd name="connsiteY1" fmla="*/ 480926 h 1684699"/>
                            <a:gd name="connsiteX2" fmla="*/ 1372195 w 1380607"/>
                            <a:gd name="connsiteY2" fmla="*/ 1243390 h 1684699"/>
                            <a:gd name="connsiteX3" fmla="*/ 751955 w 1380607"/>
                            <a:gd name="connsiteY3" fmla="*/ 1075062 h 1684699"/>
                            <a:gd name="connsiteX4" fmla="*/ 387294 w 1380607"/>
                            <a:gd name="connsiteY4" fmla="*/ 234013 h 1684699"/>
                            <a:gd name="connsiteX0" fmla="*/ 0 w 1380607"/>
                            <a:gd name="connsiteY0" fmla="*/ 1192 h 1684699"/>
                            <a:gd name="connsiteX1" fmla="*/ 1074487 w 1380607"/>
                            <a:gd name="connsiteY1" fmla="*/ 556916 h 1684699"/>
                            <a:gd name="connsiteX2" fmla="*/ 1048045 w 1380607"/>
                            <a:gd name="connsiteY2" fmla="*/ 1684699 h 1684699"/>
                            <a:gd name="connsiteX0" fmla="*/ 387294 w 1377626"/>
                            <a:gd name="connsiteY0" fmla="*/ 234013 h 1684699"/>
                            <a:gd name="connsiteX1" fmla="*/ 1266098 w 1377626"/>
                            <a:gd name="connsiteY1" fmla="*/ 480926 h 1684699"/>
                            <a:gd name="connsiteX2" fmla="*/ 1347949 w 1377626"/>
                            <a:gd name="connsiteY2" fmla="*/ 1200171 h 1684699"/>
                            <a:gd name="connsiteX3" fmla="*/ 751955 w 1377626"/>
                            <a:gd name="connsiteY3" fmla="*/ 1075062 h 1684699"/>
                            <a:gd name="connsiteX4" fmla="*/ 387294 w 1377626"/>
                            <a:gd name="connsiteY4" fmla="*/ 234013 h 1684699"/>
                            <a:gd name="connsiteX0" fmla="*/ 0 w 1377626"/>
                            <a:gd name="connsiteY0" fmla="*/ 1192 h 1684699"/>
                            <a:gd name="connsiteX1" fmla="*/ 1074487 w 1377626"/>
                            <a:gd name="connsiteY1" fmla="*/ 556916 h 1684699"/>
                            <a:gd name="connsiteX2" fmla="*/ 1048045 w 1377626"/>
                            <a:gd name="connsiteY2" fmla="*/ 1684699 h 1684699"/>
                            <a:gd name="connsiteX0" fmla="*/ 387294 w 1377626"/>
                            <a:gd name="connsiteY0" fmla="*/ 234252 h 1684938"/>
                            <a:gd name="connsiteX1" fmla="*/ 1266098 w 1377626"/>
                            <a:gd name="connsiteY1" fmla="*/ 481165 h 1684938"/>
                            <a:gd name="connsiteX2" fmla="*/ 1347949 w 1377626"/>
                            <a:gd name="connsiteY2" fmla="*/ 1200410 h 1684938"/>
                            <a:gd name="connsiteX3" fmla="*/ 751955 w 1377626"/>
                            <a:gd name="connsiteY3" fmla="*/ 1075301 h 1684938"/>
                            <a:gd name="connsiteX4" fmla="*/ 387294 w 1377626"/>
                            <a:gd name="connsiteY4" fmla="*/ 234252 h 1684938"/>
                            <a:gd name="connsiteX0" fmla="*/ 0 w 1377626"/>
                            <a:gd name="connsiteY0" fmla="*/ 1431 h 1684938"/>
                            <a:gd name="connsiteX1" fmla="*/ 1074487 w 1377626"/>
                            <a:gd name="connsiteY1" fmla="*/ 557155 h 1684938"/>
                            <a:gd name="connsiteX2" fmla="*/ 1048045 w 1377626"/>
                            <a:gd name="connsiteY2" fmla="*/ 1684938 h 1684938"/>
                            <a:gd name="connsiteX0" fmla="*/ 387294 w 1377626"/>
                            <a:gd name="connsiteY0" fmla="*/ 234252 h 1684938"/>
                            <a:gd name="connsiteX1" fmla="*/ 1266098 w 1377626"/>
                            <a:gd name="connsiteY1" fmla="*/ 481165 h 1684938"/>
                            <a:gd name="connsiteX2" fmla="*/ 1347949 w 1377626"/>
                            <a:gd name="connsiteY2" fmla="*/ 1200410 h 1684938"/>
                            <a:gd name="connsiteX3" fmla="*/ 751955 w 1377626"/>
                            <a:gd name="connsiteY3" fmla="*/ 1075301 h 1684938"/>
                            <a:gd name="connsiteX4" fmla="*/ 387294 w 1377626"/>
                            <a:gd name="connsiteY4" fmla="*/ 234252 h 1684938"/>
                            <a:gd name="connsiteX0" fmla="*/ 0 w 1377626"/>
                            <a:gd name="connsiteY0" fmla="*/ 1431 h 1684938"/>
                            <a:gd name="connsiteX1" fmla="*/ 1074487 w 1377626"/>
                            <a:gd name="connsiteY1" fmla="*/ 557155 h 1684938"/>
                            <a:gd name="connsiteX2" fmla="*/ 1048045 w 1377626"/>
                            <a:gd name="connsiteY2" fmla="*/ 1684938 h 1684938"/>
                            <a:gd name="connsiteX0" fmla="*/ 387294 w 1377626"/>
                            <a:gd name="connsiteY0" fmla="*/ 234252 h 1684938"/>
                            <a:gd name="connsiteX1" fmla="*/ 1266098 w 1377626"/>
                            <a:gd name="connsiteY1" fmla="*/ 481165 h 1684938"/>
                            <a:gd name="connsiteX2" fmla="*/ 1347949 w 1377626"/>
                            <a:gd name="connsiteY2" fmla="*/ 1200410 h 1684938"/>
                            <a:gd name="connsiteX3" fmla="*/ 751955 w 1377626"/>
                            <a:gd name="connsiteY3" fmla="*/ 1075301 h 1684938"/>
                            <a:gd name="connsiteX4" fmla="*/ 387294 w 1377626"/>
                            <a:gd name="connsiteY4" fmla="*/ 234252 h 1684938"/>
                            <a:gd name="connsiteX0" fmla="*/ 0 w 1377626"/>
                            <a:gd name="connsiteY0" fmla="*/ 1431 h 1684938"/>
                            <a:gd name="connsiteX1" fmla="*/ 1074487 w 1377626"/>
                            <a:gd name="connsiteY1" fmla="*/ 557155 h 1684938"/>
                            <a:gd name="connsiteX2" fmla="*/ 1048045 w 1377626"/>
                            <a:gd name="connsiteY2" fmla="*/ 1684938 h 1684938"/>
                            <a:gd name="connsiteX0" fmla="*/ 387294 w 1377626"/>
                            <a:gd name="connsiteY0" fmla="*/ 234252 h 1684938"/>
                            <a:gd name="connsiteX1" fmla="*/ 1266098 w 1377626"/>
                            <a:gd name="connsiteY1" fmla="*/ 481165 h 1684938"/>
                            <a:gd name="connsiteX2" fmla="*/ 1347949 w 1377626"/>
                            <a:gd name="connsiteY2" fmla="*/ 1200410 h 1684938"/>
                            <a:gd name="connsiteX3" fmla="*/ 751955 w 1377626"/>
                            <a:gd name="connsiteY3" fmla="*/ 1075301 h 1684938"/>
                            <a:gd name="connsiteX4" fmla="*/ 387294 w 1377626"/>
                            <a:gd name="connsiteY4" fmla="*/ 234252 h 1684938"/>
                            <a:gd name="connsiteX0" fmla="*/ 0 w 1377626"/>
                            <a:gd name="connsiteY0" fmla="*/ 1431 h 1684938"/>
                            <a:gd name="connsiteX1" fmla="*/ 1074487 w 1377626"/>
                            <a:gd name="connsiteY1" fmla="*/ 557155 h 1684938"/>
                            <a:gd name="connsiteX2" fmla="*/ 1048045 w 1377626"/>
                            <a:gd name="connsiteY2" fmla="*/ 1684938 h 1684938"/>
                            <a:gd name="connsiteX0" fmla="*/ 387294 w 1377626"/>
                            <a:gd name="connsiteY0" fmla="*/ 234252 h 1684938"/>
                            <a:gd name="connsiteX1" fmla="*/ 1266098 w 1377626"/>
                            <a:gd name="connsiteY1" fmla="*/ 481165 h 1684938"/>
                            <a:gd name="connsiteX2" fmla="*/ 1347949 w 1377626"/>
                            <a:gd name="connsiteY2" fmla="*/ 1200410 h 1684938"/>
                            <a:gd name="connsiteX3" fmla="*/ 751955 w 1377626"/>
                            <a:gd name="connsiteY3" fmla="*/ 1075301 h 1684938"/>
                            <a:gd name="connsiteX4" fmla="*/ 387294 w 1377626"/>
                            <a:gd name="connsiteY4" fmla="*/ 234252 h 1684938"/>
                            <a:gd name="connsiteX0" fmla="*/ 0 w 1377626"/>
                            <a:gd name="connsiteY0" fmla="*/ 1431 h 1684938"/>
                            <a:gd name="connsiteX1" fmla="*/ 1074487 w 1377626"/>
                            <a:gd name="connsiteY1" fmla="*/ 557155 h 1684938"/>
                            <a:gd name="connsiteX2" fmla="*/ 1048045 w 1377626"/>
                            <a:gd name="connsiteY2" fmla="*/ 1684938 h 1684938"/>
                          </a:gdLst>
                          <a:ahLst/>
                          <a:cxnLst>
                            <a:cxn ang="0">
                              <a:pos x="connsiteX0" y="connsiteY0"/>
                            </a:cxn>
                            <a:cxn ang="0">
                              <a:pos x="connsiteX1" y="connsiteY1"/>
                            </a:cxn>
                            <a:cxn ang="0">
                              <a:pos x="connsiteX2" y="connsiteY2"/>
                            </a:cxn>
                          </a:cxnLst>
                          <a:rect l="l" t="t" r="r" b="b"/>
                          <a:pathLst>
                            <a:path w="1377626" h="1684938" stroke="0" extrusionOk="0">
                              <a:moveTo>
                                <a:pt x="387294" y="234252"/>
                              </a:moveTo>
                              <a:cubicBezTo>
                                <a:pt x="671244" y="-97857"/>
                                <a:pt x="1105989" y="320139"/>
                                <a:pt x="1266098" y="481165"/>
                              </a:cubicBezTo>
                              <a:cubicBezTo>
                                <a:pt x="1426207" y="642191"/>
                                <a:pt x="1374828" y="933238"/>
                                <a:pt x="1347949" y="1200410"/>
                              </a:cubicBezTo>
                              <a:lnTo>
                                <a:pt x="751955" y="1075301"/>
                              </a:lnTo>
                              <a:lnTo>
                                <a:pt x="387294" y="234252"/>
                              </a:lnTo>
                              <a:close/>
                            </a:path>
                            <a:path w="1377626" h="1684938" fill="none">
                              <a:moveTo>
                                <a:pt x="0" y="1431"/>
                              </a:moveTo>
                              <a:cubicBezTo>
                                <a:pt x="465873" y="-12367"/>
                                <a:pt x="814570" y="66426"/>
                                <a:pt x="1074487" y="557155"/>
                              </a:cubicBezTo>
                              <a:cubicBezTo>
                                <a:pt x="1152138" y="731252"/>
                                <a:pt x="1315950" y="1088400"/>
                                <a:pt x="1048045" y="1684938"/>
                              </a:cubicBezTo>
                            </a:path>
                          </a:pathLst>
                        </a:custGeom>
                        <a:noFill/>
                        <a:ln w="34925" cap="flat" cmpd="sng" algn="ctr">
                          <a:solidFill>
                            <a:srgbClr val="156082"/>
                          </a:solidFill>
                          <a:prstDash val="solid"/>
                          <a:miter lim="800000"/>
                          <a:headEnd type="stealth"/>
                          <a:tailEnd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1EFE0" id="Łuk 41" o:spid="_x0000_s1026" style="position:absolute;margin-left:131.9pt;margin-top:18.4pt;width:98pt;height:116.8pt;rotation:-9834769fd;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7626,1684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" path="m387294,234252nsc671244,-97857,1105989,320139,1266098,481165v160109,161026,108730,452073,81851,719245l751955,1075301,387294,234252xem,1431nfc465873,-12367,814570,66426,1074487,557155v77651,174097,241463,531245,-26442,1127783e" filled="f" strokecolor="#156082" strokeweight="2.75pt">
                <v:stroke startarrow="classic" endarrowwidth="wide" endarrowlength="long" joinstyle="miter"/>
                <v:path arrowok="t" o:connecttype="custom" o:connectlocs="0,1260;970974,490449;947079,1483208" o:connectangles="0,0,0"/>
              </v:shape>
            </w:pict>
          </mc:Fallback>
        </mc:AlternateContent>
      </w:r>
    </w:p>
    <w:p w14:paraId="0A2621A8"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27200" behindDoc="0" locked="0" layoutInCell="1" allowOverlap="1" wp14:anchorId="3EC5C7AB" wp14:editId="4489B706">
                <wp:simplePos x="0" y="0"/>
                <wp:positionH relativeFrom="column">
                  <wp:posOffset>3065043</wp:posOffset>
                </wp:positionH>
                <wp:positionV relativeFrom="paragraph">
                  <wp:posOffset>225577</wp:posOffset>
                </wp:positionV>
                <wp:extent cx="1060704" cy="0"/>
                <wp:effectExtent l="0" t="0" r="0" b="0"/>
                <wp:wrapNone/>
                <wp:docPr id="384267622" name="Łącznik prosty 42"/>
                <wp:cNvGraphicFramePr/>
                <a:graphic xmlns:a="http://schemas.openxmlformats.org/drawingml/2006/main">
                  <a:graphicData uri="http://schemas.microsoft.com/office/word/2010/wordprocessingShape">
                    <wps:wsp>
                      <wps:cNvCnPr/>
                      <wps:spPr>
                        <a:xfrm flipV="1">
                          <a:off x="0" y="0"/>
                          <a:ext cx="1060704" cy="0"/>
                        </a:xfrm>
                        <a:prstGeom prst="line">
                          <a:avLst/>
                        </a:prstGeom>
                        <a:noFill/>
                        <a:ln w="22225" cap="flat" cmpd="sng" algn="ctr">
                          <a:solidFill>
                            <a:srgbClr val="156082"/>
                          </a:solidFill>
                          <a:prstDash val="dash"/>
                          <a:miter lim="800000"/>
                        </a:ln>
                        <a:effectLst/>
                      </wps:spPr>
                      <wps:bodyPr/>
                    </wps:wsp>
                  </a:graphicData>
                </a:graphic>
                <wp14:sizeRelH relativeFrom="margin">
                  <wp14:pctWidth>0</wp14:pctWidth>
                </wp14:sizeRelH>
              </wp:anchor>
            </w:drawing>
          </mc:Choice>
          <mc:Fallback>
            <w:pict>
              <v:line w14:anchorId="3CFB509A" id="Łącznik prosty 42" o:spid="_x0000_s1026" style="position:absolute;flip:y;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35pt,17.75pt" to="324.8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" strokecolor="#156082" strokeweight="1.75pt">
                <v:stroke dashstyle="dash" joinstyle="miter"/>
              </v:line>
            </w:pict>
          </mc:Fallback>
        </mc:AlternateContent>
      </w:r>
      <w:r w:rsidRPr="00DB6AED">
        <w:rPr>
          <w:noProof/>
        </w:rPr>
        <mc:AlternateContent>
          <mc:Choice Requires="wps">
            <w:drawing>
              <wp:anchor distT="0" distB="0" distL="114300" distR="114300" simplePos="0" relativeHeight="251821056" behindDoc="0" locked="0" layoutInCell="1" allowOverlap="1" wp14:anchorId="723F3B17" wp14:editId="7ECAE05B">
                <wp:simplePos x="0" y="0"/>
                <wp:positionH relativeFrom="column">
                  <wp:posOffset>2836862</wp:posOffset>
                </wp:positionH>
                <wp:positionV relativeFrom="paragraph">
                  <wp:posOffset>184390</wp:posOffset>
                </wp:positionV>
                <wp:extent cx="416966" cy="81184"/>
                <wp:effectExtent l="15557" t="22543" r="37148" b="18097"/>
                <wp:wrapNone/>
                <wp:docPr id="969246899" name="Strzałka: w prawo 39"/>
                <wp:cNvGraphicFramePr/>
                <a:graphic xmlns:a="http://schemas.openxmlformats.org/drawingml/2006/main">
                  <a:graphicData uri="http://schemas.microsoft.com/office/word/2010/wordprocessingShape">
                    <wps:wsp>
                      <wps:cNvSpPr/>
                      <wps:spPr>
                        <a:xfrm rot="16200000">
                          <a:off x="0" y="0"/>
                          <a:ext cx="416966" cy="81184"/>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C1663B" id="Strzałka: w prawo 39" o:spid="_x0000_s1026" type="#_x0000_t13" style="position:absolute;margin-left:223.35pt;margin-top:14.5pt;width:32.85pt;height:6.4pt;rotation:-90;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" adj="19497" fillcolor="#156082" strokecolor="#042433" strokeweight="1pt"/>
            </w:pict>
          </mc:Fallback>
        </mc:AlternateContent>
      </w:r>
    </w:p>
    <w:p w14:paraId="73E5E11A"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30272" behindDoc="0" locked="0" layoutInCell="1" allowOverlap="1" wp14:anchorId="480DFEC4" wp14:editId="5BF37AD8">
                <wp:simplePos x="0" y="0"/>
                <wp:positionH relativeFrom="column">
                  <wp:posOffset>1521219</wp:posOffset>
                </wp:positionH>
                <wp:positionV relativeFrom="paragraph">
                  <wp:posOffset>238989</wp:posOffset>
                </wp:positionV>
                <wp:extent cx="350520" cy="352425"/>
                <wp:effectExtent l="0" t="0" r="0" b="0"/>
                <wp:wrapNone/>
                <wp:docPr id="1661977332" name="Pole tekstowe 24"/>
                <wp:cNvGraphicFramePr/>
                <a:graphic xmlns:a="http://schemas.openxmlformats.org/drawingml/2006/main">
                  <a:graphicData uri="http://schemas.microsoft.com/office/word/2010/wordprocessingShape">
                    <wps:wsp>
                      <wps:cNvSpPr txBox="1"/>
                      <wps:spPr>
                        <a:xfrm>
                          <a:off x="0" y="0"/>
                          <a:ext cx="350520" cy="352425"/>
                        </a:xfrm>
                        <a:prstGeom prst="rect">
                          <a:avLst/>
                        </a:prstGeom>
                        <a:solidFill>
                          <a:sysClr val="window" lastClr="FFFFFF">
                            <a:alpha val="0"/>
                          </a:sysClr>
                        </a:solidFill>
                        <a:ln w="6350">
                          <a:noFill/>
                        </a:ln>
                      </wps:spPr>
                      <wps:txbx>
                        <w:txbxContent>
                          <w:p w14:paraId="755E22A0" w14:textId="77777777" w:rsidR="008D28A7" w:rsidRPr="00AF1337" w:rsidRDefault="008D28A7" w:rsidP="008D28A7">
                            <w:pPr>
                              <w:rPr>
                                <w:b/>
                                <w:bCs/>
                                <w:sz w:val="28"/>
                                <w:szCs w:val="28"/>
                              </w:rPr>
                            </w:pPr>
                            <w:r w:rsidRPr="00AF1337">
                              <w:rPr>
                                <w:b/>
                                <w:bCs/>
                                <w:sz w:val="28"/>
                                <w:szCs w:val="28"/>
                              </w:rPr>
                              <w:t>F</w:t>
                            </w:r>
                            <w:r>
                              <w:rPr>
                                <w:b/>
                                <w:bCs/>
                                <w:sz w:val="28"/>
                                <w:szCs w:val="28"/>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DFEC4" id="_x0000_s1050" type="#_x0000_t202" style="position:absolute;margin-left:119.8pt;margin-top:18.8pt;width:27.6pt;height:27.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" fillcolor="window" stroked="f" strokeweight=".5pt">
                <v:fill opacity="0"/>
                <v:textbox>
                  <w:txbxContent>
                    <w:p w14:paraId="755E22A0" w14:textId="77777777" w:rsidR="008D28A7" w:rsidRPr="00AF1337" w:rsidRDefault="008D28A7" w:rsidP="008D28A7">
                      <w:pPr>
                        <w:rPr>
                          <w:b/>
                          <w:bCs/>
                          <w:sz w:val="28"/>
                          <w:szCs w:val="28"/>
                        </w:rPr>
                      </w:pPr>
                      <w:r w:rsidRPr="00AF1337">
                        <w:rPr>
                          <w:b/>
                          <w:bCs/>
                          <w:sz w:val="28"/>
                          <w:szCs w:val="28"/>
                        </w:rPr>
                        <w:t>F</w:t>
                      </w:r>
                      <w:r>
                        <w:rPr>
                          <w:b/>
                          <w:bCs/>
                          <w:sz w:val="28"/>
                          <w:szCs w:val="28"/>
                          <w:vertAlign w:val="subscript"/>
                        </w:rPr>
                        <w:t>1</w:t>
                      </w:r>
                    </w:p>
                  </w:txbxContent>
                </v:textbox>
              </v:shape>
            </w:pict>
          </mc:Fallback>
        </mc:AlternateContent>
      </w:r>
      <w:r w:rsidRPr="00DB6AED">
        <w:rPr>
          <w:noProof/>
        </w:rPr>
        <mc:AlternateContent>
          <mc:Choice Requires="wps">
            <w:drawing>
              <wp:anchor distT="0" distB="0" distL="114300" distR="114300" simplePos="0" relativeHeight="251805696" behindDoc="0" locked="0" layoutInCell="1" allowOverlap="1" wp14:anchorId="26BCA1E9" wp14:editId="2D9C41A3">
                <wp:simplePos x="0" y="0"/>
                <wp:positionH relativeFrom="column">
                  <wp:posOffset>2472055</wp:posOffset>
                </wp:positionH>
                <wp:positionV relativeFrom="paragraph">
                  <wp:posOffset>132233</wp:posOffset>
                </wp:positionV>
                <wp:extent cx="1140688" cy="548640"/>
                <wp:effectExtent l="0" t="0" r="21590" b="22860"/>
                <wp:wrapNone/>
                <wp:docPr id="1930809550" name="Pole tekstowe 23"/>
                <wp:cNvGraphicFramePr/>
                <a:graphic xmlns:a="http://schemas.openxmlformats.org/drawingml/2006/main">
                  <a:graphicData uri="http://schemas.microsoft.com/office/word/2010/wordprocessingShape">
                    <wps:wsp>
                      <wps:cNvSpPr txBox="1"/>
                      <wps:spPr>
                        <a:xfrm>
                          <a:off x="0" y="0"/>
                          <a:ext cx="1140688" cy="548640"/>
                        </a:xfrm>
                        <a:prstGeom prst="rect">
                          <a:avLst/>
                        </a:prstGeom>
                        <a:solidFill>
                          <a:sysClr val="window" lastClr="FFFFFF"/>
                        </a:solidFill>
                        <a:ln w="12700" cap="flat" cmpd="sng" algn="ctr">
                          <a:solidFill>
                            <a:srgbClr val="E97132"/>
                          </a:solidFill>
                          <a:prstDash val="solid"/>
                          <a:miter lim="800000"/>
                        </a:ln>
                        <a:effectLst/>
                      </wps:spPr>
                      <wps:txbx>
                        <w:txbxContent>
                          <w:p w14:paraId="3763433F" w14:textId="77777777" w:rsidR="008D28A7" w:rsidRDefault="008D28A7" w:rsidP="008D28A7">
                            <w:pPr>
                              <w:jc w:val="center"/>
                            </w:pPr>
                            <w:r>
                              <w:t xml:space="preserve">Zasięg </w:t>
                            </w:r>
                            <w:r>
                              <w:br/>
                              <w:t>i reakcja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CA1E9" id="_x0000_s1051" type="#_x0000_t202" style="position:absolute;margin-left:194.65pt;margin-top:10.4pt;width:89.8pt;height:43.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" fillcolor="window" strokecolor="#e97132" strokeweight="1pt">
                <v:textbox>
                  <w:txbxContent>
                    <w:p w14:paraId="3763433F" w14:textId="77777777" w:rsidR="008D28A7" w:rsidRDefault="008D28A7" w:rsidP="008D28A7">
                      <w:pPr>
                        <w:jc w:val="center"/>
                      </w:pPr>
                      <w:r>
                        <w:t xml:space="preserve">Zasięg </w:t>
                      </w:r>
                      <w:r>
                        <w:br/>
                        <w:t>i reakcja</w:t>
                      </w:r>
                    </w:p>
                  </w:txbxContent>
                </v:textbox>
              </v:shape>
            </w:pict>
          </mc:Fallback>
        </mc:AlternateContent>
      </w:r>
    </w:p>
    <w:p w14:paraId="54F98FB1"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10816" behindDoc="0" locked="0" layoutInCell="1" allowOverlap="1" wp14:anchorId="5E8EC375" wp14:editId="25ED5704">
                <wp:simplePos x="0" y="0"/>
                <wp:positionH relativeFrom="column">
                  <wp:posOffset>4196991</wp:posOffset>
                </wp:positionH>
                <wp:positionV relativeFrom="paragraph">
                  <wp:posOffset>202206</wp:posOffset>
                </wp:positionV>
                <wp:extent cx="1931213" cy="771838"/>
                <wp:effectExtent l="0" t="0" r="12065" b="28575"/>
                <wp:wrapNone/>
                <wp:docPr id="354744652" name="Pole tekstowe 23"/>
                <wp:cNvGraphicFramePr/>
                <a:graphic xmlns:a="http://schemas.openxmlformats.org/drawingml/2006/main">
                  <a:graphicData uri="http://schemas.microsoft.com/office/word/2010/wordprocessingShape">
                    <wps:wsp>
                      <wps:cNvSpPr txBox="1"/>
                      <wps:spPr>
                        <a:xfrm>
                          <a:off x="0" y="0"/>
                          <a:ext cx="1931213" cy="771838"/>
                        </a:xfrm>
                        <a:prstGeom prst="rect">
                          <a:avLst/>
                        </a:prstGeom>
                        <a:solidFill>
                          <a:sysClr val="window" lastClr="FFFFFF"/>
                        </a:solidFill>
                        <a:ln w="12700" cap="flat" cmpd="sng" algn="ctr">
                          <a:solidFill>
                            <a:srgbClr val="E97132"/>
                          </a:solidFill>
                          <a:prstDash val="solid"/>
                          <a:miter lim="800000"/>
                        </a:ln>
                        <a:effectLst/>
                      </wps:spPr>
                      <wps:txbx>
                        <w:txbxContent>
                          <w:p w14:paraId="761789BF" w14:textId="77777777" w:rsidR="008D28A7" w:rsidRDefault="008D28A7" w:rsidP="008D28A7">
                            <w:pPr>
                              <w:jc w:val="center"/>
                            </w:pPr>
                            <w:r>
                              <w:t>Zasięg i reakcja Założenia dotyczące więzi</w:t>
                            </w:r>
                            <w:r w:rsidRPr="004F2727">
                              <w:t xml:space="preserve"> </w:t>
                            </w:r>
                            <w:r>
                              <w:br/>
                              <w:t>przyczynowych</w:t>
                            </w:r>
                          </w:p>
                          <w:p w14:paraId="000C57A1" w14:textId="77777777" w:rsidR="008D28A7" w:rsidRDefault="008D28A7" w:rsidP="008D28A7">
                            <w:pPr>
                              <w:jc w:val="center"/>
                            </w:pPr>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EC375" id="_x0000_s1052" type="#_x0000_t202" style="position:absolute;margin-left:330.45pt;margin-top:15.9pt;width:152.05pt;height:60.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" fillcolor="window" strokecolor="#e97132" strokeweight="1pt">
                <v:textbox>
                  <w:txbxContent>
                    <w:p w14:paraId="761789BF" w14:textId="77777777" w:rsidR="008D28A7" w:rsidRDefault="008D28A7" w:rsidP="008D28A7">
                      <w:pPr>
                        <w:jc w:val="center"/>
                      </w:pPr>
                      <w:r>
                        <w:t>Zasięg i reakcja Założenia dotyczące więzi</w:t>
                      </w:r>
                      <w:r w:rsidRPr="004F2727">
                        <w:t xml:space="preserve"> </w:t>
                      </w:r>
                      <w:r>
                        <w:br/>
                        <w:t>przyczynowych</w:t>
                      </w:r>
                    </w:p>
                    <w:p w14:paraId="000C57A1" w14:textId="77777777" w:rsidR="008D28A7" w:rsidRDefault="008D28A7" w:rsidP="008D28A7">
                      <w:pPr>
                        <w:jc w:val="center"/>
                      </w:pPr>
                      <w:r>
                        <w:br/>
                      </w:r>
                    </w:p>
                  </w:txbxContent>
                </v:textbox>
              </v:shape>
            </w:pict>
          </mc:Fallback>
        </mc:AlternateContent>
      </w:r>
    </w:p>
    <w:p w14:paraId="050A4CDA"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13888" behindDoc="0" locked="0" layoutInCell="1" allowOverlap="1" wp14:anchorId="1D30036E" wp14:editId="560057AB">
                <wp:simplePos x="0" y="0"/>
                <wp:positionH relativeFrom="column">
                  <wp:posOffset>270180</wp:posOffset>
                </wp:positionH>
                <wp:positionV relativeFrom="paragraph">
                  <wp:posOffset>215366</wp:posOffset>
                </wp:positionV>
                <wp:extent cx="811987" cy="352425"/>
                <wp:effectExtent l="0" t="0" r="7620" b="9525"/>
                <wp:wrapNone/>
                <wp:docPr id="1584720602" name="Pole tekstowe 24"/>
                <wp:cNvGraphicFramePr/>
                <a:graphic xmlns:a="http://schemas.openxmlformats.org/drawingml/2006/main">
                  <a:graphicData uri="http://schemas.microsoft.com/office/word/2010/wordprocessingShape">
                    <wps:wsp>
                      <wps:cNvSpPr txBox="1"/>
                      <wps:spPr>
                        <a:xfrm>
                          <a:off x="0" y="0"/>
                          <a:ext cx="811987" cy="352425"/>
                        </a:xfrm>
                        <a:prstGeom prst="rect">
                          <a:avLst/>
                        </a:prstGeom>
                        <a:solidFill>
                          <a:sysClr val="window" lastClr="FFFFFF"/>
                        </a:solidFill>
                        <a:ln w="6350">
                          <a:noFill/>
                        </a:ln>
                      </wps:spPr>
                      <wps:txbx>
                        <w:txbxContent>
                          <w:p w14:paraId="748A7D0C" w14:textId="77777777" w:rsidR="008D28A7" w:rsidRDefault="008D28A7" w:rsidP="008D28A7">
                            <w:r>
                              <w:t>Oś czasu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0036E" id="_x0000_s1053" type="#_x0000_t202" style="position:absolute;margin-left:21.25pt;margin-top:16.95pt;width:63.95pt;height:27.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" fillcolor="window" stroked="f" strokeweight=".5pt">
                <v:textbox>
                  <w:txbxContent>
                    <w:p w14:paraId="748A7D0C" w14:textId="77777777" w:rsidR="008D28A7" w:rsidRDefault="008D28A7" w:rsidP="008D28A7">
                      <w:r>
                        <w:t>Oś czasu</w:t>
                      </w:r>
                    </w:p>
                  </w:txbxContent>
                </v:textbox>
              </v:shape>
            </w:pict>
          </mc:Fallback>
        </mc:AlternateContent>
      </w:r>
      <w:r w:rsidRPr="00DB6AED">
        <w:rPr>
          <w:noProof/>
        </w:rPr>
        <mc:AlternateContent>
          <mc:Choice Requires="wps">
            <w:drawing>
              <wp:anchor distT="0" distB="0" distL="114300" distR="114300" simplePos="0" relativeHeight="251828224" behindDoc="0" locked="0" layoutInCell="1" allowOverlap="1" wp14:anchorId="66302A9D" wp14:editId="60DFADAA">
                <wp:simplePos x="0" y="0"/>
                <wp:positionH relativeFrom="column">
                  <wp:posOffset>3088056</wp:posOffset>
                </wp:positionH>
                <wp:positionV relativeFrom="paragraph">
                  <wp:posOffset>217856</wp:posOffset>
                </wp:positionV>
                <wp:extent cx="1060704" cy="0"/>
                <wp:effectExtent l="0" t="0" r="0" b="0"/>
                <wp:wrapNone/>
                <wp:docPr id="1801423735" name="Łącznik prosty 42"/>
                <wp:cNvGraphicFramePr/>
                <a:graphic xmlns:a="http://schemas.openxmlformats.org/drawingml/2006/main">
                  <a:graphicData uri="http://schemas.microsoft.com/office/word/2010/wordprocessingShape">
                    <wps:wsp>
                      <wps:cNvCnPr/>
                      <wps:spPr>
                        <a:xfrm flipV="1">
                          <a:off x="0" y="0"/>
                          <a:ext cx="1060704" cy="0"/>
                        </a:xfrm>
                        <a:prstGeom prst="line">
                          <a:avLst/>
                        </a:prstGeom>
                        <a:noFill/>
                        <a:ln w="22225" cap="flat" cmpd="sng" algn="ctr">
                          <a:solidFill>
                            <a:srgbClr val="156082"/>
                          </a:solidFill>
                          <a:prstDash val="dash"/>
                          <a:miter lim="800000"/>
                        </a:ln>
                        <a:effectLst/>
                      </wps:spPr>
                      <wps:bodyPr/>
                    </wps:wsp>
                  </a:graphicData>
                </a:graphic>
                <wp14:sizeRelH relativeFrom="margin">
                  <wp14:pctWidth>0</wp14:pctWidth>
                </wp14:sizeRelH>
              </wp:anchor>
            </w:drawing>
          </mc:Choice>
          <mc:Fallback>
            <w:pict>
              <v:line w14:anchorId="469A4842" id="Łącznik prosty 42" o:spid="_x0000_s1026" style="position:absolute;flip:y;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3.15pt,17.15pt" to="326.6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" strokecolor="#156082" strokeweight="1.75pt">
                <v:stroke dashstyle="dash" joinstyle="miter"/>
              </v:line>
            </w:pict>
          </mc:Fallback>
        </mc:AlternateContent>
      </w:r>
      <w:r w:rsidRPr="00DB6AED">
        <w:rPr>
          <w:noProof/>
        </w:rPr>
        <mc:AlternateContent>
          <mc:Choice Requires="wps">
            <w:drawing>
              <wp:anchor distT="0" distB="0" distL="114300" distR="114300" simplePos="0" relativeHeight="251822080" behindDoc="0" locked="0" layoutInCell="1" allowOverlap="1" wp14:anchorId="00162A6E" wp14:editId="6D665F00">
                <wp:simplePos x="0" y="0"/>
                <wp:positionH relativeFrom="column">
                  <wp:posOffset>2881162</wp:posOffset>
                </wp:positionH>
                <wp:positionV relativeFrom="paragraph">
                  <wp:posOffset>173469</wp:posOffset>
                </wp:positionV>
                <wp:extent cx="332029" cy="83390"/>
                <wp:effectExtent l="9842" t="28258" r="40323" b="21272"/>
                <wp:wrapNone/>
                <wp:docPr id="1647399377" name="Strzałka: w prawo 39"/>
                <wp:cNvGraphicFramePr/>
                <a:graphic xmlns:a="http://schemas.openxmlformats.org/drawingml/2006/main">
                  <a:graphicData uri="http://schemas.microsoft.com/office/word/2010/wordprocessingShape">
                    <wps:wsp>
                      <wps:cNvSpPr/>
                      <wps:spPr>
                        <a:xfrm rot="16200000">
                          <a:off x="0" y="0"/>
                          <a:ext cx="332029" cy="83390"/>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AFDA4" id="Strzałka: w prawo 39" o:spid="_x0000_s1026" type="#_x0000_t13" style="position:absolute;margin-left:226.85pt;margin-top:13.65pt;width:26.15pt;height:6.55pt;rotation:-9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" adj="18888" fillcolor="#156082" strokecolor="#042433" strokeweight="1pt"/>
            </w:pict>
          </mc:Fallback>
        </mc:AlternateContent>
      </w:r>
    </w:p>
    <w:p w14:paraId="7732E89C" w14:textId="77777777" w:rsidR="008D28A7" w:rsidRPr="00DB6AED" w:rsidRDefault="008D28A7" w:rsidP="008D28A7">
      <w:r w:rsidRPr="00DB6AED">
        <w:rPr>
          <w:noProof/>
        </w:rPr>
        <mc:AlternateContent>
          <mc:Choice Requires="wps">
            <w:drawing>
              <wp:anchor distT="0" distB="0" distL="114300" distR="114300" simplePos="0" relativeHeight="251806720" behindDoc="0" locked="0" layoutInCell="1" allowOverlap="1" wp14:anchorId="0B57872E" wp14:editId="37E99A7F">
                <wp:simplePos x="0" y="0"/>
                <wp:positionH relativeFrom="column">
                  <wp:posOffset>2493797</wp:posOffset>
                </wp:positionH>
                <wp:positionV relativeFrom="paragraph">
                  <wp:posOffset>60580</wp:posOffset>
                </wp:positionV>
                <wp:extent cx="1060704" cy="548640"/>
                <wp:effectExtent l="0" t="0" r="25400" b="22860"/>
                <wp:wrapNone/>
                <wp:docPr id="1129927712" name="Pole tekstowe 23"/>
                <wp:cNvGraphicFramePr/>
                <a:graphic xmlns:a="http://schemas.openxmlformats.org/drawingml/2006/main">
                  <a:graphicData uri="http://schemas.microsoft.com/office/word/2010/wordprocessingShape">
                    <wps:wsp>
                      <wps:cNvSpPr txBox="1"/>
                      <wps:spPr>
                        <a:xfrm>
                          <a:off x="0" y="0"/>
                          <a:ext cx="1060704" cy="548640"/>
                        </a:xfrm>
                        <a:prstGeom prst="rect">
                          <a:avLst/>
                        </a:prstGeom>
                        <a:solidFill>
                          <a:sysClr val="window" lastClr="FFFFFF"/>
                        </a:solidFill>
                        <a:ln w="12700" cap="flat" cmpd="sng" algn="ctr">
                          <a:solidFill>
                            <a:srgbClr val="E97132"/>
                          </a:solidFill>
                          <a:prstDash val="solid"/>
                          <a:miter lim="800000"/>
                        </a:ln>
                        <a:effectLst/>
                      </wps:spPr>
                      <wps:txbx>
                        <w:txbxContent>
                          <w:p w14:paraId="7FEC3316" w14:textId="77777777" w:rsidR="008D28A7" w:rsidRDefault="008D28A7" w:rsidP="008D28A7">
                            <w:pPr>
                              <w:jc w:val="center"/>
                            </w:pPr>
                            <w:r>
                              <w:t>Produkty/</w:t>
                            </w:r>
                            <w:r>
                              <w:br/>
                              <w:t>aktywności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7872E" id="_x0000_s1054" type="#_x0000_t202" style="position:absolute;margin-left:196.35pt;margin-top:4.75pt;width:83.5pt;height:43.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" fillcolor="window" strokecolor="#e97132" strokeweight="1pt">
                <v:textbox>
                  <w:txbxContent>
                    <w:p w14:paraId="7FEC3316" w14:textId="77777777" w:rsidR="008D28A7" w:rsidRDefault="008D28A7" w:rsidP="008D28A7">
                      <w:pPr>
                        <w:jc w:val="center"/>
                      </w:pPr>
                      <w:r>
                        <w:t>Produkty/</w:t>
                      </w:r>
                      <w:r>
                        <w:br/>
                        <w:t>aktywności</w:t>
                      </w:r>
                    </w:p>
                  </w:txbxContent>
                </v:textbox>
              </v:shape>
            </w:pict>
          </mc:Fallback>
        </mc:AlternateContent>
      </w:r>
    </w:p>
    <w:bookmarkEnd w:id="1"/>
    <w:p w14:paraId="7712A952" w14:textId="77777777" w:rsidR="008D28A7" w:rsidRPr="00DB6AED" w:rsidRDefault="008D28A7" w:rsidP="008D28A7"/>
    <w:p w14:paraId="21F6AA59" w14:textId="77777777" w:rsidR="008D28A7" w:rsidRPr="00DB6AED" w:rsidRDefault="008D28A7" w:rsidP="008D28A7">
      <w:pPr>
        <w:tabs>
          <w:tab w:val="left" w:pos="1463"/>
        </w:tabs>
        <w:rPr>
          <w:rFonts w:ascii="Times New Roman" w:hAnsi="Times New Roman" w:cs="Times New Roman"/>
          <w:sz w:val="20"/>
          <w:szCs w:val="20"/>
        </w:rPr>
      </w:pPr>
      <w:r w:rsidRPr="00DB6AED">
        <w:rPr>
          <w:rFonts w:ascii="Times New Roman" w:hAnsi="Times New Roman" w:cs="Times New Roman"/>
          <w:noProof/>
        </w:rPr>
        <mc:AlternateContent>
          <mc:Choice Requires="wps">
            <w:drawing>
              <wp:anchor distT="0" distB="0" distL="114300" distR="114300" simplePos="0" relativeHeight="251834368" behindDoc="0" locked="0" layoutInCell="1" allowOverlap="1" wp14:anchorId="17D8C91D" wp14:editId="72A8223E">
                <wp:simplePos x="0" y="0"/>
                <wp:positionH relativeFrom="column">
                  <wp:posOffset>3014045</wp:posOffset>
                </wp:positionH>
                <wp:positionV relativeFrom="paragraph">
                  <wp:posOffset>102235</wp:posOffset>
                </wp:positionV>
                <wp:extent cx="299923" cy="0"/>
                <wp:effectExtent l="0" t="76200" r="24130" b="95250"/>
                <wp:wrapNone/>
                <wp:docPr id="1652740123" name="Łącznik prosty ze strzałką 48"/>
                <wp:cNvGraphicFramePr/>
                <a:graphic xmlns:a="http://schemas.openxmlformats.org/drawingml/2006/main">
                  <a:graphicData uri="http://schemas.microsoft.com/office/word/2010/wordprocessingShape">
                    <wps:wsp>
                      <wps:cNvCnPr/>
                      <wps:spPr>
                        <a:xfrm>
                          <a:off x="0" y="0"/>
                          <a:ext cx="299923" cy="0"/>
                        </a:xfrm>
                        <a:prstGeom prst="straightConnector1">
                          <a:avLst/>
                        </a:prstGeom>
                        <a:noFill/>
                        <a:ln w="6350" cap="flat" cmpd="sng" algn="ctr">
                          <a:solidFill>
                            <a:srgbClr val="156082"/>
                          </a:solidFill>
                          <a:prstDash val="solid"/>
                          <a:miter lim="800000"/>
                          <a:tailEnd type="triangle"/>
                        </a:ln>
                        <a:effectLst/>
                      </wps:spPr>
                      <wps:bodyPr/>
                    </wps:wsp>
                  </a:graphicData>
                </a:graphic>
              </wp:anchor>
            </w:drawing>
          </mc:Choice>
          <mc:Fallback>
            <w:pict>
              <v:shape w14:anchorId="3CDE5D8C" id="Łącznik prosty ze strzałką 48" o:spid="_x0000_s1026" type="#_x0000_t32" style="position:absolute;margin-left:237.35pt;margin-top:8.05pt;width:23.6pt;height:0;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" strokecolor="#156082" strokeweight=".5pt">
                <v:stroke endarrow="block" joinstyle="miter"/>
              </v:shape>
            </w:pict>
          </mc:Fallback>
        </mc:AlternateContent>
      </w:r>
      <w:r w:rsidRPr="00DB6AED">
        <w:rPr>
          <w:rFonts w:ascii="Times New Roman" w:hAnsi="Times New Roman" w:cs="Times New Roman"/>
          <w:noProof/>
        </w:rPr>
        <w:t xml:space="preserve">  </w:t>
      </w:r>
      <w:r w:rsidRPr="00DB6AED">
        <w:rPr>
          <w:rFonts w:ascii="Times New Roman" w:hAnsi="Times New Roman" w:cs="Times New Roman"/>
          <w:sz w:val="20"/>
          <w:szCs w:val="20"/>
        </w:rPr>
        <w:t>Objaśnienia: F</w:t>
      </w:r>
      <w:r w:rsidRPr="00DB6AED">
        <w:rPr>
          <w:rFonts w:ascii="Times New Roman" w:hAnsi="Times New Roman" w:cs="Times New Roman"/>
          <w:sz w:val="20"/>
          <w:szCs w:val="20"/>
          <w:vertAlign w:val="subscript"/>
        </w:rPr>
        <w:t>1</w:t>
      </w:r>
      <w:r w:rsidRPr="00DB6AED">
        <w:rPr>
          <w:rFonts w:ascii="Times New Roman" w:hAnsi="Times New Roman" w:cs="Times New Roman"/>
          <w:sz w:val="20"/>
          <w:szCs w:val="20"/>
        </w:rPr>
        <w:t xml:space="preserve"> i F</w:t>
      </w:r>
      <w:r w:rsidRPr="00DB6AED">
        <w:rPr>
          <w:rFonts w:ascii="Times New Roman" w:hAnsi="Times New Roman" w:cs="Times New Roman"/>
          <w:sz w:val="20"/>
          <w:szCs w:val="20"/>
          <w:vertAlign w:val="subscript"/>
        </w:rPr>
        <w:t>2</w:t>
      </w:r>
      <w:r w:rsidRPr="00DB6AED">
        <w:rPr>
          <w:rFonts w:ascii="Times New Roman" w:hAnsi="Times New Roman" w:cs="Times New Roman"/>
          <w:sz w:val="20"/>
          <w:szCs w:val="20"/>
        </w:rPr>
        <w:t xml:space="preserve"> – możliwe pętle sprzężeń zwrotnych;            założenia dotyczące efektów przyczynowych</w:t>
      </w:r>
    </w:p>
    <w:p w14:paraId="0EF1E00B" w14:textId="77777777" w:rsidR="008D28A7" w:rsidRPr="00DB6AED" w:rsidRDefault="008D28A7" w:rsidP="008D28A7">
      <w:pPr>
        <w:tabs>
          <w:tab w:val="left" w:pos="1463"/>
        </w:tabs>
        <w:rPr>
          <w:rFonts w:ascii="Times New Roman" w:hAnsi="Times New Roman" w:cs="Times New Roman"/>
          <w:i/>
          <w:iCs/>
          <w:lang w:val="en-US"/>
        </w:rPr>
      </w:pPr>
      <w:r w:rsidRPr="00DB6AED">
        <w:rPr>
          <w:rFonts w:ascii="Times New Roman" w:hAnsi="Times New Roman" w:cs="Times New Roman"/>
          <w:i/>
          <w:iCs/>
          <w:lang w:val="en-US"/>
        </w:rPr>
        <w:t>Źródło: Opracowanie własne na podstawie: Mayne J. (2023), Assumptions in theories of change, Evaluation and Program Planning, 98, 102276.</w:t>
      </w:r>
    </w:p>
    <w:p w14:paraId="702CB2F3" w14:textId="77777777" w:rsidR="008D28A7" w:rsidRPr="00DB6AED" w:rsidRDefault="008D28A7" w:rsidP="008D28A7">
      <w:pPr>
        <w:tabs>
          <w:tab w:val="left" w:pos="2028"/>
        </w:tabs>
        <w:rPr>
          <w:rFonts w:ascii="Times New Roman" w:hAnsi="Times New Roman" w:cs="Times New Roman"/>
          <w:sz w:val="28"/>
          <w:szCs w:val="28"/>
          <w:lang w:val="en-US"/>
        </w:rPr>
      </w:pPr>
    </w:p>
    <w:p w14:paraId="7DDA13E0" w14:textId="77777777" w:rsidR="008D28A7" w:rsidRPr="00DB6AED" w:rsidRDefault="008D28A7" w:rsidP="008D28A7">
      <w:pPr>
        <w:jc w:val="right"/>
        <w:rPr>
          <w:rFonts w:ascii="Times New Roman" w:hAnsi="Times New Roman" w:cs="Times New Roman"/>
          <w:noProof/>
          <w:lang w:val="en-US"/>
        </w:rPr>
      </w:pPr>
    </w:p>
    <w:p w14:paraId="32398577" w14:textId="77777777" w:rsidR="008D28A7" w:rsidRPr="00DB6AED" w:rsidRDefault="008D28A7" w:rsidP="008D28A7">
      <w:pPr>
        <w:rPr>
          <w:noProof/>
          <w:sz w:val="28"/>
          <w:szCs w:val="28"/>
        </w:rPr>
      </w:pPr>
      <w:r w:rsidRPr="00DB6AED">
        <w:rPr>
          <w:rFonts w:ascii="Times New Roman" w:hAnsi="Times New Roman" w:cs="Times New Roman"/>
          <w:b/>
          <w:bCs/>
          <w:noProof/>
        </w:rPr>
        <w:lastRenderedPageBreak/>
        <mc:AlternateContent>
          <mc:Choice Requires="wps">
            <w:drawing>
              <wp:anchor distT="0" distB="0" distL="114300" distR="114300" simplePos="0" relativeHeight="251862016" behindDoc="0" locked="0" layoutInCell="1" allowOverlap="1" wp14:anchorId="37369405" wp14:editId="43D94215">
                <wp:simplePos x="0" y="0"/>
                <wp:positionH relativeFrom="column">
                  <wp:posOffset>264212</wp:posOffset>
                </wp:positionH>
                <wp:positionV relativeFrom="paragraph">
                  <wp:posOffset>177063</wp:posOffset>
                </wp:positionV>
                <wp:extent cx="45719" cy="3995878"/>
                <wp:effectExtent l="38100" t="38100" r="69215" b="24130"/>
                <wp:wrapNone/>
                <wp:docPr id="767187625" name="Łącznik prosty ze strzałką 46"/>
                <wp:cNvGraphicFramePr/>
                <a:graphic xmlns:a="http://schemas.openxmlformats.org/drawingml/2006/main">
                  <a:graphicData uri="http://schemas.microsoft.com/office/word/2010/wordprocessingShape">
                    <wps:wsp>
                      <wps:cNvCnPr/>
                      <wps:spPr>
                        <a:xfrm flipV="1">
                          <a:off x="0" y="0"/>
                          <a:ext cx="45719" cy="3995878"/>
                        </a:xfrm>
                        <a:prstGeom prst="straightConnector1">
                          <a:avLst/>
                        </a:prstGeom>
                        <a:noFill/>
                        <a:ln w="22225"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2886038" id="Łącznik prosty ze strzałką 46" o:spid="_x0000_s1026" type="#_x0000_t32" style="position:absolute;margin-left:20.8pt;margin-top:13.95pt;width:3.6pt;height:314.65pt;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" strokecolor="#156082" strokeweight="1.75pt">
                <v:stroke endarrow="block" joinstyle="miter"/>
              </v:shape>
            </w:pict>
          </mc:Fallback>
        </mc:AlternateContent>
      </w:r>
      <w:r w:rsidRPr="00DB6AED">
        <w:rPr>
          <w:rFonts w:ascii="Times New Roman" w:hAnsi="Times New Roman" w:cs="Times New Roman"/>
          <w:b/>
          <w:bCs/>
          <w:noProof/>
        </w:rPr>
        <mc:AlternateContent>
          <mc:Choice Requires="wps">
            <w:drawing>
              <wp:anchor distT="0" distB="0" distL="114300" distR="114300" simplePos="0" relativeHeight="251863040" behindDoc="0" locked="0" layoutInCell="1" allowOverlap="1" wp14:anchorId="00C8F74D" wp14:editId="38C3E604">
                <wp:simplePos x="0" y="0"/>
                <wp:positionH relativeFrom="column">
                  <wp:posOffset>2413000</wp:posOffset>
                </wp:positionH>
                <wp:positionV relativeFrom="paragraph">
                  <wp:posOffset>272415</wp:posOffset>
                </wp:positionV>
                <wp:extent cx="1391920" cy="279400"/>
                <wp:effectExtent l="0" t="0" r="17780" b="25400"/>
                <wp:wrapNone/>
                <wp:docPr id="1733289130" name="Pole tekstowe 23"/>
                <wp:cNvGraphicFramePr/>
                <a:graphic xmlns:a="http://schemas.openxmlformats.org/drawingml/2006/main">
                  <a:graphicData uri="http://schemas.microsoft.com/office/word/2010/wordprocessingShape">
                    <wps:wsp>
                      <wps:cNvSpPr txBox="1"/>
                      <wps:spPr>
                        <a:xfrm>
                          <a:off x="0" y="0"/>
                          <a:ext cx="1391920" cy="279400"/>
                        </a:xfrm>
                        <a:prstGeom prst="rect">
                          <a:avLst/>
                        </a:prstGeom>
                        <a:solidFill>
                          <a:sysClr val="window" lastClr="FFFFFF"/>
                        </a:solidFill>
                        <a:ln w="12700" cap="flat" cmpd="sng" algn="ctr">
                          <a:solidFill>
                            <a:srgbClr val="E97132"/>
                          </a:solidFill>
                          <a:prstDash val="solid"/>
                          <a:miter lim="800000"/>
                        </a:ln>
                        <a:effectLst/>
                      </wps:spPr>
                      <wps:txbx>
                        <w:txbxContent>
                          <w:p w14:paraId="2370D90A" w14:textId="77777777" w:rsidR="008D28A7" w:rsidRPr="00D717A1" w:rsidRDefault="008D28A7" w:rsidP="008D28A7">
                            <w:pPr>
                              <w:rPr>
                                <w:sz w:val="22"/>
                                <w:szCs w:val="22"/>
                              </w:rPr>
                            </w:pPr>
                            <w:r w:rsidRPr="00D717A1">
                              <w:rPr>
                                <w:sz w:val="22"/>
                                <w:szCs w:val="22"/>
                              </w:rPr>
                              <w:t>Poprawa dobrobytu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8F74D" id="_x0000_s1055" type="#_x0000_t202" style="position:absolute;margin-left:190pt;margin-top:21.45pt;width:109.6pt;height:2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" fillcolor="window" strokecolor="#e97132" strokeweight="1pt">
                <v:textbox>
                  <w:txbxContent>
                    <w:p w14:paraId="2370D90A" w14:textId="77777777" w:rsidR="008D28A7" w:rsidRPr="00D717A1" w:rsidRDefault="008D28A7" w:rsidP="008D28A7">
                      <w:pPr>
                        <w:rPr>
                          <w:sz w:val="22"/>
                          <w:szCs w:val="22"/>
                        </w:rPr>
                      </w:pPr>
                      <w:r w:rsidRPr="00D717A1">
                        <w:rPr>
                          <w:sz w:val="22"/>
                          <w:szCs w:val="22"/>
                        </w:rPr>
                        <w:t>Poprawa dobrobytu</w:t>
                      </w:r>
                    </w:p>
                  </w:txbxContent>
                </v:textbox>
              </v:shape>
            </w:pict>
          </mc:Fallback>
        </mc:AlternateContent>
      </w:r>
      <w:r w:rsidRPr="00DB6AED">
        <w:rPr>
          <w:rFonts w:ascii="Times New Roman" w:hAnsi="Times New Roman" w:cs="Times New Roman"/>
          <w:b/>
          <w:bCs/>
          <w:noProof/>
        </w:rPr>
        <mc:AlternateContent>
          <mc:Choice Requires="wps">
            <w:drawing>
              <wp:anchor distT="0" distB="0" distL="114300" distR="114300" simplePos="0" relativeHeight="251846656" behindDoc="0" locked="0" layoutInCell="1" allowOverlap="1" wp14:anchorId="4E5C0544" wp14:editId="3B42D087">
                <wp:simplePos x="0" y="0"/>
                <wp:positionH relativeFrom="column">
                  <wp:posOffset>6530975</wp:posOffset>
                </wp:positionH>
                <wp:positionV relativeFrom="paragraph">
                  <wp:posOffset>282660</wp:posOffset>
                </wp:positionV>
                <wp:extent cx="2150110" cy="511791"/>
                <wp:effectExtent l="0" t="0" r="21590" b="22225"/>
                <wp:wrapNone/>
                <wp:docPr id="710471235" name="Pole tekstowe 23"/>
                <wp:cNvGraphicFramePr/>
                <a:graphic xmlns:a="http://schemas.openxmlformats.org/drawingml/2006/main">
                  <a:graphicData uri="http://schemas.microsoft.com/office/word/2010/wordprocessingShape">
                    <wps:wsp>
                      <wps:cNvSpPr txBox="1"/>
                      <wps:spPr>
                        <a:xfrm>
                          <a:off x="0" y="0"/>
                          <a:ext cx="2150110" cy="511791"/>
                        </a:xfrm>
                        <a:prstGeom prst="rect">
                          <a:avLst/>
                        </a:prstGeom>
                        <a:solidFill>
                          <a:sysClr val="window" lastClr="FFFFFF"/>
                        </a:solidFill>
                        <a:ln w="12700" cap="flat" cmpd="sng" algn="ctr">
                          <a:solidFill>
                            <a:srgbClr val="E97132"/>
                          </a:solidFill>
                          <a:prstDash val="solid"/>
                          <a:miter lim="800000"/>
                        </a:ln>
                        <a:effectLst/>
                      </wps:spPr>
                      <wps:txbx>
                        <w:txbxContent>
                          <w:p w14:paraId="3B432CD3" w14:textId="77777777" w:rsidR="008D28A7" w:rsidRPr="00D717A1" w:rsidRDefault="008D28A7" w:rsidP="008D28A7">
                            <w:pPr>
                              <w:jc w:val="center"/>
                              <w:rPr>
                                <w:sz w:val="22"/>
                                <w:szCs w:val="22"/>
                              </w:rPr>
                            </w:pPr>
                            <w:r w:rsidRPr="00D717A1">
                              <w:rPr>
                                <w:sz w:val="22"/>
                                <w:szCs w:val="22"/>
                              </w:rPr>
                              <w:t>Zagnieżdżone teorie zmiany dla aktywności wspierających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C0544" id="_x0000_s1056" type="#_x0000_t202" style="position:absolute;margin-left:514.25pt;margin-top:22.25pt;width:169.3pt;height:40.3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" fillcolor="window" strokecolor="#e97132" strokeweight="1pt">
                <v:textbox>
                  <w:txbxContent>
                    <w:p w14:paraId="3B432CD3" w14:textId="77777777" w:rsidR="008D28A7" w:rsidRPr="00D717A1" w:rsidRDefault="008D28A7" w:rsidP="008D28A7">
                      <w:pPr>
                        <w:jc w:val="center"/>
                        <w:rPr>
                          <w:sz w:val="22"/>
                          <w:szCs w:val="22"/>
                        </w:rPr>
                      </w:pPr>
                      <w:r w:rsidRPr="00D717A1">
                        <w:rPr>
                          <w:sz w:val="22"/>
                          <w:szCs w:val="22"/>
                        </w:rPr>
                        <w:t>Zagnieżdżone teorie zmiany dla aktywności wspierających</w:t>
                      </w:r>
                    </w:p>
                  </w:txbxContent>
                </v:textbox>
              </v:shape>
            </w:pict>
          </mc:Fallback>
        </mc:AlternateContent>
      </w:r>
      <w:r w:rsidRPr="00DB6AED">
        <w:rPr>
          <w:rFonts w:ascii="Times New Roman" w:hAnsi="Times New Roman" w:cs="Times New Roman"/>
          <w:b/>
          <w:bCs/>
          <w:noProof/>
        </w:rPr>
        <mc:AlternateContent>
          <mc:Choice Requires="wps">
            <w:drawing>
              <wp:anchor distT="0" distB="0" distL="114300" distR="114300" simplePos="0" relativeHeight="251842560" behindDoc="0" locked="0" layoutInCell="1" allowOverlap="1" wp14:anchorId="0D46A82F" wp14:editId="6AAEBE15">
                <wp:simplePos x="0" y="0"/>
                <wp:positionH relativeFrom="column">
                  <wp:posOffset>4197644</wp:posOffset>
                </wp:positionH>
                <wp:positionV relativeFrom="paragraph">
                  <wp:posOffset>287560</wp:posOffset>
                </wp:positionV>
                <wp:extent cx="1534795" cy="681990"/>
                <wp:effectExtent l="0" t="0" r="27305" b="22860"/>
                <wp:wrapNone/>
                <wp:docPr id="378937813" name="Pole tekstowe 23"/>
                <wp:cNvGraphicFramePr/>
                <a:graphic xmlns:a="http://schemas.openxmlformats.org/drawingml/2006/main">
                  <a:graphicData uri="http://schemas.microsoft.com/office/word/2010/wordprocessingShape">
                    <wps:wsp>
                      <wps:cNvSpPr txBox="1"/>
                      <wps:spPr>
                        <a:xfrm>
                          <a:off x="0" y="0"/>
                          <a:ext cx="1534795" cy="681990"/>
                        </a:xfrm>
                        <a:prstGeom prst="rect">
                          <a:avLst/>
                        </a:prstGeom>
                        <a:solidFill>
                          <a:sysClr val="window" lastClr="FFFFFF"/>
                        </a:solidFill>
                        <a:ln w="12700" cap="flat" cmpd="sng" algn="ctr">
                          <a:solidFill>
                            <a:srgbClr val="E97132"/>
                          </a:solidFill>
                          <a:prstDash val="solid"/>
                          <a:miter lim="800000"/>
                        </a:ln>
                        <a:effectLst/>
                      </wps:spPr>
                      <wps:txbx>
                        <w:txbxContent>
                          <w:p w14:paraId="1B1B6C7A" w14:textId="77777777" w:rsidR="008D28A7" w:rsidRPr="00594E9C" w:rsidRDefault="008D28A7" w:rsidP="008D28A7">
                            <w:pPr>
                              <w:jc w:val="center"/>
                              <w:rPr>
                                <w:sz w:val="22"/>
                                <w:szCs w:val="22"/>
                              </w:rPr>
                            </w:pPr>
                            <w:r w:rsidRPr="00594E9C">
                              <w:rPr>
                                <w:sz w:val="22"/>
                                <w:szCs w:val="22"/>
                              </w:rPr>
                              <w:t xml:space="preserve">Dobrobyt </w:t>
                            </w:r>
                            <w:r>
                              <w:rPr>
                                <w:sz w:val="22"/>
                                <w:szCs w:val="22"/>
                              </w:rPr>
                              <w:br/>
                            </w:r>
                            <w:r w:rsidRPr="00594E9C">
                              <w:rPr>
                                <w:sz w:val="22"/>
                                <w:szCs w:val="22"/>
                              </w:rPr>
                              <w:t>Założenia dotyczące więzi przyczynowych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6A82F" id="_x0000_s1057" type="#_x0000_t202" style="position:absolute;margin-left:330.5pt;margin-top:22.65pt;width:120.85pt;height:53.7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" fillcolor="window" strokecolor="#e97132" strokeweight="1pt">
                <v:textbox>
                  <w:txbxContent>
                    <w:p w14:paraId="1B1B6C7A" w14:textId="77777777" w:rsidR="008D28A7" w:rsidRPr="00594E9C" w:rsidRDefault="008D28A7" w:rsidP="008D28A7">
                      <w:pPr>
                        <w:jc w:val="center"/>
                        <w:rPr>
                          <w:sz w:val="22"/>
                          <w:szCs w:val="22"/>
                        </w:rPr>
                      </w:pPr>
                      <w:r w:rsidRPr="00594E9C">
                        <w:rPr>
                          <w:sz w:val="22"/>
                          <w:szCs w:val="22"/>
                        </w:rPr>
                        <w:t xml:space="preserve">Dobrobyt </w:t>
                      </w:r>
                      <w:r>
                        <w:rPr>
                          <w:sz w:val="22"/>
                          <w:szCs w:val="22"/>
                        </w:rPr>
                        <w:br/>
                      </w:r>
                      <w:r w:rsidRPr="00594E9C">
                        <w:rPr>
                          <w:sz w:val="22"/>
                          <w:szCs w:val="22"/>
                        </w:rPr>
                        <w:t>Założenia dotyczące więzi przyczynowych</w:t>
                      </w:r>
                    </w:p>
                  </w:txbxContent>
                </v:textbox>
              </v:shape>
            </w:pict>
          </mc:Fallback>
        </mc:AlternateContent>
      </w:r>
      <w:r w:rsidRPr="006B3303">
        <w:rPr>
          <w:rFonts w:ascii="Times New Roman" w:hAnsi="Times New Roman" w:cs="Times New Roman"/>
          <w:b/>
          <w:bCs/>
          <w:noProof/>
        </w:rPr>
        <w:t xml:space="preserve">   </w:t>
      </w:r>
      <w:r w:rsidRPr="00DB6AED">
        <w:rPr>
          <w:rFonts w:ascii="Times New Roman" w:hAnsi="Times New Roman" w:cs="Times New Roman"/>
          <w:b/>
          <w:bCs/>
          <w:noProof/>
          <w:sz w:val="28"/>
          <w:szCs w:val="28"/>
        </w:rPr>
        <w:t>Rysunek 3.</w:t>
      </w:r>
      <w:r w:rsidRPr="00DB6AED">
        <w:rPr>
          <w:rFonts w:ascii="Times New Roman" w:hAnsi="Times New Roman" w:cs="Times New Roman"/>
          <w:noProof/>
          <w:sz w:val="28"/>
          <w:szCs w:val="28"/>
        </w:rPr>
        <w:t xml:space="preserve"> Teoria zmiany oparta o model COM-B</w:t>
      </w:r>
    </w:p>
    <w:p w14:paraId="63C20144"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35392" behindDoc="0" locked="0" layoutInCell="1" allowOverlap="1" wp14:anchorId="4CBF0F82" wp14:editId="58C2CCEF">
                <wp:simplePos x="0" y="0"/>
                <wp:positionH relativeFrom="column">
                  <wp:posOffset>453910</wp:posOffset>
                </wp:positionH>
                <wp:positionV relativeFrom="paragraph">
                  <wp:posOffset>84360</wp:posOffset>
                </wp:positionV>
                <wp:extent cx="1228299" cy="521329"/>
                <wp:effectExtent l="0" t="0" r="10160" b="12700"/>
                <wp:wrapNone/>
                <wp:docPr id="831917365" name="Pole tekstowe 23"/>
                <wp:cNvGraphicFramePr/>
                <a:graphic xmlns:a="http://schemas.openxmlformats.org/drawingml/2006/main">
                  <a:graphicData uri="http://schemas.microsoft.com/office/word/2010/wordprocessingShape">
                    <wps:wsp>
                      <wps:cNvSpPr txBox="1"/>
                      <wps:spPr>
                        <a:xfrm>
                          <a:off x="0" y="0"/>
                          <a:ext cx="1228299" cy="521329"/>
                        </a:xfrm>
                        <a:prstGeom prst="rect">
                          <a:avLst/>
                        </a:prstGeom>
                        <a:solidFill>
                          <a:sysClr val="window" lastClr="FFFFFF"/>
                        </a:solidFill>
                        <a:ln w="12700" cap="flat" cmpd="sng" algn="ctr">
                          <a:solidFill>
                            <a:srgbClr val="E97132"/>
                          </a:solidFill>
                          <a:prstDash val="solid"/>
                          <a:miter lim="800000"/>
                        </a:ln>
                        <a:effectLst/>
                      </wps:spPr>
                      <wps:txbx>
                        <w:txbxContent>
                          <w:p w14:paraId="061D4549" w14:textId="77777777" w:rsidR="008D28A7" w:rsidRDefault="008D28A7" w:rsidP="008D28A7">
                            <w:pPr>
                              <w:jc w:val="center"/>
                            </w:pPr>
                            <w:r w:rsidRPr="00DC0254">
                              <w:rPr>
                                <w:b/>
                                <w:bCs/>
                              </w:rPr>
                              <w:t>Efekty</w:t>
                            </w:r>
                            <w:r>
                              <w:t xml:space="preserve"> </w:t>
                            </w:r>
                            <w:r>
                              <w:br/>
                            </w:r>
                            <w:r w:rsidRPr="006F0572">
                              <w:rPr>
                                <w:b/>
                                <w:bCs/>
                              </w:rPr>
                              <w:t>niezamierzone</w:t>
                            </w:r>
                          </w:p>
                          <w:p w14:paraId="2BF7C781" w14:textId="77777777" w:rsidR="008D28A7" w:rsidRDefault="008D28A7" w:rsidP="008D28A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F0F82" id="_x0000_s1058" type="#_x0000_t202" style="position:absolute;margin-left:35.75pt;margin-top:6.65pt;width:96.7pt;height:41.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" fillcolor="window" strokecolor="#e97132" strokeweight="1pt">
                <v:textbox>
                  <w:txbxContent>
                    <w:p w14:paraId="061D4549" w14:textId="77777777" w:rsidR="008D28A7" w:rsidRDefault="008D28A7" w:rsidP="008D28A7">
                      <w:pPr>
                        <w:jc w:val="center"/>
                      </w:pPr>
                      <w:r w:rsidRPr="00DC0254">
                        <w:rPr>
                          <w:b/>
                          <w:bCs/>
                        </w:rPr>
                        <w:t>Efekty</w:t>
                      </w:r>
                      <w:r>
                        <w:t xml:space="preserve"> </w:t>
                      </w:r>
                      <w:r>
                        <w:br/>
                      </w:r>
                      <w:r w:rsidRPr="006F0572">
                        <w:rPr>
                          <w:b/>
                          <w:bCs/>
                        </w:rPr>
                        <w:t>niezamierzone</w:t>
                      </w:r>
                    </w:p>
                    <w:p w14:paraId="2BF7C781" w14:textId="77777777" w:rsidR="008D28A7" w:rsidRDefault="008D28A7" w:rsidP="008D28A7"/>
                  </w:txbxContent>
                </v:textbox>
              </v:shape>
            </w:pict>
          </mc:Fallback>
        </mc:AlternateContent>
      </w:r>
      <w:r w:rsidRPr="00DB6AED">
        <w:tab/>
      </w:r>
    </w:p>
    <w:p w14:paraId="24B78225"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56896" behindDoc="0" locked="0" layoutInCell="1" allowOverlap="1" wp14:anchorId="443CDD71" wp14:editId="6E08121D">
                <wp:simplePos x="0" y="0"/>
                <wp:positionH relativeFrom="column">
                  <wp:posOffset>2911754</wp:posOffset>
                </wp:positionH>
                <wp:positionV relativeFrom="paragraph">
                  <wp:posOffset>10439</wp:posOffset>
                </wp:positionV>
                <wp:extent cx="235699" cy="80011"/>
                <wp:effectExtent l="20638" t="17462" r="32702" b="13653"/>
                <wp:wrapNone/>
                <wp:docPr id="833768400" name="Strzałka: w prawo 39"/>
                <wp:cNvGraphicFramePr/>
                <a:graphic xmlns:a="http://schemas.openxmlformats.org/drawingml/2006/main">
                  <a:graphicData uri="http://schemas.microsoft.com/office/word/2010/wordprocessingShape">
                    <wps:wsp>
                      <wps:cNvSpPr/>
                      <wps:spPr>
                        <a:xfrm rot="16200000">
                          <a:off x="0" y="0"/>
                          <a:ext cx="235699" cy="80011"/>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95BAA" id="Strzałka: w prawo 39" o:spid="_x0000_s1026" type="#_x0000_t13" style="position:absolute;margin-left:229.25pt;margin-top:.8pt;width:18.55pt;height:6.3pt;rotation:-9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" adj="17934" fillcolor="#156082" strokecolor="#042433" strokeweight="1pt"/>
            </w:pict>
          </mc:Fallback>
        </mc:AlternateContent>
      </w:r>
      <w:r w:rsidRPr="00DB6AED">
        <w:rPr>
          <w:noProof/>
        </w:rPr>
        <mc:AlternateContent>
          <mc:Choice Requires="wps">
            <w:drawing>
              <wp:anchor distT="0" distB="0" distL="114300" distR="114300" simplePos="0" relativeHeight="251881472" behindDoc="0" locked="0" layoutInCell="1" allowOverlap="1" wp14:anchorId="46ABC91D" wp14:editId="474F2AA3">
                <wp:simplePos x="0" y="0"/>
                <wp:positionH relativeFrom="column">
                  <wp:posOffset>6531411</wp:posOffset>
                </wp:positionH>
                <wp:positionV relativeFrom="paragraph">
                  <wp:posOffset>289901</wp:posOffset>
                </wp:positionV>
                <wp:extent cx="0" cy="291342"/>
                <wp:effectExtent l="76200" t="0" r="57150" b="52070"/>
                <wp:wrapNone/>
                <wp:docPr id="347287481" name="Łącznik prosty ze strzałką 100"/>
                <wp:cNvGraphicFramePr/>
                <a:graphic xmlns:a="http://schemas.openxmlformats.org/drawingml/2006/main">
                  <a:graphicData uri="http://schemas.microsoft.com/office/word/2010/wordprocessingShape">
                    <wps:wsp>
                      <wps:cNvCnPr/>
                      <wps:spPr>
                        <a:xfrm>
                          <a:off x="0" y="0"/>
                          <a:ext cx="0" cy="291342"/>
                        </a:xfrm>
                        <a:prstGeom prst="straightConnector1">
                          <a:avLst/>
                        </a:prstGeom>
                        <a:noFill/>
                        <a:ln w="6350" cap="flat" cmpd="sng" algn="ctr">
                          <a:solidFill>
                            <a:srgbClr val="156082"/>
                          </a:solidFill>
                          <a:prstDash val="solid"/>
                          <a:miter lim="800000"/>
                          <a:tailEnd type="triangle"/>
                        </a:ln>
                        <a:effectLst/>
                      </wps:spPr>
                      <wps:bodyPr/>
                    </wps:wsp>
                  </a:graphicData>
                </a:graphic>
              </wp:anchor>
            </w:drawing>
          </mc:Choice>
          <mc:Fallback>
            <w:pict>
              <v:shape w14:anchorId="43C5E2C7" id="Łącznik prosty ze strzałką 100" o:spid="_x0000_s1026" type="#_x0000_t32" style="position:absolute;margin-left:514.3pt;margin-top:22.85pt;width:0;height:22.95pt;z-index:251881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" strokecolor="#156082" strokeweight=".5pt">
                <v:stroke endarrow="block" joinstyle="miter"/>
              </v:shape>
            </w:pict>
          </mc:Fallback>
        </mc:AlternateContent>
      </w:r>
      <w:r w:rsidRPr="00DB6AED">
        <w:rPr>
          <w:noProof/>
        </w:rPr>
        <mc:AlternateContent>
          <mc:Choice Requires="wps">
            <w:drawing>
              <wp:anchor distT="0" distB="0" distL="114300" distR="114300" simplePos="0" relativeHeight="251852800" behindDoc="0" locked="0" layoutInCell="1" allowOverlap="1" wp14:anchorId="43238588" wp14:editId="44C695D6">
                <wp:simplePos x="0" y="0"/>
                <wp:positionH relativeFrom="column">
                  <wp:posOffset>1746741</wp:posOffset>
                </wp:positionH>
                <wp:positionV relativeFrom="paragraph">
                  <wp:posOffset>90750</wp:posOffset>
                </wp:positionV>
                <wp:extent cx="251148" cy="144422"/>
                <wp:effectExtent l="0" t="38100" r="15875" b="46355"/>
                <wp:wrapNone/>
                <wp:docPr id="1433664726" name="Strzałka: w prawo 39"/>
                <wp:cNvGraphicFramePr/>
                <a:graphic xmlns:a="http://schemas.openxmlformats.org/drawingml/2006/main">
                  <a:graphicData uri="http://schemas.microsoft.com/office/word/2010/wordprocessingShape">
                    <wps:wsp>
                      <wps:cNvSpPr/>
                      <wps:spPr>
                        <a:xfrm rot="12577936">
                          <a:off x="0" y="0"/>
                          <a:ext cx="251148" cy="144422"/>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F2BF3" id="Strzałka: w prawo 39" o:spid="_x0000_s1026" type="#_x0000_t13" style="position:absolute;margin-left:137.55pt;margin-top:7.15pt;width:19.8pt;height:11.35pt;rotation:-9854500fd;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" adj="15389" fillcolor="#156082" strokecolor="#042433" strokeweight="1pt"/>
            </w:pict>
          </mc:Fallback>
        </mc:AlternateContent>
      </w:r>
      <w:r w:rsidRPr="00DB6AED">
        <w:rPr>
          <w:noProof/>
        </w:rPr>
        <mc:AlternateContent>
          <mc:Choice Requires="wps">
            <w:drawing>
              <wp:anchor distT="0" distB="0" distL="114300" distR="114300" simplePos="0" relativeHeight="251857920" behindDoc="0" locked="0" layoutInCell="1" allowOverlap="1" wp14:anchorId="116F0E02" wp14:editId="6C791F57">
                <wp:simplePos x="0" y="0"/>
                <wp:positionH relativeFrom="column">
                  <wp:posOffset>3069611</wp:posOffset>
                </wp:positionH>
                <wp:positionV relativeFrom="paragraph">
                  <wp:posOffset>48980</wp:posOffset>
                </wp:positionV>
                <wp:extent cx="1101354" cy="0"/>
                <wp:effectExtent l="0" t="0" r="0" b="0"/>
                <wp:wrapNone/>
                <wp:docPr id="2109558362" name="Łącznik prosty 42"/>
                <wp:cNvGraphicFramePr/>
                <a:graphic xmlns:a="http://schemas.openxmlformats.org/drawingml/2006/main">
                  <a:graphicData uri="http://schemas.microsoft.com/office/word/2010/wordprocessingShape">
                    <wps:wsp>
                      <wps:cNvCnPr/>
                      <wps:spPr>
                        <a:xfrm>
                          <a:off x="0" y="0"/>
                          <a:ext cx="1101354" cy="0"/>
                        </a:xfrm>
                        <a:prstGeom prst="line">
                          <a:avLst/>
                        </a:prstGeom>
                        <a:noFill/>
                        <a:ln w="22225" cap="flat" cmpd="sng" algn="ctr">
                          <a:solidFill>
                            <a:srgbClr val="156082"/>
                          </a:solidFill>
                          <a:prstDash val="dash"/>
                          <a:miter lim="800000"/>
                        </a:ln>
                        <a:effectLst/>
                      </wps:spPr>
                      <wps:bodyPr/>
                    </wps:wsp>
                  </a:graphicData>
                </a:graphic>
                <wp14:sizeRelH relativeFrom="margin">
                  <wp14:pctWidth>0</wp14:pctWidth>
                </wp14:sizeRelH>
              </wp:anchor>
            </w:drawing>
          </mc:Choice>
          <mc:Fallback>
            <w:pict>
              <v:line w14:anchorId="00EF1D2A" id="Łącznik prosty 42" o:spid="_x0000_s1026" style="position:absolute;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7pt,3.85pt" to="328.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" strokecolor="#156082" strokeweight="1.75pt">
                <v:stroke dashstyle="dash" joinstyle="miter"/>
              </v:line>
            </w:pict>
          </mc:Fallback>
        </mc:AlternateContent>
      </w:r>
      <w:r w:rsidRPr="00DB6AED">
        <w:rPr>
          <w:noProof/>
        </w:rPr>
        <mc:AlternateContent>
          <mc:Choice Requires="wps">
            <w:drawing>
              <wp:anchor distT="0" distB="0" distL="114300" distR="114300" simplePos="0" relativeHeight="251855872" behindDoc="0" locked="0" layoutInCell="1" allowOverlap="1" wp14:anchorId="7DB44AC8" wp14:editId="08A5D65E">
                <wp:simplePos x="0" y="0"/>
                <wp:positionH relativeFrom="column">
                  <wp:posOffset>1779357</wp:posOffset>
                </wp:positionH>
                <wp:positionV relativeFrom="paragraph">
                  <wp:posOffset>291593</wp:posOffset>
                </wp:positionV>
                <wp:extent cx="1145229" cy="1168005"/>
                <wp:effectExtent l="0" t="95250" r="0" b="241935"/>
                <wp:wrapNone/>
                <wp:docPr id="662028802" name="Łuk 41"/>
                <wp:cNvGraphicFramePr/>
                <a:graphic xmlns:a="http://schemas.openxmlformats.org/drawingml/2006/main">
                  <a:graphicData uri="http://schemas.microsoft.com/office/word/2010/wordprocessingShape">
                    <wps:wsp>
                      <wps:cNvSpPr/>
                      <wps:spPr>
                        <a:xfrm rot="12373043">
                          <a:off x="0" y="0"/>
                          <a:ext cx="1145229" cy="1168005"/>
                        </a:xfrm>
                        <a:custGeom>
                          <a:avLst/>
                          <a:gdLst>
                            <a:gd name="connsiteX0" fmla="*/ 263989 w 1257300"/>
                            <a:gd name="connsiteY0" fmla="*/ 191461 h 2065020"/>
                            <a:gd name="connsiteX1" fmla="*/ 1142793 w 1257300"/>
                            <a:gd name="connsiteY1" fmla="*/ 438374 h 2065020"/>
                            <a:gd name="connsiteX2" fmla="*/ 1248890 w 1257300"/>
                            <a:gd name="connsiteY2" fmla="*/ 1200838 h 2065020"/>
                            <a:gd name="connsiteX3" fmla="*/ 628650 w 1257300"/>
                            <a:gd name="connsiteY3" fmla="*/ 1032510 h 2065020"/>
                            <a:gd name="connsiteX4" fmla="*/ 263989 w 1257300"/>
                            <a:gd name="connsiteY4" fmla="*/ 191461 h 2065020"/>
                            <a:gd name="connsiteX0" fmla="*/ 263989 w 1257300"/>
                            <a:gd name="connsiteY0" fmla="*/ 191461 h 2065020"/>
                            <a:gd name="connsiteX1" fmla="*/ 1142793 w 1257300"/>
                            <a:gd name="connsiteY1" fmla="*/ 438374 h 2065020"/>
                            <a:gd name="connsiteX2" fmla="*/ 1248890 w 1257300"/>
                            <a:gd name="connsiteY2" fmla="*/ 1200838 h 2065020"/>
                            <a:gd name="connsiteX0" fmla="*/ 387294 w 1380607"/>
                            <a:gd name="connsiteY0" fmla="*/ 364977 h 1374354"/>
                            <a:gd name="connsiteX1" fmla="*/ 1266098 w 1380607"/>
                            <a:gd name="connsiteY1" fmla="*/ 611890 h 1374354"/>
                            <a:gd name="connsiteX2" fmla="*/ 1372195 w 1380607"/>
                            <a:gd name="connsiteY2" fmla="*/ 1374354 h 1374354"/>
                            <a:gd name="connsiteX3" fmla="*/ 751955 w 1380607"/>
                            <a:gd name="connsiteY3" fmla="*/ 1206026 h 1374354"/>
                            <a:gd name="connsiteX4" fmla="*/ 387294 w 1380607"/>
                            <a:gd name="connsiteY4" fmla="*/ 364977 h 1374354"/>
                            <a:gd name="connsiteX0" fmla="*/ 0 w 1380607"/>
                            <a:gd name="connsiteY0" fmla="*/ 132156 h 1374354"/>
                            <a:gd name="connsiteX1" fmla="*/ 1266098 w 1380607"/>
                            <a:gd name="connsiteY1" fmla="*/ 611890 h 1374354"/>
                            <a:gd name="connsiteX2" fmla="*/ 1372195 w 1380607"/>
                            <a:gd name="connsiteY2" fmla="*/ 1374354 h 1374354"/>
                            <a:gd name="connsiteX0" fmla="*/ 387294 w 1380607"/>
                            <a:gd name="connsiteY0" fmla="*/ 364977 h 1815663"/>
                            <a:gd name="connsiteX1" fmla="*/ 1266098 w 1380607"/>
                            <a:gd name="connsiteY1" fmla="*/ 611890 h 1815663"/>
                            <a:gd name="connsiteX2" fmla="*/ 1372195 w 1380607"/>
                            <a:gd name="connsiteY2" fmla="*/ 1374354 h 1815663"/>
                            <a:gd name="connsiteX3" fmla="*/ 751955 w 1380607"/>
                            <a:gd name="connsiteY3" fmla="*/ 1206026 h 1815663"/>
                            <a:gd name="connsiteX4" fmla="*/ 387294 w 1380607"/>
                            <a:gd name="connsiteY4" fmla="*/ 364977 h 1815663"/>
                            <a:gd name="connsiteX0" fmla="*/ 0 w 1380607"/>
                            <a:gd name="connsiteY0" fmla="*/ 132156 h 1815663"/>
                            <a:gd name="connsiteX1" fmla="*/ 1266098 w 1380607"/>
                            <a:gd name="connsiteY1" fmla="*/ 611890 h 1815663"/>
                            <a:gd name="connsiteX2" fmla="*/ 1048045 w 1380607"/>
                            <a:gd name="connsiteY2" fmla="*/ 1815663 h 1815663"/>
                            <a:gd name="connsiteX0" fmla="*/ 387294 w 1380607"/>
                            <a:gd name="connsiteY0" fmla="*/ 364977 h 1815663"/>
                            <a:gd name="connsiteX1" fmla="*/ 1266098 w 1380607"/>
                            <a:gd name="connsiteY1" fmla="*/ 611890 h 1815663"/>
                            <a:gd name="connsiteX2" fmla="*/ 1372195 w 1380607"/>
                            <a:gd name="connsiteY2" fmla="*/ 1374354 h 1815663"/>
                            <a:gd name="connsiteX3" fmla="*/ 751955 w 1380607"/>
                            <a:gd name="connsiteY3" fmla="*/ 1206026 h 1815663"/>
                            <a:gd name="connsiteX4" fmla="*/ 387294 w 1380607"/>
                            <a:gd name="connsiteY4" fmla="*/ 364977 h 1815663"/>
                            <a:gd name="connsiteX0" fmla="*/ 0 w 1380607"/>
                            <a:gd name="connsiteY0" fmla="*/ 132156 h 1815663"/>
                            <a:gd name="connsiteX1" fmla="*/ 1266098 w 1380607"/>
                            <a:gd name="connsiteY1" fmla="*/ 611890 h 1815663"/>
                            <a:gd name="connsiteX2" fmla="*/ 1048045 w 1380607"/>
                            <a:gd name="connsiteY2" fmla="*/ 1815663 h 1815663"/>
                            <a:gd name="connsiteX0" fmla="*/ 387294 w 1380607"/>
                            <a:gd name="connsiteY0" fmla="*/ 304560 h 1755246"/>
                            <a:gd name="connsiteX1" fmla="*/ 1266098 w 1380607"/>
                            <a:gd name="connsiteY1" fmla="*/ 551473 h 1755246"/>
                            <a:gd name="connsiteX2" fmla="*/ 1372195 w 1380607"/>
                            <a:gd name="connsiteY2" fmla="*/ 1313937 h 1755246"/>
                            <a:gd name="connsiteX3" fmla="*/ 751955 w 1380607"/>
                            <a:gd name="connsiteY3" fmla="*/ 1145609 h 1755246"/>
                            <a:gd name="connsiteX4" fmla="*/ 387294 w 1380607"/>
                            <a:gd name="connsiteY4" fmla="*/ 304560 h 1755246"/>
                            <a:gd name="connsiteX0" fmla="*/ 0 w 1380607"/>
                            <a:gd name="connsiteY0" fmla="*/ 71739 h 1755246"/>
                            <a:gd name="connsiteX1" fmla="*/ 1266098 w 1380607"/>
                            <a:gd name="connsiteY1" fmla="*/ 551473 h 1755246"/>
                            <a:gd name="connsiteX2" fmla="*/ 1048045 w 1380607"/>
                            <a:gd name="connsiteY2" fmla="*/ 1755246 h 1755246"/>
                            <a:gd name="connsiteX0" fmla="*/ 387294 w 1380607"/>
                            <a:gd name="connsiteY0" fmla="*/ 346497 h 1797183"/>
                            <a:gd name="connsiteX1" fmla="*/ 1266098 w 1380607"/>
                            <a:gd name="connsiteY1" fmla="*/ 593410 h 1797183"/>
                            <a:gd name="connsiteX2" fmla="*/ 1372195 w 1380607"/>
                            <a:gd name="connsiteY2" fmla="*/ 1355874 h 1797183"/>
                            <a:gd name="connsiteX3" fmla="*/ 751955 w 1380607"/>
                            <a:gd name="connsiteY3" fmla="*/ 1187546 h 1797183"/>
                            <a:gd name="connsiteX4" fmla="*/ 387294 w 1380607"/>
                            <a:gd name="connsiteY4" fmla="*/ 346497 h 1797183"/>
                            <a:gd name="connsiteX0" fmla="*/ 0 w 1380607"/>
                            <a:gd name="connsiteY0" fmla="*/ 113676 h 1797183"/>
                            <a:gd name="connsiteX1" fmla="*/ 1266098 w 1380607"/>
                            <a:gd name="connsiteY1" fmla="*/ 593410 h 1797183"/>
                            <a:gd name="connsiteX2" fmla="*/ 1048045 w 1380607"/>
                            <a:gd name="connsiteY2" fmla="*/ 1797183 h 1797183"/>
                            <a:gd name="connsiteX0" fmla="*/ 387294 w 1380607"/>
                            <a:gd name="connsiteY0" fmla="*/ 335696 h 1786382"/>
                            <a:gd name="connsiteX1" fmla="*/ 1266098 w 1380607"/>
                            <a:gd name="connsiteY1" fmla="*/ 582609 h 1786382"/>
                            <a:gd name="connsiteX2" fmla="*/ 1372195 w 1380607"/>
                            <a:gd name="connsiteY2" fmla="*/ 1345073 h 1786382"/>
                            <a:gd name="connsiteX3" fmla="*/ 751955 w 1380607"/>
                            <a:gd name="connsiteY3" fmla="*/ 1176745 h 1786382"/>
                            <a:gd name="connsiteX4" fmla="*/ 387294 w 1380607"/>
                            <a:gd name="connsiteY4" fmla="*/ 335696 h 1786382"/>
                            <a:gd name="connsiteX0" fmla="*/ 0 w 1380607"/>
                            <a:gd name="connsiteY0" fmla="*/ 102875 h 1786382"/>
                            <a:gd name="connsiteX1" fmla="*/ 1109329 w 1380607"/>
                            <a:gd name="connsiteY1" fmla="*/ 647598 h 1786382"/>
                            <a:gd name="connsiteX2" fmla="*/ 1048045 w 1380607"/>
                            <a:gd name="connsiteY2" fmla="*/ 1786382 h 1786382"/>
                            <a:gd name="connsiteX0" fmla="*/ 387294 w 1380607"/>
                            <a:gd name="connsiteY0" fmla="*/ 335696 h 1786382"/>
                            <a:gd name="connsiteX1" fmla="*/ 1266098 w 1380607"/>
                            <a:gd name="connsiteY1" fmla="*/ 582609 h 1786382"/>
                            <a:gd name="connsiteX2" fmla="*/ 1372195 w 1380607"/>
                            <a:gd name="connsiteY2" fmla="*/ 1345073 h 1786382"/>
                            <a:gd name="connsiteX3" fmla="*/ 751955 w 1380607"/>
                            <a:gd name="connsiteY3" fmla="*/ 1176745 h 1786382"/>
                            <a:gd name="connsiteX4" fmla="*/ 387294 w 1380607"/>
                            <a:gd name="connsiteY4" fmla="*/ 335696 h 1786382"/>
                            <a:gd name="connsiteX0" fmla="*/ 0 w 1380607"/>
                            <a:gd name="connsiteY0" fmla="*/ 102875 h 1786382"/>
                            <a:gd name="connsiteX1" fmla="*/ 1109329 w 1380607"/>
                            <a:gd name="connsiteY1" fmla="*/ 647598 h 1786382"/>
                            <a:gd name="connsiteX2" fmla="*/ 1048045 w 1380607"/>
                            <a:gd name="connsiteY2" fmla="*/ 1786382 h 1786382"/>
                            <a:gd name="connsiteX0" fmla="*/ 387294 w 1380607"/>
                            <a:gd name="connsiteY0" fmla="*/ 277324 h 1728010"/>
                            <a:gd name="connsiteX1" fmla="*/ 1266098 w 1380607"/>
                            <a:gd name="connsiteY1" fmla="*/ 524237 h 1728010"/>
                            <a:gd name="connsiteX2" fmla="*/ 1372195 w 1380607"/>
                            <a:gd name="connsiteY2" fmla="*/ 1286701 h 1728010"/>
                            <a:gd name="connsiteX3" fmla="*/ 751955 w 1380607"/>
                            <a:gd name="connsiteY3" fmla="*/ 1118373 h 1728010"/>
                            <a:gd name="connsiteX4" fmla="*/ 387294 w 1380607"/>
                            <a:gd name="connsiteY4" fmla="*/ 277324 h 1728010"/>
                            <a:gd name="connsiteX0" fmla="*/ 0 w 1380607"/>
                            <a:gd name="connsiteY0" fmla="*/ 44503 h 1728010"/>
                            <a:gd name="connsiteX1" fmla="*/ 1109329 w 1380607"/>
                            <a:gd name="connsiteY1" fmla="*/ 589226 h 1728010"/>
                            <a:gd name="connsiteX2" fmla="*/ 1048045 w 1380607"/>
                            <a:gd name="connsiteY2" fmla="*/ 1728010 h 1728010"/>
                            <a:gd name="connsiteX0" fmla="*/ 387294 w 1380607"/>
                            <a:gd name="connsiteY0" fmla="*/ 234123 h 1684809"/>
                            <a:gd name="connsiteX1" fmla="*/ 1266098 w 1380607"/>
                            <a:gd name="connsiteY1" fmla="*/ 481036 h 1684809"/>
                            <a:gd name="connsiteX2" fmla="*/ 1372195 w 1380607"/>
                            <a:gd name="connsiteY2" fmla="*/ 1243500 h 1684809"/>
                            <a:gd name="connsiteX3" fmla="*/ 751955 w 1380607"/>
                            <a:gd name="connsiteY3" fmla="*/ 1075172 h 1684809"/>
                            <a:gd name="connsiteX4" fmla="*/ 387294 w 1380607"/>
                            <a:gd name="connsiteY4" fmla="*/ 234123 h 1684809"/>
                            <a:gd name="connsiteX0" fmla="*/ 0 w 1380607"/>
                            <a:gd name="connsiteY0" fmla="*/ 1302 h 1684809"/>
                            <a:gd name="connsiteX1" fmla="*/ 1109329 w 1380607"/>
                            <a:gd name="connsiteY1" fmla="*/ 546025 h 1684809"/>
                            <a:gd name="connsiteX2" fmla="*/ 1048045 w 1380607"/>
                            <a:gd name="connsiteY2" fmla="*/ 1684809 h 1684809"/>
                            <a:gd name="connsiteX0" fmla="*/ 387294 w 1380607"/>
                            <a:gd name="connsiteY0" fmla="*/ 234013 h 1684699"/>
                            <a:gd name="connsiteX1" fmla="*/ 1266098 w 1380607"/>
                            <a:gd name="connsiteY1" fmla="*/ 480926 h 1684699"/>
                            <a:gd name="connsiteX2" fmla="*/ 1372195 w 1380607"/>
                            <a:gd name="connsiteY2" fmla="*/ 1243390 h 1684699"/>
                            <a:gd name="connsiteX3" fmla="*/ 751955 w 1380607"/>
                            <a:gd name="connsiteY3" fmla="*/ 1075062 h 1684699"/>
                            <a:gd name="connsiteX4" fmla="*/ 387294 w 1380607"/>
                            <a:gd name="connsiteY4" fmla="*/ 234013 h 1684699"/>
                            <a:gd name="connsiteX0" fmla="*/ 0 w 1380607"/>
                            <a:gd name="connsiteY0" fmla="*/ 1192 h 1684699"/>
                            <a:gd name="connsiteX1" fmla="*/ 1074487 w 1380607"/>
                            <a:gd name="connsiteY1" fmla="*/ 556916 h 1684699"/>
                            <a:gd name="connsiteX2" fmla="*/ 1048045 w 1380607"/>
                            <a:gd name="connsiteY2" fmla="*/ 1684699 h 1684699"/>
                            <a:gd name="connsiteX0" fmla="*/ 387294 w 1380607"/>
                            <a:gd name="connsiteY0" fmla="*/ 234013 h 1684699"/>
                            <a:gd name="connsiteX1" fmla="*/ 1266098 w 1380607"/>
                            <a:gd name="connsiteY1" fmla="*/ 480926 h 1684699"/>
                            <a:gd name="connsiteX2" fmla="*/ 1372195 w 1380607"/>
                            <a:gd name="connsiteY2" fmla="*/ 1243390 h 1684699"/>
                            <a:gd name="connsiteX3" fmla="*/ 751955 w 1380607"/>
                            <a:gd name="connsiteY3" fmla="*/ 1075062 h 1684699"/>
                            <a:gd name="connsiteX4" fmla="*/ 387294 w 1380607"/>
                            <a:gd name="connsiteY4" fmla="*/ 234013 h 1684699"/>
                            <a:gd name="connsiteX0" fmla="*/ 0 w 1380607"/>
                            <a:gd name="connsiteY0" fmla="*/ 1192 h 1684699"/>
                            <a:gd name="connsiteX1" fmla="*/ 1074487 w 1380607"/>
                            <a:gd name="connsiteY1" fmla="*/ 556916 h 1684699"/>
                            <a:gd name="connsiteX2" fmla="*/ 1048045 w 1380607"/>
                            <a:gd name="connsiteY2" fmla="*/ 1684699 h 1684699"/>
                            <a:gd name="connsiteX0" fmla="*/ 387294 w 1377626"/>
                            <a:gd name="connsiteY0" fmla="*/ 234013 h 1684699"/>
                            <a:gd name="connsiteX1" fmla="*/ 1266098 w 1377626"/>
                            <a:gd name="connsiteY1" fmla="*/ 480926 h 1684699"/>
                            <a:gd name="connsiteX2" fmla="*/ 1347949 w 1377626"/>
                            <a:gd name="connsiteY2" fmla="*/ 1200171 h 1684699"/>
                            <a:gd name="connsiteX3" fmla="*/ 751955 w 1377626"/>
                            <a:gd name="connsiteY3" fmla="*/ 1075062 h 1684699"/>
                            <a:gd name="connsiteX4" fmla="*/ 387294 w 1377626"/>
                            <a:gd name="connsiteY4" fmla="*/ 234013 h 1684699"/>
                            <a:gd name="connsiteX0" fmla="*/ 0 w 1377626"/>
                            <a:gd name="connsiteY0" fmla="*/ 1192 h 1684699"/>
                            <a:gd name="connsiteX1" fmla="*/ 1074487 w 1377626"/>
                            <a:gd name="connsiteY1" fmla="*/ 556916 h 1684699"/>
                            <a:gd name="connsiteX2" fmla="*/ 1048045 w 1377626"/>
                            <a:gd name="connsiteY2" fmla="*/ 1684699 h 1684699"/>
                            <a:gd name="connsiteX0" fmla="*/ 387294 w 1377626"/>
                            <a:gd name="connsiteY0" fmla="*/ 234252 h 1684938"/>
                            <a:gd name="connsiteX1" fmla="*/ 1266098 w 1377626"/>
                            <a:gd name="connsiteY1" fmla="*/ 481165 h 1684938"/>
                            <a:gd name="connsiteX2" fmla="*/ 1347949 w 1377626"/>
                            <a:gd name="connsiteY2" fmla="*/ 1200410 h 1684938"/>
                            <a:gd name="connsiteX3" fmla="*/ 751955 w 1377626"/>
                            <a:gd name="connsiteY3" fmla="*/ 1075301 h 1684938"/>
                            <a:gd name="connsiteX4" fmla="*/ 387294 w 1377626"/>
                            <a:gd name="connsiteY4" fmla="*/ 234252 h 1684938"/>
                            <a:gd name="connsiteX0" fmla="*/ 0 w 1377626"/>
                            <a:gd name="connsiteY0" fmla="*/ 1431 h 1684938"/>
                            <a:gd name="connsiteX1" fmla="*/ 1074487 w 1377626"/>
                            <a:gd name="connsiteY1" fmla="*/ 557155 h 1684938"/>
                            <a:gd name="connsiteX2" fmla="*/ 1048045 w 1377626"/>
                            <a:gd name="connsiteY2" fmla="*/ 1684938 h 1684938"/>
                            <a:gd name="connsiteX0" fmla="*/ 387294 w 1377626"/>
                            <a:gd name="connsiteY0" fmla="*/ 234252 h 1684938"/>
                            <a:gd name="connsiteX1" fmla="*/ 1266098 w 1377626"/>
                            <a:gd name="connsiteY1" fmla="*/ 481165 h 1684938"/>
                            <a:gd name="connsiteX2" fmla="*/ 1347949 w 1377626"/>
                            <a:gd name="connsiteY2" fmla="*/ 1200410 h 1684938"/>
                            <a:gd name="connsiteX3" fmla="*/ 751955 w 1377626"/>
                            <a:gd name="connsiteY3" fmla="*/ 1075301 h 1684938"/>
                            <a:gd name="connsiteX4" fmla="*/ 387294 w 1377626"/>
                            <a:gd name="connsiteY4" fmla="*/ 234252 h 1684938"/>
                            <a:gd name="connsiteX0" fmla="*/ 0 w 1377626"/>
                            <a:gd name="connsiteY0" fmla="*/ 1431 h 1684938"/>
                            <a:gd name="connsiteX1" fmla="*/ 1074487 w 1377626"/>
                            <a:gd name="connsiteY1" fmla="*/ 557155 h 1684938"/>
                            <a:gd name="connsiteX2" fmla="*/ 1048045 w 1377626"/>
                            <a:gd name="connsiteY2" fmla="*/ 1684938 h 1684938"/>
                            <a:gd name="connsiteX0" fmla="*/ 387294 w 1377626"/>
                            <a:gd name="connsiteY0" fmla="*/ 234252 h 1684938"/>
                            <a:gd name="connsiteX1" fmla="*/ 1266098 w 1377626"/>
                            <a:gd name="connsiteY1" fmla="*/ 481165 h 1684938"/>
                            <a:gd name="connsiteX2" fmla="*/ 1347949 w 1377626"/>
                            <a:gd name="connsiteY2" fmla="*/ 1200410 h 1684938"/>
                            <a:gd name="connsiteX3" fmla="*/ 751955 w 1377626"/>
                            <a:gd name="connsiteY3" fmla="*/ 1075301 h 1684938"/>
                            <a:gd name="connsiteX4" fmla="*/ 387294 w 1377626"/>
                            <a:gd name="connsiteY4" fmla="*/ 234252 h 1684938"/>
                            <a:gd name="connsiteX0" fmla="*/ 0 w 1377626"/>
                            <a:gd name="connsiteY0" fmla="*/ 1431 h 1684938"/>
                            <a:gd name="connsiteX1" fmla="*/ 1074487 w 1377626"/>
                            <a:gd name="connsiteY1" fmla="*/ 557155 h 1684938"/>
                            <a:gd name="connsiteX2" fmla="*/ 1048045 w 1377626"/>
                            <a:gd name="connsiteY2" fmla="*/ 1684938 h 1684938"/>
                            <a:gd name="connsiteX0" fmla="*/ 387294 w 1377626"/>
                            <a:gd name="connsiteY0" fmla="*/ 234252 h 1684938"/>
                            <a:gd name="connsiteX1" fmla="*/ 1266098 w 1377626"/>
                            <a:gd name="connsiteY1" fmla="*/ 481165 h 1684938"/>
                            <a:gd name="connsiteX2" fmla="*/ 1347949 w 1377626"/>
                            <a:gd name="connsiteY2" fmla="*/ 1200410 h 1684938"/>
                            <a:gd name="connsiteX3" fmla="*/ 751955 w 1377626"/>
                            <a:gd name="connsiteY3" fmla="*/ 1075301 h 1684938"/>
                            <a:gd name="connsiteX4" fmla="*/ 387294 w 1377626"/>
                            <a:gd name="connsiteY4" fmla="*/ 234252 h 1684938"/>
                            <a:gd name="connsiteX0" fmla="*/ 0 w 1377626"/>
                            <a:gd name="connsiteY0" fmla="*/ 1431 h 1684938"/>
                            <a:gd name="connsiteX1" fmla="*/ 1074487 w 1377626"/>
                            <a:gd name="connsiteY1" fmla="*/ 557155 h 1684938"/>
                            <a:gd name="connsiteX2" fmla="*/ 1048045 w 1377626"/>
                            <a:gd name="connsiteY2" fmla="*/ 1684938 h 1684938"/>
                            <a:gd name="connsiteX0" fmla="*/ 387294 w 1377626"/>
                            <a:gd name="connsiteY0" fmla="*/ 234252 h 1684938"/>
                            <a:gd name="connsiteX1" fmla="*/ 1266098 w 1377626"/>
                            <a:gd name="connsiteY1" fmla="*/ 481165 h 1684938"/>
                            <a:gd name="connsiteX2" fmla="*/ 1347949 w 1377626"/>
                            <a:gd name="connsiteY2" fmla="*/ 1200410 h 1684938"/>
                            <a:gd name="connsiteX3" fmla="*/ 751955 w 1377626"/>
                            <a:gd name="connsiteY3" fmla="*/ 1075301 h 1684938"/>
                            <a:gd name="connsiteX4" fmla="*/ 387294 w 1377626"/>
                            <a:gd name="connsiteY4" fmla="*/ 234252 h 1684938"/>
                            <a:gd name="connsiteX0" fmla="*/ 0 w 1377626"/>
                            <a:gd name="connsiteY0" fmla="*/ 1431 h 1684938"/>
                            <a:gd name="connsiteX1" fmla="*/ 1074487 w 1377626"/>
                            <a:gd name="connsiteY1" fmla="*/ 557155 h 1684938"/>
                            <a:gd name="connsiteX2" fmla="*/ 1048045 w 1377626"/>
                            <a:gd name="connsiteY2" fmla="*/ 1684938 h 1684938"/>
                          </a:gdLst>
                          <a:ahLst/>
                          <a:cxnLst>
                            <a:cxn ang="0">
                              <a:pos x="connsiteX0" y="connsiteY0"/>
                            </a:cxn>
                            <a:cxn ang="0">
                              <a:pos x="connsiteX1" y="connsiteY1"/>
                            </a:cxn>
                            <a:cxn ang="0">
                              <a:pos x="connsiteX2" y="connsiteY2"/>
                            </a:cxn>
                          </a:cxnLst>
                          <a:rect l="l" t="t" r="r" b="b"/>
                          <a:pathLst>
                            <a:path w="1377626" h="1684938" stroke="0" extrusionOk="0">
                              <a:moveTo>
                                <a:pt x="387294" y="234252"/>
                              </a:moveTo>
                              <a:cubicBezTo>
                                <a:pt x="671244" y="-97857"/>
                                <a:pt x="1105989" y="320139"/>
                                <a:pt x="1266098" y="481165"/>
                              </a:cubicBezTo>
                              <a:cubicBezTo>
                                <a:pt x="1426207" y="642191"/>
                                <a:pt x="1374828" y="933238"/>
                                <a:pt x="1347949" y="1200410"/>
                              </a:cubicBezTo>
                              <a:lnTo>
                                <a:pt x="751955" y="1075301"/>
                              </a:lnTo>
                              <a:lnTo>
                                <a:pt x="387294" y="234252"/>
                              </a:lnTo>
                              <a:close/>
                            </a:path>
                            <a:path w="1377626" h="1684938" fill="none">
                              <a:moveTo>
                                <a:pt x="0" y="1431"/>
                              </a:moveTo>
                              <a:cubicBezTo>
                                <a:pt x="465873" y="-12367"/>
                                <a:pt x="814570" y="66426"/>
                                <a:pt x="1074487" y="557155"/>
                              </a:cubicBezTo>
                              <a:cubicBezTo>
                                <a:pt x="1152138" y="731252"/>
                                <a:pt x="1315950" y="1088400"/>
                                <a:pt x="1048045" y="1684938"/>
                              </a:cubicBezTo>
                            </a:path>
                          </a:pathLst>
                        </a:custGeom>
                        <a:noFill/>
                        <a:ln w="34925" cap="flat" cmpd="sng" algn="ctr">
                          <a:solidFill>
                            <a:srgbClr val="156082"/>
                          </a:solidFill>
                          <a:prstDash val="solid"/>
                          <a:miter lim="800000"/>
                          <a:headEnd type="stealth"/>
                          <a:tailEnd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D5351" id="Łuk 41" o:spid="_x0000_s1026" style="position:absolute;margin-left:140.1pt;margin-top:22.95pt;width:90.2pt;height:91.95pt;rotation:-10078298fd;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7626,1684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" path="m387294,234252nsc671244,-97857,1105989,320139,1266098,481165v160109,161026,108730,452073,81851,719245l751955,1075301,387294,234252xem,1431nfc465873,-12367,814570,66426,1074487,557155v77651,174097,241463,531245,-26442,1127783e" filled="f" strokecolor="#156082" strokeweight="2.75pt">
                <v:stroke startarrow="classic" endarrowwidth="wide" endarrowlength="long" joinstyle="miter"/>
                <v:path arrowok="t" o:connecttype="custom" o:connectlocs="0,992;893228,386222;871246,1168005" o:connectangles="0,0,0"/>
              </v:shape>
            </w:pict>
          </mc:Fallback>
        </mc:AlternateContent>
      </w:r>
      <w:r w:rsidRPr="00DB6AED">
        <w:rPr>
          <w:noProof/>
        </w:rPr>
        <mc:AlternateContent>
          <mc:Choice Requires="wps">
            <w:drawing>
              <wp:anchor distT="0" distB="0" distL="114300" distR="114300" simplePos="0" relativeHeight="251837440" behindDoc="0" locked="0" layoutInCell="1" allowOverlap="1" wp14:anchorId="5D1D836D" wp14:editId="5047DE0A">
                <wp:simplePos x="0" y="0"/>
                <wp:positionH relativeFrom="column">
                  <wp:posOffset>2354561</wp:posOffset>
                </wp:positionH>
                <wp:positionV relativeFrom="paragraph">
                  <wp:posOffset>177691</wp:posOffset>
                </wp:positionV>
                <wp:extent cx="1606692" cy="293323"/>
                <wp:effectExtent l="0" t="0" r="12700" b="12065"/>
                <wp:wrapNone/>
                <wp:docPr id="36669734" name="Pole tekstowe 23"/>
                <wp:cNvGraphicFramePr/>
                <a:graphic xmlns:a="http://schemas.openxmlformats.org/drawingml/2006/main">
                  <a:graphicData uri="http://schemas.microsoft.com/office/word/2010/wordprocessingShape">
                    <wps:wsp>
                      <wps:cNvSpPr txBox="1"/>
                      <wps:spPr>
                        <a:xfrm>
                          <a:off x="0" y="0"/>
                          <a:ext cx="1606692" cy="293323"/>
                        </a:xfrm>
                        <a:prstGeom prst="rect">
                          <a:avLst/>
                        </a:prstGeom>
                        <a:solidFill>
                          <a:sysClr val="window" lastClr="FFFFFF"/>
                        </a:solidFill>
                        <a:ln w="12700" cap="flat" cmpd="sng" algn="ctr">
                          <a:solidFill>
                            <a:srgbClr val="E97132"/>
                          </a:solidFill>
                          <a:prstDash val="solid"/>
                          <a:miter lim="800000"/>
                        </a:ln>
                        <a:effectLst/>
                      </wps:spPr>
                      <wps:txbx>
                        <w:txbxContent>
                          <w:p w14:paraId="5BAD6C5D" w14:textId="77777777" w:rsidR="008D28A7" w:rsidRPr="00D717A1" w:rsidRDefault="008D28A7" w:rsidP="008D28A7">
                            <w:pPr>
                              <w:rPr>
                                <w:sz w:val="22"/>
                                <w:szCs w:val="22"/>
                              </w:rPr>
                            </w:pPr>
                            <w:r w:rsidRPr="00D717A1">
                              <w:rPr>
                                <w:sz w:val="22"/>
                                <w:szCs w:val="22"/>
                              </w:rPr>
                              <w:t xml:space="preserve"> Korzyści bezpośrednie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D836D" id="_x0000_s1059" type="#_x0000_t202" style="position:absolute;margin-left:185.4pt;margin-top:14pt;width:126.5pt;height:23.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" fillcolor="window" strokecolor="#e97132" strokeweight="1pt">
                <v:textbox>
                  <w:txbxContent>
                    <w:p w14:paraId="5BAD6C5D" w14:textId="77777777" w:rsidR="008D28A7" w:rsidRPr="00D717A1" w:rsidRDefault="008D28A7" w:rsidP="008D28A7">
                      <w:pPr>
                        <w:rPr>
                          <w:sz w:val="22"/>
                          <w:szCs w:val="22"/>
                        </w:rPr>
                      </w:pPr>
                      <w:r w:rsidRPr="00D717A1">
                        <w:rPr>
                          <w:sz w:val="22"/>
                          <w:szCs w:val="22"/>
                        </w:rPr>
                        <w:t xml:space="preserve"> Korzyści bezpośrednie</w:t>
                      </w:r>
                    </w:p>
                  </w:txbxContent>
                </v:textbox>
              </v:shape>
            </w:pict>
          </mc:Fallback>
        </mc:AlternateContent>
      </w:r>
    </w:p>
    <w:p w14:paraId="2F088342" w14:textId="77777777" w:rsidR="008D28A7" w:rsidRPr="00DB6AED" w:rsidRDefault="008D28A7" w:rsidP="008D28A7">
      <w:pPr>
        <w:tabs>
          <w:tab w:val="left" w:pos="2488"/>
        </w:tabs>
      </w:pPr>
      <w:r w:rsidRPr="00DB6AED">
        <w:rPr>
          <w:noProof/>
        </w:rPr>
        <mc:AlternateContent>
          <mc:Choice Requires="wps">
            <w:drawing>
              <wp:anchor distT="0" distB="0" distL="114300" distR="114300" simplePos="0" relativeHeight="251858944" behindDoc="0" locked="0" layoutInCell="1" allowOverlap="1" wp14:anchorId="701DFF9E" wp14:editId="49E4565F">
                <wp:simplePos x="0" y="0"/>
                <wp:positionH relativeFrom="column">
                  <wp:posOffset>2612598</wp:posOffset>
                </wp:positionH>
                <wp:positionV relativeFrom="paragraph">
                  <wp:posOffset>158039</wp:posOffset>
                </wp:positionV>
                <wp:extent cx="350520" cy="352425"/>
                <wp:effectExtent l="0" t="0" r="0" b="0"/>
                <wp:wrapNone/>
                <wp:docPr id="1069496164" name="Pole tekstowe 24"/>
                <wp:cNvGraphicFramePr/>
                <a:graphic xmlns:a="http://schemas.openxmlformats.org/drawingml/2006/main">
                  <a:graphicData uri="http://schemas.microsoft.com/office/word/2010/wordprocessingShape">
                    <wps:wsp>
                      <wps:cNvSpPr txBox="1"/>
                      <wps:spPr>
                        <a:xfrm>
                          <a:off x="0" y="0"/>
                          <a:ext cx="350520" cy="352425"/>
                        </a:xfrm>
                        <a:prstGeom prst="rect">
                          <a:avLst/>
                        </a:prstGeom>
                        <a:solidFill>
                          <a:sysClr val="window" lastClr="FFFFFF">
                            <a:alpha val="0"/>
                          </a:sysClr>
                        </a:solidFill>
                        <a:ln w="6350">
                          <a:noFill/>
                        </a:ln>
                      </wps:spPr>
                      <wps:txbx>
                        <w:txbxContent>
                          <w:p w14:paraId="27231716" w14:textId="77777777" w:rsidR="008D28A7" w:rsidRPr="00AF1337" w:rsidRDefault="008D28A7" w:rsidP="008D28A7">
                            <w:pPr>
                              <w:rPr>
                                <w:b/>
                                <w:bCs/>
                                <w:sz w:val="28"/>
                                <w:szCs w:val="28"/>
                              </w:rPr>
                            </w:pPr>
                            <w:r w:rsidRPr="00AF1337">
                              <w:rPr>
                                <w:b/>
                                <w:bCs/>
                                <w:sz w:val="28"/>
                                <w:szCs w:val="28"/>
                              </w:rPr>
                              <w:t>F</w:t>
                            </w:r>
                            <w:r w:rsidRPr="00AF1337">
                              <w:rPr>
                                <w:b/>
                                <w:bCs/>
                                <w:sz w:val="28"/>
                                <w:szCs w:val="28"/>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DFF9E" id="_x0000_s1060" type="#_x0000_t202" style="position:absolute;margin-left:205.7pt;margin-top:12.45pt;width:27.6pt;height:27.7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" fillcolor="window" stroked="f" strokeweight=".5pt">
                <v:fill opacity="0"/>
                <v:textbox>
                  <w:txbxContent>
                    <w:p w14:paraId="27231716" w14:textId="77777777" w:rsidR="008D28A7" w:rsidRPr="00AF1337" w:rsidRDefault="008D28A7" w:rsidP="008D28A7">
                      <w:pPr>
                        <w:rPr>
                          <w:b/>
                          <w:bCs/>
                          <w:sz w:val="28"/>
                          <w:szCs w:val="28"/>
                        </w:rPr>
                      </w:pPr>
                      <w:r w:rsidRPr="00AF1337">
                        <w:rPr>
                          <w:b/>
                          <w:bCs/>
                          <w:sz w:val="28"/>
                          <w:szCs w:val="28"/>
                        </w:rPr>
                        <w:t>F</w:t>
                      </w:r>
                      <w:r w:rsidRPr="00AF1337">
                        <w:rPr>
                          <w:b/>
                          <w:bCs/>
                          <w:sz w:val="28"/>
                          <w:szCs w:val="28"/>
                          <w:vertAlign w:val="subscript"/>
                        </w:rPr>
                        <w:t>2</w:t>
                      </w:r>
                    </w:p>
                  </w:txbxContent>
                </v:textbox>
              </v:shape>
            </w:pict>
          </mc:Fallback>
        </mc:AlternateContent>
      </w:r>
      <w:r w:rsidRPr="00DB6AED">
        <w:rPr>
          <w:noProof/>
        </w:rPr>
        <mc:AlternateContent>
          <mc:Choice Requires="wps">
            <w:drawing>
              <wp:anchor distT="0" distB="0" distL="114300" distR="114300" simplePos="0" relativeHeight="251843584" behindDoc="0" locked="0" layoutInCell="1" allowOverlap="1" wp14:anchorId="57D24BA8" wp14:editId="39AD615F">
                <wp:simplePos x="0" y="0"/>
                <wp:positionH relativeFrom="column">
                  <wp:posOffset>4197341</wp:posOffset>
                </wp:positionH>
                <wp:positionV relativeFrom="paragraph">
                  <wp:posOffset>147955</wp:posOffset>
                </wp:positionV>
                <wp:extent cx="1562091" cy="669290"/>
                <wp:effectExtent l="0" t="0" r="19685" b="16510"/>
                <wp:wrapNone/>
                <wp:docPr id="661571305" name="Pole tekstowe 23"/>
                <wp:cNvGraphicFramePr/>
                <a:graphic xmlns:a="http://schemas.openxmlformats.org/drawingml/2006/main">
                  <a:graphicData uri="http://schemas.microsoft.com/office/word/2010/wordprocessingShape">
                    <wps:wsp>
                      <wps:cNvSpPr txBox="1"/>
                      <wps:spPr>
                        <a:xfrm>
                          <a:off x="0" y="0"/>
                          <a:ext cx="1562091" cy="669290"/>
                        </a:xfrm>
                        <a:prstGeom prst="rect">
                          <a:avLst/>
                        </a:prstGeom>
                        <a:solidFill>
                          <a:sysClr val="window" lastClr="FFFFFF"/>
                        </a:solidFill>
                        <a:ln w="12700" cap="flat" cmpd="sng" algn="ctr">
                          <a:solidFill>
                            <a:srgbClr val="E97132"/>
                          </a:solidFill>
                          <a:prstDash val="solid"/>
                          <a:miter lim="800000"/>
                        </a:ln>
                        <a:effectLst/>
                      </wps:spPr>
                      <wps:txbx>
                        <w:txbxContent>
                          <w:p w14:paraId="08395EAB" w14:textId="77777777" w:rsidR="008D28A7" w:rsidRPr="00594E9C" w:rsidRDefault="008D28A7" w:rsidP="008D28A7">
                            <w:pPr>
                              <w:jc w:val="center"/>
                              <w:rPr>
                                <w:sz w:val="22"/>
                                <w:szCs w:val="22"/>
                              </w:rPr>
                            </w:pPr>
                            <w:r w:rsidRPr="00594E9C">
                              <w:rPr>
                                <w:sz w:val="22"/>
                                <w:szCs w:val="22"/>
                              </w:rPr>
                              <w:t xml:space="preserve">Wyniki pośrednie </w:t>
                            </w:r>
                            <w:r>
                              <w:rPr>
                                <w:sz w:val="22"/>
                                <w:szCs w:val="22"/>
                              </w:rPr>
                              <w:br/>
                            </w:r>
                            <w:r w:rsidRPr="00594E9C">
                              <w:rPr>
                                <w:sz w:val="22"/>
                                <w:szCs w:val="22"/>
                              </w:rPr>
                              <w:t>Założenia dotyczące więzi przyczynowych</w:t>
                            </w:r>
                            <w:r w:rsidRPr="00594E9C">
                              <w:rPr>
                                <w:sz w:val="22"/>
                                <w:szCs w:val="22"/>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24BA8" id="_x0000_s1061" type="#_x0000_t202" style="position:absolute;margin-left:330.5pt;margin-top:11.65pt;width:123pt;height:52.7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" fillcolor="window" strokecolor="#e97132" strokeweight="1pt">
                <v:textbox>
                  <w:txbxContent>
                    <w:p w14:paraId="08395EAB" w14:textId="77777777" w:rsidR="008D28A7" w:rsidRPr="00594E9C" w:rsidRDefault="008D28A7" w:rsidP="008D28A7">
                      <w:pPr>
                        <w:jc w:val="center"/>
                        <w:rPr>
                          <w:sz w:val="22"/>
                          <w:szCs w:val="22"/>
                        </w:rPr>
                      </w:pPr>
                      <w:r w:rsidRPr="00594E9C">
                        <w:rPr>
                          <w:sz w:val="22"/>
                          <w:szCs w:val="22"/>
                        </w:rPr>
                        <w:t xml:space="preserve">Wyniki pośrednie </w:t>
                      </w:r>
                      <w:r>
                        <w:rPr>
                          <w:sz w:val="22"/>
                          <w:szCs w:val="22"/>
                        </w:rPr>
                        <w:br/>
                      </w:r>
                      <w:r w:rsidRPr="00594E9C">
                        <w:rPr>
                          <w:sz w:val="22"/>
                          <w:szCs w:val="22"/>
                        </w:rPr>
                        <w:t>Założenia dotyczące więzi przyczynowych</w:t>
                      </w:r>
                      <w:r w:rsidRPr="00594E9C">
                        <w:rPr>
                          <w:sz w:val="22"/>
                          <w:szCs w:val="22"/>
                        </w:rPr>
                        <w:br/>
                      </w:r>
                    </w:p>
                  </w:txbxContent>
                </v:textbox>
              </v:shape>
            </w:pict>
          </mc:Fallback>
        </mc:AlternateContent>
      </w:r>
      <w:r w:rsidRPr="00DB6AED">
        <w:rPr>
          <w:noProof/>
        </w:rPr>
        <mc:AlternateContent>
          <mc:Choice Requires="wps">
            <w:drawing>
              <wp:anchor distT="0" distB="0" distL="114300" distR="114300" simplePos="0" relativeHeight="251849728" behindDoc="0" locked="0" layoutInCell="1" allowOverlap="1" wp14:anchorId="4B7D3E38" wp14:editId="1EC8D9D7">
                <wp:simplePos x="0" y="0"/>
                <wp:positionH relativeFrom="column">
                  <wp:posOffset>1539849</wp:posOffset>
                </wp:positionH>
                <wp:positionV relativeFrom="paragraph">
                  <wp:posOffset>144980</wp:posOffset>
                </wp:positionV>
                <wp:extent cx="242311" cy="150001"/>
                <wp:effectExtent l="19050" t="38100" r="0" b="59690"/>
                <wp:wrapNone/>
                <wp:docPr id="903312895" name="Strzałka: w prawo 39"/>
                <wp:cNvGraphicFramePr/>
                <a:graphic xmlns:a="http://schemas.openxmlformats.org/drawingml/2006/main">
                  <a:graphicData uri="http://schemas.microsoft.com/office/word/2010/wordprocessingShape">
                    <wps:wsp>
                      <wps:cNvSpPr/>
                      <wps:spPr>
                        <a:xfrm rot="18982702">
                          <a:off x="0" y="0"/>
                          <a:ext cx="242311" cy="150001"/>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76196" id="Strzałka: w prawo 39" o:spid="_x0000_s1026" type="#_x0000_t13" style="position:absolute;margin-left:121.25pt;margin-top:11.4pt;width:19.1pt;height:11.8pt;rotation:-2858787fd;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" adj="14914" fillcolor="#156082" strokecolor="#042433" strokeweight="1pt"/>
            </w:pict>
          </mc:Fallback>
        </mc:AlternateContent>
      </w:r>
      <w:r w:rsidRPr="00DB6AED">
        <w:rPr>
          <w:noProof/>
        </w:rPr>
        <mc:AlternateContent>
          <mc:Choice Requires="wps">
            <w:drawing>
              <wp:anchor distT="0" distB="0" distL="114300" distR="114300" simplePos="0" relativeHeight="251836416" behindDoc="0" locked="0" layoutInCell="1" allowOverlap="1" wp14:anchorId="1A59CB60" wp14:editId="01DBD32F">
                <wp:simplePos x="0" y="0"/>
                <wp:positionH relativeFrom="column">
                  <wp:posOffset>405330</wp:posOffset>
                </wp:positionH>
                <wp:positionV relativeFrom="paragraph">
                  <wp:posOffset>266494</wp:posOffset>
                </wp:positionV>
                <wp:extent cx="1003110" cy="614476"/>
                <wp:effectExtent l="0" t="0" r="26035" b="14605"/>
                <wp:wrapNone/>
                <wp:docPr id="337369324" name="Pole tekstowe 23"/>
                <wp:cNvGraphicFramePr/>
                <a:graphic xmlns:a="http://schemas.openxmlformats.org/drawingml/2006/main">
                  <a:graphicData uri="http://schemas.microsoft.com/office/word/2010/wordprocessingShape">
                    <wps:wsp>
                      <wps:cNvSpPr txBox="1"/>
                      <wps:spPr>
                        <a:xfrm>
                          <a:off x="0" y="0"/>
                          <a:ext cx="1003110" cy="614476"/>
                        </a:xfrm>
                        <a:prstGeom prst="rect">
                          <a:avLst/>
                        </a:prstGeom>
                        <a:solidFill>
                          <a:sysClr val="window" lastClr="FFFFFF"/>
                        </a:solidFill>
                        <a:ln w="12700" cap="flat" cmpd="sng" algn="ctr">
                          <a:solidFill>
                            <a:srgbClr val="E97132"/>
                          </a:solidFill>
                          <a:prstDash val="solid"/>
                          <a:miter lim="800000"/>
                        </a:ln>
                        <a:effectLst/>
                      </wps:spPr>
                      <wps:txbx>
                        <w:txbxContent>
                          <w:p w14:paraId="1BF17807" w14:textId="77777777" w:rsidR="008D28A7" w:rsidRPr="00DC0254" w:rsidRDefault="008D28A7" w:rsidP="008D28A7">
                            <w:pPr>
                              <w:jc w:val="center"/>
                              <w:rPr>
                                <w:b/>
                                <w:bCs/>
                              </w:rPr>
                            </w:pPr>
                            <w:r w:rsidRPr="00DC0254">
                              <w:rPr>
                                <w:b/>
                                <w:bCs/>
                              </w:rPr>
                              <w:t xml:space="preserve">Wpływy </w:t>
                            </w:r>
                            <w:r w:rsidRPr="00DC0254">
                              <w:rPr>
                                <w:b/>
                                <w:bCs/>
                              </w:rPr>
                              <w:br/>
                              <w:t>zewnętrzne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9CB60" id="_x0000_s1062" type="#_x0000_t202" style="position:absolute;margin-left:31.9pt;margin-top:21pt;width:79pt;height:48.4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" fillcolor="window" strokecolor="#e97132" strokeweight="1pt">
                <v:textbox>
                  <w:txbxContent>
                    <w:p w14:paraId="1BF17807" w14:textId="77777777" w:rsidR="008D28A7" w:rsidRPr="00DC0254" w:rsidRDefault="008D28A7" w:rsidP="008D28A7">
                      <w:pPr>
                        <w:jc w:val="center"/>
                        <w:rPr>
                          <w:b/>
                          <w:bCs/>
                        </w:rPr>
                      </w:pPr>
                      <w:r w:rsidRPr="00DC0254">
                        <w:rPr>
                          <w:b/>
                          <w:bCs/>
                        </w:rPr>
                        <w:t xml:space="preserve">Wpływy </w:t>
                      </w:r>
                      <w:r w:rsidRPr="00DC0254">
                        <w:rPr>
                          <w:b/>
                          <w:bCs/>
                        </w:rPr>
                        <w:br/>
                        <w:t>zewnętrzne</w:t>
                      </w:r>
                    </w:p>
                  </w:txbxContent>
                </v:textbox>
              </v:shape>
            </w:pict>
          </mc:Fallback>
        </mc:AlternateContent>
      </w:r>
      <w:r w:rsidRPr="00DB6AED">
        <w:rPr>
          <w:noProof/>
        </w:rPr>
        <mc:AlternateContent>
          <mc:Choice Requires="wps">
            <w:drawing>
              <wp:anchor distT="0" distB="0" distL="114300" distR="114300" simplePos="0" relativeHeight="251854848" behindDoc="0" locked="0" layoutInCell="1" allowOverlap="1" wp14:anchorId="6941531E" wp14:editId="0A1E83B7">
                <wp:simplePos x="0" y="0"/>
                <wp:positionH relativeFrom="column">
                  <wp:posOffset>2989514</wp:posOffset>
                </wp:positionH>
                <wp:positionV relativeFrom="paragraph">
                  <wp:posOffset>274852</wp:posOffset>
                </wp:positionV>
                <wp:extent cx="326399" cy="80644"/>
                <wp:effectExtent l="27940" t="10160" r="44450" b="25400"/>
                <wp:wrapNone/>
                <wp:docPr id="1054214930" name="Strzałka: w prawo 39"/>
                <wp:cNvGraphicFramePr/>
                <a:graphic xmlns:a="http://schemas.openxmlformats.org/drawingml/2006/main">
                  <a:graphicData uri="http://schemas.microsoft.com/office/word/2010/wordprocessingShape">
                    <wps:wsp>
                      <wps:cNvSpPr/>
                      <wps:spPr>
                        <a:xfrm rot="16200000">
                          <a:off x="0" y="0"/>
                          <a:ext cx="326399" cy="80644"/>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94F42" id="Strzałka: w prawo 39" o:spid="_x0000_s1026" type="#_x0000_t13" style="position:absolute;margin-left:235.4pt;margin-top:21.65pt;width:25.7pt;height:6.35pt;rotation:-90;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" adj="18932" fillcolor="#156082" strokecolor="#042433" strokeweight="1pt"/>
            </w:pict>
          </mc:Fallback>
        </mc:AlternateContent>
      </w:r>
      <w:r w:rsidRPr="00DB6AED">
        <w:rPr>
          <w:noProof/>
        </w:rPr>
        <mc:AlternateContent>
          <mc:Choice Requires="wps">
            <w:drawing>
              <wp:anchor distT="0" distB="0" distL="114300" distR="114300" simplePos="0" relativeHeight="251853824" behindDoc="0" locked="0" layoutInCell="1" allowOverlap="1" wp14:anchorId="4FAFB77B" wp14:editId="231EC5C6">
                <wp:simplePos x="0" y="0"/>
                <wp:positionH relativeFrom="column">
                  <wp:posOffset>2831398</wp:posOffset>
                </wp:positionH>
                <wp:positionV relativeFrom="paragraph">
                  <wp:posOffset>277439</wp:posOffset>
                </wp:positionV>
                <wp:extent cx="328732" cy="80645"/>
                <wp:effectExtent l="9525" t="9525" r="43180" b="43180"/>
                <wp:wrapNone/>
                <wp:docPr id="1382117135" name="Strzałka: w prawo 39"/>
                <wp:cNvGraphicFramePr/>
                <a:graphic xmlns:a="http://schemas.openxmlformats.org/drawingml/2006/main">
                  <a:graphicData uri="http://schemas.microsoft.com/office/word/2010/wordprocessingShape">
                    <wps:wsp>
                      <wps:cNvSpPr/>
                      <wps:spPr>
                        <a:xfrm rot="5400000">
                          <a:off x="0" y="0"/>
                          <a:ext cx="328732" cy="80645"/>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25BA3" id="Strzałka: w prawo 39" o:spid="_x0000_s1026" type="#_x0000_t13" style="position:absolute;margin-left:222.95pt;margin-top:21.85pt;width:25.9pt;height:6.35pt;rotation:90;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" adj="18951" fillcolor="#156082" strokecolor="#042433" strokeweight="1pt"/>
            </w:pict>
          </mc:Fallback>
        </mc:AlternateContent>
      </w:r>
      <w:r w:rsidRPr="00DB6AED">
        <w:tab/>
      </w:r>
    </w:p>
    <w:p w14:paraId="74A04F31"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60992" behindDoc="0" locked="0" layoutInCell="1" allowOverlap="1" wp14:anchorId="6E95F978" wp14:editId="0A9067CF">
                <wp:simplePos x="0" y="0"/>
                <wp:positionH relativeFrom="column">
                  <wp:posOffset>6303010</wp:posOffset>
                </wp:positionH>
                <wp:positionV relativeFrom="paragraph">
                  <wp:posOffset>316865</wp:posOffset>
                </wp:positionV>
                <wp:extent cx="240665" cy="176530"/>
                <wp:effectExtent l="95250" t="152400" r="64135" b="147320"/>
                <wp:wrapNone/>
                <wp:docPr id="741575776" name="Strzałka: w prawo 39"/>
                <wp:cNvGraphicFramePr/>
                <a:graphic xmlns:a="http://schemas.openxmlformats.org/drawingml/2006/main">
                  <a:graphicData uri="http://schemas.microsoft.com/office/word/2010/wordprocessingShape">
                    <wps:wsp>
                      <wps:cNvSpPr/>
                      <wps:spPr>
                        <a:xfrm rot="10800000">
                          <a:off x="0" y="0"/>
                          <a:ext cx="240665" cy="176530"/>
                        </a:xfrm>
                        <a:prstGeom prst="rightArrow">
                          <a:avLst/>
                        </a:prstGeom>
                        <a:solidFill>
                          <a:srgbClr val="156082"/>
                        </a:solidFill>
                        <a:ln w="1174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C4190" id="Strzałka: w prawo 39" o:spid="_x0000_s1026" type="#_x0000_t13" style="position:absolute;margin-left:496.3pt;margin-top:24.95pt;width:18.95pt;height:13.9pt;rotation:180;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" adj="13678" fillcolor="#156082" strokecolor="#042433" strokeweight="9.25pt"/>
            </w:pict>
          </mc:Fallback>
        </mc:AlternateContent>
      </w:r>
      <w:r w:rsidRPr="00DB6AED">
        <w:rPr>
          <w:noProof/>
        </w:rPr>
        <mc:AlternateContent>
          <mc:Choice Requires="wps">
            <w:drawing>
              <wp:anchor distT="0" distB="0" distL="114300" distR="114300" simplePos="0" relativeHeight="251847680" behindDoc="0" locked="0" layoutInCell="1" allowOverlap="1" wp14:anchorId="60EB2360" wp14:editId="37B8F60A">
                <wp:simplePos x="0" y="0"/>
                <wp:positionH relativeFrom="column">
                  <wp:posOffset>6641446</wp:posOffset>
                </wp:positionH>
                <wp:positionV relativeFrom="paragraph">
                  <wp:posOffset>9885</wp:posOffset>
                </wp:positionV>
                <wp:extent cx="1774190" cy="893445"/>
                <wp:effectExtent l="0" t="0" r="16510" b="20955"/>
                <wp:wrapNone/>
                <wp:docPr id="787086725" name="Pole tekstowe 23"/>
                <wp:cNvGraphicFramePr/>
                <a:graphic xmlns:a="http://schemas.openxmlformats.org/drawingml/2006/main">
                  <a:graphicData uri="http://schemas.microsoft.com/office/word/2010/wordprocessingShape">
                    <wps:wsp>
                      <wps:cNvSpPr txBox="1"/>
                      <wps:spPr>
                        <a:xfrm>
                          <a:off x="0" y="0"/>
                          <a:ext cx="1774190" cy="893445"/>
                        </a:xfrm>
                        <a:prstGeom prst="rect">
                          <a:avLst/>
                        </a:prstGeom>
                        <a:solidFill>
                          <a:sysClr val="window" lastClr="FFFFFF"/>
                        </a:solidFill>
                        <a:ln w="12700" cap="flat" cmpd="sng" algn="ctr">
                          <a:solidFill>
                            <a:srgbClr val="E97132"/>
                          </a:solidFill>
                          <a:prstDash val="solid"/>
                          <a:miter lim="800000"/>
                        </a:ln>
                        <a:effectLst/>
                      </wps:spPr>
                      <wps:txbx>
                        <w:txbxContent>
                          <w:p w14:paraId="199656F9" w14:textId="77777777" w:rsidR="008D28A7" w:rsidRPr="00D717A1" w:rsidRDefault="008D28A7" w:rsidP="008D28A7">
                            <w:pPr>
                              <w:jc w:val="center"/>
                              <w:rPr>
                                <w:sz w:val="22"/>
                                <w:szCs w:val="22"/>
                              </w:rPr>
                            </w:pPr>
                            <w:r w:rsidRPr="00D717A1">
                              <w:rPr>
                                <w:sz w:val="22"/>
                                <w:szCs w:val="22"/>
                              </w:rPr>
                              <w:t xml:space="preserve">Aktywności wspierające (pomagające wprowadzić założenia, obejmujące sprzyjające otoczenie)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B2360" id="_x0000_s1063" type="#_x0000_t202" style="position:absolute;margin-left:522.95pt;margin-top:.8pt;width:139.7pt;height:70.3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" fillcolor="window" strokecolor="#e97132" strokeweight="1pt">
                <v:textbox>
                  <w:txbxContent>
                    <w:p w14:paraId="199656F9" w14:textId="77777777" w:rsidR="008D28A7" w:rsidRPr="00D717A1" w:rsidRDefault="008D28A7" w:rsidP="008D28A7">
                      <w:pPr>
                        <w:jc w:val="center"/>
                        <w:rPr>
                          <w:sz w:val="22"/>
                          <w:szCs w:val="22"/>
                        </w:rPr>
                      </w:pPr>
                      <w:r w:rsidRPr="00D717A1">
                        <w:rPr>
                          <w:sz w:val="22"/>
                          <w:szCs w:val="22"/>
                        </w:rPr>
                        <w:t xml:space="preserve">Aktywności wspierające (pomagające wprowadzić założenia, obejmujące sprzyjające otoczenie) </w:t>
                      </w:r>
                    </w:p>
                  </w:txbxContent>
                </v:textbox>
              </v:shape>
            </w:pict>
          </mc:Fallback>
        </mc:AlternateContent>
      </w:r>
      <w:r w:rsidRPr="00DB6AED">
        <w:rPr>
          <w:noProof/>
        </w:rPr>
        <mc:AlternateContent>
          <mc:Choice Requires="wps">
            <w:drawing>
              <wp:anchor distT="0" distB="0" distL="114300" distR="114300" simplePos="0" relativeHeight="251869184" behindDoc="0" locked="0" layoutInCell="1" allowOverlap="1" wp14:anchorId="4DC3A125" wp14:editId="6509D52B">
                <wp:simplePos x="0" y="0"/>
                <wp:positionH relativeFrom="column">
                  <wp:posOffset>1945640</wp:posOffset>
                </wp:positionH>
                <wp:positionV relativeFrom="paragraph">
                  <wp:posOffset>127000</wp:posOffset>
                </wp:positionV>
                <wp:extent cx="350520" cy="352425"/>
                <wp:effectExtent l="0" t="0" r="0" b="0"/>
                <wp:wrapNone/>
                <wp:docPr id="686410355" name="Pole tekstowe 24"/>
                <wp:cNvGraphicFramePr/>
                <a:graphic xmlns:a="http://schemas.openxmlformats.org/drawingml/2006/main">
                  <a:graphicData uri="http://schemas.microsoft.com/office/word/2010/wordprocessingShape">
                    <wps:wsp>
                      <wps:cNvSpPr txBox="1"/>
                      <wps:spPr>
                        <a:xfrm>
                          <a:off x="0" y="0"/>
                          <a:ext cx="350520" cy="352425"/>
                        </a:xfrm>
                        <a:prstGeom prst="rect">
                          <a:avLst/>
                        </a:prstGeom>
                        <a:solidFill>
                          <a:sysClr val="window" lastClr="FFFFFF">
                            <a:alpha val="0"/>
                          </a:sysClr>
                        </a:solidFill>
                        <a:ln w="6350">
                          <a:noFill/>
                        </a:ln>
                      </wps:spPr>
                      <wps:txbx>
                        <w:txbxContent>
                          <w:p w14:paraId="37934B4D" w14:textId="77777777" w:rsidR="008D28A7" w:rsidRPr="00AF1337" w:rsidRDefault="008D28A7" w:rsidP="008D28A7">
                            <w:pPr>
                              <w:rPr>
                                <w:b/>
                                <w:bCs/>
                                <w:sz w:val="28"/>
                                <w:szCs w:val="28"/>
                              </w:rPr>
                            </w:pPr>
                            <w:r w:rsidRPr="00AF1337">
                              <w:rPr>
                                <w:b/>
                                <w:bCs/>
                                <w:sz w:val="28"/>
                                <w:szCs w:val="28"/>
                              </w:rPr>
                              <w:t>F</w:t>
                            </w:r>
                            <w:r>
                              <w:rPr>
                                <w:b/>
                                <w:bCs/>
                                <w:sz w:val="28"/>
                                <w:szCs w:val="28"/>
                                <w:vertAlign w:val="subscript"/>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3A125" id="_x0000_s1064" type="#_x0000_t202" style="position:absolute;margin-left:153.2pt;margin-top:10pt;width:27.6pt;height:27.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" fillcolor="window" stroked="f" strokeweight=".5pt">
                <v:fill opacity="0"/>
                <v:textbox>
                  <w:txbxContent>
                    <w:p w14:paraId="37934B4D" w14:textId="77777777" w:rsidR="008D28A7" w:rsidRPr="00AF1337" w:rsidRDefault="008D28A7" w:rsidP="008D28A7">
                      <w:pPr>
                        <w:rPr>
                          <w:b/>
                          <w:bCs/>
                          <w:sz w:val="28"/>
                          <w:szCs w:val="28"/>
                        </w:rPr>
                      </w:pPr>
                      <w:r w:rsidRPr="00AF1337">
                        <w:rPr>
                          <w:b/>
                          <w:bCs/>
                          <w:sz w:val="28"/>
                          <w:szCs w:val="28"/>
                        </w:rPr>
                        <w:t>F</w:t>
                      </w:r>
                      <w:r>
                        <w:rPr>
                          <w:b/>
                          <w:bCs/>
                          <w:sz w:val="28"/>
                          <w:szCs w:val="28"/>
                          <w:vertAlign w:val="subscript"/>
                        </w:rPr>
                        <w:t>4</w:t>
                      </w:r>
                    </w:p>
                  </w:txbxContent>
                </v:textbox>
              </v:shape>
            </w:pict>
          </mc:Fallback>
        </mc:AlternateContent>
      </w:r>
      <w:r w:rsidRPr="00DB6AED">
        <w:rPr>
          <w:noProof/>
        </w:rPr>
        <mc:AlternateContent>
          <mc:Choice Requires="wps">
            <w:drawing>
              <wp:anchor distT="0" distB="0" distL="114300" distR="114300" simplePos="0" relativeHeight="251850752" behindDoc="0" locked="0" layoutInCell="1" allowOverlap="1" wp14:anchorId="4543AC76" wp14:editId="503BFC8A">
                <wp:simplePos x="0" y="0"/>
                <wp:positionH relativeFrom="column">
                  <wp:posOffset>1579977</wp:posOffset>
                </wp:positionH>
                <wp:positionV relativeFrom="paragraph">
                  <wp:posOffset>128971</wp:posOffset>
                </wp:positionV>
                <wp:extent cx="262017" cy="290195"/>
                <wp:effectExtent l="0" t="19050" r="43180" b="33655"/>
                <wp:wrapNone/>
                <wp:docPr id="588210685" name="Strzałka: w prawo 39"/>
                <wp:cNvGraphicFramePr/>
                <a:graphic xmlns:a="http://schemas.openxmlformats.org/drawingml/2006/main">
                  <a:graphicData uri="http://schemas.microsoft.com/office/word/2010/wordprocessingShape">
                    <wps:wsp>
                      <wps:cNvSpPr/>
                      <wps:spPr>
                        <a:xfrm>
                          <a:off x="0" y="0"/>
                          <a:ext cx="262017" cy="290195"/>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53EFE" id="Strzałka: w prawo 39" o:spid="_x0000_s1026" type="#_x0000_t13" style="position:absolute;margin-left:124.4pt;margin-top:10.15pt;width:20.65pt;height:22.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" adj="10800" fillcolor="#156082" strokecolor="#042433" strokeweight="1pt"/>
            </w:pict>
          </mc:Fallback>
        </mc:AlternateContent>
      </w:r>
      <w:r w:rsidRPr="00DB6AED">
        <w:rPr>
          <w:noProof/>
        </w:rPr>
        <mc:AlternateContent>
          <mc:Choice Requires="wps">
            <w:drawing>
              <wp:anchor distT="0" distB="0" distL="114300" distR="114300" simplePos="0" relativeHeight="251872256" behindDoc="0" locked="0" layoutInCell="1" allowOverlap="1" wp14:anchorId="28541386" wp14:editId="3C7DC9E8">
                <wp:simplePos x="0" y="0"/>
                <wp:positionH relativeFrom="column">
                  <wp:posOffset>3139942</wp:posOffset>
                </wp:positionH>
                <wp:positionV relativeFrom="paragraph">
                  <wp:posOffset>43047</wp:posOffset>
                </wp:positionV>
                <wp:extent cx="1030406" cy="0"/>
                <wp:effectExtent l="0" t="0" r="0" b="0"/>
                <wp:wrapNone/>
                <wp:docPr id="1792987428" name="Łącznik prosty 42"/>
                <wp:cNvGraphicFramePr/>
                <a:graphic xmlns:a="http://schemas.openxmlformats.org/drawingml/2006/main">
                  <a:graphicData uri="http://schemas.microsoft.com/office/word/2010/wordprocessingShape">
                    <wps:wsp>
                      <wps:cNvCnPr/>
                      <wps:spPr>
                        <a:xfrm>
                          <a:off x="0" y="0"/>
                          <a:ext cx="1030406" cy="0"/>
                        </a:xfrm>
                        <a:prstGeom prst="line">
                          <a:avLst/>
                        </a:prstGeom>
                        <a:noFill/>
                        <a:ln w="22225" cap="flat" cmpd="sng" algn="ctr">
                          <a:solidFill>
                            <a:srgbClr val="156082"/>
                          </a:solidFill>
                          <a:prstDash val="dash"/>
                          <a:miter lim="800000"/>
                        </a:ln>
                        <a:effectLst/>
                      </wps:spPr>
                      <wps:bodyPr/>
                    </wps:wsp>
                  </a:graphicData>
                </a:graphic>
                <wp14:sizeRelH relativeFrom="margin">
                  <wp14:pctWidth>0</wp14:pctWidth>
                </wp14:sizeRelH>
              </wp:anchor>
            </w:drawing>
          </mc:Choice>
          <mc:Fallback>
            <w:pict>
              <v:line w14:anchorId="4F078BF0" id="Łącznik prosty 42" o:spid="_x0000_s1026" style="position:absolute;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25pt,3.4pt" to="328.4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" strokecolor="#156082" strokeweight="1.75pt">
                <v:stroke dashstyle="dash" joinstyle="miter"/>
              </v:line>
            </w:pict>
          </mc:Fallback>
        </mc:AlternateContent>
      </w:r>
      <w:r w:rsidRPr="00DB6AED">
        <w:rPr>
          <w:noProof/>
        </w:rPr>
        <mc:AlternateContent>
          <mc:Choice Requires="wps">
            <w:drawing>
              <wp:anchor distT="0" distB="0" distL="114300" distR="114300" simplePos="0" relativeHeight="251838464" behindDoc="0" locked="0" layoutInCell="1" allowOverlap="1" wp14:anchorId="40B79509" wp14:editId="5DDD463F">
                <wp:simplePos x="0" y="0"/>
                <wp:positionH relativeFrom="column">
                  <wp:posOffset>2657154</wp:posOffset>
                </wp:positionH>
                <wp:positionV relativeFrom="paragraph">
                  <wp:posOffset>170500</wp:posOffset>
                </wp:positionV>
                <wp:extent cx="941696" cy="477671"/>
                <wp:effectExtent l="0" t="0" r="11430" b="17780"/>
                <wp:wrapNone/>
                <wp:docPr id="1143828607" name="Pole tekstowe 23"/>
                <wp:cNvGraphicFramePr/>
                <a:graphic xmlns:a="http://schemas.openxmlformats.org/drawingml/2006/main">
                  <a:graphicData uri="http://schemas.microsoft.com/office/word/2010/wordprocessingShape">
                    <wps:wsp>
                      <wps:cNvSpPr txBox="1"/>
                      <wps:spPr>
                        <a:xfrm>
                          <a:off x="0" y="0"/>
                          <a:ext cx="941696" cy="477671"/>
                        </a:xfrm>
                        <a:prstGeom prst="rect">
                          <a:avLst/>
                        </a:prstGeom>
                        <a:solidFill>
                          <a:sysClr val="window" lastClr="FFFFFF"/>
                        </a:solidFill>
                        <a:ln w="12700" cap="flat" cmpd="sng" algn="ctr">
                          <a:solidFill>
                            <a:srgbClr val="E97132"/>
                          </a:solidFill>
                          <a:prstDash val="solid"/>
                          <a:miter lim="800000"/>
                        </a:ln>
                        <a:effectLst/>
                      </wps:spPr>
                      <wps:txbx>
                        <w:txbxContent>
                          <w:p w14:paraId="28BC8F55" w14:textId="77777777" w:rsidR="008D28A7" w:rsidRPr="00D717A1" w:rsidRDefault="008D28A7" w:rsidP="008D28A7">
                            <w:pPr>
                              <w:jc w:val="center"/>
                              <w:rPr>
                                <w:sz w:val="22"/>
                                <w:szCs w:val="22"/>
                              </w:rPr>
                            </w:pPr>
                            <w:r w:rsidRPr="00D717A1">
                              <w:rPr>
                                <w:sz w:val="22"/>
                                <w:szCs w:val="22"/>
                              </w:rPr>
                              <w:t xml:space="preserve">Zmiana </w:t>
                            </w:r>
                            <w:r>
                              <w:rPr>
                                <w:sz w:val="22"/>
                                <w:szCs w:val="22"/>
                              </w:rPr>
                              <w:br/>
                            </w:r>
                            <w:r w:rsidRPr="00D717A1">
                              <w:rPr>
                                <w:sz w:val="22"/>
                                <w:szCs w:val="22"/>
                              </w:rPr>
                              <w:t>zachowania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79509" id="_x0000_s1065" type="#_x0000_t202" style="position:absolute;margin-left:209.2pt;margin-top:13.45pt;width:74.15pt;height:37.6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" fillcolor="window" strokecolor="#e97132" strokeweight="1pt">
                <v:textbox>
                  <w:txbxContent>
                    <w:p w14:paraId="28BC8F55" w14:textId="77777777" w:rsidR="008D28A7" w:rsidRPr="00D717A1" w:rsidRDefault="008D28A7" w:rsidP="008D28A7">
                      <w:pPr>
                        <w:jc w:val="center"/>
                        <w:rPr>
                          <w:sz w:val="22"/>
                          <w:szCs w:val="22"/>
                        </w:rPr>
                      </w:pPr>
                      <w:r w:rsidRPr="00D717A1">
                        <w:rPr>
                          <w:sz w:val="22"/>
                          <w:szCs w:val="22"/>
                        </w:rPr>
                        <w:t xml:space="preserve">Zmiana </w:t>
                      </w:r>
                      <w:r>
                        <w:rPr>
                          <w:sz w:val="22"/>
                          <w:szCs w:val="22"/>
                        </w:rPr>
                        <w:br/>
                      </w:r>
                      <w:r w:rsidRPr="00D717A1">
                        <w:rPr>
                          <w:sz w:val="22"/>
                          <w:szCs w:val="22"/>
                        </w:rPr>
                        <w:t>zachowania</w:t>
                      </w:r>
                    </w:p>
                  </w:txbxContent>
                </v:textbox>
              </v:shape>
            </w:pict>
          </mc:Fallback>
        </mc:AlternateContent>
      </w:r>
    </w:p>
    <w:p w14:paraId="450B114C"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59968" behindDoc="0" locked="0" layoutInCell="1" allowOverlap="1" wp14:anchorId="0CDCBFC6" wp14:editId="0BB5BD17">
                <wp:simplePos x="0" y="0"/>
                <wp:positionH relativeFrom="column">
                  <wp:posOffset>2657910</wp:posOffset>
                </wp:positionH>
                <wp:positionV relativeFrom="paragraph">
                  <wp:posOffset>320836</wp:posOffset>
                </wp:positionV>
                <wp:extent cx="350520" cy="352425"/>
                <wp:effectExtent l="0" t="0" r="0" b="0"/>
                <wp:wrapNone/>
                <wp:docPr id="1250703313" name="Pole tekstowe 24"/>
                <wp:cNvGraphicFramePr/>
                <a:graphic xmlns:a="http://schemas.openxmlformats.org/drawingml/2006/main">
                  <a:graphicData uri="http://schemas.microsoft.com/office/word/2010/wordprocessingShape">
                    <wps:wsp>
                      <wps:cNvSpPr txBox="1"/>
                      <wps:spPr>
                        <a:xfrm>
                          <a:off x="0" y="0"/>
                          <a:ext cx="350520" cy="352425"/>
                        </a:xfrm>
                        <a:prstGeom prst="rect">
                          <a:avLst/>
                        </a:prstGeom>
                        <a:solidFill>
                          <a:sysClr val="window" lastClr="FFFFFF">
                            <a:alpha val="0"/>
                          </a:sysClr>
                        </a:solidFill>
                        <a:ln w="6350">
                          <a:noFill/>
                        </a:ln>
                      </wps:spPr>
                      <wps:txbx>
                        <w:txbxContent>
                          <w:p w14:paraId="64D378DB" w14:textId="77777777" w:rsidR="008D28A7" w:rsidRPr="00AF1337" w:rsidRDefault="008D28A7" w:rsidP="008D28A7">
                            <w:pPr>
                              <w:rPr>
                                <w:b/>
                                <w:bCs/>
                                <w:sz w:val="28"/>
                                <w:szCs w:val="28"/>
                              </w:rPr>
                            </w:pPr>
                            <w:r w:rsidRPr="00AF1337">
                              <w:rPr>
                                <w:b/>
                                <w:bCs/>
                                <w:sz w:val="28"/>
                                <w:szCs w:val="28"/>
                              </w:rPr>
                              <w:t>F</w:t>
                            </w:r>
                            <w:r>
                              <w:rPr>
                                <w:b/>
                                <w:bCs/>
                                <w:sz w:val="28"/>
                                <w:szCs w:val="28"/>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CBFC6" id="_x0000_s1066" type="#_x0000_t202" style="position:absolute;margin-left:209.3pt;margin-top:25.25pt;width:27.6pt;height:27.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" fillcolor="window" stroked="f" strokeweight=".5pt">
                <v:fill opacity="0"/>
                <v:textbox>
                  <w:txbxContent>
                    <w:p w14:paraId="64D378DB" w14:textId="77777777" w:rsidR="008D28A7" w:rsidRPr="00AF1337" w:rsidRDefault="008D28A7" w:rsidP="008D28A7">
                      <w:pPr>
                        <w:rPr>
                          <w:b/>
                          <w:bCs/>
                          <w:sz w:val="28"/>
                          <w:szCs w:val="28"/>
                        </w:rPr>
                      </w:pPr>
                      <w:r w:rsidRPr="00AF1337">
                        <w:rPr>
                          <w:b/>
                          <w:bCs/>
                          <w:sz w:val="28"/>
                          <w:szCs w:val="28"/>
                        </w:rPr>
                        <w:t>F</w:t>
                      </w:r>
                      <w:r>
                        <w:rPr>
                          <w:b/>
                          <w:bCs/>
                          <w:sz w:val="28"/>
                          <w:szCs w:val="28"/>
                          <w:vertAlign w:val="subscript"/>
                        </w:rPr>
                        <w:t>1</w:t>
                      </w:r>
                    </w:p>
                  </w:txbxContent>
                </v:textbox>
              </v:shape>
            </w:pict>
          </mc:Fallback>
        </mc:AlternateContent>
      </w:r>
      <w:r w:rsidRPr="00DB6AED">
        <w:rPr>
          <w:noProof/>
        </w:rPr>
        <mc:AlternateContent>
          <mc:Choice Requires="wps">
            <w:drawing>
              <wp:anchor distT="0" distB="0" distL="114300" distR="114300" simplePos="0" relativeHeight="251851776" behindDoc="0" locked="0" layoutInCell="1" allowOverlap="1" wp14:anchorId="5623CAA2" wp14:editId="36219A4B">
                <wp:simplePos x="0" y="0"/>
                <wp:positionH relativeFrom="column">
                  <wp:posOffset>1501275</wp:posOffset>
                </wp:positionH>
                <wp:positionV relativeFrom="paragraph">
                  <wp:posOffset>289600</wp:posOffset>
                </wp:positionV>
                <wp:extent cx="230071" cy="146022"/>
                <wp:effectExtent l="19050" t="57150" r="0" b="26035"/>
                <wp:wrapNone/>
                <wp:docPr id="733666687" name="Strzałka: w prawo 39"/>
                <wp:cNvGraphicFramePr/>
                <a:graphic xmlns:a="http://schemas.openxmlformats.org/drawingml/2006/main">
                  <a:graphicData uri="http://schemas.microsoft.com/office/word/2010/wordprocessingShape">
                    <wps:wsp>
                      <wps:cNvSpPr/>
                      <wps:spPr>
                        <a:xfrm rot="2605041">
                          <a:off x="0" y="0"/>
                          <a:ext cx="230071" cy="146022"/>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E9630" id="Strzałka: w prawo 39" o:spid="_x0000_s1026" type="#_x0000_t13" style="position:absolute;margin-left:118.2pt;margin-top:22.8pt;width:18.1pt;height:11.5pt;rotation:2845399fd;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" adj="14745" fillcolor="#156082" strokecolor="#042433" strokeweight="1pt"/>
            </w:pict>
          </mc:Fallback>
        </mc:AlternateContent>
      </w:r>
    </w:p>
    <w:p w14:paraId="54A36C3F"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73280" behindDoc="0" locked="0" layoutInCell="1" allowOverlap="1" wp14:anchorId="4229093C" wp14:editId="3B542268">
                <wp:simplePos x="0" y="0"/>
                <wp:positionH relativeFrom="column">
                  <wp:posOffset>3139942</wp:posOffset>
                </wp:positionH>
                <wp:positionV relativeFrom="paragraph">
                  <wp:posOffset>268490</wp:posOffset>
                </wp:positionV>
                <wp:extent cx="1030406" cy="2171"/>
                <wp:effectExtent l="0" t="0" r="36830" b="36195"/>
                <wp:wrapNone/>
                <wp:docPr id="1228104387" name="Łącznik prosty 42"/>
                <wp:cNvGraphicFramePr/>
                <a:graphic xmlns:a="http://schemas.openxmlformats.org/drawingml/2006/main">
                  <a:graphicData uri="http://schemas.microsoft.com/office/word/2010/wordprocessingShape">
                    <wps:wsp>
                      <wps:cNvCnPr/>
                      <wps:spPr>
                        <a:xfrm>
                          <a:off x="0" y="0"/>
                          <a:ext cx="1030406" cy="2171"/>
                        </a:xfrm>
                        <a:prstGeom prst="line">
                          <a:avLst/>
                        </a:prstGeom>
                        <a:noFill/>
                        <a:ln w="22225" cap="flat" cmpd="sng" algn="ctr">
                          <a:solidFill>
                            <a:srgbClr val="156082"/>
                          </a:solidFill>
                          <a:prstDash val="dash"/>
                          <a:miter lim="800000"/>
                        </a:ln>
                        <a:effectLst/>
                      </wps:spPr>
                      <wps:bodyPr/>
                    </wps:wsp>
                  </a:graphicData>
                </a:graphic>
                <wp14:sizeRelH relativeFrom="margin">
                  <wp14:pctWidth>0</wp14:pctWidth>
                </wp14:sizeRelH>
              </wp:anchor>
            </w:drawing>
          </mc:Choice>
          <mc:Fallback>
            <w:pict>
              <v:line w14:anchorId="0DBB0B7A" id="Łącznik prosty 42" o:spid="_x0000_s1026" style="position:absolute;z-index:251873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25pt,21.15pt" to="328.4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" strokecolor="#156082" strokeweight="1.75pt">
                <v:stroke dashstyle="dash" joinstyle="miter"/>
              </v:line>
            </w:pict>
          </mc:Fallback>
        </mc:AlternateContent>
      </w:r>
      <w:r w:rsidRPr="00DB6AED">
        <w:rPr>
          <w:noProof/>
        </w:rPr>
        <mc:AlternateContent>
          <mc:Choice Requires="wps">
            <w:drawing>
              <wp:anchor distT="0" distB="0" distL="114300" distR="114300" simplePos="0" relativeHeight="251844608" behindDoc="0" locked="0" layoutInCell="1" allowOverlap="1" wp14:anchorId="25B8C0EE" wp14:editId="3BCE3970">
                <wp:simplePos x="0" y="0"/>
                <wp:positionH relativeFrom="column">
                  <wp:posOffset>4197208</wp:posOffset>
                </wp:positionH>
                <wp:positionV relativeFrom="paragraph">
                  <wp:posOffset>14975</wp:posOffset>
                </wp:positionV>
                <wp:extent cx="1535373" cy="648269"/>
                <wp:effectExtent l="0" t="0" r="27305" b="19050"/>
                <wp:wrapNone/>
                <wp:docPr id="2081832612" name="Pole tekstowe 23"/>
                <wp:cNvGraphicFramePr/>
                <a:graphic xmlns:a="http://schemas.openxmlformats.org/drawingml/2006/main">
                  <a:graphicData uri="http://schemas.microsoft.com/office/word/2010/wordprocessingShape">
                    <wps:wsp>
                      <wps:cNvSpPr txBox="1"/>
                      <wps:spPr>
                        <a:xfrm>
                          <a:off x="0" y="0"/>
                          <a:ext cx="1535373" cy="648269"/>
                        </a:xfrm>
                        <a:prstGeom prst="rect">
                          <a:avLst/>
                        </a:prstGeom>
                        <a:solidFill>
                          <a:sysClr val="window" lastClr="FFFFFF"/>
                        </a:solidFill>
                        <a:ln w="12700" cap="flat" cmpd="sng" algn="ctr">
                          <a:solidFill>
                            <a:srgbClr val="E97132"/>
                          </a:solidFill>
                          <a:prstDash val="solid"/>
                          <a:miter lim="800000"/>
                        </a:ln>
                        <a:effectLst/>
                      </wps:spPr>
                      <wps:txbx>
                        <w:txbxContent>
                          <w:p w14:paraId="1FD0669E" w14:textId="77777777" w:rsidR="008D28A7" w:rsidRPr="00594E9C" w:rsidRDefault="008D28A7" w:rsidP="008D28A7">
                            <w:pPr>
                              <w:jc w:val="center"/>
                              <w:rPr>
                                <w:sz w:val="22"/>
                                <w:szCs w:val="22"/>
                              </w:rPr>
                            </w:pPr>
                            <w:r w:rsidRPr="00594E9C">
                              <w:rPr>
                                <w:sz w:val="22"/>
                                <w:szCs w:val="22"/>
                              </w:rPr>
                              <w:t>Zmiana zachowania Założenia dotyczące więzi przyczynowych</w:t>
                            </w:r>
                            <w:r w:rsidRPr="00594E9C">
                              <w:rPr>
                                <w:sz w:val="22"/>
                                <w:szCs w:val="22"/>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8C0EE" id="_x0000_s1067" type="#_x0000_t202" style="position:absolute;margin-left:330.5pt;margin-top:1.2pt;width:120.9pt;height:51.0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" fillcolor="window" strokecolor="#e97132" strokeweight="1pt">
                <v:textbox>
                  <w:txbxContent>
                    <w:p w14:paraId="1FD0669E" w14:textId="77777777" w:rsidR="008D28A7" w:rsidRPr="00594E9C" w:rsidRDefault="008D28A7" w:rsidP="008D28A7">
                      <w:pPr>
                        <w:jc w:val="center"/>
                        <w:rPr>
                          <w:sz w:val="22"/>
                          <w:szCs w:val="22"/>
                        </w:rPr>
                      </w:pPr>
                      <w:r w:rsidRPr="00594E9C">
                        <w:rPr>
                          <w:sz w:val="22"/>
                          <w:szCs w:val="22"/>
                        </w:rPr>
                        <w:t>Zmiana zachowania Założenia dotyczące więzi przyczynowych</w:t>
                      </w:r>
                      <w:r w:rsidRPr="00594E9C">
                        <w:rPr>
                          <w:sz w:val="22"/>
                          <w:szCs w:val="22"/>
                        </w:rPr>
                        <w:br/>
                      </w:r>
                    </w:p>
                  </w:txbxContent>
                </v:textbox>
              </v:shape>
            </w:pict>
          </mc:Fallback>
        </mc:AlternateContent>
      </w:r>
      <w:r w:rsidRPr="00DB6AED">
        <w:rPr>
          <w:noProof/>
        </w:rPr>
        <mc:AlternateContent>
          <mc:Choice Requires="wps">
            <w:drawing>
              <wp:anchor distT="0" distB="0" distL="114300" distR="114300" simplePos="0" relativeHeight="251868160" behindDoc="0" locked="0" layoutInCell="1" allowOverlap="1" wp14:anchorId="717E4265" wp14:editId="13C60C30">
                <wp:simplePos x="0" y="0"/>
                <wp:positionH relativeFrom="column">
                  <wp:posOffset>2959049</wp:posOffset>
                </wp:positionH>
                <wp:positionV relativeFrom="paragraph">
                  <wp:posOffset>171216</wp:posOffset>
                </wp:positionV>
                <wp:extent cx="416966" cy="81184"/>
                <wp:effectExtent l="15557" t="22543" r="37148" b="18097"/>
                <wp:wrapNone/>
                <wp:docPr id="1203217108" name="Strzałka: w prawo 39"/>
                <wp:cNvGraphicFramePr/>
                <a:graphic xmlns:a="http://schemas.openxmlformats.org/drawingml/2006/main">
                  <a:graphicData uri="http://schemas.microsoft.com/office/word/2010/wordprocessingShape">
                    <wps:wsp>
                      <wps:cNvSpPr/>
                      <wps:spPr>
                        <a:xfrm rot="16200000">
                          <a:off x="0" y="0"/>
                          <a:ext cx="416966" cy="81184"/>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D64742" id="Strzałka: w prawo 39" o:spid="_x0000_s1026" type="#_x0000_t13" style="position:absolute;margin-left:233pt;margin-top:13.5pt;width:32.85pt;height:6.4pt;rotation:-90;z-index:251868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" adj="19497" fillcolor="#156082" strokecolor="#042433" strokeweight="1pt"/>
            </w:pict>
          </mc:Fallback>
        </mc:AlternateContent>
      </w:r>
      <w:r w:rsidRPr="00DB6AED">
        <w:rPr>
          <w:noProof/>
        </w:rPr>
        <mc:AlternateContent>
          <mc:Choice Requires="wps">
            <w:drawing>
              <wp:anchor distT="0" distB="0" distL="114300" distR="114300" simplePos="0" relativeHeight="251867136" behindDoc="0" locked="0" layoutInCell="1" allowOverlap="1" wp14:anchorId="2FCE4BB4" wp14:editId="183B100F">
                <wp:simplePos x="0" y="0"/>
                <wp:positionH relativeFrom="column">
                  <wp:posOffset>2793997</wp:posOffset>
                </wp:positionH>
                <wp:positionV relativeFrom="paragraph">
                  <wp:posOffset>181614</wp:posOffset>
                </wp:positionV>
                <wp:extent cx="416966" cy="81184"/>
                <wp:effectExtent l="15557" t="3493" r="37148" b="37147"/>
                <wp:wrapNone/>
                <wp:docPr id="946136189" name="Strzałka: w prawo 39"/>
                <wp:cNvGraphicFramePr/>
                <a:graphic xmlns:a="http://schemas.openxmlformats.org/drawingml/2006/main">
                  <a:graphicData uri="http://schemas.microsoft.com/office/word/2010/wordprocessingShape">
                    <wps:wsp>
                      <wps:cNvSpPr/>
                      <wps:spPr>
                        <a:xfrm rot="5400000">
                          <a:off x="0" y="0"/>
                          <a:ext cx="416966" cy="81184"/>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77AA60" id="Strzałka: w prawo 39" o:spid="_x0000_s1026" type="#_x0000_t13" style="position:absolute;margin-left:220pt;margin-top:14.3pt;width:32.85pt;height:6.4pt;rotation:90;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" adj="19497" fillcolor="#156082" strokecolor="#042433" strokeweight="1pt"/>
            </w:pict>
          </mc:Fallback>
        </mc:AlternateContent>
      </w:r>
      <w:r w:rsidRPr="00DB6AED">
        <w:tab/>
      </w:r>
    </w:p>
    <w:p w14:paraId="1C7C8C59" w14:textId="77777777" w:rsidR="008D28A7" w:rsidRPr="00DB6AED" w:rsidRDefault="008D28A7" w:rsidP="008D28A7">
      <w:pPr>
        <w:tabs>
          <w:tab w:val="left" w:pos="6147"/>
        </w:tabs>
      </w:pPr>
      <w:r w:rsidRPr="00DB6AED">
        <w:rPr>
          <w:noProof/>
        </w:rPr>
        <mc:AlternateContent>
          <mc:Choice Requires="wps">
            <w:drawing>
              <wp:anchor distT="0" distB="0" distL="114300" distR="114300" simplePos="0" relativeHeight="251878400" behindDoc="0" locked="0" layoutInCell="1" allowOverlap="1" wp14:anchorId="2CE3D6DB" wp14:editId="3BB66D5F">
                <wp:simplePos x="0" y="0"/>
                <wp:positionH relativeFrom="column">
                  <wp:posOffset>1585929</wp:posOffset>
                </wp:positionH>
                <wp:positionV relativeFrom="paragraph">
                  <wp:posOffset>278073</wp:posOffset>
                </wp:positionV>
                <wp:extent cx="350520" cy="352425"/>
                <wp:effectExtent l="0" t="0" r="0" b="0"/>
                <wp:wrapNone/>
                <wp:docPr id="314050962" name="Pole tekstowe 24"/>
                <wp:cNvGraphicFramePr/>
                <a:graphic xmlns:a="http://schemas.openxmlformats.org/drawingml/2006/main">
                  <a:graphicData uri="http://schemas.microsoft.com/office/word/2010/wordprocessingShape">
                    <wps:wsp>
                      <wps:cNvSpPr txBox="1"/>
                      <wps:spPr>
                        <a:xfrm>
                          <a:off x="0" y="0"/>
                          <a:ext cx="350520" cy="352425"/>
                        </a:xfrm>
                        <a:prstGeom prst="rect">
                          <a:avLst/>
                        </a:prstGeom>
                        <a:solidFill>
                          <a:sysClr val="window" lastClr="FFFFFF">
                            <a:alpha val="0"/>
                          </a:sysClr>
                        </a:solidFill>
                        <a:ln w="6350">
                          <a:noFill/>
                        </a:ln>
                      </wps:spPr>
                      <wps:txbx>
                        <w:txbxContent>
                          <w:p w14:paraId="18FD74F2" w14:textId="77777777" w:rsidR="008D28A7" w:rsidRPr="00AF1337" w:rsidRDefault="008D28A7" w:rsidP="008D28A7">
                            <w:pPr>
                              <w:rPr>
                                <w:b/>
                                <w:bCs/>
                                <w:sz w:val="28"/>
                                <w:szCs w:val="28"/>
                              </w:rPr>
                            </w:pPr>
                            <w:r w:rsidRPr="00AF1337">
                              <w:rPr>
                                <w:b/>
                                <w:bCs/>
                                <w:sz w:val="28"/>
                                <w:szCs w:val="28"/>
                              </w:rPr>
                              <w:t>F</w:t>
                            </w:r>
                            <w:r>
                              <w:rPr>
                                <w:b/>
                                <w:bCs/>
                                <w:sz w:val="28"/>
                                <w:szCs w:val="28"/>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3D6DB" id="_x0000_s1068" type="#_x0000_t202" style="position:absolute;margin-left:124.9pt;margin-top:21.9pt;width:27.6pt;height:27.7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" fillcolor="window" stroked="f" strokeweight=".5pt">
                <v:fill opacity="0"/>
                <v:textbox>
                  <w:txbxContent>
                    <w:p w14:paraId="18FD74F2" w14:textId="77777777" w:rsidR="008D28A7" w:rsidRPr="00AF1337" w:rsidRDefault="008D28A7" w:rsidP="008D28A7">
                      <w:pPr>
                        <w:rPr>
                          <w:b/>
                          <w:bCs/>
                          <w:sz w:val="28"/>
                          <w:szCs w:val="28"/>
                        </w:rPr>
                      </w:pPr>
                      <w:r w:rsidRPr="00AF1337">
                        <w:rPr>
                          <w:b/>
                          <w:bCs/>
                          <w:sz w:val="28"/>
                          <w:szCs w:val="28"/>
                        </w:rPr>
                        <w:t>F</w:t>
                      </w:r>
                      <w:r>
                        <w:rPr>
                          <w:b/>
                          <w:bCs/>
                          <w:sz w:val="28"/>
                          <w:szCs w:val="28"/>
                          <w:vertAlign w:val="subscript"/>
                        </w:rPr>
                        <w:t>3</w:t>
                      </w:r>
                    </w:p>
                  </w:txbxContent>
                </v:textbox>
              </v:shape>
            </w:pict>
          </mc:Fallback>
        </mc:AlternateContent>
      </w:r>
      <w:r w:rsidRPr="00DB6AED">
        <w:rPr>
          <w:noProof/>
        </w:rPr>
        <mc:AlternateContent>
          <mc:Choice Requires="wps">
            <w:drawing>
              <wp:anchor distT="0" distB="0" distL="114300" distR="114300" simplePos="0" relativeHeight="251876352" behindDoc="0" locked="0" layoutInCell="1" allowOverlap="1" wp14:anchorId="608E98DF" wp14:editId="598B882A">
                <wp:simplePos x="0" y="0"/>
                <wp:positionH relativeFrom="column">
                  <wp:posOffset>1867535</wp:posOffset>
                </wp:positionH>
                <wp:positionV relativeFrom="paragraph">
                  <wp:posOffset>299152</wp:posOffset>
                </wp:positionV>
                <wp:extent cx="231121" cy="135104"/>
                <wp:effectExtent l="0" t="0" r="36195" b="36830"/>
                <wp:wrapNone/>
                <wp:docPr id="79111841" name="Strzałka: zakrzywiona w górę 96"/>
                <wp:cNvGraphicFramePr/>
                <a:graphic xmlns:a="http://schemas.openxmlformats.org/drawingml/2006/main">
                  <a:graphicData uri="http://schemas.microsoft.com/office/word/2010/wordprocessingShape">
                    <wps:wsp>
                      <wps:cNvSpPr/>
                      <wps:spPr>
                        <a:xfrm flipV="1">
                          <a:off x="0" y="0"/>
                          <a:ext cx="231121" cy="135104"/>
                        </a:xfrm>
                        <a:prstGeom prst="curvedUp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06F2CA"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Strzałka: zakrzywiona w górę 96" o:spid="_x0000_s1026" type="#_x0000_t104" style="position:absolute;margin-left:147.05pt;margin-top:23.55pt;width:18.2pt;height:10.65pt;flip: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" adj="15287,20022,5400" fillcolor="#156082" strokecolor="#042433" strokeweight="1pt"/>
            </w:pict>
          </mc:Fallback>
        </mc:AlternateContent>
      </w:r>
      <w:r w:rsidRPr="00DB6AED">
        <w:rPr>
          <w:noProof/>
        </w:rPr>
        <mc:AlternateContent>
          <mc:Choice Requires="wps">
            <w:drawing>
              <wp:anchor distT="0" distB="0" distL="114300" distR="114300" simplePos="0" relativeHeight="251839488" behindDoc="0" locked="0" layoutInCell="1" allowOverlap="1" wp14:anchorId="58F39556" wp14:editId="13B4FB88">
                <wp:simplePos x="0" y="0"/>
                <wp:positionH relativeFrom="column">
                  <wp:posOffset>2508951</wp:posOffset>
                </wp:positionH>
                <wp:positionV relativeFrom="paragraph">
                  <wp:posOffset>114652</wp:posOffset>
                </wp:positionV>
                <wp:extent cx="1559541" cy="689212"/>
                <wp:effectExtent l="0" t="0" r="22225" b="15875"/>
                <wp:wrapNone/>
                <wp:docPr id="1001343435" name="Pole tekstowe 23"/>
                <wp:cNvGraphicFramePr/>
                <a:graphic xmlns:a="http://schemas.openxmlformats.org/drawingml/2006/main">
                  <a:graphicData uri="http://schemas.microsoft.com/office/word/2010/wordprocessingShape">
                    <wps:wsp>
                      <wps:cNvSpPr txBox="1"/>
                      <wps:spPr>
                        <a:xfrm>
                          <a:off x="0" y="0"/>
                          <a:ext cx="1559541" cy="689212"/>
                        </a:xfrm>
                        <a:prstGeom prst="rect">
                          <a:avLst/>
                        </a:prstGeom>
                        <a:solidFill>
                          <a:sysClr val="window" lastClr="FFFFFF"/>
                        </a:solidFill>
                        <a:ln w="12700" cap="flat" cmpd="sng" algn="ctr">
                          <a:solidFill>
                            <a:srgbClr val="E97132"/>
                          </a:solidFill>
                          <a:prstDash val="solid"/>
                          <a:miter lim="800000"/>
                        </a:ln>
                        <a:effectLst/>
                      </wps:spPr>
                      <wps:txbx>
                        <w:txbxContent>
                          <w:p w14:paraId="4E7C2E92" w14:textId="77777777" w:rsidR="008D28A7" w:rsidRPr="00D717A1" w:rsidRDefault="008D28A7" w:rsidP="008D28A7">
                            <w:pPr>
                              <w:spacing w:after="0" w:line="240" w:lineRule="auto"/>
                              <w:jc w:val="center"/>
                              <w:rPr>
                                <w:sz w:val="22"/>
                                <w:szCs w:val="22"/>
                              </w:rPr>
                            </w:pPr>
                            <w:r w:rsidRPr="00D717A1">
                              <w:rPr>
                                <w:sz w:val="22"/>
                                <w:szCs w:val="22"/>
                              </w:rPr>
                              <w:t>Potencjał zmiany</w:t>
                            </w:r>
                          </w:p>
                          <w:p w14:paraId="0D137BE5" w14:textId="77777777" w:rsidR="008D28A7" w:rsidRDefault="008D28A7" w:rsidP="008D28A7">
                            <w:pPr>
                              <w:spacing w:after="0" w:line="240" w:lineRule="auto"/>
                              <w:jc w:val="center"/>
                              <w:rPr>
                                <w:sz w:val="18"/>
                                <w:szCs w:val="18"/>
                              </w:rPr>
                            </w:pPr>
                            <w:r w:rsidRPr="00594E9C">
                              <w:rPr>
                                <w:sz w:val="18"/>
                                <w:szCs w:val="18"/>
                              </w:rPr>
                              <w:t>Motywacja</w:t>
                            </w:r>
                          </w:p>
                          <w:p w14:paraId="3F84C666" w14:textId="77777777" w:rsidR="008D28A7" w:rsidRPr="00594E9C" w:rsidRDefault="008D28A7" w:rsidP="008D28A7">
                            <w:pPr>
                              <w:spacing w:after="0" w:line="240" w:lineRule="auto"/>
                              <w:jc w:val="center"/>
                              <w:rPr>
                                <w:sz w:val="18"/>
                                <w:szCs w:val="18"/>
                              </w:rPr>
                            </w:pPr>
                          </w:p>
                          <w:p w14:paraId="63BC1876" w14:textId="77777777" w:rsidR="008D28A7" w:rsidRPr="00594E9C" w:rsidRDefault="008D28A7" w:rsidP="008D28A7">
                            <w:pPr>
                              <w:rPr>
                                <w:sz w:val="18"/>
                                <w:szCs w:val="18"/>
                              </w:rPr>
                            </w:pPr>
                            <w:r w:rsidRPr="00594E9C">
                              <w:rPr>
                                <w:sz w:val="18"/>
                                <w:szCs w:val="18"/>
                              </w:rPr>
                              <w:t>Kompetencje</w:t>
                            </w:r>
                            <w:r>
                              <w:rPr>
                                <w:sz w:val="18"/>
                                <w:szCs w:val="18"/>
                              </w:rPr>
                              <w:t xml:space="preserve">      Możliwości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39556" id="_x0000_s1069" type="#_x0000_t202" style="position:absolute;margin-left:197.55pt;margin-top:9.05pt;width:122.8pt;height:54.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" fillcolor="window" strokecolor="#e97132" strokeweight="1pt">
                <v:textbox>
                  <w:txbxContent>
                    <w:p w14:paraId="4E7C2E92" w14:textId="77777777" w:rsidR="008D28A7" w:rsidRPr="00D717A1" w:rsidRDefault="008D28A7" w:rsidP="008D28A7">
                      <w:pPr>
                        <w:spacing w:after="0" w:line="240" w:lineRule="auto"/>
                        <w:jc w:val="center"/>
                        <w:rPr>
                          <w:sz w:val="22"/>
                          <w:szCs w:val="22"/>
                        </w:rPr>
                      </w:pPr>
                      <w:r w:rsidRPr="00D717A1">
                        <w:rPr>
                          <w:sz w:val="22"/>
                          <w:szCs w:val="22"/>
                        </w:rPr>
                        <w:t>Potencjał zmiany</w:t>
                      </w:r>
                    </w:p>
                    <w:p w14:paraId="0D137BE5" w14:textId="77777777" w:rsidR="008D28A7" w:rsidRDefault="008D28A7" w:rsidP="008D28A7">
                      <w:pPr>
                        <w:spacing w:after="0" w:line="240" w:lineRule="auto"/>
                        <w:jc w:val="center"/>
                        <w:rPr>
                          <w:sz w:val="18"/>
                          <w:szCs w:val="18"/>
                        </w:rPr>
                      </w:pPr>
                      <w:r w:rsidRPr="00594E9C">
                        <w:rPr>
                          <w:sz w:val="18"/>
                          <w:szCs w:val="18"/>
                        </w:rPr>
                        <w:t>Motywacja</w:t>
                      </w:r>
                    </w:p>
                    <w:p w14:paraId="3F84C666" w14:textId="77777777" w:rsidR="008D28A7" w:rsidRPr="00594E9C" w:rsidRDefault="008D28A7" w:rsidP="008D28A7">
                      <w:pPr>
                        <w:spacing w:after="0" w:line="240" w:lineRule="auto"/>
                        <w:jc w:val="center"/>
                        <w:rPr>
                          <w:sz w:val="18"/>
                          <w:szCs w:val="18"/>
                        </w:rPr>
                      </w:pPr>
                    </w:p>
                    <w:p w14:paraId="63BC1876" w14:textId="77777777" w:rsidR="008D28A7" w:rsidRPr="00594E9C" w:rsidRDefault="008D28A7" w:rsidP="008D28A7">
                      <w:pPr>
                        <w:rPr>
                          <w:sz w:val="18"/>
                          <w:szCs w:val="18"/>
                        </w:rPr>
                      </w:pPr>
                      <w:r w:rsidRPr="00594E9C">
                        <w:rPr>
                          <w:sz w:val="18"/>
                          <w:szCs w:val="18"/>
                        </w:rPr>
                        <w:t>Kompetencje</w:t>
                      </w:r>
                      <w:r>
                        <w:rPr>
                          <w:sz w:val="18"/>
                          <w:szCs w:val="18"/>
                        </w:rPr>
                        <w:t xml:space="preserve">      Możliwości</w:t>
                      </w:r>
                    </w:p>
                  </w:txbxContent>
                </v:textbox>
              </v:shape>
            </w:pict>
          </mc:Fallback>
        </mc:AlternateContent>
      </w:r>
      <w:r w:rsidRPr="00DB6AED">
        <w:tab/>
      </w:r>
    </w:p>
    <w:p w14:paraId="7120F58A"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77376" behindDoc="0" locked="0" layoutInCell="1" allowOverlap="1" wp14:anchorId="21224A7A" wp14:editId="3B8FFB65">
                <wp:simplePos x="0" y="0"/>
                <wp:positionH relativeFrom="column">
                  <wp:posOffset>1864869</wp:posOffset>
                </wp:positionH>
                <wp:positionV relativeFrom="paragraph">
                  <wp:posOffset>186550</wp:posOffset>
                </wp:positionV>
                <wp:extent cx="231121" cy="135104"/>
                <wp:effectExtent l="19050" t="38100" r="17145" b="17780"/>
                <wp:wrapNone/>
                <wp:docPr id="102833546" name="Strzałka: zakrzywiona w górę 96"/>
                <wp:cNvGraphicFramePr/>
                <a:graphic xmlns:a="http://schemas.openxmlformats.org/drawingml/2006/main">
                  <a:graphicData uri="http://schemas.microsoft.com/office/word/2010/wordprocessingShape">
                    <wps:wsp>
                      <wps:cNvSpPr/>
                      <wps:spPr>
                        <a:xfrm rot="11163321" flipV="1">
                          <a:off x="0" y="0"/>
                          <a:ext cx="231121" cy="135104"/>
                        </a:xfrm>
                        <a:prstGeom prst="curvedUp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267B2" id="Strzałka: zakrzywiona w górę 96" o:spid="_x0000_s1026" type="#_x0000_t104" style="position:absolute;margin-left:146.85pt;margin-top:14.7pt;width:18.2pt;height:10.65pt;rotation:11399637fd;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" adj="15287,20022,5400" fillcolor="#156082" strokecolor="#042433" strokeweight="1pt"/>
            </w:pict>
          </mc:Fallback>
        </mc:AlternateContent>
      </w:r>
      <w:r w:rsidRPr="00DB6AED">
        <w:rPr>
          <w:noProof/>
        </w:rPr>
        <mc:AlternateContent>
          <mc:Choice Requires="wps">
            <w:drawing>
              <wp:anchor distT="0" distB="0" distL="114300" distR="114300" simplePos="0" relativeHeight="251845632" behindDoc="0" locked="0" layoutInCell="1" allowOverlap="1" wp14:anchorId="1DAC19B3" wp14:editId="6E62B0DB">
                <wp:simplePos x="0" y="0"/>
                <wp:positionH relativeFrom="column">
                  <wp:posOffset>4196715</wp:posOffset>
                </wp:positionH>
                <wp:positionV relativeFrom="paragraph">
                  <wp:posOffset>305843</wp:posOffset>
                </wp:positionV>
                <wp:extent cx="1562091" cy="716507"/>
                <wp:effectExtent l="0" t="0" r="19685" b="26670"/>
                <wp:wrapNone/>
                <wp:docPr id="4517713" name="Pole tekstowe 23"/>
                <wp:cNvGraphicFramePr/>
                <a:graphic xmlns:a="http://schemas.openxmlformats.org/drawingml/2006/main">
                  <a:graphicData uri="http://schemas.microsoft.com/office/word/2010/wordprocessingShape">
                    <wps:wsp>
                      <wps:cNvSpPr txBox="1"/>
                      <wps:spPr>
                        <a:xfrm>
                          <a:off x="0" y="0"/>
                          <a:ext cx="1562091" cy="716507"/>
                        </a:xfrm>
                        <a:prstGeom prst="rect">
                          <a:avLst/>
                        </a:prstGeom>
                        <a:solidFill>
                          <a:sysClr val="window" lastClr="FFFFFF"/>
                        </a:solidFill>
                        <a:ln w="12700" cap="flat" cmpd="sng" algn="ctr">
                          <a:solidFill>
                            <a:srgbClr val="E97132"/>
                          </a:solidFill>
                          <a:prstDash val="solid"/>
                          <a:miter lim="800000"/>
                        </a:ln>
                        <a:effectLst/>
                      </wps:spPr>
                      <wps:txbx>
                        <w:txbxContent>
                          <w:p w14:paraId="420345CD" w14:textId="77777777" w:rsidR="008D28A7" w:rsidRPr="00594E9C" w:rsidRDefault="008D28A7" w:rsidP="008D28A7">
                            <w:pPr>
                              <w:jc w:val="center"/>
                              <w:rPr>
                                <w:sz w:val="22"/>
                                <w:szCs w:val="22"/>
                              </w:rPr>
                            </w:pPr>
                            <w:r w:rsidRPr="00594E9C">
                              <w:rPr>
                                <w:sz w:val="22"/>
                                <w:szCs w:val="22"/>
                              </w:rPr>
                              <w:t xml:space="preserve">Potencjał zmiany </w:t>
                            </w:r>
                            <w:r>
                              <w:rPr>
                                <w:sz w:val="22"/>
                                <w:szCs w:val="22"/>
                              </w:rPr>
                              <w:br/>
                            </w:r>
                            <w:r w:rsidRPr="00594E9C">
                              <w:rPr>
                                <w:sz w:val="22"/>
                                <w:szCs w:val="22"/>
                              </w:rPr>
                              <w:t>Założenia dotyczące więzi przyczynowych</w:t>
                            </w:r>
                            <w:r w:rsidRPr="00594E9C">
                              <w:rPr>
                                <w:sz w:val="22"/>
                                <w:szCs w:val="22"/>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C19B3" id="_x0000_s1070" type="#_x0000_t202" style="position:absolute;margin-left:330.45pt;margin-top:24.1pt;width:123pt;height:56.4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" fillcolor="window" strokecolor="#e97132" strokeweight="1pt">
                <v:textbox>
                  <w:txbxContent>
                    <w:p w14:paraId="420345CD" w14:textId="77777777" w:rsidR="008D28A7" w:rsidRPr="00594E9C" w:rsidRDefault="008D28A7" w:rsidP="008D28A7">
                      <w:pPr>
                        <w:jc w:val="center"/>
                        <w:rPr>
                          <w:sz w:val="22"/>
                          <w:szCs w:val="22"/>
                        </w:rPr>
                      </w:pPr>
                      <w:r w:rsidRPr="00594E9C">
                        <w:rPr>
                          <w:sz w:val="22"/>
                          <w:szCs w:val="22"/>
                        </w:rPr>
                        <w:t xml:space="preserve">Potencjał zmiany </w:t>
                      </w:r>
                      <w:r>
                        <w:rPr>
                          <w:sz w:val="22"/>
                          <w:szCs w:val="22"/>
                        </w:rPr>
                        <w:br/>
                      </w:r>
                      <w:r w:rsidRPr="00594E9C">
                        <w:rPr>
                          <w:sz w:val="22"/>
                          <w:szCs w:val="22"/>
                        </w:rPr>
                        <w:t>Założenia dotyczące więzi przyczynowych</w:t>
                      </w:r>
                      <w:r w:rsidRPr="00594E9C">
                        <w:rPr>
                          <w:sz w:val="22"/>
                          <w:szCs w:val="22"/>
                        </w:rPr>
                        <w:br/>
                      </w:r>
                    </w:p>
                  </w:txbxContent>
                </v:textbox>
              </v:shape>
            </w:pict>
          </mc:Fallback>
        </mc:AlternateContent>
      </w:r>
      <w:r w:rsidRPr="00DB6AED">
        <w:rPr>
          <w:noProof/>
        </w:rPr>
        <mc:AlternateContent>
          <mc:Choice Requires="wps">
            <w:drawing>
              <wp:anchor distT="0" distB="0" distL="114300" distR="114300" simplePos="0" relativeHeight="251866112" behindDoc="0" locked="0" layoutInCell="1" allowOverlap="1" wp14:anchorId="5B27B0AD" wp14:editId="1CB1C513">
                <wp:simplePos x="0" y="0"/>
                <wp:positionH relativeFrom="column">
                  <wp:posOffset>3449320</wp:posOffset>
                </wp:positionH>
                <wp:positionV relativeFrom="paragraph">
                  <wp:posOffset>144618</wp:posOffset>
                </wp:positionV>
                <wp:extent cx="177421" cy="159792"/>
                <wp:effectExtent l="38100" t="38100" r="32385" b="31115"/>
                <wp:wrapNone/>
                <wp:docPr id="1009936920" name="Łącznik prosty ze strzałką 94"/>
                <wp:cNvGraphicFramePr/>
                <a:graphic xmlns:a="http://schemas.openxmlformats.org/drawingml/2006/main">
                  <a:graphicData uri="http://schemas.microsoft.com/office/word/2010/wordprocessingShape">
                    <wps:wsp>
                      <wps:cNvCnPr/>
                      <wps:spPr>
                        <a:xfrm flipH="1" flipV="1">
                          <a:off x="0" y="0"/>
                          <a:ext cx="177421" cy="159792"/>
                        </a:xfrm>
                        <a:prstGeom prst="straightConnector1">
                          <a:avLst/>
                        </a:prstGeom>
                        <a:noFill/>
                        <a:ln w="6350" cap="flat" cmpd="sng" algn="ctr">
                          <a:solidFill>
                            <a:srgbClr val="156082"/>
                          </a:solidFill>
                          <a:prstDash val="solid"/>
                          <a:miter lim="800000"/>
                          <a:tailEnd type="triangle"/>
                        </a:ln>
                        <a:effectLst/>
                      </wps:spPr>
                      <wps:bodyPr/>
                    </wps:wsp>
                  </a:graphicData>
                </a:graphic>
              </wp:anchor>
            </w:drawing>
          </mc:Choice>
          <mc:Fallback>
            <w:pict>
              <v:shape w14:anchorId="410787AB" id="Łącznik prosty ze strzałką 94" o:spid="_x0000_s1026" type="#_x0000_t32" style="position:absolute;margin-left:271.6pt;margin-top:11.4pt;width:13.95pt;height:12.6pt;flip:x y;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" strokecolor="#156082" strokeweight=".5pt">
                <v:stroke endarrow="block" joinstyle="miter"/>
              </v:shape>
            </w:pict>
          </mc:Fallback>
        </mc:AlternateContent>
      </w:r>
      <w:r w:rsidRPr="00DB6AED">
        <w:rPr>
          <w:noProof/>
        </w:rPr>
        <mc:AlternateContent>
          <mc:Choice Requires="wps">
            <w:drawing>
              <wp:anchor distT="0" distB="0" distL="114300" distR="114300" simplePos="0" relativeHeight="251865088" behindDoc="0" locked="0" layoutInCell="1" allowOverlap="1" wp14:anchorId="6AE236C7" wp14:editId="035C5813">
                <wp:simplePos x="0" y="0"/>
                <wp:positionH relativeFrom="column">
                  <wp:posOffset>2804624</wp:posOffset>
                </wp:positionH>
                <wp:positionV relativeFrom="paragraph">
                  <wp:posOffset>157802</wp:posOffset>
                </wp:positionV>
                <wp:extent cx="224809" cy="159385"/>
                <wp:effectExtent l="0" t="38100" r="60960" b="31115"/>
                <wp:wrapNone/>
                <wp:docPr id="1847088232" name="Łącznik prosty ze strzałką 93"/>
                <wp:cNvGraphicFramePr/>
                <a:graphic xmlns:a="http://schemas.openxmlformats.org/drawingml/2006/main">
                  <a:graphicData uri="http://schemas.microsoft.com/office/word/2010/wordprocessingShape">
                    <wps:wsp>
                      <wps:cNvCnPr/>
                      <wps:spPr>
                        <a:xfrm flipV="1">
                          <a:off x="0" y="0"/>
                          <a:ext cx="224809" cy="159385"/>
                        </a:xfrm>
                        <a:prstGeom prst="straightConnector1">
                          <a:avLst/>
                        </a:prstGeom>
                        <a:noFill/>
                        <a:ln w="635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D1DC48" id="Łącznik prosty ze strzałką 93" o:spid="_x0000_s1026" type="#_x0000_t32" style="position:absolute;margin-left:220.85pt;margin-top:12.45pt;width:17.7pt;height:12.55pt;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" strokecolor="#156082" strokeweight=".5pt">
                <v:stroke endarrow="block" joinstyle="miter"/>
              </v:shape>
            </w:pict>
          </mc:Fallback>
        </mc:AlternateContent>
      </w:r>
    </w:p>
    <w:p w14:paraId="1878ACB7"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74304" behindDoc="0" locked="0" layoutInCell="1" allowOverlap="1" wp14:anchorId="08AB740C" wp14:editId="348FAB1B">
                <wp:simplePos x="0" y="0"/>
                <wp:positionH relativeFrom="column">
                  <wp:posOffset>3259151</wp:posOffset>
                </wp:positionH>
                <wp:positionV relativeFrom="paragraph">
                  <wp:posOffset>252133</wp:posOffset>
                </wp:positionV>
                <wp:extent cx="910267" cy="0"/>
                <wp:effectExtent l="0" t="0" r="0" b="0"/>
                <wp:wrapNone/>
                <wp:docPr id="190336276" name="Łącznik prosty 42"/>
                <wp:cNvGraphicFramePr/>
                <a:graphic xmlns:a="http://schemas.openxmlformats.org/drawingml/2006/main">
                  <a:graphicData uri="http://schemas.microsoft.com/office/word/2010/wordprocessingShape">
                    <wps:wsp>
                      <wps:cNvCnPr/>
                      <wps:spPr>
                        <a:xfrm flipV="1">
                          <a:off x="0" y="0"/>
                          <a:ext cx="910267" cy="0"/>
                        </a:xfrm>
                        <a:prstGeom prst="line">
                          <a:avLst/>
                        </a:prstGeom>
                        <a:noFill/>
                        <a:ln w="22225" cap="flat" cmpd="sng" algn="ctr">
                          <a:solidFill>
                            <a:srgbClr val="156082"/>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E550CA" id="Łącznik prosty 42" o:spid="_x0000_s1026" style="position:absolute;flip: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65pt,19.85pt" to="328.3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" strokecolor="#156082" strokeweight="1.75pt">
                <v:stroke dashstyle="dash" joinstyle="miter"/>
              </v:line>
            </w:pict>
          </mc:Fallback>
        </mc:AlternateContent>
      </w:r>
      <w:r w:rsidRPr="00DB6AED">
        <w:rPr>
          <w:noProof/>
        </w:rPr>
        <mc:AlternateContent>
          <mc:Choice Requires="wps">
            <w:drawing>
              <wp:anchor distT="0" distB="0" distL="114300" distR="114300" simplePos="0" relativeHeight="251870208" behindDoc="0" locked="0" layoutInCell="1" allowOverlap="1" wp14:anchorId="06A3EDE0" wp14:editId="59E94D4A">
                <wp:simplePos x="0" y="0"/>
                <wp:positionH relativeFrom="column">
                  <wp:posOffset>3242897</wp:posOffset>
                </wp:positionH>
                <wp:positionV relativeFrom="paragraph">
                  <wp:posOffset>169545</wp:posOffset>
                </wp:positionV>
                <wp:extent cx="66269" cy="136715"/>
                <wp:effectExtent l="19050" t="19050" r="29210" b="15875"/>
                <wp:wrapNone/>
                <wp:docPr id="2015852011" name="Strzałka: w górę 95"/>
                <wp:cNvGraphicFramePr/>
                <a:graphic xmlns:a="http://schemas.openxmlformats.org/drawingml/2006/main">
                  <a:graphicData uri="http://schemas.microsoft.com/office/word/2010/wordprocessingShape">
                    <wps:wsp>
                      <wps:cNvSpPr/>
                      <wps:spPr>
                        <a:xfrm>
                          <a:off x="0" y="0"/>
                          <a:ext cx="66269" cy="136715"/>
                        </a:xfrm>
                        <a:prstGeom prst="up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2ADA3F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Strzałka: w górę 95" o:spid="_x0000_s1026" type="#_x0000_t68" style="position:absolute;margin-left:255.35pt;margin-top:13.35pt;width:5.2pt;height:10.75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" adj="5235" fillcolor="#156082" strokecolor="#042433" strokeweight="1pt"/>
            </w:pict>
          </mc:Fallback>
        </mc:AlternateContent>
      </w:r>
      <w:r w:rsidRPr="00DB6AED">
        <w:rPr>
          <w:noProof/>
        </w:rPr>
        <mc:AlternateContent>
          <mc:Choice Requires="wps">
            <w:drawing>
              <wp:anchor distT="0" distB="0" distL="114300" distR="114300" simplePos="0" relativeHeight="251840512" behindDoc="0" locked="0" layoutInCell="1" allowOverlap="1" wp14:anchorId="66470272" wp14:editId="4D35C533">
                <wp:simplePos x="0" y="0"/>
                <wp:positionH relativeFrom="column">
                  <wp:posOffset>2866987</wp:posOffset>
                </wp:positionH>
                <wp:positionV relativeFrom="paragraph">
                  <wp:posOffset>306724</wp:posOffset>
                </wp:positionV>
                <wp:extent cx="818866" cy="461010"/>
                <wp:effectExtent l="0" t="0" r="19685" b="15240"/>
                <wp:wrapNone/>
                <wp:docPr id="602444475" name="Pole tekstowe 23"/>
                <wp:cNvGraphicFramePr/>
                <a:graphic xmlns:a="http://schemas.openxmlformats.org/drawingml/2006/main">
                  <a:graphicData uri="http://schemas.microsoft.com/office/word/2010/wordprocessingShape">
                    <wps:wsp>
                      <wps:cNvSpPr txBox="1"/>
                      <wps:spPr>
                        <a:xfrm>
                          <a:off x="0" y="0"/>
                          <a:ext cx="818866" cy="461010"/>
                        </a:xfrm>
                        <a:prstGeom prst="rect">
                          <a:avLst/>
                        </a:prstGeom>
                        <a:solidFill>
                          <a:sysClr val="window" lastClr="FFFFFF"/>
                        </a:solidFill>
                        <a:ln w="12700" cap="flat" cmpd="sng" algn="ctr">
                          <a:solidFill>
                            <a:srgbClr val="E97132"/>
                          </a:solidFill>
                          <a:prstDash val="solid"/>
                          <a:miter lim="800000"/>
                        </a:ln>
                        <a:effectLst/>
                      </wps:spPr>
                      <wps:txbx>
                        <w:txbxContent>
                          <w:p w14:paraId="1299A8A2" w14:textId="77777777" w:rsidR="008D28A7" w:rsidRPr="00D717A1" w:rsidRDefault="008D28A7" w:rsidP="008D28A7">
                            <w:pPr>
                              <w:jc w:val="center"/>
                              <w:rPr>
                                <w:sz w:val="22"/>
                                <w:szCs w:val="22"/>
                              </w:rPr>
                            </w:pPr>
                            <w:r w:rsidRPr="00D717A1">
                              <w:rPr>
                                <w:sz w:val="22"/>
                                <w:szCs w:val="22"/>
                              </w:rPr>
                              <w:t xml:space="preserve">Zasięg </w:t>
                            </w:r>
                            <w:r w:rsidRPr="00D717A1">
                              <w:rPr>
                                <w:sz w:val="22"/>
                                <w:szCs w:val="22"/>
                              </w:rPr>
                              <w:br/>
                              <w:t>i reakcja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70272" id="_x0000_s1071" type="#_x0000_t202" style="position:absolute;margin-left:225.75pt;margin-top:24.15pt;width:64.5pt;height:36.3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" fillcolor="window" strokecolor="#e97132" strokeweight="1pt">
                <v:textbox>
                  <w:txbxContent>
                    <w:p w14:paraId="1299A8A2" w14:textId="77777777" w:rsidR="008D28A7" w:rsidRPr="00D717A1" w:rsidRDefault="008D28A7" w:rsidP="008D28A7">
                      <w:pPr>
                        <w:jc w:val="center"/>
                        <w:rPr>
                          <w:sz w:val="22"/>
                          <w:szCs w:val="22"/>
                        </w:rPr>
                      </w:pPr>
                      <w:r w:rsidRPr="00D717A1">
                        <w:rPr>
                          <w:sz w:val="22"/>
                          <w:szCs w:val="22"/>
                        </w:rPr>
                        <w:t xml:space="preserve">Zasięg </w:t>
                      </w:r>
                      <w:r w:rsidRPr="00D717A1">
                        <w:rPr>
                          <w:sz w:val="22"/>
                          <w:szCs w:val="22"/>
                        </w:rPr>
                        <w:br/>
                        <w:t>i reakcja</w:t>
                      </w:r>
                    </w:p>
                  </w:txbxContent>
                </v:textbox>
              </v:shape>
            </w:pict>
          </mc:Fallback>
        </mc:AlternateContent>
      </w:r>
    </w:p>
    <w:p w14:paraId="6886AC70" w14:textId="77777777" w:rsidR="008D28A7" w:rsidRPr="00DB6AED" w:rsidRDefault="008D28A7" w:rsidP="008D28A7">
      <w:pPr>
        <w:tabs>
          <w:tab w:val="left" w:pos="1693"/>
        </w:tabs>
      </w:pPr>
    </w:p>
    <w:p w14:paraId="11923B3A" w14:textId="77777777" w:rsidR="008D28A7" w:rsidRPr="00DB6AED" w:rsidRDefault="008D28A7" w:rsidP="008D28A7">
      <w:pPr>
        <w:tabs>
          <w:tab w:val="left" w:pos="1693"/>
        </w:tabs>
      </w:pPr>
      <w:r w:rsidRPr="00DB6AED">
        <w:rPr>
          <w:noProof/>
        </w:rPr>
        <mc:AlternateContent>
          <mc:Choice Requires="wps">
            <w:drawing>
              <wp:anchor distT="0" distB="0" distL="114300" distR="114300" simplePos="0" relativeHeight="251871232" behindDoc="0" locked="0" layoutInCell="1" allowOverlap="1" wp14:anchorId="22DB240C" wp14:editId="4C02B720">
                <wp:simplePos x="0" y="0"/>
                <wp:positionH relativeFrom="column">
                  <wp:posOffset>3257550</wp:posOffset>
                </wp:positionH>
                <wp:positionV relativeFrom="paragraph">
                  <wp:posOffset>135255</wp:posOffset>
                </wp:positionV>
                <wp:extent cx="66040" cy="136525"/>
                <wp:effectExtent l="19050" t="19050" r="29210" b="15875"/>
                <wp:wrapNone/>
                <wp:docPr id="1854658221" name="Strzałka: w górę 95"/>
                <wp:cNvGraphicFramePr/>
                <a:graphic xmlns:a="http://schemas.openxmlformats.org/drawingml/2006/main">
                  <a:graphicData uri="http://schemas.microsoft.com/office/word/2010/wordprocessingShape">
                    <wps:wsp>
                      <wps:cNvSpPr/>
                      <wps:spPr>
                        <a:xfrm>
                          <a:off x="0" y="0"/>
                          <a:ext cx="66040" cy="136525"/>
                        </a:xfrm>
                        <a:prstGeom prst="up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471B81" id="Strzałka: w górę 95" o:spid="_x0000_s1026" type="#_x0000_t68" style="position:absolute;margin-left:256.5pt;margin-top:10.65pt;width:5.2pt;height:10.7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" adj="5224" fillcolor="#156082" strokecolor="#042433" strokeweight="1pt"/>
            </w:pict>
          </mc:Fallback>
        </mc:AlternateContent>
      </w:r>
      <w:r w:rsidRPr="00DB6AED">
        <w:rPr>
          <w:noProof/>
        </w:rPr>
        <mc:AlternateContent>
          <mc:Choice Requires="wps">
            <w:drawing>
              <wp:anchor distT="0" distB="0" distL="114300" distR="114300" simplePos="0" relativeHeight="251841536" behindDoc="0" locked="0" layoutInCell="1" allowOverlap="1" wp14:anchorId="1F382D81" wp14:editId="49367066">
                <wp:simplePos x="0" y="0"/>
                <wp:positionH relativeFrom="column">
                  <wp:posOffset>2820670</wp:posOffset>
                </wp:positionH>
                <wp:positionV relativeFrom="paragraph">
                  <wp:posOffset>288366</wp:posOffset>
                </wp:positionV>
                <wp:extent cx="904477" cy="457200"/>
                <wp:effectExtent l="0" t="0" r="10160" b="19050"/>
                <wp:wrapNone/>
                <wp:docPr id="1440046390" name="Pole tekstowe 23"/>
                <wp:cNvGraphicFramePr/>
                <a:graphic xmlns:a="http://schemas.openxmlformats.org/drawingml/2006/main">
                  <a:graphicData uri="http://schemas.microsoft.com/office/word/2010/wordprocessingShape">
                    <wps:wsp>
                      <wps:cNvSpPr txBox="1"/>
                      <wps:spPr>
                        <a:xfrm>
                          <a:off x="0" y="0"/>
                          <a:ext cx="904477" cy="457200"/>
                        </a:xfrm>
                        <a:prstGeom prst="rect">
                          <a:avLst/>
                        </a:prstGeom>
                        <a:solidFill>
                          <a:sysClr val="window" lastClr="FFFFFF"/>
                        </a:solidFill>
                        <a:ln w="12700" cap="flat" cmpd="sng" algn="ctr">
                          <a:solidFill>
                            <a:srgbClr val="E97132"/>
                          </a:solidFill>
                          <a:prstDash val="solid"/>
                          <a:miter lim="800000"/>
                        </a:ln>
                        <a:effectLst/>
                      </wps:spPr>
                      <wps:txbx>
                        <w:txbxContent>
                          <w:p w14:paraId="2BE71C8E" w14:textId="77777777" w:rsidR="008D28A7" w:rsidRPr="00D717A1" w:rsidRDefault="008D28A7" w:rsidP="008D28A7">
                            <w:pPr>
                              <w:jc w:val="center"/>
                              <w:rPr>
                                <w:sz w:val="22"/>
                                <w:szCs w:val="22"/>
                              </w:rPr>
                            </w:pPr>
                            <w:r w:rsidRPr="00D717A1">
                              <w:rPr>
                                <w:sz w:val="22"/>
                                <w:szCs w:val="22"/>
                              </w:rPr>
                              <w:t>Produkty/</w:t>
                            </w:r>
                            <w:r w:rsidRPr="00D717A1">
                              <w:rPr>
                                <w:sz w:val="22"/>
                                <w:szCs w:val="22"/>
                              </w:rPr>
                              <w:br/>
                              <w:t>aktywności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82D81" id="_x0000_s1072" type="#_x0000_t202" style="position:absolute;margin-left:222.1pt;margin-top:22.7pt;width:71.2pt;height:36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" fillcolor="window" strokecolor="#e97132" strokeweight="1pt">
                <v:textbox>
                  <w:txbxContent>
                    <w:p w14:paraId="2BE71C8E" w14:textId="77777777" w:rsidR="008D28A7" w:rsidRPr="00D717A1" w:rsidRDefault="008D28A7" w:rsidP="008D28A7">
                      <w:pPr>
                        <w:jc w:val="center"/>
                        <w:rPr>
                          <w:sz w:val="22"/>
                          <w:szCs w:val="22"/>
                        </w:rPr>
                      </w:pPr>
                      <w:r w:rsidRPr="00D717A1">
                        <w:rPr>
                          <w:sz w:val="22"/>
                          <w:szCs w:val="22"/>
                        </w:rPr>
                        <w:t>Produkty/</w:t>
                      </w:r>
                      <w:r w:rsidRPr="00D717A1">
                        <w:rPr>
                          <w:sz w:val="22"/>
                          <w:szCs w:val="22"/>
                        </w:rPr>
                        <w:br/>
                        <w:t>aktywności</w:t>
                      </w:r>
                    </w:p>
                  </w:txbxContent>
                </v:textbox>
              </v:shape>
            </w:pict>
          </mc:Fallback>
        </mc:AlternateContent>
      </w:r>
      <w:r w:rsidRPr="00DB6AED">
        <w:rPr>
          <w:noProof/>
        </w:rPr>
        <mc:AlternateContent>
          <mc:Choice Requires="wps">
            <w:drawing>
              <wp:anchor distT="0" distB="0" distL="114300" distR="114300" simplePos="0" relativeHeight="251864064" behindDoc="0" locked="0" layoutInCell="1" allowOverlap="1" wp14:anchorId="4882DE48" wp14:editId="5F965934">
                <wp:simplePos x="0" y="0"/>
                <wp:positionH relativeFrom="column">
                  <wp:posOffset>4198899</wp:posOffset>
                </wp:positionH>
                <wp:positionV relativeFrom="paragraph">
                  <wp:posOffset>38354</wp:posOffset>
                </wp:positionV>
                <wp:extent cx="1561465" cy="661670"/>
                <wp:effectExtent l="0" t="0" r="19685" b="24130"/>
                <wp:wrapNone/>
                <wp:docPr id="146270081" name="Pole tekstowe 23"/>
                <wp:cNvGraphicFramePr/>
                <a:graphic xmlns:a="http://schemas.openxmlformats.org/drawingml/2006/main">
                  <a:graphicData uri="http://schemas.microsoft.com/office/word/2010/wordprocessingShape">
                    <wps:wsp>
                      <wps:cNvSpPr txBox="1"/>
                      <wps:spPr>
                        <a:xfrm>
                          <a:off x="0" y="0"/>
                          <a:ext cx="1561465" cy="661670"/>
                        </a:xfrm>
                        <a:prstGeom prst="rect">
                          <a:avLst/>
                        </a:prstGeom>
                        <a:solidFill>
                          <a:sysClr val="window" lastClr="FFFFFF"/>
                        </a:solidFill>
                        <a:ln w="12700" cap="flat" cmpd="sng" algn="ctr">
                          <a:solidFill>
                            <a:srgbClr val="E97132"/>
                          </a:solidFill>
                          <a:prstDash val="solid"/>
                          <a:miter lim="800000"/>
                        </a:ln>
                        <a:effectLst/>
                      </wps:spPr>
                      <wps:txbx>
                        <w:txbxContent>
                          <w:p w14:paraId="5C3F34EC" w14:textId="77777777" w:rsidR="008D28A7" w:rsidRPr="00D717A1" w:rsidRDefault="008D28A7" w:rsidP="008D28A7">
                            <w:pPr>
                              <w:jc w:val="center"/>
                              <w:rPr>
                                <w:sz w:val="22"/>
                                <w:szCs w:val="22"/>
                              </w:rPr>
                            </w:pPr>
                            <w:r w:rsidRPr="00D717A1">
                              <w:rPr>
                                <w:sz w:val="22"/>
                                <w:szCs w:val="22"/>
                              </w:rPr>
                              <w:t xml:space="preserve">Zasięg i reakcja </w:t>
                            </w:r>
                            <w:r>
                              <w:rPr>
                                <w:sz w:val="22"/>
                                <w:szCs w:val="22"/>
                              </w:rPr>
                              <w:br/>
                            </w:r>
                            <w:r w:rsidRPr="00D717A1">
                              <w:rPr>
                                <w:sz w:val="22"/>
                                <w:szCs w:val="22"/>
                              </w:rPr>
                              <w:t>Założenia dotyczące więzi przyczynowych</w:t>
                            </w:r>
                            <w:r w:rsidRPr="00D717A1">
                              <w:rPr>
                                <w:sz w:val="22"/>
                                <w:szCs w:val="22"/>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2DE48" id="_x0000_s1073" type="#_x0000_t202" style="position:absolute;margin-left:330.6pt;margin-top:3pt;width:122.95pt;height:52.1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" fillcolor="window" strokecolor="#e97132" strokeweight="1pt">
                <v:textbox>
                  <w:txbxContent>
                    <w:p w14:paraId="5C3F34EC" w14:textId="77777777" w:rsidR="008D28A7" w:rsidRPr="00D717A1" w:rsidRDefault="008D28A7" w:rsidP="008D28A7">
                      <w:pPr>
                        <w:jc w:val="center"/>
                        <w:rPr>
                          <w:sz w:val="22"/>
                          <w:szCs w:val="22"/>
                        </w:rPr>
                      </w:pPr>
                      <w:r w:rsidRPr="00D717A1">
                        <w:rPr>
                          <w:sz w:val="22"/>
                          <w:szCs w:val="22"/>
                        </w:rPr>
                        <w:t xml:space="preserve">Zasięg i reakcja </w:t>
                      </w:r>
                      <w:r>
                        <w:rPr>
                          <w:sz w:val="22"/>
                          <w:szCs w:val="22"/>
                        </w:rPr>
                        <w:br/>
                      </w:r>
                      <w:r w:rsidRPr="00D717A1">
                        <w:rPr>
                          <w:sz w:val="22"/>
                          <w:szCs w:val="22"/>
                        </w:rPr>
                        <w:t>Założenia dotyczące więzi przyczynowych</w:t>
                      </w:r>
                      <w:r w:rsidRPr="00D717A1">
                        <w:rPr>
                          <w:sz w:val="22"/>
                          <w:szCs w:val="22"/>
                        </w:rPr>
                        <w:br/>
                      </w:r>
                    </w:p>
                  </w:txbxContent>
                </v:textbox>
              </v:shape>
            </w:pict>
          </mc:Fallback>
        </mc:AlternateContent>
      </w:r>
      <w:r w:rsidRPr="00DB6AED">
        <w:rPr>
          <w:noProof/>
        </w:rPr>
        <mc:AlternateContent>
          <mc:Choice Requires="wps">
            <w:drawing>
              <wp:anchor distT="0" distB="0" distL="114300" distR="114300" simplePos="0" relativeHeight="251875328" behindDoc="0" locked="0" layoutInCell="1" allowOverlap="1" wp14:anchorId="25E9130F" wp14:editId="798CE0E4">
                <wp:simplePos x="0" y="0"/>
                <wp:positionH relativeFrom="column">
                  <wp:posOffset>3306918</wp:posOffset>
                </wp:positionH>
                <wp:positionV relativeFrom="paragraph">
                  <wp:posOffset>190974</wp:posOffset>
                </wp:positionV>
                <wp:extent cx="862159" cy="0"/>
                <wp:effectExtent l="0" t="0" r="0" b="0"/>
                <wp:wrapNone/>
                <wp:docPr id="1755809367" name="Łącznik prosty 42"/>
                <wp:cNvGraphicFramePr/>
                <a:graphic xmlns:a="http://schemas.openxmlformats.org/drawingml/2006/main">
                  <a:graphicData uri="http://schemas.microsoft.com/office/word/2010/wordprocessingShape">
                    <wps:wsp>
                      <wps:cNvCnPr/>
                      <wps:spPr>
                        <a:xfrm flipV="1">
                          <a:off x="0" y="0"/>
                          <a:ext cx="862159" cy="0"/>
                        </a:xfrm>
                        <a:prstGeom prst="line">
                          <a:avLst/>
                        </a:prstGeom>
                        <a:noFill/>
                        <a:ln w="22225" cap="flat" cmpd="sng" algn="ctr">
                          <a:solidFill>
                            <a:srgbClr val="156082"/>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2AB1AA" id="Łącznik prosty 42" o:spid="_x0000_s1026" style="position:absolute;flip:y;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4pt,15.05pt" to="328.3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" strokecolor="#156082" strokeweight="1.75pt">
                <v:stroke dashstyle="dash" joinstyle="miter"/>
              </v:line>
            </w:pict>
          </mc:Fallback>
        </mc:AlternateContent>
      </w:r>
      <w:r w:rsidRPr="00DB6AED">
        <w:rPr>
          <w:noProof/>
        </w:rPr>
        <mc:AlternateContent>
          <mc:Choice Requires="wps">
            <w:drawing>
              <wp:anchor distT="0" distB="0" distL="114300" distR="114300" simplePos="0" relativeHeight="251848704" behindDoc="0" locked="0" layoutInCell="1" allowOverlap="1" wp14:anchorId="2C9C7EBE" wp14:editId="0AB718DE">
                <wp:simplePos x="0" y="0"/>
                <wp:positionH relativeFrom="column">
                  <wp:posOffset>404144</wp:posOffset>
                </wp:positionH>
                <wp:positionV relativeFrom="paragraph">
                  <wp:posOffset>245461</wp:posOffset>
                </wp:positionV>
                <wp:extent cx="702859" cy="225188"/>
                <wp:effectExtent l="0" t="0" r="2540" b="3810"/>
                <wp:wrapNone/>
                <wp:docPr id="2072846225" name="Pole tekstowe 24"/>
                <wp:cNvGraphicFramePr/>
                <a:graphic xmlns:a="http://schemas.openxmlformats.org/drawingml/2006/main">
                  <a:graphicData uri="http://schemas.microsoft.com/office/word/2010/wordprocessingShape">
                    <wps:wsp>
                      <wps:cNvSpPr txBox="1"/>
                      <wps:spPr>
                        <a:xfrm>
                          <a:off x="0" y="0"/>
                          <a:ext cx="702859" cy="225188"/>
                        </a:xfrm>
                        <a:prstGeom prst="rect">
                          <a:avLst/>
                        </a:prstGeom>
                        <a:solidFill>
                          <a:sysClr val="window" lastClr="FFFFFF"/>
                        </a:solidFill>
                        <a:ln w="6350">
                          <a:noFill/>
                        </a:ln>
                      </wps:spPr>
                      <wps:txbx>
                        <w:txbxContent>
                          <w:p w14:paraId="7FDE2A8E" w14:textId="77777777" w:rsidR="008D28A7" w:rsidRPr="00F70FDA" w:rsidRDefault="008D28A7" w:rsidP="008D28A7">
                            <w:pPr>
                              <w:rPr>
                                <w:sz w:val="20"/>
                                <w:szCs w:val="20"/>
                              </w:rPr>
                            </w:pPr>
                            <w:r w:rsidRPr="00F70FDA">
                              <w:rPr>
                                <w:sz w:val="20"/>
                                <w:szCs w:val="20"/>
                              </w:rPr>
                              <w:t>Oś czasu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C7EBE" id="_x0000_s1074" type="#_x0000_t202" style="position:absolute;margin-left:31.8pt;margin-top:19.35pt;width:55.35pt;height:17.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" fillcolor="window" stroked="f" strokeweight=".5pt">
                <v:textbox>
                  <w:txbxContent>
                    <w:p w14:paraId="7FDE2A8E" w14:textId="77777777" w:rsidR="008D28A7" w:rsidRPr="00F70FDA" w:rsidRDefault="008D28A7" w:rsidP="008D28A7">
                      <w:pPr>
                        <w:rPr>
                          <w:sz w:val="20"/>
                          <w:szCs w:val="20"/>
                        </w:rPr>
                      </w:pPr>
                      <w:r w:rsidRPr="00F70FDA">
                        <w:rPr>
                          <w:sz w:val="20"/>
                          <w:szCs w:val="20"/>
                        </w:rPr>
                        <w:t>Oś czasu</w:t>
                      </w:r>
                    </w:p>
                  </w:txbxContent>
                </v:textbox>
              </v:shape>
            </w:pict>
          </mc:Fallback>
        </mc:AlternateContent>
      </w:r>
    </w:p>
    <w:p w14:paraId="31F6E12F" w14:textId="77777777" w:rsidR="008D28A7" w:rsidRPr="00DB6AED" w:rsidRDefault="008D28A7" w:rsidP="008D28A7">
      <w:pPr>
        <w:tabs>
          <w:tab w:val="left" w:pos="1693"/>
        </w:tabs>
      </w:pPr>
    </w:p>
    <w:p w14:paraId="67299BFE" w14:textId="77777777" w:rsidR="008D28A7" w:rsidRPr="00DB6AED" w:rsidRDefault="008D28A7" w:rsidP="008D28A7">
      <w:pPr>
        <w:tabs>
          <w:tab w:val="left" w:pos="1693"/>
        </w:tabs>
      </w:pPr>
    </w:p>
    <w:p w14:paraId="425249E6" w14:textId="77777777" w:rsidR="008D28A7" w:rsidRPr="00DB6AED" w:rsidRDefault="008D28A7" w:rsidP="008D28A7">
      <w:pPr>
        <w:tabs>
          <w:tab w:val="left" w:pos="1693"/>
        </w:tabs>
        <w:spacing w:after="0"/>
        <w:jc w:val="both"/>
        <w:rPr>
          <w:sz w:val="18"/>
          <w:szCs w:val="18"/>
        </w:rPr>
      </w:pPr>
      <w:r w:rsidRPr="00DB6AED">
        <w:rPr>
          <w:noProof/>
        </w:rPr>
        <mc:AlternateContent>
          <mc:Choice Requires="wps">
            <w:drawing>
              <wp:anchor distT="0" distB="0" distL="114300" distR="114300" simplePos="0" relativeHeight="251880448" behindDoc="0" locked="0" layoutInCell="1" allowOverlap="1" wp14:anchorId="2D41A7F5" wp14:editId="4AD53B65">
                <wp:simplePos x="0" y="0"/>
                <wp:positionH relativeFrom="column">
                  <wp:posOffset>2617277</wp:posOffset>
                </wp:positionH>
                <wp:positionV relativeFrom="paragraph">
                  <wp:posOffset>85725</wp:posOffset>
                </wp:positionV>
                <wp:extent cx="218364" cy="0"/>
                <wp:effectExtent l="0" t="0" r="0" b="0"/>
                <wp:wrapNone/>
                <wp:docPr id="1029082926" name="Łącznik prosty 42"/>
                <wp:cNvGraphicFramePr/>
                <a:graphic xmlns:a="http://schemas.openxmlformats.org/drawingml/2006/main">
                  <a:graphicData uri="http://schemas.microsoft.com/office/word/2010/wordprocessingShape">
                    <wps:wsp>
                      <wps:cNvCnPr/>
                      <wps:spPr>
                        <a:xfrm>
                          <a:off x="0" y="0"/>
                          <a:ext cx="218364" cy="0"/>
                        </a:xfrm>
                        <a:prstGeom prst="line">
                          <a:avLst/>
                        </a:prstGeom>
                        <a:noFill/>
                        <a:ln w="22225" cap="flat" cmpd="sng" algn="ctr">
                          <a:solidFill>
                            <a:srgbClr val="156082"/>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CB87E0" id="Łącznik prosty 42" o:spid="_x0000_s1026" style="position:absolute;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1pt,6.75pt" to="223.3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" strokecolor="#156082" strokeweight="1.75pt">
                <v:stroke dashstyle="dash" joinstyle="miter"/>
              </v:line>
            </w:pict>
          </mc:Fallback>
        </mc:AlternateContent>
      </w:r>
      <w:r w:rsidRPr="00DB6AED">
        <w:rPr>
          <w:noProof/>
          <w:sz w:val="18"/>
          <w:szCs w:val="18"/>
        </w:rPr>
        <mc:AlternateContent>
          <mc:Choice Requires="wps">
            <w:drawing>
              <wp:anchor distT="0" distB="0" distL="114300" distR="114300" simplePos="0" relativeHeight="251879424" behindDoc="0" locked="0" layoutInCell="1" allowOverlap="1" wp14:anchorId="71545FEA" wp14:editId="4CF08620">
                <wp:simplePos x="0" y="0"/>
                <wp:positionH relativeFrom="column">
                  <wp:posOffset>703608</wp:posOffset>
                </wp:positionH>
                <wp:positionV relativeFrom="paragraph">
                  <wp:posOffset>63196</wp:posOffset>
                </wp:positionV>
                <wp:extent cx="211540" cy="45719"/>
                <wp:effectExtent l="0" t="19050" r="36195" b="31115"/>
                <wp:wrapNone/>
                <wp:docPr id="1827747887" name="Strzałka: w prawo 97"/>
                <wp:cNvGraphicFramePr/>
                <a:graphic xmlns:a="http://schemas.openxmlformats.org/drawingml/2006/main">
                  <a:graphicData uri="http://schemas.microsoft.com/office/word/2010/wordprocessingShape">
                    <wps:wsp>
                      <wps:cNvSpPr/>
                      <wps:spPr>
                        <a:xfrm>
                          <a:off x="0" y="0"/>
                          <a:ext cx="211540" cy="45719"/>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B7A3C8" id="Strzałka: w prawo 97" o:spid="_x0000_s1026" type="#_x0000_t13" style="position:absolute;margin-left:55.4pt;margin-top:5pt;width:16.65pt;height:3.6pt;z-index:251879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" adj="19266" fillcolor="#156082" strokecolor="#042433" strokeweight="1pt"/>
            </w:pict>
          </mc:Fallback>
        </mc:AlternateContent>
      </w:r>
      <w:r w:rsidRPr="00DB6AED">
        <w:rPr>
          <w:sz w:val="18"/>
          <w:szCs w:val="18"/>
        </w:rPr>
        <w:t>Objaśnienia:              —  więzi przyczynowo-skutkowe;             wyniki wpływające na więzi przyczynowo-skutkowe; pętle przyczynowe: F</w:t>
      </w:r>
      <w:r w:rsidRPr="00DB6AED">
        <w:rPr>
          <w:sz w:val="18"/>
          <w:szCs w:val="18"/>
          <w:vertAlign w:val="subscript"/>
        </w:rPr>
        <w:t>1</w:t>
      </w:r>
      <w:r w:rsidRPr="00DB6AED">
        <w:rPr>
          <w:sz w:val="18"/>
          <w:szCs w:val="18"/>
        </w:rPr>
        <w:t xml:space="preserve"> – pojawienie się nowych praktyk zmieniających potencjał i plany jego wzmocnienia; F</w:t>
      </w:r>
      <w:r w:rsidRPr="00DB6AED">
        <w:rPr>
          <w:sz w:val="18"/>
          <w:szCs w:val="18"/>
          <w:vertAlign w:val="subscript"/>
        </w:rPr>
        <w:t>2</w:t>
      </w:r>
      <w:r w:rsidRPr="00DB6AED">
        <w:rPr>
          <w:sz w:val="18"/>
          <w:szCs w:val="18"/>
        </w:rPr>
        <w:t xml:space="preserve"> – gdy korzyści są widoczne, wzmacnia się gotowość szerszego wdrożenia nowych praktyk; F</w:t>
      </w:r>
      <w:r w:rsidRPr="00DB6AED">
        <w:rPr>
          <w:sz w:val="18"/>
          <w:szCs w:val="18"/>
          <w:vertAlign w:val="subscript"/>
        </w:rPr>
        <w:t>3</w:t>
      </w:r>
      <w:r w:rsidRPr="00DB6AED">
        <w:rPr>
          <w:sz w:val="18"/>
          <w:szCs w:val="18"/>
        </w:rPr>
        <w:t xml:space="preserve"> – w tworzeniu potencjału zmiany, kompetencje i możliwości mogą wpływać na motywacje a później też na potencjał zmiany; F</w:t>
      </w:r>
      <w:r w:rsidRPr="00DB6AED">
        <w:rPr>
          <w:sz w:val="18"/>
          <w:szCs w:val="18"/>
          <w:vertAlign w:val="subscript"/>
        </w:rPr>
        <w:t>4</w:t>
      </w:r>
      <w:r w:rsidRPr="00DB6AED">
        <w:rPr>
          <w:sz w:val="18"/>
          <w:szCs w:val="18"/>
        </w:rPr>
        <w:t xml:space="preserve"> – osiągania korzyści zachęca do powiększania potencjału.</w:t>
      </w:r>
    </w:p>
    <w:p w14:paraId="69E9C23C" w14:textId="1DB4E00D" w:rsidR="008D28A7" w:rsidRPr="00DB6AED" w:rsidRDefault="008D28A7" w:rsidP="008D28A7">
      <w:pPr>
        <w:tabs>
          <w:tab w:val="left" w:pos="1693"/>
        </w:tabs>
        <w:jc w:val="both"/>
        <w:rPr>
          <w:rFonts w:ascii="Times New Roman" w:hAnsi="Times New Roman" w:cs="Times New Roman"/>
          <w:i/>
          <w:iCs/>
        </w:rPr>
        <w:sectPr w:rsidR="008D28A7" w:rsidRPr="00DB6AED" w:rsidSect="008D28A7">
          <w:pgSz w:w="16838" w:h="11906" w:orient="landscape"/>
          <w:pgMar w:top="1417" w:right="1417" w:bottom="1417" w:left="1417" w:header="708" w:footer="708" w:gutter="0"/>
          <w:cols w:space="708"/>
          <w:docGrid w:linePitch="360"/>
        </w:sectPr>
      </w:pPr>
      <w:r w:rsidRPr="00DB6AED">
        <w:rPr>
          <w:rFonts w:ascii="Times New Roman" w:hAnsi="Times New Roman" w:cs="Times New Roman"/>
          <w:i/>
          <w:iCs/>
        </w:rPr>
        <w:t>Źródło: opracowanie własne na podstawie: Mayne J. (2019), The COM-B theory of Change Model, https:/www.researchgate.net/publication/3354044381_TheCOMB_TOC_ModelV5</w:t>
      </w:r>
    </w:p>
    <w:p w14:paraId="47CD7527" w14:textId="77777777" w:rsidR="008D28A7" w:rsidRPr="00DB6AED" w:rsidRDefault="008D28A7" w:rsidP="008D28A7">
      <w:pPr>
        <w:jc w:val="both"/>
        <w:rPr>
          <w:rFonts w:ascii="Times New Roman" w:hAnsi="Times New Roman" w:cs="Times New Roman"/>
          <w:sz w:val="28"/>
          <w:szCs w:val="28"/>
        </w:rPr>
      </w:pPr>
      <w:r w:rsidRPr="00DB6AED">
        <w:rPr>
          <w:rFonts w:ascii="Times New Roman" w:hAnsi="Times New Roman" w:cs="Times New Roman"/>
          <w:sz w:val="28"/>
          <w:szCs w:val="28"/>
        </w:rPr>
        <w:lastRenderedPageBreak/>
        <w:t>Nowym elementem jest tu prostokąt nazywany „Capacity change”, który odzwierciedla interakcje między C, O i M. Całość konstrukcji jednak oznacza nową jakość, tj. przybliża nas do realnych warunków wdrażania interwencji i poddawania ich ewaluacji oraz akcentuje znaczenie mechanizmów. Według Mayne’go (2015) COM-B ToC oferuje ewaluatorom jeszcze inne korzyści, które w istocie ułatwiają odpowiedzi na uniwersalne pytania ewaluacyjne:</w:t>
      </w:r>
    </w:p>
    <w:p w14:paraId="30142E96" w14:textId="77777777" w:rsidR="008D28A7" w:rsidRPr="00DB6AED" w:rsidRDefault="008D28A7" w:rsidP="008D28A7">
      <w:pPr>
        <w:pStyle w:val="Akapitzlist"/>
        <w:numPr>
          <w:ilvl w:val="0"/>
          <w:numId w:val="7"/>
        </w:numPr>
        <w:ind w:left="426" w:hanging="426"/>
        <w:jc w:val="both"/>
        <w:rPr>
          <w:rFonts w:ascii="Times New Roman" w:hAnsi="Times New Roman" w:cs="Times New Roman"/>
          <w:sz w:val="28"/>
          <w:szCs w:val="28"/>
        </w:rPr>
      </w:pPr>
      <w:r w:rsidRPr="00DB6AED">
        <w:rPr>
          <w:rFonts w:ascii="Times New Roman" w:hAnsi="Times New Roman" w:cs="Times New Roman"/>
          <w:sz w:val="28"/>
          <w:szCs w:val="28"/>
        </w:rPr>
        <w:t>kto faktycznie jest beneficjentem interwencji?</w:t>
      </w:r>
    </w:p>
    <w:p w14:paraId="114C0D08" w14:textId="77777777" w:rsidR="008D28A7" w:rsidRPr="00DB6AED" w:rsidRDefault="008D28A7" w:rsidP="008D28A7">
      <w:pPr>
        <w:pStyle w:val="Akapitzlist"/>
        <w:numPr>
          <w:ilvl w:val="0"/>
          <w:numId w:val="7"/>
        </w:numPr>
        <w:ind w:left="426" w:hanging="426"/>
        <w:jc w:val="both"/>
        <w:rPr>
          <w:rFonts w:ascii="Times New Roman" w:hAnsi="Times New Roman" w:cs="Times New Roman"/>
          <w:sz w:val="28"/>
          <w:szCs w:val="28"/>
        </w:rPr>
      </w:pPr>
      <w:r w:rsidRPr="00DB6AED">
        <w:rPr>
          <w:rFonts w:ascii="Times New Roman" w:hAnsi="Times New Roman" w:cs="Times New Roman"/>
          <w:sz w:val="28"/>
          <w:szCs w:val="28"/>
        </w:rPr>
        <w:t>jakich zmian można oczekiwać wśród kluczowych interesariuszy?</w:t>
      </w:r>
    </w:p>
    <w:p w14:paraId="2D9CABE5" w14:textId="77777777" w:rsidR="008D28A7" w:rsidRPr="00DB6AED" w:rsidRDefault="008D28A7" w:rsidP="008D28A7">
      <w:pPr>
        <w:pStyle w:val="Akapitzlist"/>
        <w:numPr>
          <w:ilvl w:val="0"/>
          <w:numId w:val="7"/>
        </w:numPr>
        <w:ind w:left="426" w:hanging="426"/>
        <w:jc w:val="both"/>
        <w:rPr>
          <w:rFonts w:ascii="Times New Roman" w:hAnsi="Times New Roman" w:cs="Times New Roman"/>
          <w:sz w:val="28"/>
          <w:szCs w:val="28"/>
        </w:rPr>
      </w:pPr>
      <w:r w:rsidRPr="00DB6AED">
        <w:rPr>
          <w:rFonts w:ascii="Times New Roman" w:hAnsi="Times New Roman" w:cs="Times New Roman"/>
          <w:sz w:val="28"/>
          <w:szCs w:val="28"/>
        </w:rPr>
        <w:t>jaka kombinacja C,O i M jest najprawdopodobniej potrzebna, żeby pojawiły się zmiany zachowań?</w:t>
      </w:r>
    </w:p>
    <w:p w14:paraId="6E7B4EAC" w14:textId="77777777" w:rsidR="008D28A7" w:rsidRPr="00DB6AED" w:rsidRDefault="008D28A7" w:rsidP="008D28A7">
      <w:pPr>
        <w:pStyle w:val="Akapitzlist"/>
        <w:numPr>
          <w:ilvl w:val="0"/>
          <w:numId w:val="7"/>
        </w:numPr>
        <w:ind w:left="426" w:hanging="426"/>
        <w:jc w:val="both"/>
        <w:rPr>
          <w:rFonts w:ascii="Times New Roman" w:hAnsi="Times New Roman" w:cs="Times New Roman"/>
          <w:sz w:val="28"/>
          <w:szCs w:val="28"/>
        </w:rPr>
      </w:pPr>
      <w:r w:rsidRPr="00DB6AED">
        <w:rPr>
          <w:rFonts w:ascii="Times New Roman" w:hAnsi="Times New Roman" w:cs="Times New Roman"/>
          <w:sz w:val="28"/>
          <w:szCs w:val="28"/>
        </w:rPr>
        <w:t>jakie wyniki bezpośrednie i pośrednie prawdopodobnie się osiągnie w następstwie urzeczywistnienia się zmiany zachowań?</w:t>
      </w:r>
    </w:p>
    <w:p w14:paraId="0B861E90" w14:textId="77777777" w:rsidR="008D28A7" w:rsidRPr="00DB6AED" w:rsidRDefault="008D28A7" w:rsidP="008D28A7">
      <w:pPr>
        <w:pStyle w:val="Akapitzlist"/>
        <w:numPr>
          <w:ilvl w:val="0"/>
          <w:numId w:val="7"/>
        </w:numPr>
        <w:ind w:left="426" w:hanging="426"/>
        <w:jc w:val="both"/>
        <w:rPr>
          <w:rFonts w:ascii="Times New Roman" w:hAnsi="Times New Roman" w:cs="Times New Roman"/>
          <w:sz w:val="28"/>
          <w:szCs w:val="28"/>
        </w:rPr>
      </w:pPr>
      <w:r w:rsidRPr="00DB6AED">
        <w:rPr>
          <w:rFonts w:ascii="Times New Roman" w:hAnsi="Times New Roman" w:cs="Times New Roman"/>
          <w:sz w:val="28"/>
          <w:szCs w:val="28"/>
        </w:rPr>
        <w:t>jaki po zmianach zachowań może być oczekiwany wpływ interwencji.</w:t>
      </w:r>
    </w:p>
    <w:p w14:paraId="334F3A61" w14:textId="77777777" w:rsidR="008D28A7" w:rsidRDefault="008D28A7" w:rsidP="008D28A7">
      <w:pPr>
        <w:ind w:firstLine="708"/>
        <w:jc w:val="both"/>
        <w:rPr>
          <w:rFonts w:ascii="Times New Roman" w:hAnsi="Times New Roman" w:cs="Times New Roman"/>
          <w:sz w:val="28"/>
          <w:szCs w:val="28"/>
        </w:rPr>
      </w:pPr>
      <w:r w:rsidRPr="00DB6AED">
        <w:rPr>
          <w:rFonts w:ascii="Times New Roman" w:hAnsi="Times New Roman" w:cs="Times New Roman"/>
          <w:sz w:val="28"/>
          <w:szCs w:val="28"/>
        </w:rPr>
        <w:t>Sam Mayne (2019) proponuje różne testy empiryczne na prawomocność i użyteczność COM-B ToC. Tym samym zajmują się również Shyamashree i Singh (2023), jednak przyjmując w analizie perspektywę holistycznej zmiany systemowej w wyniku wdrożenia projektów i/lub programów. Innymi słowy, chcą oni przezwyciężyć syndrom „project/program trap”, czyli wąską koncentrację interwencji tylko na bezpośrednich i pośrednich jej rezultatach. Istotą perspektywy systemowej w ewaluacji ma być uwzględnienie złożoności i możliwości pojawienia się efektów niezamierzonych interwencji oraz to, że rozwiązanie wielu problemów wymaga najpierw ich opisania jako systemów społeczno-ekonomiczno-politycznych. Same zmiany zaś zachowań aktorów interwencji powinny prowadzić do wzmocnienia ich kompetencji w zakresie skuteczniejszego radzenia sobie z nierównowagami, niepewnością, ryzykami i niejednoznacznościami. Przy bliższej analizie zauważymy, iż podejście Shamashree’go i Singha ma też elementy emergentnej teorii zmiany. Kluczowe w ich modelu jest operowanie aż pięcioma założeniami: osiągania rezultatów, zmiany potencjału, zmiany zachowań, korzyści bezpośrednich oraz dobrobytu. Klamrą spinającą całość jest „</w:t>
      </w:r>
      <w:r w:rsidRPr="00DB6AED">
        <w:rPr>
          <w:rFonts w:ascii="Times New Roman" w:hAnsi="Times New Roman" w:cs="Times New Roman"/>
          <w:i/>
          <w:iCs/>
          <w:sz w:val="28"/>
          <w:szCs w:val="28"/>
        </w:rPr>
        <w:t>interrogating assumptions</w:t>
      </w:r>
      <w:r w:rsidRPr="00DB6AED">
        <w:rPr>
          <w:rFonts w:ascii="Times New Roman" w:hAnsi="Times New Roman" w:cs="Times New Roman"/>
          <w:sz w:val="28"/>
          <w:szCs w:val="28"/>
        </w:rPr>
        <w:t>”, czyli konstruowanie bardzo rozbudowanego zestawu pytań ewaluacyjnych dla każdego z pięciu ww. założeń elementarnych.</w:t>
      </w:r>
    </w:p>
    <w:p w14:paraId="7738B605" w14:textId="77777777" w:rsidR="00532D01" w:rsidRPr="00DB6AED" w:rsidRDefault="00532D01" w:rsidP="00532D01">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 xml:space="preserve">Jeśli zaostrza się konkurencja o fundusze budżetowe a z drugiej strony komplikują się programy nimi finansowane, zdecydowanie rośnie zapotrzebowanie na solidną teorię programu, która jest połączeniem teorii zmiany i teorii działania (Eyben i in., 2008; Rogers, 2008). W zasadzie teorią programu współcześnie muszą już dysponować beneficjenci zagranicznej pomocy rozwojowej (Jones, </w:t>
      </w:r>
      <w:r w:rsidRPr="00DB6AED">
        <w:rPr>
          <w:rFonts w:ascii="Times New Roman" w:eastAsia="Times New Roman" w:hAnsi="Times New Roman" w:cs="Times New Roman"/>
          <w:kern w:val="0"/>
          <w:sz w:val="28"/>
          <w:lang w:eastAsia="pl-PL"/>
          <w14:ligatures w14:val="none"/>
        </w:rPr>
        <w:lastRenderedPageBreak/>
        <w:t>2011). Z drugiej natomiast strony teoria ta wciąż przeważnie bazuje na liniowych modelach logicznych i takich samych ścieżkach przyczynowych łączących nakłady, rezultaty jakościowe, wyniki ilościowe oraz wpływy. Brakuje w niej przeto wtedy sprzężeń zwrotnych, dodatnich i ujemnych, wstecznych i wyprzedzających oraz odpowiedniego kontekstu zewnętrznego wdrażanych programów (Koleros i in., 2020). Cierpi na tym ich skuteczność i efektywność.</w:t>
      </w:r>
    </w:p>
    <w:p w14:paraId="55ABCEE2" w14:textId="77777777" w:rsidR="00532D01" w:rsidRPr="00DB6AED" w:rsidRDefault="00532D01" w:rsidP="00532D01">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Wobec powyższego, jeśli teoria programu ma być podstawą a theory-driven evaluation, badacze i praktycy muszą koniecznie wbudować w swoje koncepcje dorobek nauki o złożoności, godząc się w ślad za tym z sytuacją, że obok wyników oczekiwanych coraz częściej otrzymywać będą także rezultaty niespodziewane, emergentne (Valters i Whitty, 2017). To jednak nie wystarczy. Niezbędne jest także korzystanie z osiągnięć nauk behawioralnych (Michie i in., 2011). W konsekwencji otrzymamy m.in. nowe modele wnioskowania przyczynowego (Mayne, 2015, Mayne, 2016).</w:t>
      </w:r>
    </w:p>
    <w:p w14:paraId="3B2C91B0" w14:textId="28102D53" w:rsidR="00532D01" w:rsidRPr="00DB6AED" w:rsidRDefault="00532D01" w:rsidP="00532D01">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Nauka o złożoności zajmuje się systemami złożonymi. Samą zaś złożoność bardzo rozmaicie się definiuje, chociaż bardzo często badacze odwołują się do ujęcia zaproponowanego przez Instytut Santa Fe. Zgodnie z tym złożoność pojawia się w dowolnym systemie, w którym funkcjonuje wielu agentów, pozostających względem siebie w różnych interakcjach, ale równocześnie dostosowujących się do otoczenia (Santa Fe Institute, 2017). W rezultacie system podlega ewolucji, a na poziomie makro pojawiają się zachowania emergentne. Nauka o złożoności dąży natomiast do tego, żeby odkrywać mechanizmy prowadzące właśnie do złożoności w systemach fizycznych, społecznych i technicznych, które formalnie są bardzo odmienne. Dla ewaluacji wynika z powyższego, że powinna się ona zajmować problemami rozwojowymi, których źródłem są interakcje i zachowania aktorów oraz ich adaptacje do zmieniającego się otoczenia, co w ostateczności implikuje pojawianie się zmian i efektów zamierzonych i niezamierzonych programu/projektu/interwencji (Ladner, 2015; Ling, 2012). Nowoczesna teoria programu jest zatem środkiem transformacji również ewaluacji.</w:t>
      </w:r>
    </w:p>
    <w:p w14:paraId="37DDE1C2" w14:textId="77777777" w:rsidR="00532D01" w:rsidRPr="00DB6AED" w:rsidRDefault="00532D01" w:rsidP="00532D01">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Zmiany zachowań aktorów programu/projektu/interwencji bardzo dobrze objaśnia „system behawioralny” stworzony przez Michie i in. po przestudiowaniu dziewiętnastu różnych prac (Michie i in., 2011). To konstrukcja trójelementowa, składająca się z:</w:t>
      </w:r>
    </w:p>
    <w:p w14:paraId="562A9AA1" w14:textId="77777777" w:rsidR="00532D01" w:rsidRPr="00DB6AED" w:rsidRDefault="00532D01" w:rsidP="00532D01">
      <w:pPr>
        <w:pStyle w:val="Numerowanie1"/>
        <w:numPr>
          <w:ilvl w:val="0"/>
          <w:numId w:val="12"/>
        </w:numPr>
      </w:pPr>
      <w:r w:rsidRPr="00DB6AED">
        <w:t>Potencjału (</w:t>
      </w:r>
      <w:r w:rsidRPr="00DB6AED">
        <w:rPr>
          <w:i/>
          <w:iCs/>
        </w:rPr>
        <w:t>capability</w:t>
      </w:r>
      <w:r w:rsidRPr="00DB6AED">
        <w:t>) psychicznego i fizycznego, żeby być w stanie się zachowywać.</w:t>
      </w:r>
    </w:p>
    <w:p w14:paraId="3B7AF372" w14:textId="77777777" w:rsidR="00532D01" w:rsidRPr="00DB6AED" w:rsidRDefault="00532D01" w:rsidP="00532D01">
      <w:pPr>
        <w:pStyle w:val="Numerowanie1"/>
        <w:numPr>
          <w:ilvl w:val="0"/>
          <w:numId w:val="12"/>
        </w:numPr>
      </w:pPr>
      <w:r w:rsidRPr="00DB6AED">
        <w:t>Możliwości (</w:t>
      </w:r>
      <w:r w:rsidRPr="00DB6AED">
        <w:rPr>
          <w:i/>
          <w:iCs/>
        </w:rPr>
        <w:t>opportunity</w:t>
      </w:r>
      <w:r w:rsidRPr="00DB6AED">
        <w:t>) – istnienie warunków społecznych w otoczeniu, które dopuszczają określone zachowania.</w:t>
      </w:r>
    </w:p>
    <w:p w14:paraId="76DA37E6" w14:textId="77777777" w:rsidR="00532D01" w:rsidRPr="00DB6AED" w:rsidRDefault="00532D01" w:rsidP="00532D01">
      <w:pPr>
        <w:pStyle w:val="Numerowanie1"/>
        <w:numPr>
          <w:ilvl w:val="0"/>
          <w:numId w:val="12"/>
        </w:numPr>
      </w:pPr>
      <w:r w:rsidRPr="00DB6AED">
        <w:t>Motywacji (</w:t>
      </w:r>
      <w:r w:rsidRPr="00DB6AED">
        <w:rPr>
          <w:i/>
          <w:iCs/>
        </w:rPr>
        <w:t>motivation</w:t>
      </w:r>
      <w:r w:rsidRPr="00DB6AED">
        <w:t>), tj. funkcjonowania mechanizmów świadomych i autonomicznych, które aktywują lub powstrzymują określone zachowania.</w:t>
      </w:r>
    </w:p>
    <w:p w14:paraId="2C9F6A71" w14:textId="77777777" w:rsidR="00532D01" w:rsidRPr="00DB6AED" w:rsidRDefault="00532D01" w:rsidP="00532D01">
      <w:pPr>
        <w:spacing w:after="0" w:line="264" w:lineRule="auto"/>
        <w:jc w:val="both"/>
        <w:rPr>
          <w:rFonts w:ascii="Times New Roman" w:eastAsia="Times New Roman" w:hAnsi="Times New Roman" w:cs="Times New Roman"/>
          <w:bCs/>
          <w:kern w:val="0"/>
          <w:sz w:val="28"/>
          <w:lang w:eastAsia="pl-PL"/>
          <w14:ligatures w14:val="none"/>
        </w:rPr>
      </w:pPr>
      <w:r w:rsidRPr="00DB6AED">
        <w:rPr>
          <w:rFonts w:ascii="Times New Roman" w:eastAsia="Times New Roman" w:hAnsi="Times New Roman" w:cs="Times New Roman"/>
          <w:bCs/>
          <w:kern w:val="0"/>
          <w:sz w:val="28"/>
          <w:lang w:val="en-US" w:eastAsia="pl-PL"/>
          <w14:ligatures w14:val="none"/>
        </w:rPr>
        <w:lastRenderedPageBreak/>
        <w:t xml:space="preserve">Michie i in. swój system opatrzyli akronimem „COM-B” – „Capability, Opportunity and Motivation for Behavior Change”. </w:t>
      </w:r>
      <w:r w:rsidRPr="00DB6AED">
        <w:rPr>
          <w:rFonts w:ascii="Times New Roman" w:eastAsia="Times New Roman" w:hAnsi="Times New Roman" w:cs="Times New Roman"/>
          <w:bCs/>
          <w:kern w:val="0"/>
          <w:sz w:val="28"/>
          <w:lang w:eastAsia="pl-PL"/>
          <w14:ligatures w14:val="none"/>
        </w:rPr>
        <w:t>Według tych trojga badaczy wszystkie te warunki muszą występować równocześnie, żeby jakieś zachowanie się pojawiło i było kontynuowane, jeżeli przynosi pożądane zmiany. Jeśli natomiast chce się wywołać zmiany zachowań, trzeba każdorazowo znaleźć unikatową kombinację „COM”, dostosowaną do danego środowiska fizycznego, społecznego i kulturowego. Co nie mniej ważne, koncepcja powyższa nie przyznaje żadnego priorytetu perspektywie indywidualnej czy grupowej, dopuszczając równocześnie dokonywanie dodatkowych podpodziałów trzech warunków wyjściowych. W ten sposób łatwiej będzie można zidentyfikować dynamikę i siłę relacji i interakcji między aktorami oraz formalne i nieformalne determinanty i mechanizmy ich zmian w czasie. W konsekwencji można trafniej dobierać czas, miejsce i intensywność ewentualnej interwencji.</w:t>
      </w:r>
    </w:p>
    <w:p w14:paraId="7AC33C80" w14:textId="77777777" w:rsidR="00532D01" w:rsidRPr="00DB6AED" w:rsidRDefault="00532D01" w:rsidP="00532D01">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 xml:space="preserve">Nauka o złożoności w swej części traktującej o wnioskowaniu co do przyczynowości daje też pewne sugestie odnoszące się zarówno do teorii zmiany, jak i teorii działania (Ling 2012; Mayne, 2016). Tą pierwszą konkretyzuje się teraz jako możliwą ścieżkę zmiany systemu w ślad za zmianą zachowań aktora lub aktorów. Z kolei teorię działania rozumie się jako oczekiwaną ścieżkę/schemat interwencji po zmianie zachowań aktorów w ich grupie docelowej. Oznacza to, że ścieżki przyczynowości muszą być elastyczne i dostosowujące się do napływu nowych danych i zmieniającego się kontekstu interwencji. Co nie mniej ważne, twórcy programów/projektów i interwencji nigdy nie będą w stanie dokładnie przewidzieć, jak zachowują się agenci wraz z upływem czasu. Zbyt wiele jest tu zmiennych, zależności, niepewności i niejednoznaczności. Stąd teoria programu raczej powinna koncentrować się na stworzeniu struktur monitorowania i ewaluacji, bazując na danych opisujących działania i procesy uczenia się oraz adaptacji. Teoria ta musi zatem szerzej korzystać też z dorobku zarządzania ryzykiem, niepewnością i niejednoznacznością. </w:t>
      </w:r>
    </w:p>
    <w:p w14:paraId="2EF4F755" w14:textId="77777777" w:rsidR="00532D01" w:rsidRPr="00DB6AED" w:rsidRDefault="00532D01" w:rsidP="00532D01">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 xml:space="preserve">Korzystając z nauki o złożoności  oraz koncepcji „COM-B”, Koleros i in. zaproponowali schemat ewaluacji </w:t>
      </w:r>
      <w:r w:rsidRPr="00DB6AED">
        <w:rPr>
          <w:rFonts w:ascii="Times New Roman" w:eastAsia="Times New Roman" w:hAnsi="Times New Roman" w:cs="Times New Roman"/>
          <w:i/>
          <w:iCs/>
          <w:kern w:val="0"/>
          <w:sz w:val="28"/>
          <w:lang w:eastAsia="pl-PL"/>
          <w14:ligatures w14:val="none"/>
        </w:rPr>
        <w:t>the actor-based change framework</w:t>
      </w:r>
      <w:r w:rsidRPr="00DB6AED">
        <w:rPr>
          <w:rFonts w:ascii="Times New Roman" w:eastAsia="Times New Roman" w:hAnsi="Times New Roman" w:cs="Times New Roman"/>
          <w:kern w:val="0"/>
          <w:sz w:val="28"/>
          <w:lang w:eastAsia="pl-PL"/>
          <w14:ligatures w14:val="none"/>
        </w:rPr>
        <w:t xml:space="preserve"> (ABC), który zweryfikowali w Nepalu w ramach programu zorientowanego na redukcję zagrożenia HIV-AIDS poprzez stosowanie nowoczesnych środków bezpiecznego uprawiania seksu (Koleros i in., 2020). Schemat ten składał się z trzech komponentów:</w:t>
      </w:r>
    </w:p>
    <w:p w14:paraId="06C14309" w14:textId="77777777" w:rsidR="00532D01" w:rsidRPr="00DB6AED" w:rsidRDefault="00532D01" w:rsidP="00532D01">
      <w:pPr>
        <w:numPr>
          <w:ilvl w:val="0"/>
          <w:numId w:val="11"/>
        </w:numPr>
        <w:spacing w:after="0" w:line="264" w:lineRule="auto"/>
        <w:ind w:left="567" w:hanging="567"/>
        <w:jc w:val="both"/>
        <w:rPr>
          <w:rFonts w:ascii="Times New Roman" w:eastAsia="Times New Roman" w:hAnsi="Times New Roman" w:cs="Times New Roman"/>
          <w:bCs/>
          <w:kern w:val="0"/>
          <w:sz w:val="28"/>
          <w:lang w:eastAsia="pl-PL"/>
          <w14:ligatures w14:val="none"/>
        </w:rPr>
      </w:pPr>
      <w:r w:rsidRPr="00DB6AED">
        <w:rPr>
          <w:rFonts w:ascii="Times New Roman" w:eastAsia="Times New Roman" w:hAnsi="Times New Roman" w:cs="Times New Roman"/>
          <w:bCs/>
          <w:kern w:val="0"/>
          <w:sz w:val="28"/>
          <w:lang w:eastAsia="pl-PL"/>
          <w14:ligatures w14:val="none"/>
        </w:rPr>
        <w:t>systemu mapowania zachowań głównych aktorów i determinant pożądanych ich zmian;</w:t>
      </w:r>
    </w:p>
    <w:p w14:paraId="3F356ADD" w14:textId="77777777" w:rsidR="00532D01" w:rsidRPr="00DB6AED" w:rsidRDefault="00532D01" w:rsidP="00532D01">
      <w:pPr>
        <w:numPr>
          <w:ilvl w:val="0"/>
          <w:numId w:val="11"/>
        </w:numPr>
        <w:spacing w:after="0" w:line="264" w:lineRule="auto"/>
        <w:ind w:left="567" w:hanging="567"/>
        <w:jc w:val="both"/>
        <w:rPr>
          <w:rFonts w:ascii="Times New Roman" w:eastAsia="Times New Roman" w:hAnsi="Times New Roman" w:cs="Times New Roman"/>
          <w:bCs/>
          <w:kern w:val="0"/>
          <w:sz w:val="28"/>
          <w:lang w:eastAsia="pl-PL"/>
          <w14:ligatures w14:val="none"/>
        </w:rPr>
      </w:pPr>
      <w:r w:rsidRPr="00DB6AED">
        <w:rPr>
          <w:rFonts w:ascii="Times New Roman" w:eastAsia="Times New Roman" w:hAnsi="Times New Roman" w:cs="Times New Roman"/>
          <w:bCs/>
          <w:kern w:val="0"/>
          <w:sz w:val="28"/>
          <w:lang w:eastAsia="pl-PL"/>
          <w14:ligatures w14:val="none"/>
        </w:rPr>
        <w:t>programu zmian, który prowadziłby do rozwiązania powyższego problemu rozwojowego;</w:t>
      </w:r>
    </w:p>
    <w:p w14:paraId="7F517BC5" w14:textId="77777777" w:rsidR="00532D01" w:rsidRPr="00DB6AED" w:rsidRDefault="00532D01" w:rsidP="00532D01">
      <w:pPr>
        <w:numPr>
          <w:ilvl w:val="0"/>
          <w:numId w:val="11"/>
        </w:numPr>
        <w:spacing w:after="0" w:line="264" w:lineRule="auto"/>
        <w:ind w:left="567" w:hanging="567"/>
        <w:jc w:val="both"/>
        <w:rPr>
          <w:rFonts w:ascii="Times New Roman" w:eastAsia="Times New Roman" w:hAnsi="Times New Roman" w:cs="Times New Roman"/>
          <w:bCs/>
          <w:kern w:val="0"/>
          <w:sz w:val="28"/>
          <w:lang w:eastAsia="pl-PL"/>
          <w14:ligatures w14:val="none"/>
        </w:rPr>
      </w:pPr>
      <w:r w:rsidRPr="00DB6AED">
        <w:rPr>
          <w:rFonts w:ascii="Times New Roman" w:eastAsia="Times New Roman" w:hAnsi="Times New Roman" w:cs="Times New Roman"/>
          <w:bCs/>
          <w:kern w:val="0"/>
          <w:sz w:val="28"/>
          <w:lang w:eastAsia="pl-PL"/>
          <w14:ligatures w14:val="none"/>
        </w:rPr>
        <w:lastRenderedPageBreak/>
        <w:t>ścieżek wpływów przyczynowych, które integrowałyby rozwiązania mieszczące się w ww. teoriach działania i zmiany.</w:t>
      </w:r>
    </w:p>
    <w:p w14:paraId="74062C73" w14:textId="77777777" w:rsidR="00532D01" w:rsidRPr="00DB6AED" w:rsidRDefault="00532D01" w:rsidP="00532D01">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ABC był wdrażany iteracyjnie, mniej więcej w okresie dziewięciu miesięcy. Okazało się, że schemat ten dobrze odwzorowywał złożoność programu i wzmacniał mechanizmy przyczynowości, a to głównie za sprawą jego szerokiej orientacji systemowej oraz lepszego zrozumienia zachowań się aktorów i możliwości kaskadowego rozprzestrzeniania się pożądanych ciągów i pętli sprzężeń przyczynowości. Ponadto schemat pozwalał na znaczną elastyczność wdrożenia, tj. można go było zacząć w dowolnym momencie realizacji programu. Przez to nadawał się do ewaluacji ex-ante, śródokresowej i ex-post. Stosowanie cyklicznych przeglądów i spotkań z aktorami elastyczność tą i adaptacyjność dodatkowo jeszcze wzmacniało. To wprost pozytywnie przekładało się na zrozumienie celów programu i ich większą akceptowalność. Co także istotne to to, że ABC zaprezentowano aktorom w języku dostosowanym do ich percepcji, zwyczajów i codziennego sposobu wyrażania się. W ten sposób zwiększono zainteresowanie uczestnictwem w programie. Jeśli ewaluatorzy dysponowaliby bogatszym zbiorem wiarygodnych danych, bez większych problemów mogliby schemat przeorientować bardziej na głębsze ich przetwarzanie. Nie bez znaczenia jest bowiem to, że ABC z założenia jest narzędziem dostosowanym do szerokiego zestawu metod pozyskiwania danych, o ile dysponuje się odpowiednimi kompetencjami i środkami technicznymi w tym zakresie.</w:t>
      </w:r>
    </w:p>
    <w:p w14:paraId="2BE42998" w14:textId="77777777" w:rsidR="00532D01" w:rsidRPr="00DB6AED" w:rsidRDefault="00532D01" w:rsidP="00532D01">
      <w:pPr>
        <w:spacing w:after="0" w:line="264" w:lineRule="auto"/>
        <w:ind w:firstLine="709"/>
        <w:jc w:val="both"/>
        <w:rPr>
          <w:rFonts w:ascii="Times New Roman" w:eastAsia="Times New Roman" w:hAnsi="Times New Roman" w:cs="Times New Roman"/>
          <w:spacing w:val="-4"/>
          <w:kern w:val="0"/>
          <w:sz w:val="28"/>
          <w:lang w:eastAsia="pl-PL"/>
          <w14:ligatures w14:val="none"/>
        </w:rPr>
      </w:pPr>
      <w:r w:rsidRPr="00DB6AED">
        <w:rPr>
          <w:rFonts w:ascii="Times New Roman" w:eastAsia="Times New Roman" w:hAnsi="Times New Roman" w:cs="Times New Roman"/>
          <w:spacing w:val="-4"/>
          <w:kern w:val="0"/>
          <w:sz w:val="28"/>
          <w:lang w:eastAsia="pl-PL"/>
          <w14:ligatures w14:val="none"/>
        </w:rPr>
        <w:t>Jak wiadomo, we wszystkich typach ewaluacji sprawą bardzo pożądaną jest operowanie w nich teorią/teoriami programu, a więc skonstruowanie wiarygodnego i elastycznego modelu, który pokaże, jak powinien on funkcjonować (podejście ex-ante, prospektywne) albo w rzeczywistości działał (podejście ex-post albo retrospektywne) (Gallagher i Appenzeller, 1999). Sam model zaś powinien odzwierciedlać ciąg założeń przyczynowych, które połączą zaangażowane, zasoby wdrożone aktywności, uzyskiwane wyniki pośrednie oraz skuteczność i efektywność osiągnięcia założonych celów końcowych (Dhillon i Vaca, 2018). W ujęciu bardziej szczegółowym proponuje się, by w powyższej teorii operować jeszcze trzema konstruktami: „outcome pathway”, czyli opisem, jak dana interwencja doprowadzi nas do wyników pośrednich przez zmiany zachowań, wiedzy, kompetencji i nastawień kluczowych interesariuszy (Doutwaite i in., 2017). Drugie pojęcie to „outcome logic model”, tj. zestawienie zazwyczaj w formie tabeli powyższych ścieżek. Wreszcie „impact pathway” jest konkretyzacją ścieżek w danym kontekście, który determinuje stopień zrealizowania celów pośrednich oraz długookresowe oddziaływania interwencji. Najczęściej stosuje się tu schematy graficzne wraz z odpowiednimi opisami.</w:t>
      </w:r>
    </w:p>
    <w:p w14:paraId="6B1C82C2" w14:textId="77777777" w:rsidR="00532D01" w:rsidRPr="00DB6AED" w:rsidRDefault="00532D01" w:rsidP="00532D01">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 xml:space="preserve">Centralne miejsce w każdej teorii programu powinna zajmować teoria zmiany (the theory of change). To nadrzędna konstrukcja względem dowolnych </w:t>
      </w:r>
      <w:r w:rsidRPr="00DB6AED">
        <w:rPr>
          <w:rFonts w:ascii="Times New Roman" w:eastAsia="Times New Roman" w:hAnsi="Times New Roman" w:cs="Times New Roman"/>
          <w:kern w:val="0"/>
          <w:sz w:val="28"/>
          <w:lang w:eastAsia="pl-PL"/>
          <w14:ligatures w14:val="none"/>
        </w:rPr>
        <w:lastRenderedPageBreak/>
        <w:t>modeli logicznych, która najczęściej w formie graficznej i opisu słownego standardowo składa się z:</w:t>
      </w:r>
    </w:p>
    <w:p w14:paraId="3FD144D0" w14:textId="77777777" w:rsidR="00532D01" w:rsidRPr="00DB6AED" w:rsidRDefault="00532D01" w:rsidP="00532D01">
      <w:pPr>
        <w:numPr>
          <w:ilvl w:val="0"/>
          <w:numId w:val="13"/>
        </w:numPr>
        <w:spacing w:after="0" w:line="264" w:lineRule="auto"/>
        <w:ind w:left="426" w:hanging="426"/>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kontekstu interwencji i identyfikacji istniejących procesów zmian oraz aktorów je kreujących;</w:t>
      </w:r>
    </w:p>
    <w:p w14:paraId="5A49AE9C" w14:textId="77777777" w:rsidR="00532D01" w:rsidRPr="00DB6AED" w:rsidRDefault="00532D01" w:rsidP="00532D01">
      <w:pPr>
        <w:numPr>
          <w:ilvl w:val="0"/>
          <w:numId w:val="13"/>
        </w:numPr>
        <w:spacing w:after="0" w:line="264" w:lineRule="auto"/>
        <w:ind w:left="426" w:hanging="426"/>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projekcji zmian długookresowych;</w:t>
      </w:r>
    </w:p>
    <w:p w14:paraId="57BC88B6" w14:textId="77777777" w:rsidR="00532D01" w:rsidRPr="00DB6AED" w:rsidRDefault="00532D01" w:rsidP="00532D01">
      <w:pPr>
        <w:numPr>
          <w:ilvl w:val="0"/>
          <w:numId w:val="13"/>
        </w:numPr>
        <w:spacing w:after="0" w:line="264" w:lineRule="auto"/>
        <w:ind w:left="426" w:hanging="426"/>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procesów oraz sekwencji zmian;</w:t>
      </w:r>
    </w:p>
    <w:p w14:paraId="76D5997D" w14:textId="77777777" w:rsidR="00532D01" w:rsidRPr="00DB6AED" w:rsidRDefault="00532D01" w:rsidP="00532D01">
      <w:pPr>
        <w:numPr>
          <w:ilvl w:val="0"/>
          <w:numId w:val="13"/>
        </w:numPr>
        <w:spacing w:after="0" w:line="264" w:lineRule="auto"/>
        <w:ind w:left="426" w:hanging="426"/>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założeń co do tego, jak zmiany się pojawiają (Doutwaite i in., 2007).</w:t>
      </w:r>
    </w:p>
    <w:p w14:paraId="7B6E3569" w14:textId="0935E59B" w:rsidR="00532D01" w:rsidRPr="00DB6AED" w:rsidRDefault="00532D01" w:rsidP="00532D01">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 xml:space="preserve">Teoria zmiany, niestety, nie zawsze explicite pojawia się w programach lub projektach, ale i wtedy przy pewnym wysiłku ewaluatorów można ją odnaleźć w zbiorze kategorii zagnieżdżonych w konstrukcjach nadrzędnych (Mayne, 2015). W tym sensie można ją określić jako teorię średniego zasięgu, mieszczącą się między dobrze ugruntowanymi teoriami społecznymi a teoriami programów (Patton, 2010). Najlepiej jest, gdy teoria/teoria zmiany mają charakter ex ante, a więc wprost opisują oczekiwane zmiany wywołane przez program. To wcale nie oznacza, że po zakończeniu interwencji nie można podjąć próby jej odtworzenia. Bardzo dogodnym punktem konstrukcji i/lub rekonstrukcji teorii zmiany może być schemat logicznych zależności przedstawiony na rysunku </w:t>
      </w:r>
      <w:r w:rsidR="00844A69">
        <w:rPr>
          <w:rFonts w:ascii="Times New Roman" w:eastAsia="Times New Roman" w:hAnsi="Times New Roman" w:cs="Times New Roman"/>
          <w:kern w:val="0"/>
          <w:sz w:val="28"/>
          <w:lang w:eastAsia="pl-PL"/>
          <w14:ligatures w14:val="none"/>
        </w:rPr>
        <w:t>4</w:t>
      </w:r>
      <w:r w:rsidRPr="00DB6AED">
        <w:rPr>
          <w:rFonts w:ascii="Times New Roman" w:eastAsia="Times New Roman" w:hAnsi="Times New Roman" w:cs="Times New Roman"/>
          <w:kern w:val="0"/>
          <w:sz w:val="28"/>
          <w:lang w:eastAsia="pl-PL"/>
          <w14:ligatures w14:val="none"/>
        </w:rPr>
        <w:t>, a który można też nazwać „outcome trajectory” (Doutwaite i in., 2007).</w:t>
      </w:r>
    </w:p>
    <w:p w14:paraId="088A4B11" w14:textId="77777777" w:rsidR="00532D01" w:rsidRPr="00DB6AED" w:rsidRDefault="00532D01" w:rsidP="00532D01">
      <w:pPr>
        <w:spacing w:after="0" w:line="264" w:lineRule="auto"/>
        <w:ind w:firstLine="709"/>
        <w:jc w:val="both"/>
        <w:rPr>
          <w:rFonts w:ascii="Times New Roman" w:eastAsia="Times New Roman" w:hAnsi="Times New Roman" w:cs="Times New Roman"/>
          <w:kern w:val="0"/>
          <w:sz w:val="28"/>
          <w:lang w:eastAsia="pl-PL"/>
          <w14:ligatures w14:val="none"/>
        </w:rPr>
      </w:pPr>
    </w:p>
    <w:p w14:paraId="74B02D57" w14:textId="77777777" w:rsidR="00532D01" w:rsidRPr="00532D01" w:rsidRDefault="00532D01" w:rsidP="00532D01">
      <w:pPr>
        <w:rPr>
          <w:rFonts w:ascii="Times New Roman" w:eastAsia="Times New Roman" w:hAnsi="Times New Roman" w:cs="Times New Roman"/>
          <w:sz w:val="28"/>
          <w:highlight w:val="green"/>
          <w:lang w:eastAsia="pl-PL"/>
        </w:rPr>
      </w:pPr>
    </w:p>
    <w:p w14:paraId="1058D56B" w14:textId="77777777" w:rsidR="00532D01" w:rsidRPr="00532D01" w:rsidRDefault="00532D01" w:rsidP="00532D01">
      <w:pPr>
        <w:rPr>
          <w:rFonts w:ascii="Times New Roman" w:eastAsia="Times New Roman" w:hAnsi="Times New Roman" w:cs="Times New Roman"/>
          <w:sz w:val="28"/>
          <w:highlight w:val="green"/>
          <w:lang w:eastAsia="pl-PL"/>
        </w:rPr>
      </w:pPr>
    </w:p>
    <w:p w14:paraId="1FFC9C5D" w14:textId="77777777" w:rsidR="00532D01" w:rsidRDefault="00532D01" w:rsidP="00532D01">
      <w:pPr>
        <w:rPr>
          <w:rFonts w:ascii="Times New Roman" w:eastAsia="Times New Roman" w:hAnsi="Times New Roman" w:cs="Times New Roman"/>
          <w:kern w:val="0"/>
          <w:sz w:val="28"/>
          <w:highlight w:val="green"/>
          <w:lang w:eastAsia="pl-PL"/>
          <w14:ligatures w14:val="none"/>
        </w:rPr>
      </w:pPr>
    </w:p>
    <w:p w14:paraId="6CB43E41" w14:textId="77777777" w:rsidR="00532D01" w:rsidRPr="00532D01" w:rsidRDefault="00532D01" w:rsidP="00532D01">
      <w:pPr>
        <w:rPr>
          <w:rFonts w:ascii="Times New Roman" w:eastAsia="Times New Roman" w:hAnsi="Times New Roman" w:cs="Times New Roman"/>
          <w:sz w:val="28"/>
          <w:highlight w:val="green"/>
          <w:lang w:eastAsia="pl-PL"/>
        </w:rPr>
      </w:pPr>
    </w:p>
    <w:p w14:paraId="7CD93C80" w14:textId="77777777" w:rsidR="00532D01" w:rsidRPr="00532D01" w:rsidRDefault="00532D01" w:rsidP="00532D01">
      <w:pPr>
        <w:rPr>
          <w:rFonts w:ascii="Times New Roman" w:eastAsia="Times New Roman" w:hAnsi="Times New Roman" w:cs="Times New Roman"/>
          <w:sz w:val="28"/>
          <w:highlight w:val="green"/>
          <w:lang w:eastAsia="pl-PL"/>
        </w:rPr>
      </w:pPr>
    </w:p>
    <w:p w14:paraId="6504E5B0" w14:textId="77777777" w:rsidR="00532D01" w:rsidRPr="00532D01" w:rsidRDefault="00532D01" w:rsidP="00532D01">
      <w:pPr>
        <w:rPr>
          <w:rFonts w:ascii="Times New Roman" w:eastAsia="Times New Roman" w:hAnsi="Times New Roman" w:cs="Times New Roman"/>
          <w:sz w:val="28"/>
          <w:highlight w:val="green"/>
          <w:lang w:eastAsia="pl-PL"/>
        </w:rPr>
      </w:pPr>
    </w:p>
    <w:p w14:paraId="74FC1EAA" w14:textId="77777777" w:rsidR="00532D01" w:rsidRDefault="00532D01" w:rsidP="00532D01">
      <w:pPr>
        <w:rPr>
          <w:rFonts w:ascii="Times New Roman" w:eastAsia="Times New Roman" w:hAnsi="Times New Roman" w:cs="Times New Roman"/>
          <w:kern w:val="0"/>
          <w:sz w:val="28"/>
          <w:highlight w:val="green"/>
          <w:lang w:eastAsia="pl-PL"/>
          <w14:ligatures w14:val="none"/>
        </w:rPr>
      </w:pPr>
    </w:p>
    <w:p w14:paraId="6F9CA8F0" w14:textId="77777777" w:rsidR="00532D01" w:rsidRDefault="00532D01" w:rsidP="00532D01">
      <w:pPr>
        <w:rPr>
          <w:rFonts w:ascii="Times New Roman" w:eastAsia="Times New Roman" w:hAnsi="Times New Roman" w:cs="Times New Roman"/>
          <w:kern w:val="0"/>
          <w:sz w:val="28"/>
          <w:highlight w:val="green"/>
          <w:lang w:eastAsia="pl-PL"/>
          <w14:ligatures w14:val="none"/>
        </w:rPr>
      </w:pPr>
    </w:p>
    <w:p w14:paraId="61FC380F" w14:textId="77777777" w:rsidR="00532D01" w:rsidRDefault="00532D01" w:rsidP="00532D01">
      <w:pPr>
        <w:rPr>
          <w:rFonts w:ascii="Times New Roman" w:eastAsia="Times New Roman" w:hAnsi="Times New Roman" w:cs="Times New Roman"/>
          <w:kern w:val="0"/>
          <w:sz w:val="28"/>
          <w:highlight w:val="green"/>
          <w:lang w:eastAsia="pl-PL"/>
          <w14:ligatures w14:val="none"/>
        </w:rPr>
      </w:pPr>
    </w:p>
    <w:p w14:paraId="197ED77F" w14:textId="77777777" w:rsidR="00532D01" w:rsidRDefault="00532D01" w:rsidP="00532D01">
      <w:pPr>
        <w:rPr>
          <w:rFonts w:ascii="Times New Roman" w:eastAsia="Times New Roman" w:hAnsi="Times New Roman" w:cs="Times New Roman"/>
          <w:kern w:val="0"/>
          <w:sz w:val="28"/>
          <w:highlight w:val="green"/>
          <w:lang w:eastAsia="pl-PL"/>
          <w14:ligatures w14:val="none"/>
        </w:rPr>
      </w:pPr>
    </w:p>
    <w:p w14:paraId="41318F01" w14:textId="77777777" w:rsidR="00532D01" w:rsidRDefault="00532D01" w:rsidP="00532D01">
      <w:pPr>
        <w:rPr>
          <w:rFonts w:ascii="Times New Roman" w:eastAsia="Times New Roman" w:hAnsi="Times New Roman" w:cs="Times New Roman"/>
          <w:kern w:val="0"/>
          <w:sz w:val="28"/>
          <w:highlight w:val="green"/>
          <w:lang w:eastAsia="pl-PL"/>
          <w14:ligatures w14:val="none"/>
        </w:rPr>
      </w:pPr>
    </w:p>
    <w:p w14:paraId="35E2E2B7" w14:textId="330F8CA8" w:rsidR="00532D01" w:rsidRPr="00532D01" w:rsidRDefault="00532D01" w:rsidP="00532D01">
      <w:pPr>
        <w:rPr>
          <w:rFonts w:ascii="Times New Roman" w:eastAsia="Times New Roman" w:hAnsi="Times New Roman" w:cs="Times New Roman"/>
          <w:sz w:val="28"/>
          <w:highlight w:val="green"/>
          <w:lang w:eastAsia="pl-PL"/>
        </w:rPr>
        <w:sectPr w:rsidR="00532D01" w:rsidRPr="00532D01" w:rsidSect="00532D01">
          <w:footerReference w:type="default" r:id="rId12"/>
          <w:pgSz w:w="11906" w:h="16838"/>
          <w:pgMar w:top="1417" w:right="1417" w:bottom="1417" w:left="1417" w:header="709" w:footer="709" w:gutter="0"/>
          <w:cols w:space="708"/>
          <w:docGrid w:linePitch="381"/>
        </w:sectPr>
      </w:pPr>
    </w:p>
    <w:p w14:paraId="63ABA880" w14:textId="2D8B4DE6" w:rsidR="00532D01" w:rsidRPr="007670B3" w:rsidRDefault="00532D01" w:rsidP="00532D01">
      <w:pPr>
        <w:spacing w:after="0" w:line="264" w:lineRule="auto"/>
        <w:ind w:firstLine="709"/>
        <w:rPr>
          <w:rFonts w:ascii="Times New Roman" w:eastAsia="Times New Roman" w:hAnsi="Times New Roman" w:cs="Times New Roman"/>
          <w:kern w:val="0"/>
          <w:sz w:val="28"/>
          <w:lang w:eastAsia="pl-PL"/>
          <w14:ligatures w14:val="none"/>
        </w:rPr>
      </w:pPr>
      <w:r w:rsidRPr="00A10D98">
        <w:rPr>
          <w:rFonts w:ascii="Times New Roman" w:eastAsia="Times New Roman" w:hAnsi="Times New Roman" w:cs="Times New Roman"/>
          <w:b/>
          <w:bCs/>
          <w:kern w:val="0"/>
          <w:sz w:val="28"/>
          <w:lang w:eastAsia="pl-PL"/>
          <w14:ligatures w14:val="none"/>
        </w:rPr>
        <w:lastRenderedPageBreak/>
        <w:t xml:space="preserve">Rysunek </w:t>
      </w:r>
      <w:r w:rsidR="00844A69">
        <w:rPr>
          <w:rFonts w:ascii="Times New Roman" w:eastAsia="Times New Roman" w:hAnsi="Times New Roman" w:cs="Times New Roman"/>
          <w:b/>
          <w:bCs/>
          <w:kern w:val="0"/>
          <w:sz w:val="28"/>
          <w:lang w:eastAsia="pl-PL"/>
          <w14:ligatures w14:val="none"/>
        </w:rPr>
        <w:t>4</w:t>
      </w:r>
      <w:r w:rsidRPr="00A10D98">
        <w:rPr>
          <w:rFonts w:ascii="Times New Roman" w:eastAsia="Times New Roman" w:hAnsi="Times New Roman" w:cs="Times New Roman"/>
          <w:b/>
          <w:bCs/>
          <w:kern w:val="0"/>
          <w:sz w:val="28"/>
          <w:lang w:eastAsia="pl-PL"/>
          <w14:ligatures w14:val="none"/>
        </w:rPr>
        <w:t>.</w:t>
      </w:r>
      <w:r>
        <w:rPr>
          <w:rFonts w:ascii="Times New Roman" w:eastAsia="Times New Roman" w:hAnsi="Times New Roman" w:cs="Times New Roman"/>
          <w:kern w:val="0"/>
          <w:sz w:val="28"/>
          <w:lang w:eastAsia="pl-PL"/>
          <w14:ligatures w14:val="none"/>
        </w:rPr>
        <w:t xml:space="preserve"> </w:t>
      </w:r>
      <w:r w:rsidRPr="007670B3">
        <w:rPr>
          <w:rFonts w:ascii="Times New Roman" w:eastAsia="Times New Roman" w:hAnsi="Times New Roman" w:cs="Times New Roman"/>
          <w:kern w:val="0"/>
          <w:sz w:val="28"/>
          <w:lang w:eastAsia="pl-PL"/>
          <w14:ligatures w14:val="none"/>
        </w:rPr>
        <w:t>Model logiczny przyczynowości jako wsparcie przy konstrukcji/rekonstrukcji teorii zmiany</w:t>
      </w:r>
    </w:p>
    <w:p w14:paraId="1B3452D6" w14:textId="1BD0D4CB" w:rsidR="00532D01" w:rsidRDefault="00532D01" w:rsidP="00532D01">
      <w:pPr>
        <w:rPr>
          <w:rFonts w:ascii="Aptos" w:eastAsia="Aptos" w:hAnsi="Aptos" w:cs="Times New Roman"/>
          <w:noProof/>
          <w:highlight w:val="green"/>
        </w:rPr>
      </w:pPr>
      <w:r w:rsidRPr="007670B3">
        <w:rPr>
          <w:rFonts w:ascii="Aptos" w:eastAsia="Aptos" w:hAnsi="Aptos" w:cs="Times New Roman"/>
          <w:noProof/>
        </w:rPr>
        <w:drawing>
          <wp:inline distT="0" distB="0" distL="0" distR="0" wp14:anchorId="3580277E" wp14:editId="5E29C2C9">
            <wp:extent cx="8892540" cy="3516630"/>
            <wp:effectExtent l="0" t="0" r="0" b="7620"/>
            <wp:docPr id="671288771"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8342"/>
                    <a:stretch/>
                  </pic:blipFill>
                  <pic:spPr bwMode="auto">
                    <a:xfrm>
                      <a:off x="0" y="0"/>
                      <a:ext cx="8892540" cy="3516630"/>
                    </a:xfrm>
                    <a:prstGeom prst="rect">
                      <a:avLst/>
                    </a:prstGeom>
                    <a:noFill/>
                    <a:ln>
                      <a:noFill/>
                    </a:ln>
                    <a:extLst>
                      <a:ext uri="{53640926-AAD7-44D8-BBD7-CCE9431645EC}">
                        <a14:shadowObscured xmlns:a14="http://schemas.microsoft.com/office/drawing/2010/main"/>
                      </a:ext>
                    </a:extLst>
                  </pic:spPr>
                </pic:pic>
              </a:graphicData>
            </a:graphic>
          </wp:inline>
        </w:drawing>
      </w:r>
    </w:p>
    <w:p w14:paraId="62EF112A" w14:textId="7CB19E9A" w:rsidR="00532D01" w:rsidRPr="007670B3" w:rsidRDefault="00532D01" w:rsidP="00532D01">
      <w:pPr>
        <w:spacing w:after="240" w:line="264" w:lineRule="auto"/>
        <w:jc w:val="both"/>
        <w:rPr>
          <w:rFonts w:ascii="Times New Roman" w:eastAsia="Times New Roman" w:hAnsi="Times New Roman" w:cs="Times New Roman"/>
          <w:i/>
          <w:iCs/>
          <w:spacing w:val="2"/>
          <w:kern w:val="0"/>
          <w:lang w:val="en-US" w:eastAsia="pl-PL"/>
          <w14:ligatures w14:val="none"/>
        </w:rPr>
      </w:pPr>
      <w:r w:rsidRPr="00DB6AED">
        <w:rPr>
          <w:rFonts w:ascii="Times New Roman" w:eastAsia="Aptos" w:hAnsi="Times New Roman" w:cs="Times New Roman"/>
          <w:i/>
          <w:iCs/>
          <w:spacing w:val="2"/>
          <w:lang w:val="en-US"/>
        </w:rPr>
        <w:t xml:space="preserve">Źródło: opracowanie własne na podstawie: </w:t>
      </w:r>
      <w:r w:rsidRPr="00DB6AED">
        <w:rPr>
          <w:rFonts w:ascii="Times New Roman" w:eastAsia="Times New Roman" w:hAnsi="Times New Roman" w:cs="Times New Roman"/>
          <w:i/>
          <w:iCs/>
          <w:color w:val="1F1F1F"/>
          <w:spacing w:val="2"/>
          <w:kern w:val="0"/>
          <w:lang w:val="en-US" w:eastAsia="pl-PL"/>
          <w14:ligatures w14:val="none"/>
        </w:rPr>
        <w:t>Doutwaite B., Apgar J.M., Schwarz A.M., Attwood S., Senaratna S., Clayton T. (2017), A new professionalism for agricultural research for development, International Journal of Agricultural Sustainability, 15(3), 238-252</w:t>
      </w:r>
      <w:r w:rsidRPr="007670B3">
        <w:rPr>
          <w:rFonts w:ascii="Times New Roman" w:eastAsia="Times New Roman" w:hAnsi="Times New Roman" w:cs="Times New Roman"/>
          <w:i/>
          <w:iCs/>
          <w:color w:val="1F1F1F"/>
          <w:spacing w:val="2"/>
          <w:kern w:val="0"/>
          <w:lang w:val="en-US" w:eastAsia="pl-PL"/>
          <w14:ligatures w14:val="none"/>
        </w:rPr>
        <w:t xml:space="preserve"> </w:t>
      </w:r>
    </w:p>
    <w:p w14:paraId="4C547093" w14:textId="087261E9" w:rsidR="00532D01" w:rsidRPr="00532D01" w:rsidRDefault="00532D01" w:rsidP="00532D01">
      <w:pPr>
        <w:tabs>
          <w:tab w:val="left" w:pos="1102"/>
        </w:tabs>
        <w:rPr>
          <w:rFonts w:ascii="Aptos" w:eastAsia="Aptos" w:hAnsi="Aptos" w:cs="Times New Roman"/>
          <w:noProof/>
          <w:highlight w:val="green"/>
          <w:lang w:val="en-US"/>
        </w:rPr>
      </w:pPr>
    </w:p>
    <w:p w14:paraId="7754FE04" w14:textId="77777777" w:rsidR="00532D01" w:rsidRPr="00532D01" w:rsidRDefault="00532D01" w:rsidP="00532D01">
      <w:pPr>
        <w:rPr>
          <w:rFonts w:ascii="Aptos" w:eastAsia="Aptos" w:hAnsi="Aptos" w:cs="Times New Roman"/>
          <w:noProof/>
          <w:highlight w:val="green"/>
          <w:lang w:val="en-US"/>
        </w:rPr>
      </w:pPr>
    </w:p>
    <w:p w14:paraId="4E03F7A7" w14:textId="1E12B23E" w:rsidR="00532D01" w:rsidRPr="00532D01" w:rsidRDefault="00532D01" w:rsidP="00532D01">
      <w:pPr>
        <w:rPr>
          <w:rFonts w:ascii="Times New Roman" w:eastAsia="Times New Roman" w:hAnsi="Times New Roman" w:cs="Times New Roman"/>
          <w:sz w:val="28"/>
          <w:highlight w:val="green"/>
          <w:lang w:val="en-US" w:eastAsia="pl-PL"/>
        </w:rPr>
        <w:sectPr w:rsidR="00532D01" w:rsidRPr="00532D01" w:rsidSect="00532D01">
          <w:pgSz w:w="16838" w:h="11906" w:orient="landscape"/>
          <w:pgMar w:top="1417" w:right="1417" w:bottom="1417" w:left="1417" w:header="709" w:footer="709" w:gutter="0"/>
          <w:cols w:space="708"/>
          <w:docGrid w:linePitch="381"/>
        </w:sectPr>
      </w:pPr>
    </w:p>
    <w:p w14:paraId="7AF211F4" w14:textId="1C49FEF8" w:rsidR="00A26C56" w:rsidRPr="00DB6AED" w:rsidRDefault="00A26C56" w:rsidP="00A26C56">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lastRenderedPageBreak/>
        <w:t>Stworzenie logicznych modeli programów/projektów/interwencji jest wprawdzie powszechnie zalecane jako pierwsza faza procesu ich ewaluacji, jako wspólne dokonanie ewaluatorów i interesariuszy, ale z drugiej strony mogą być one nawet przeszkodą, gdy mamy do czynienia ze złożonymi zmianami społeczno-ekonomicznymi i mocno zróżnicowanymi kontekstami kulturowymi ich wdrażania (Weitzman i in., 2002). Najlepiej jest wówczas zidentyfikować teorię zmiany (</w:t>
      </w:r>
      <w:r w:rsidRPr="00DB6AED">
        <w:rPr>
          <w:rFonts w:ascii="Times New Roman" w:eastAsia="Times New Roman" w:hAnsi="Times New Roman" w:cs="Times New Roman"/>
          <w:i/>
          <w:iCs/>
          <w:kern w:val="0"/>
          <w:sz w:val="28"/>
          <w:lang w:eastAsia="pl-PL"/>
          <w14:ligatures w14:val="none"/>
        </w:rPr>
        <w:t>a theory of change</w:t>
      </w:r>
      <w:r w:rsidRPr="00DB6AED">
        <w:rPr>
          <w:rFonts w:ascii="Times New Roman" w:eastAsia="Times New Roman" w:hAnsi="Times New Roman" w:cs="Times New Roman"/>
          <w:kern w:val="0"/>
          <w:sz w:val="28"/>
          <w:lang w:eastAsia="pl-PL"/>
          <w14:ligatures w14:val="none"/>
        </w:rPr>
        <w:t>), która ułatwi proces odtworzenia założeń, celów i planu prowadzenia ewaluacji, co dalej powinno pozytywnie przekładać się na jej jakość i akceptację wyników przez głównych interesariuszy (Weiss, 1997). Taką ewaluację powszechnie określa się jako „</w:t>
      </w:r>
      <w:r w:rsidRPr="00DB6AED">
        <w:rPr>
          <w:rFonts w:ascii="Times New Roman" w:eastAsia="Times New Roman" w:hAnsi="Times New Roman" w:cs="Times New Roman"/>
          <w:i/>
          <w:iCs/>
          <w:kern w:val="0"/>
          <w:sz w:val="28"/>
          <w:lang w:eastAsia="pl-PL"/>
          <w14:ligatures w14:val="none"/>
        </w:rPr>
        <w:t>a theory-based evaluation</w:t>
      </w:r>
      <w:r w:rsidRPr="00DB6AED">
        <w:rPr>
          <w:rFonts w:ascii="Times New Roman" w:eastAsia="Times New Roman" w:hAnsi="Times New Roman" w:cs="Times New Roman"/>
          <w:kern w:val="0"/>
          <w:sz w:val="28"/>
          <w:lang w:eastAsia="pl-PL"/>
          <w14:ligatures w14:val="none"/>
        </w:rPr>
        <w:t>”. Jej podstawowym celem ma być rozpoznawanie związków przyczynowych między aktywnościami realizowanymi w programach a ich rezultatami. Niestety, terminologia stosowana w tak rozumianej ewaluacji nie jest wystarczająco ujednolicona. To samo odnosi się także do teorii zmiany.</w:t>
      </w:r>
    </w:p>
    <w:p w14:paraId="33A7BEE5" w14:textId="77777777" w:rsidR="00A26C56" w:rsidRPr="00226CC0" w:rsidRDefault="00A26C56" w:rsidP="00A26C56">
      <w:pPr>
        <w:spacing w:after="0" w:line="264" w:lineRule="auto"/>
        <w:ind w:firstLine="709"/>
        <w:jc w:val="both"/>
        <w:rPr>
          <w:rFonts w:ascii="Times New Roman" w:eastAsia="Times New Roman" w:hAnsi="Times New Roman" w:cs="Times New Roman"/>
          <w:spacing w:val="-2"/>
          <w:kern w:val="0"/>
          <w:sz w:val="28"/>
          <w:lang w:eastAsia="pl-PL"/>
          <w14:ligatures w14:val="none"/>
        </w:rPr>
      </w:pPr>
      <w:r w:rsidRPr="00226CC0">
        <w:rPr>
          <w:rFonts w:ascii="Times New Roman" w:eastAsia="Times New Roman" w:hAnsi="Times New Roman" w:cs="Times New Roman"/>
          <w:spacing w:val="-2"/>
          <w:kern w:val="0"/>
          <w:sz w:val="28"/>
          <w:lang w:eastAsia="pl-PL"/>
          <w14:ligatures w14:val="none"/>
        </w:rPr>
        <w:t>Weitzman przez teorię zmiany rozumie zbiór rekomendacji dla podmiotów odpowiedzialnych za rozwój, kierowanie i wdrażanie programu, dzięki którym niejako odsłania się jego ukrytą filozofię i założenia (Weitzman, 1997). Od razu jednak pojawia się tu kwestia, jak odróżnić teorię zmiany od „teorii programu” (</w:t>
      </w:r>
      <w:r w:rsidRPr="00226CC0">
        <w:rPr>
          <w:rFonts w:ascii="Times New Roman" w:eastAsia="Times New Roman" w:hAnsi="Times New Roman" w:cs="Times New Roman"/>
          <w:i/>
          <w:iCs/>
          <w:spacing w:val="-2"/>
          <w:kern w:val="0"/>
          <w:sz w:val="28"/>
          <w:lang w:eastAsia="pl-PL"/>
          <w14:ligatures w14:val="none"/>
        </w:rPr>
        <w:t>a program theory</w:t>
      </w:r>
      <w:r w:rsidRPr="00226CC0">
        <w:rPr>
          <w:rFonts w:ascii="Times New Roman" w:eastAsia="Times New Roman" w:hAnsi="Times New Roman" w:cs="Times New Roman"/>
          <w:spacing w:val="-2"/>
          <w:kern w:val="0"/>
          <w:sz w:val="28"/>
          <w:lang w:eastAsia="pl-PL"/>
          <w14:ligatures w14:val="none"/>
        </w:rPr>
        <w:t>). Donaldson i Lipsey proponują w tym kontekście, żeby tą drugą traktować jak punkt odniesienia dla teorii zmiany, który odzwierciedla aktualny stan wiedzy socjologicznej i z obszaru nauk behawioralnych (Donaldson i Lipsey, 2006). Dla Chena i Turnera (2012) socjologia ma być natomiast źródłem konstruowania formalnych teorii, na których ma bazować interwencja. Z kolei nauki behawioralne mają służyć do tworzenia teorii objaśniających interwencje z punktu widzenia ich interesariuszy. DuBow i Litzler (2019) uważają, iż te ujęcia nie są jednak zbyt łatwe do rozumienia przez wielu praktyków ewaluacji, szczególnie z sektora organizacji pozarządowych. W ślad za tym przytaczają dwie definicje:</w:t>
      </w:r>
    </w:p>
    <w:p w14:paraId="45531768" w14:textId="77777777" w:rsidR="00A26C56" w:rsidRPr="00DB6AED" w:rsidRDefault="00A26C56" w:rsidP="00A26C56">
      <w:pPr>
        <w:numPr>
          <w:ilvl w:val="0"/>
          <w:numId w:val="9"/>
        </w:numPr>
        <w:spacing w:after="0" w:line="264" w:lineRule="auto"/>
        <w:jc w:val="both"/>
        <w:rPr>
          <w:rFonts w:ascii="Times New Roman" w:eastAsia="Times New Roman" w:hAnsi="Times New Roman" w:cs="Times New Roman"/>
          <w:bCs/>
          <w:kern w:val="0"/>
          <w:sz w:val="28"/>
          <w:lang w:eastAsia="pl-PL"/>
          <w14:ligatures w14:val="none"/>
        </w:rPr>
      </w:pPr>
      <w:r w:rsidRPr="00DB6AED">
        <w:rPr>
          <w:rFonts w:ascii="Times New Roman" w:eastAsia="Times New Roman" w:hAnsi="Times New Roman" w:cs="Times New Roman"/>
          <w:bCs/>
          <w:kern w:val="0"/>
          <w:sz w:val="28"/>
          <w:lang w:eastAsia="pl-PL"/>
          <w14:ligatures w14:val="none"/>
        </w:rPr>
        <w:t>The Skoll Foundation Archives (2014): „teoria zmiany to plan strategia osiągnięcia wielkoskalowych długookresowych celów. Identyfikuje się za jej pomocą warunki wstępne, ścieżki oraz działania niezbędne, żeby dane przedsięwzięcie zakończyło się sukcesem”.</w:t>
      </w:r>
    </w:p>
    <w:p w14:paraId="1FB5BDCF" w14:textId="77777777" w:rsidR="00A26C56" w:rsidRPr="00DB6AED" w:rsidRDefault="00A26C56" w:rsidP="00A26C56">
      <w:pPr>
        <w:numPr>
          <w:ilvl w:val="0"/>
          <w:numId w:val="9"/>
        </w:numPr>
        <w:spacing w:after="0" w:line="264" w:lineRule="auto"/>
        <w:jc w:val="both"/>
        <w:rPr>
          <w:rFonts w:ascii="Times New Roman" w:eastAsia="Times New Roman" w:hAnsi="Times New Roman" w:cs="Times New Roman"/>
          <w:bCs/>
          <w:kern w:val="0"/>
          <w:sz w:val="28"/>
          <w:lang w:eastAsia="pl-PL"/>
          <w14:ligatures w14:val="none"/>
        </w:rPr>
      </w:pPr>
      <w:r w:rsidRPr="00DB6AED">
        <w:rPr>
          <w:rFonts w:ascii="Times New Roman" w:eastAsia="Times New Roman" w:hAnsi="Times New Roman" w:cs="Times New Roman"/>
          <w:bCs/>
          <w:kern w:val="0"/>
          <w:sz w:val="28"/>
          <w:lang w:eastAsia="pl-PL"/>
          <w14:ligatures w14:val="none"/>
        </w:rPr>
        <w:t>Theory of change. org: „teoria zmiany to obszerny opis, jak i dlaczego oczekuje się, że pożądane stany rzeczy zdarzą się w określonym kontekście dzięki zidentyfikowaniu długookresowych celów podejmowanych działań, potrzebnych do tego wszystkich warunków do spełnienia oraz kluczowych zależności przyczynowych, prowadzących do ich uzyskania”.</w:t>
      </w:r>
    </w:p>
    <w:p w14:paraId="1A3F7D8D" w14:textId="77777777" w:rsidR="00A26C56" w:rsidRPr="00DB6AED" w:rsidRDefault="00A26C56" w:rsidP="00A26C56">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 xml:space="preserve">Trzeba jasno stwierdzić, że nie wszyscy autorzy zajmujący się ewaluacją uważają, iż zawsze i wszędzie trzeba w niej odwoływać się do teorii zmiany. Przykładowo, Stufflebeam i Scrive stoją na stanowisku, że brakuje w niej </w:t>
      </w:r>
      <w:r w:rsidRPr="00DB6AED">
        <w:rPr>
          <w:rFonts w:ascii="Times New Roman" w:eastAsia="Times New Roman" w:hAnsi="Times New Roman" w:cs="Times New Roman"/>
          <w:kern w:val="0"/>
          <w:sz w:val="28"/>
          <w:lang w:eastAsia="pl-PL"/>
          <w14:ligatures w14:val="none"/>
        </w:rPr>
        <w:lastRenderedPageBreak/>
        <w:t>rygorystycznych metodologicznych zasad walidacji i dowodzenia poprawności przyjmowanych założeń (Stufflebeam, 2001; Scriven, 1998). Cook i Hollister dodają, że teoria ta jest niekompletna, bo nie zajmuje się podejściem kontrfaktycznym (Cook, 2000; Hollister, 2003). Problem ten wprawdzie można by ominąć, gdyby do praktyki ewaluacji skutecznie wdrożono metody teoretyczno-empiryczne, ale postęp w tym obszarze nie jest zbyt szybki (Breuer i in., 2016).</w:t>
      </w:r>
    </w:p>
    <w:p w14:paraId="10C04B6A" w14:textId="77777777" w:rsidR="00A26C56" w:rsidRPr="00DB6AED" w:rsidRDefault="00A26C56" w:rsidP="00A26C56">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Nawet badacze i ewaluatorzy przekonani o celowości odwoływania się do teorii zmiany w rzeczywistości tego nie robią. Wynika to z kilku przyczyn. Zarządzający programami/projektami/interwencjami mogą nie mieć wystarczających kompetencji, żeby zidentyfikować ich domyślne założenia i skonstruować wysoce zindywidualizowaną teorię (Patton, 2012). Po drugie, przedmiot ewaluacji może podlegać nagłym i istotnym korektom, co poważnie utrudnia stałą modyfikację teorii zmiany, a przez to redukuje użyteczność związanego z tym wysiłku i zadowalający zwrot ponoszonych kosztów (Christie i Alkin, 2003). Można temu próbować zaradzić przez stosowanie ewaluacji partycypacyjnej i zadowolić się jakimś ogólnym wyobrażeniem o teorii programu (Chen i Turner, 2012). W ten sposób uzyskamy z pewnością jakąś wiedzę na temat zależności między podejmowanymi działaniami, ich wpływami oraz uzyskiwanymi wynikami. W przypadku bardziej zaawansowanych ewaluatorów i zarządzających programami/projektami/interwencjami można wręcz oczekiwać, że będą oni w stanie zidentyfikować także związki przyczynowe (Goryn i in., 2011).</w:t>
      </w:r>
    </w:p>
    <w:p w14:paraId="3C19D608" w14:textId="77777777" w:rsidR="00A26C56" w:rsidRPr="004F1198" w:rsidRDefault="00A26C56" w:rsidP="00A26C56">
      <w:pPr>
        <w:spacing w:after="0" w:line="264" w:lineRule="auto"/>
        <w:ind w:firstLine="709"/>
        <w:jc w:val="both"/>
        <w:rPr>
          <w:rFonts w:ascii="Times New Roman" w:eastAsia="Times New Roman" w:hAnsi="Times New Roman" w:cs="Times New Roman"/>
          <w:spacing w:val="-4"/>
          <w:kern w:val="0"/>
          <w:sz w:val="28"/>
          <w:lang w:eastAsia="pl-PL"/>
          <w14:ligatures w14:val="none"/>
        </w:rPr>
      </w:pPr>
      <w:r w:rsidRPr="004F1198">
        <w:rPr>
          <w:rFonts w:ascii="Times New Roman" w:eastAsia="Times New Roman" w:hAnsi="Times New Roman" w:cs="Times New Roman"/>
          <w:spacing w:val="-4"/>
          <w:kern w:val="0"/>
          <w:sz w:val="28"/>
          <w:lang w:eastAsia="pl-PL"/>
          <w14:ligatures w14:val="none"/>
        </w:rPr>
        <w:t>Problemami związanymi z teorią zmiany przede wszystkim zajmują się naukowcy akademiccy. W tym kontekście interesujące jest spojrzenie badaczy także praktykujących ewaluację. Są nimi, przykładowo, W.M. DuBow i E. Litzer, którzy kierowali złożonym projektem wzmocnienia pozycji kobiet na rynku technologii informacyjnych w ramach The National Center for Women &amp; Information Technology (NCWIT), jednostki afiliowanej przy University of Colorado, Bulder (DuBow i Litzer, 2018). Wypracowanie zadowalającej teorii zmiany odbywało się tu w procedurze iteracyjnej trwającej aż trzy lata. Zebrane w ten sposób doświadczenia pozwoliły sformułować następujące rekomendacje praktyczne dla innych ewaluatorów:</w:t>
      </w:r>
    </w:p>
    <w:p w14:paraId="4634D768" w14:textId="77777777" w:rsidR="00A26C56" w:rsidRPr="00DB6AED" w:rsidRDefault="00A26C56" w:rsidP="00A26C56">
      <w:pPr>
        <w:numPr>
          <w:ilvl w:val="0"/>
          <w:numId w:val="10"/>
        </w:numPr>
        <w:tabs>
          <w:tab w:val="num" w:pos="284"/>
        </w:tabs>
        <w:spacing w:after="0" w:line="264" w:lineRule="auto"/>
        <w:ind w:left="284" w:hanging="284"/>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warto nawiązać współpracę z wszystkimi osobami zaangażowanymi w program/projekt/interwencję, które są w stanie uogólnić ich szczegółowe i słabo dostrzegalne aspekty;</w:t>
      </w:r>
    </w:p>
    <w:p w14:paraId="74389D33" w14:textId="77777777" w:rsidR="00A26C56" w:rsidRPr="00DB6AED" w:rsidRDefault="00A26C56" w:rsidP="00A26C56">
      <w:pPr>
        <w:numPr>
          <w:ilvl w:val="0"/>
          <w:numId w:val="10"/>
        </w:numPr>
        <w:tabs>
          <w:tab w:val="num" w:pos="284"/>
        </w:tabs>
        <w:spacing w:after="0" w:line="264" w:lineRule="auto"/>
        <w:ind w:left="284" w:hanging="284"/>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trzeba korzystać z wiedzy i doświadczeń osób patrzących z różnych perspektyw na obiekt ewaluacji, zwracając przy tym szczególną uwagę na występujące w niej sprzężenia zwrotne;</w:t>
      </w:r>
    </w:p>
    <w:p w14:paraId="3AF3A75D" w14:textId="77777777" w:rsidR="00A26C56" w:rsidRPr="00DB6AED" w:rsidRDefault="00A26C56" w:rsidP="00A26C56">
      <w:pPr>
        <w:numPr>
          <w:ilvl w:val="0"/>
          <w:numId w:val="10"/>
        </w:numPr>
        <w:tabs>
          <w:tab w:val="num" w:pos="284"/>
        </w:tabs>
        <w:spacing w:after="0" w:line="264" w:lineRule="auto"/>
        <w:ind w:left="284" w:hanging="284"/>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należy sporządzić bardzo szczegółowy dokument, który objaśniać będzie interesariuszom logikę i etapy konstruowania teorii zmiany;</w:t>
      </w:r>
    </w:p>
    <w:p w14:paraId="30685BC0" w14:textId="77777777" w:rsidR="00A26C56" w:rsidRPr="00226CC0" w:rsidRDefault="00A26C56" w:rsidP="00A26C56">
      <w:pPr>
        <w:numPr>
          <w:ilvl w:val="0"/>
          <w:numId w:val="10"/>
        </w:numPr>
        <w:tabs>
          <w:tab w:val="num" w:pos="284"/>
        </w:tabs>
        <w:spacing w:after="0" w:line="264" w:lineRule="auto"/>
        <w:ind w:left="284" w:hanging="284"/>
        <w:jc w:val="both"/>
        <w:rPr>
          <w:rFonts w:ascii="Times New Roman" w:eastAsia="Times New Roman" w:hAnsi="Times New Roman" w:cs="Times New Roman"/>
          <w:spacing w:val="-8"/>
          <w:kern w:val="0"/>
          <w:sz w:val="28"/>
          <w:lang w:eastAsia="pl-PL"/>
          <w14:ligatures w14:val="none"/>
        </w:rPr>
      </w:pPr>
      <w:r w:rsidRPr="00226CC0">
        <w:rPr>
          <w:rFonts w:ascii="Times New Roman" w:eastAsia="Times New Roman" w:hAnsi="Times New Roman" w:cs="Times New Roman"/>
          <w:spacing w:val="-8"/>
          <w:kern w:val="0"/>
          <w:sz w:val="28"/>
          <w:lang w:eastAsia="pl-PL"/>
          <w14:ligatures w14:val="none"/>
        </w:rPr>
        <w:lastRenderedPageBreak/>
        <w:t>twórcy teorii zmiany muszą być otwarci na wskazywanie słabości ewaluacji i propozycje rozbudowanych i ciągle aktualizowanych systemów pomiaru jej rezultatów;</w:t>
      </w:r>
    </w:p>
    <w:p w14:paraId="2E949ABC" w14:textId="77777777" w:rsidR="00A26C56" w:rsidRPr="00DB6AED" w:rsidRDefault="00A26C56" w:rsidP="00A26C56">
      <w:pPr>
        <w:numPr>
          <w:ilvl w:val="0"/>
          <w:numId w:val="10"/>
        </w:numPr>
        <w:tabs>
          <w:tab w:val="num" w:pos="284"/>
        </w:tabs>
        <w:spacing w:after="0" w:line="264" w:lineRule="auto"/>
        <w:ind w:left="284" w:hanging="284"/>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bardzo użyteczne są różne formy wizualizacji graficznej składowych i etapów tworzonej teorii zmiany, gdyż ludzkie mózgi ze zmysłów jednoznacznie faworyzują wzrok. Problemem jest tu to, że ponieważ każda teoria zmiany jest unikatowa, to nie można skorzystać z gotowych wzorców;</w:t>
      </w:r>
    </w:p>
    <w:p w14:paraId="1600EACD" w14:textId="77777777" w:rsidR="00A26C56" w:rsidRPr="00DB6AED" w:rsidRDefault="00A26C56" w:rsidP="00A26C56">
      <w:pPr>
        <w:numPr>
          <w:ilvl w:val="0"/>
          <w:numId w:val="10"/>
        </w:numPr>
        <w:tabs>
          <w:tab w:val="num" w:pos="284"/>
        </w:tabs>
        <w:spacing w:after="0" w:line="264" w:lineRule="auto"/>
        <w:ind w:left="284" w:hanging="284"/>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dobrze jest także przygotować krótki, jedno – dwustronicowy, dokument, który objaśniać będzie istotę teorii zmiany oraz jej miejsce w całej ewaluacji;</w:t>
      </w:r>
    </w:p>
    <w:p w14:paraId="3C3C7F68" w14:textId="77777777" w:rsidR="00A26C56" w:rsidRPr="004F1198" w:rsidRDefault="00A26C56" w:rsidP="00A26C56">
      <w:pPr>
        <w:numPr>
          <w:ilvl w:val="0"/>
          <w:numId w:val="10"/>
        </w:numPr>
        <w:tabs>
          <w:tab w:val="num" w:pos="284"/>
        </w:tabs>
        <w:spacing w:after="0" w:line="264" w:lineRule="auto"/>
        <w:ind w:left="284" w:hanging="284"/>
        <w:jc w:val="both"/>
        <w:rPr>
          <w:rFonts w:ascii="Times New Roman" w:eastAsia="Times New Roman" w:hAnsi="Times New Roman" w:cs="Times New Roman"/>
          <w:spacing w:val="-14"/>
          <w:kern w:val="0"/>
          <w:sz w:val="28"/>
          <w:lang w:eastAsia="pl-PL"/>
          <w14:ligatures w14:val="none"/>
        </w:rPr>
      </w:pPr>
      <w:r w:rsidRPr="004F1198">
        <w:rPr>
          <w:rFonts w:ascii="Times New Roman" w:eastAsia="Times New Roman" w:hAnsi="Times New Roman" w:cs="Times New Roman"/>
          <w:spacing w:val="-14"/>
          <w:kern w:val="0"/>
          <w:sz w:val="28"/>
          <w:lang w:eastAsia="pl-PL"/>
          <w14:ligatures w14:val="none"/>
        </w:rPr>
        <w:t>nie wolno się frustrować, jeżeli prace nad teorią zmiany będą rozciągnięte w czasie. Liczy się w pierwszym rzędzie jakość stosownego dokumentu i jego praktyczna użyteczność;</w:t>
      </w:r>
    </w:p>
    <w:p w14:paraId="77F096D0" w14:textId="77777777" w:rsidR="00A26C56" w:rsidRPr="00DB6AED" w:rsidRDefault="00A26C56" w:rsidP="00A26C56">
      <w:pPr>
        <w:numPr>
          <w:ilvl w:val="0"/>
          <w:numId w:val="10"/>
        </w:numPr>
        <w:tabs>
          <w:tab w:val="num" w:pos="284"/>
        </w:tabs>
        <w:spacing w:after="0" w:line="264" w:lineRule="auto"/>
        <w:ind w:left="284" w:hanging="284"/>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w stosowaniu stworzonej teorii zmiany trzeba zwracać uwagę na jej percepcję przez interesariuszy i sygnały sugerujące niezbędne korekty.</w:t>
      </w:r>
    </w:p>
    <w:p w14:paraId="56CD2BC5" w14:textId="59D58F32" w:rsidR="00375D7D" w:rsidRPr="00DB6AED" w:rsidRDefault="00375D7D" w:rsidP="00226CC0">
      <w:pPr>
        <w:spacing w:after="0"/>
        <w:ind w:firstLine="851"/>
        <w:jc w:val="both"/>
        <w:rPr>
          <w:rFonts w:ascii="Times New Roman" w:eastAsia="Times New Roman" w:hAnsi="Times New Roman" w:cs="Times New Roman"/>
          <w:spacing w:val="-2"/>
          <w:kern w:val="0"/>
          <w:sz w:val="28"/>
          <w:lang w:eastAsia="pl-PL"/>
          <w14:ligatures w14:val="none"/>
        </w:rPr>
      </w:pPr>
      <w:r w:rsidRPr="00DB6AED">
        <w:rPr>
          <w:rFonts w:ascii="Times New Roman" w:eastAsia="Times New Roman" w:hAnsi="Times New Roman" w:cs="Times New Roman"/>
          <w:spacing w:val="-2"/>
          <w:kern w:val="0"/>
          <w:sz w:val="28"/>
          <w:lang w:eastAsia="pl-PL"/>
          <w14:ligatures w14:val="none"/>
        </w:rPr>
        <w:t>Teoria programu (</w:t>
      </w:r>
      <w:r w:rsidRPr="00DB6AED">
        <w:rPr>
          <w:rFonts w:ascii="Times New Roman" w:eastAsia="Times New Roman" w:hAnsi="Times New Roman" w:cs="Times New Roman"/>
          <w:i/>
          <w:iCs/>
          <w:spacing w:val="-2"/>
          <w:kern w:val="0"/>
          <w:sz w:val="28"/>
          <w:lang w:eastAsia="pl-PL"/>
          <w14:ligatures w14:val="none"/>
        </w:rPr>
        <w:t>the programme theory</w:t>
      </w:r>
      <w:r w:rsidRPr="00DB6AED">
        <w:rPr>
          <w:rFonts w:ascii="Times New Roman" w:eastAsia="Times New Roman" w:hAnsi="Times New Roman" w:cs="Times New Roman"/>
          <w:spacing w:val="-2"/>
          <w:kern w:val="0"/>
          <w:sz w:val="28"/>
          <w:lang w:eastAsia="pl-PL"/>
          <w14:ligatures w14:val="none"/>
        </w:rPr>
        <w:t>) ma swoich przeciwników i zwolenników. Ci pierwsi wskazują, iż słabo radzi sobie ona z ewaluacją złożonych interwencji, gdzie zależności między poszczególnymi kategoriami są skomplikowane, często nieliniowe i nawet chaotyczne, gdy tymczasem teoria ta a priori stawia jednoznaczne pytania ewaluacyjne (Douthwaite i in., 2023). Obrońcy natomiast utrzymują, że pozwala ona uzyskiwać holistyczny obraz zależności, chociażby przez odpowiednio skonstruowane modele logiczne (Rogers, 2004). Modele te w formie najprostszej są schematami graficznymi, które mają odzwierciedlać mechanizmy i kanały wpływu określonej interwencji. Z kolei interesująca nas teoria ma służyć do racjonalnego ich konstruowania i przemyślanego stosowania w ewaluacji. Same modele mogą odzwierciedlać zależności liniowe albo (problemy proste) nieliniowe, gdy chce się głębiej analizować interwencje/problemy złożone i skomplikowane, a także ryzyko i niepewność (Glouberman i Zimmerman, 2002).</w:t>
      </w:r>
    </w:p>
    <w:p w14:paraId="181516D6" w14:textId="64D51BDC" w:rsidR="00375D7D" w:rsidRPr="00DB6AED" w:rsidRDefault="00375D7D" w:rsidP="00375D7D">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 xml:space="preserve">Sytuacje proste rozwiązywane są za pomocą przestrzegania określonych procedur, replikowanych, najlepiej skonstruowanych przez fachowców, bo to gwarantuje uzyskiwanie zestandaryzowanych i stabilnych w czasie rezultatów (Glouberman i Zimmerman, 2002). W przypadku problemów skomplikowanych kluczowe i niezbędne są precyzyjne formuły dla uzyskiwania zadowalających wyników. Ich stwarzanie wymaga jednak wysokiego profesjonalizmu, gdyż dzięki temu wzrasta pewność działań i efektów. W problemach złożonych formuły mają już ograniczone zastosowania. W ich rozwiązaniu pomaga wprawdzie doświadczenie, ale na skutek znacznej niepewności może to nie wystarczać dla uzyskiwania satysfakcjonujących rezultatów, bo w istocie każda sytuacja jest w dużym stopniu wyjątkowa (Patton, 1994). W tym kontekście ewaluacja prostych interwencji na ogół koncentruje się na odkrywaniu używanych procedur albo ich testowaniu. Interwencje skomplikowane często dla ewaluatorów bywają </w:t>
      </w:r>
      <w:r w:rsidRPr="00DB6AED">
        <w:rPr>
          <w:rFonts w:ascii="Times New Roman" w:eastAsia="Times New Roman" w:hAnsi="Times New Roman" w:cs="Times New Roman"/>
          <w:kern w:val="0"/>
          <w:sz w:val="28"/>
          <w:lang w:eastAsia="pl-PL"/>
          <w14:ligatures w14:val="none"/>
        </w:rPr>
        <w:lastRenderedPageBreak/>
        <w:t xml:space="preserve">problemem, bo efektywnie można równocześnie analizować ograniczoną liczbę zmiennych i zależności. Być może zmieni się to, gdy w ewaluacji zacznie na szeroką skalę wykorzystywać się sztuczną inteligencję. Jeszcze bardziej byłaby on potrzebna do ewaluacji interwencji złożonych, których skuteczność i efektywność jest wielorako uwarunkowana i nie da się określić ich z góry z zadowalającym prawdopodobieństwem. Tabela </w:t>
      </w:r>
      <w:r w:rsidR="007608FF">
        <w:rPr>
          <w:rFonts w:ascii="Times New Roman" w:eastAsia="Times New Roman" w:hAnsi="Times New Roman" w:cs="Times New Roman"/>
          <w:kern w:val="0"/>
          <w:sz w:val="28"/>
          <w:lang w:eastAsia="pl-PL"/>
          <w14:ligatures w14:val="none"/>
        </w:rPr>
        <w:t>1</w:t>
      </w:r>
      <w:r w:rsidRPr="00DB6AED">
        <w:rPr>
          <w:rFonts w:ascii="Times New Roman" w:eastAsia="Times New Roman" w:hAnsi="Times New Roman" w:cs="Times New Roman"/>
          <w:kern w:val="0"/>
          <w:sz w:val="28"/>
          <w:lang w:eastAsia="pl-PL"/>
          <w14:ligatures w14:val="none"/>
        </w:rPr>
        <w:t xml:space="preserve"> może pomóc ewaluatorom rozstrzyganie, czy daną interwencję klasyfikować jako skomplikowaną lub złożoną.</w:t>
      </w:r>
    </w:p>
    <w:p w14:paraId="68AA8D42" w14:textId="77777777" w:rsidR="00FE6084" w:rsidRPr="00DB6AED" w:rsidRDefault="00FE6084" w:rsidP="00375D7D">
      <w:pPr>
        <w:spacing w:after="0" w:line="264" w:lineRule="auto"/>
        <w:ind w:firstLine="709"/>
        <w:jc w:val="both"/>
        <w:rPr>
          <w:rFonts w:ascii="Times New Roman" w:eastAsia="Times New Roman" w:hAnsi="Times New Roman" w:cs="Times New Roman"/>
          <w:kern w:val="0"/>
          <w:sz w:val="28"/>
          <w:lang w:eastAsia="pl-PL"/>
          <w14:ligatures w14:val="none"/>
        </w:rPr>
      </w:pPr>
    </w:p>
    <w:p w14:paraId="783D95CE" w14:textId="717A17F1" w:rsidR="00375D7D" w:rsidRPr="004F1198" w:rsidRDefault="00FE6084" w:rsidP="00FE6084">
      <w:pPr>
        <w:spacing w:after="0" w:line="264" w:lineRule="auto"/>
        <w:rPr>
          <w:rFonts w:ascii="Times New Roman" w:eastAsia="Times New Roman" w:hAnsi="Times New Roman" w:cs="Times New Roman"/>
          <w:spacing w:val="-6"/>
          <w:kern w:val="0"/>
          <w:sz w:val="28"/>
          <w:lang w:eastAsia="pl-PL"/>
          <w14:ligatures w14:val="none"/>
        </w:rPr>
      </w:pPr>
      <w:r w:rsidRPr="004F1198">
        <w:rPr>
          <w:rFonts w:ascii="Times New Roman" w:eastAsia="Times New Roman" w:hAnsi="Times New Roman" w:cs="Times New Roman"/>
          <w:b/>
          <w:bCs/>
          <w:spacing w:val="-6"/>
          <w:kern w:val="0"/>
          <w:sz w:val="28"/>
          <w:lang w:eastAsia="pl-PL"/>
          <w14:ligatures w14:val="none"/>
        </w:rPr>
        <w:t xml:space="preserve">Tabela </w:t>
      </w:r>
      <w:r w:rsidR="007608FF">
        <w:rPr>
          <w:rFonts w:ascii="Times New Roman" w:eastAsia="Times New Roman" w:hAnsi="Times New Roman" w:cs="Times New Roman"/>
          <w:b/>
          <w:bCs/>
          <w:spacing w:val="-6"/>
          <w:kern w:val="0"/>
          <w:sz w:val="28"/>
          <w:lang w:eastAsia="pl-PL"/>
          <w14:ligatures w14:val="none"/>
        </w:rPr>
        <w:t>1</w:t>
      </w:r>
      <w:r w:rsidRPr="004F1198">
        <w:rPr>
          <w:rFonts w:ascii="Times New Roman" w:eastAsia="Times New Roman" w:hAnsi="Times New Roman" w:cs="Times New Roman"/>
          <w:b/>
          <w:bCs/>
          <w:spacing w:val="-6"/>
          <w:kern w:val="0"/>
          <w:sz w:val="28"/>
          <w:lang w:eastAsia="pl-PL"/>
          <w14:ligatures w14:val="none"/>
        </w:rPr>
        <w:t>.</w:t>
      </w:r>
      <w:r w:rsidRPr="004F1198">
        <w:rPr>
          <w:rFonts w:ascii="Times New Roman" w:eastAsia="Times New Roman" w:hAnsi="Times New Roman" w:cs="Times New Roman"/>
          <w:spacing w:val="-6"/>
          <w:kern w:val="0"/>
          <w:sz w:val="28"/>
          <w:lang w:eastAsia="pl-PL"/>
          <w14:ligatures w14:val="none"/>
        </w:rPr>
        <w:t xml:space="preserve"> </w:t>
      </w:r>
      <w:r w:rsidR="00375D7D" w:rsidRPr="004F1198">
        <w:rPr>
          <w:rFonts w:ascii="Times New Roman" w:eastAsia="Times New Roman" w:hAnsi="Times New Roman" w:cs="Times New Roman"/>
          <w:spacing w:val="-6"/>
          <w:kern w:val="0"/>
          <w:sz w:val="28"/>
          <w:lang w:eastAsia="pl-PL"/>
          <w14:ligatures w14:val="none"/>
        </w:rPr>
        <w:t>Wskazówki do kwalifikowania interwencji jako skomplikowanych lub złożonych</w:t>
      </w:r>
    </w:p>
    <w:tbl>
      <w:tblPr>
        <w:tblStyle w:val="Tabelalisty4akcent13"/>
        <w:tblW w:w="9209" w:type="dxa"/>
        <w:tblBorders>
          <w:top w:val="none" w:sz="0" w:space="0" w:color="auto"/>
          <w:left w:val="none" w:sz="0" w:space="0" w:color="auto"/>
          <w:bottom w:val="none" w:sz="0" w:space="0" w:color="auto"/>
          <w:right w:val="none" w:sz="0" w:space="0" w:color="auto"/>
          <w:insideH w:val="single" w:sz="4" w:space="0" w:color="auto"/>
        </w:tblBorders>
        <w:tblLayout w:type="fixed"/>
        <w:tblLook w:val="04A0" w:firstRow="1" w:lastRow="0" w:firstColumn="1" w:lastColumn="0" w:noHBand="0" w:noVBand="1"/>
      </w:tblPr>
      <w:tblGrid>
        <w:gridCol w:w="1838"/>
        <w:gridCol w:w="142"/>
        <w:gridCol w:w="1701"/>
        <w:gridCol w:w="142"/>
        <w:gridCol w:w="1842"/>
        <w:gridCol w:w="1843"/>
        <w:gridCol w:w="1701"/>
      </w:tblGrid>
      <w:tr w:rsidR="00375D7D" w:rsidRPr="004F1198" w14:paraId="016D6F8A" w14:textId="77777777" w:rsidTr="004F1198">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6DA8FBC4" w14:textId="77777777" w:rsidR="00375D7D" w:rsidRPr="004F1198" w:rsidRDefault="00375D7D" w:rsidP="00375D7D">
            <w:pPr>
              <w:spacing w:line="264" w:lineRule="auto"/>
              <w:rPr>
                <w:sz w:val="20"/>
                <w:szCs w:val="20"/>
              </w:rPr>
            </w:pPr>
            <w:bookmarkStart w:id="4" w:name="_Hlk136504620"/>
            <w:r w:rsidRPr="004F1198">
              <w:rPr>
                <w:sz w:val="20"/>
                <w:szCs w:val="20"/>
              </w:rPr>
              <w:t>Aspekt</w:t>
            </w:r>
          </w:p>
        </w:tc>
        <w:tc>
          <w:tcPr>
            <w:tcW w:w="1985" w:type="dxa"/>
            <w:gridSpan w:val="3"/>
            <w:vAlign w:val="center"/>
          </w:tcPr>
          <w:p w14:paraId="06CF78D4" w14:textId="77777777" w:rsidR="00375D7D" w:rsidRPr="004F1198" w:rsidRDefault="00375D7D" w:rsidP="00375D7D">
            <w:pPr>
              <w:spacing w:line="264" w:lineRule="auto"/>
              <w:cnfStyle w:val="100000000000" w:firstRow="1" w:lastRow="0" w:firstColumn="0" w:lastColumn="0" w:oddVBand="0" w:evenVBand="0" w:oddHBand="0" w:evenHBand="0" w:firstRowFirstColumn="0" w:firstRowLastColumn="0" w:lastRowFirstColumn="0" w:lastRowLastColumn="0"/>
              <w:rPr>
                <w:sz w:val="20"/>
                <w:szCs w:val="20"/>
              </w:rPr>
            </w:pPr>
            <w:r w:rsidRPr="004F1198">
              <w:rPr>
                <w:sz w:val="20"/>
                <w:szCs w:val="20"/>
              </w:rPr>
              <w:t>Wersja prosta</w:t>
            </w:r>
          </w:p>
        </w:tc>
        <w:tc>
          <w:tcPr>
            <w:tcW w:w="1842" w:type="dxa"/>
            <w:vAlign w:val="center"/>
          </w:tcPr>
          <w:p w14:paraId="605B22C6" w14:textId="77777777" w:rsidR="00375D7D" w:rsidRPr="004F1198" w:rsidRDefault="00375D7D" w:rsidP="00375D7D">
            <w:pPr>
              <w:spacing w:line="264" w:lineRule="auto"/>
              <w:cnfStyle w:val="100000000000" w:firstRow="1" w:lastRow="0" w:firstColumn="0" w:lastColumn="0" w:oddVBand="0" w:evenVBand="0" w:oddHBand="0" w:evenHBand="0" w:firstRowFirstColumn="0" w:firstRowLastColumn="0" w:lastRowFirstColumn="0" w:lastRowLastColumn="0"/>
              <w:rPr>
                <w:sz w:val="20"/>
                <w:szCs w:val="20"/>
              </w:rPr>
            </w:pPr>
            <w:r w:rsidRPr="004F1198">
              <w:rPr>
                <w:sz w:val="20"/>
                <w:szCs w:val="20"/>
              </w:rPr>
              <w:t>Wersja</w:t>
            </w:r>
            <w:r w:rsidRPr="004F1198">
              <w:rPr>
                <w:sz w:val="20"/>
                <w:szCs w:val="20"/>
              </w:rPr>
              <w:br/>
              <w:t xml:space="preserve"> nieprosta</w:t>
            </w:r>
          </w:p>
        </w:tc>
        <w:tc>
          <w:tcPr>
            <w:tcW w:w="1843" w:type="dxa"/>
            <w:vAlign w:val="center"/>
          </w:tcPr>
          <w:p w14:paraId="2351E3E4" w14:textId="77777777" w:rsidR="00375D7D" w:rsidRPr="004F1198" w:rsidRDefault="00375D7D" w:rsidP="00375D7D">
            <w:pPr>
              <w:spacing w:line="264" w:lineRule="auto"/>
              <w:cnfStyle w:val="100000000000" w:firstRow="1" w:lastRow="0" w:firstColumn="0" w:lastColumn="0" w:oddVBand="0" w:evenVBand="0" w:oddHBand="0" w:evenHBand="0" w:firstRowFirstColumn="0" w:firstRowLastColumn="0" w:lastRowFirstColumn="0" w:lastRowLastColumn="0"/>
              <w:rPr>
                <w:sz w:val="20"/>
                <w:szCs w:val="20"/>
              </w:rPr>
            </w:pPr>
            <w:r w:rsidRPr="004F1198">
              <w:rPr>
                <w:sz w:val="20"/>
                <w:szCs w:val="20"/>
              </w:rPr>
              <w:t>Wyzwanie dla ewaluacji</w:t>
            </w:r>
          </w:p>
        </w:tc>
        <w:tc>
          <w:tcPr>
            <w:tcW w:w="1701" w:type="dxa"/>
            <w:vAlign w:val="center"/>
          </w:tcPr>
          <w:p w14:paraId="17A07321" w14:textId="77777777" w:rsidR="00375D7D" w:rsidRPr="004F1198" w:rsidRDefault="00375D7D" w:rsidP="00375D7D">
            <w:pPr>
              <w:spacing w:line="264" w:lineRule="auto"/>
              <w:cnfStyle w:val="100000000000" w:firstRow="1" w:lastRow="0" w:firstColumn="0" w:lastColumn="0" w:oddVBand="0" w:evenVBand="0" w:oddHBand="0" w:evenHBand="0" w:firstRowFirstColumn="0" w:firstRowLastColumn="0" w:lastRowFirstColumn="0" w:lastRowLastColumn="0"/>
              <w:rPr>
                <w:sz w:val="20"/>
                <w:szCs w:val="20"/>
              </w:rPr>
            </w:pPr>
            <w:r w:rsidRPr="004F1198">
              <w:rPr>
                <w:sz w:val="20"/>
                <w:szCs w:val="20"/>
              </w:rPr>
              <w:t xml:space="preserve">Typ </w:t>
            </w:r>
            <w:r w:rsidRPr="004F1198">
              <w:rPr>
                <w:sz w:val="20"/>
                <w:szCs w:val="20"/>
              </w:rPr>
              <w:br/>
              <w:t>interwencji</w:t>
            </w:r>
          </w:p>
        </w:tc>
      </w:tr>
      <w:tr w:rsidR="00375D7D" w:rsidRPr="004F1198" w14:paraId="1465053A" w14:textId="77777777" w:rsidTr="00226CC0">
        <w:trPr>
          <w:cnfStyle w:val="000000100000" w:firstRow="0" w:lastRow="0" w:firstColumn="0" w:lastColumn="0" w:oddVBand="0" w:evenVBand="0" w:oddHBand="1" w:evenHBand="0" w:firstRowFirstColumn="0" w:firstRowLastColumn="0" w:lastRowFirstColumn="0" w:lastRowLastColumn="0"/>
          <w:trHeight w:val="1412"/>
        </w:trPr>
        <w:tc>
          <w:tcPr>
            <w:cnfStyle w:val="001000000000" w:firstRow="0" w:lastRow="0" w:firstColumn="1" w:lastColumn="0" w:oddVBand="0" w:evenVBand="0" w:oddHBand="0" w:evenHBand="0" w:firstRowFirstColumn="0" w:firstRowLastColumn="0" w:lastRowFirstColumn="0" w:lastRowLastColumn="0"/>
            <w:tcW w:w="1980" w:type="dxa"/>
            <w:gridSpan w:val="2"/>
            <w:vAlign w:val="center"/>
          </w:tcPr>
          <w:p w14:paraId="5E5CBD99" w14:textId="199AF22F" w:rsidR="00375D7D" w:rsidRPr="004F1198" w:rsidRDefault="00375D7D" w:rsidP="002F50E8">
            <w:pPr>
              <w:pStyle w:val="Akapitzlist"/>
              <w:numPr>
                <w:ilvl w:val="0"/>
                <w:numId w:val="2"/>
              </w:numPr>
              <w:spacing w:line="264" w:lineRule="auto"/>
              <w:ind w:left="313" w:hanging="313"/>
              <w:rPr>
                <w:sz w:val="20"/>
                <w:szCs w:val="20"/>
              </w:rPr>
            </w:pPr>
            <w:r w:rsidRPr="004F1198">
              <w:rPr>
                <w:sz w:val="20"/>
                <w:szCs w:val="20"/>
              </w:rPr>
              <w:t>Governance i wdrożenie</w:t>
            </w:r>
          </w:p>
        </w:tc>
        <w:tc>
          <w:tcPr>
            <w:tcW w:w="1701" w:type="dxa"/>
            <w:vAlign w:val="center"/>
          </w:tcPr>
          <w:p w14:paraId="26E286D4" w14:textId="77777777" w:rsidR="00375D7D" w:rsidRPr="004F1198" w:rsidRDefault="00375D7D" w:rsidP="00375D7D">
            <w:pPr>
              <w:spacing w:line="264" w:lineRule="auto"/>
              <w:cnfStyle w:val="000000100000" w:firstRow="0" w:lastRow="0" w:firstColumn="0" w:lastColumn="0" w:oddVBand="0" w:evenVBand="0" w:oddHBand="1" w:evenHBand="0" w:firstRowFirstColumn="0" w:firstRowLastColumn="0" w:lastRowFirstColumn="0" w:lastRowLastColumn="0"/>
              <w:rPr>
                <w:sz w:val="20"/>
                <w:szCs w:val="20"/>
              </w:rPr>
            </w:pPr>
            <w:r w:rsidRPr="004F1198">
              <w:rPr>
                <w:sz w:val="20"/>
                <w:szCs w:val="20"/>
              </w:rPr>
              <w:t xml:space="preserve">Proste </w:t>
            </w:r>
            <w:r w:rsidRPr="004F1198">
              <w:rPr>
                <w:sz w:val="20"/>
                <w:szCs w:val="20"/>
              </w:rPr>
              <w:br/>
              <w:t>organizacje</w:t>
            </w:r>
          </w:p>
        </w:tc>
        <w:tc>
          <w:tcPr>
            <w:tcW w:w="1984" w:type="dxa"/>
            <w:gridSpan w:val="2"/>
            <w:vAlign w:val="center"/>
          </w:tcPr>
          <w:p w14:paraId="5B5B35B3" w14:textId="77777777" w:rsidR="00375D7D" w:rsidRPr="004F1198" w:rsidRDefault="00375D7D" w:rsidP="00375D7D">
            <w:pPr>
              <w:spacing w:line="264" w:lineRule="auto"/>
              <w:cnfStyle w:val="000000100000" w:firstRow="0" w:lastRow="0" w:firstColumn="0" w:lastColumn="0" w:oddVBand="0" w:evenVBand="0" w:oddHBand="1" w:evenHBand="0" w:firstRowFirstColumn="0" w:firstRowLastColumn="0" w:lastRowFirstColumn="0" w:lastRowLastColumn="0"/>
              <w:rPr>
                <w:sz w:val="20"/>
                <w:szCs w:val="20"/>
              </w:rPr>
            </w:pPr>
            <w:r w:rsidRPr="004F1198">
              <w:rPr>
                <w:sz w:val="20"/>
                <w:szCs w:val="20"/>
              </w:rPr>
              <w:t>Duże agendy, interdyscyplinarne i działające w różnych jednostkach</w:t>
            </w:r>
          </w:p>
        </w:tc>
        <w:tc>
          <w:tcPr>
            <w:tcW w:w="1843" w:type="dxa"/>
            <w:vAlign w:val="center"/>
          </w:tcPr>
          <w:p w14:paraId="55280731" w14:textId="77777777" w:rsidR="00375D7D" w:rsidRPr="004F1198" w:rsidRDefault="00375D7D" w:rsidP="00375D7D">
            <w:pPr>
              <w:spacing w:line="264" w:lineRule="auto"/>
              <w:cnfStyle w:val="000000100000" w:firstRow="0" w:lastRow="0" w:firstColumn="0" w:lastColumn="0" w:oddVBand="0" w:evenVBand="0" w:oddHBand="1" w:evenHBand="0" w:firstRowFirstColumn="0" w:firstRowLastColumn="0" w:lastRowFirstColumn="0" w:lastRowLastColumn="0"/>
              <w:rPr>
                <w:sz w:val="20"/>
                <w:szCs w:val="20"/>
              </w:rPr>
            </w:pPr>
            <w:r w:rsidRPr="004F1198">
              <w:rPr>
                <w:sz w:val="20"/>
                <w:szCs w:val="20"/>
              </w:rPr>
              <w:t>Negocjowanie umów, efektywne zbieranie danych i ich przetwarzanie</w:t>
            </w:r>
          </w:p>
        </w:tc>
        <w:tc>
          <w:tcPr>
            <w:tcW w:w="1701" w:type="dxa"/>
            <w:vAlign w:val="center"/>
          </w:tcPr>
          <w:p w14:paraId="7BA8C39B" w14:textId="77777777" w:rsidR="00375D7D" w:rsidRPr="004F1198" w:rsidRDefault="00375D7D" w:rsidP="00375D7D">
            <w:pPr>
              <w:spacing w:line="264" w:lineRule="auto"/>
              <w:cnfStyle w:val="000000100000" w:firstRow="0" w:lastRow="0" w:firstColumn="0" w:lastColumn="0" w:oddVBand="0" w:evenVBand="0" w:oddHBand="1" w:evenHBand="0" w:firstRowFirstColumn="0" w:firstRowLastColumn="0" w:lastRowFirstColumn="0" w:lastRowLastColumn="0"/>
              <w:rPr>
                <w:sz w:val="20"/>
                <w:szCs w:val="20"/>
              </w:rPr>
            </w:pPr>
            <w:r w:rsidRPr="004F1198">
              <w:rPr>
                <w:sz w:val="20"/>
                <w:szCs w:val="20"/>
              </w:rPr>
              <w:t>Skomplikowana</w:t>
            </w:r>
          </w:p>
        </w:tc>
      </w:tr>
      <w:tr w:rsidR="00375D7D" w:rsidRPr="004F1198" w14:paraId="72875432" w14:textId="77777777" w:rsidTr="004F1198">
        <w:trPr>
          <w:trHeight w:val="773"/>
        </w:trPr>
        <w:tc>
          <w:tcPr>
            <w:cnfStyle w:val="001000000000" w:firstRow="0" w:lastRow="0" w:firstColumn="1" w:lastColumn="0" w:oddVBand="0" w:evenVBand="0" w:oddHBand="0" w:evenHBand="0" w:firstRowFirstColumn="0" w:firstRowLastColumn="0" w:lastRowFirstColumn="0" w:lastRowLastColumn="0"/>
            <w:tcW w:w="1980" w:type="dxa"/>
            <w:gridSpan w:val="2"/>
            <w:vAlign w:val="center"/>
          </w:tcPr>
          <w:p w14:paraId="0286358D" w14:textId="36846794" w:rsidR="00375D7D" w:rsidRPr="004F1198" w:rsidRDefault="00375D7D" w:rsidP="002F50E8">
            <w:pPr>
              <w:pStyle w:val="Akapitzlist"/>
              <w:numPr>
                <w:ilvl w:val="0"/>
                <w:numId w:val="2"/>
              </w:numPr>
              <w:spacing w:line="264" w:lineRule="auto"/>
              <w:ind w:left="313" w:hanging="313"/>
              <w:rPr>
                <w:sz w:val="20"/>
                <w:szCs w:val="20"/>
              </w:rPr>
            </w:pPr>
            <w:r w:rsidRPr="004F1198">
              <w:rPr>
                <w:sz w:val="20"/>
                <w:szCs w:val="20"/>
              </w:rPr>
              <w:t xml:space="preserve">Równoczesność łańcuchów przyczynowych </w:t>
            </w:r>
          </w:p>
        </w:tc>
        <w:tc>
          <w:tcPr>
            <w:tcW w:w="1701" w:type="dxa"/>
            <w:vAlign w:val="center"/>
          </w:tcPr>
          <w:p w14:paraId="71C10D87" w14:textId="77777777" w:rsidR="00375D7D" w:rsidRPr="004F1198" w:rsidRDefault="00375D7D" w:rsidP="00375D7D">
            <w:pPr>
              <w:spacing w:line="264" w:lineRule="auto"/>
              <w:cnfStyle w:val="000000000000" w:firstRow="0" w:lastRow="0" w:firstColumn="0" w:lastColumn="0" w:oddVBand="0" w:evenVBand="0" w:oddHBand="0" w:evenHBand="0" w:firstRowFirstColumn="0" w:firstRowLastColumn="0" w:lastRowFirstColumn="0" w:lastRowLastColumn="0"/>
              <w:rPr>
                <w:sz w:val="20"/>
                <w:szCs w:val="20"/>
              </w:rPr>
            </w:pPr>
            <w:r w:rsidRPr="004F1198">
              <w:rPr>
                <w:sz w:val="20"/>
                <w:szCs w:val="20"/>
              </w:rPr>
              <w:t xml:space="preserve">Pojedyncze </w:t>
            </w:r>
            <w:r w:rsidRPr="004F1198">
              <w:rPr>
                <w:sz w:val="20"/>
                <w:szCs w:val="20"/>
              </w:rPr>
              <w:br/>
              <w:t xml:space="preserve">łańcuchy </w:t>
            </w:r>
            <w:r w:rsidRPr="004F1198">
              <w:rPr>
                <w:sz w:val="20"/>
                <w:szCs w:val="20"/>
              </w:rPr>
              <w:br/>
              <w:t>przyczynowe</w:t>
            </w:r>
          </w:p>
        </w:tc>
        <w:tc>
          <w:tcPr>
            <w:tcW w:w="1984" w:type="dxa"/>
            <w:gridSpan w:val="2"/>
            <w:vAlign w:val="center"/>
          </w:tcPr>
          <w:p w14:paraId="1630F3CD" w14:textId="77777777" w:rsidR="00375D7D" w:rsidRPr="004F1198" w:rsidRDefault="00375D7D" w:rsidP="00375D7D">
            <w:pPr>
              <w:spacing w:line="264" w:lineRule="auto"/>
              <w:cnfStyle w:val="000000000000" w:firstRow="0" w:lastRow="0" w:firstColumn="0" w:lastColumn="0" w:oddVBand="0" w:evenVBand="0" w:oddHBand="0" w:evenHBand="0" w:firstRowFirstColumn="0" w:firstRowLastColumn="0" w:lastRowFirstColumn="0" w:lastRowLastColumn="0"/>
              <w:rPr>
                <w:sz w:val="20"/>
                <w:szCs w:val="20"/>
              </w:rPr>
            </w:pPr>
            <w:r w:rsidRPr="004F1198">
              <w:rPr>
                <w:sz w:val="20"/>
                <w:szCs w:val="20"/>
              </w:rPr>
              <w:t>Wielość łańcuchów przyczynowych</w:t>
            </w:r>
          </w:p>
        </w:tc>
        <w:tc>
          <w:tcPr>
            <w:tcW w:w="1843" w:type="dxa"/>
            <w:vAlign w:val="center"/>
          </w:tcPr>
          <w:p w14:paraId="6F05BE56" w14:textId="77777777" w:rsidR="00375D7D" w:rsidRPr="004F1198" w:rsidRDefault="00375D7D" w:rsidP="00375D7D">
            <w:pPr>
              <w:spacing w:line="264" w:lineRule="auto"/>
              <w:cnfStyle w:val="000000000000" w:firstRow="0" w:lastRow="0" w:firstColumn="0" w:lastColumn="0" w:oddVBand="0" w:evenVBand="0" w:oddHBand="0" w:evenHBand="0" w:firstRowFirstColumn="0" w:firstRowLastColumn="0" w:lastRowFirstColumn="0" w:lastRowLastColumn="0"/>
              <w:rPr>
                <w:sz w:val="20"/>
                <w:szCs w:val="20"/>
              </w:rPr>
            </w:pPr>
            <w:r w:rsidRPr="004F1198">
              <w:rPr>
                <w:sz w:val="20"/>
                <w:szCs w:val="20"/>
              </w:rPr>
              <w:t>Optymalizacja łańcuchów i ich dokumentowanie</w:t>
            </w:r>
          </w:p>
        </w:tc>
        <w:tc>
          <w:tcPr>
            <w:tcW w:w="1701" w:type="dxa"/>
            <w:vAlign w:val="center"/>
          </w:tcPr>
          <w:p w14:paraId="4A63D24B" w14:textId="77777777" w:rsidR="00375D7D" w:rsidRPr="004F1198" w:rsidRDefault="00375D7D" w:rsidP="00375D7D">
            <w:pPr>
              <w:spacing w:line="264" w:lineRule="auto"/>
              <w:cnfStyle w:val="000000000000" w:firstRow="0" w:lastRow="0" w:firstColumn="0" w:lastColumn="0" w:oddVBand="0" w:evenVBand="0" w:oddHBand="0" w:evenHBand="0" w:firstRowFirstColumn="0" w:firstRowLastColumn="0" w:lastRowFirstColumn="0" w:lastRowLastColumn="0"/>
              <w:rPr>
                <w:sz w:val="20"/>
                <w:szCs w:val="20"/>
              </w:rPr>
            </w:pPr>
            <w:r w:rsidRPr="004F1198">
              <w:rPr>
                <w:sz w:val="20"/>
                <w:szCs w:val="20"/>
              </w:rPr>
              <w:t>Skomplikowana</w:t>
            </w:r>
          </w:p>
        </w:tc>
      </w:tr>
      <w:tr w:rsidR="00375D7D" w:rsidRPr="004F1198" w14:paraId="0A38CB5A" w14:textId="77777777" w:rsidTr="004F1198">
        <w:trPr>
          <w:cnfStyle w:val="000000100000" w:firstRow="0" w:lastRow="0" w:firstColumn="0" w:lastColumn="0" w:oddVBand="0" w:evenVBand="0" w:oddHBand="1" w:evenHBand="0" w:firstRowFirstColumn="0" w:firstRowLastColumn="0" w:lastRowFirstColumn="0" w:lastRowLastColumn="0"/>
          <w:trHeight w:val="2049"/>
        </w:trPr>
        <w:tc>
          <w:tcPr>
            <w:cnfStyle w:val="001000000000" w:firstRow="0" w:lastRow="0" w:firstColumn="1" w:lastColumn="0" w:oddVBand="0" w:evenVBand="0" w:oddHBand="0" w:evenHBand="0" w:firstRowFirstColumn="0" w:firstRowLastColumn="0" w:lastRowFirstColumn="0" w:lastRowLastColumn="0"/>
            <w:tcW w:w="1980" w:type="dxa"/>
            <w:gridSpan w:val="2"/>
            <w:vAlign w:val="center"/>
          </w:tcPr>
          <w:p w14:paraId="4CB5F0E8" w14:textId="43096C54" w:rsidR="00375D7D" w:rsidRPr="004F1198" w:rsidRDefault="00375D7D" w:rsidP="002F50E8">
            <w:pPr>
              <w:pStyle w:val="Akapitzlist"/>
              <w:numPr>
                <w:ilvl w:val="0"/>
                <w:numId w:val="2"/>
              </w:numPr>
              <w:spacing w:line="264" w:lineRule="auto"/>
              <w:ind w:left="313" w:hanging="284"/>
              <w:rPr>
                <w:sz w:val="20"/>
                <w:szCs w:val="20"/>
              </w:rPr>
            </w:pPr>
            <w:r w:rsidRPr="004F1198">
              <w:rPr>
                <w:sz w:val="20"/>
                <w:szCs w:val="20"/>
              </w:rPr>
              <w:t>Alternatywne łańcuchy przyczynowe</w:t>
            </w:r>
          </w:p>
        </w:tc>
        <w:tc>
          <w:tcPr>
            <w:tcW w:w="1701" w:type="dxa"/>
            <w:vAlign w:val="center"/>
          </w:tcPr>
          <w:p w14:paraId="7AE7E01A" w14:textId="77777777" w:rsidR="00375D7D" w:rsidRPr="004F1198" w:rsidRDefault="00375D7D" w:rsidP="00375D7D">
            <w:pPr>
              <w:spacing w:line="264" w:lineRule="auto"/>
              <w:cnfStyle w:val="000000100000" w:firstRow="0" w:lastRow="0" w:firstColumn="0" w:lastColumn="0" w:oddVBand="0" w:evenVBand="0" w:oddHBand="1" w:evenHBand="0" w:firstRowFirstColumn="0" w:firstRowLastColumn="0" w:lastRowFirstColumn="0" w:lastRowLastColumn="0"/>
              <w:rPr>
                <w:sz w:val="20"/>
                <w:szCs w:val="20"/>
              </w:rPr>
            </w:pPr>
            <w:r w:rsidRPr="004F1198">
              <w:rPr>
                <w:sz w:val="20"/>
                <w:szCs w:val="20"/>
              </w:rPr>
              <w:t>Uniwersalne mechanizmy przyczynowe</w:t>
            </w:r>
          </w:p>
        </w:tc>
        <w:tc>
          <w:tcPr>
            <w:tcW w:w="1984" w:type="dxa"/>
            <w:gridSpan w:val="2"/>
            <w:vAlign w:val="center"/>
          </w:tcPr>
          <w:p w14:paraId="2C8D2DE6" w14:textId="77777777" w:rsidR="00375D7D" w:rsidRPr="004F1198" w:rsidRDefault="00375D7D" w:rsidP="00375D7D">
            <w:pPr>
              <w:spacing w:line="264" w:lineRule="auto"/>
              <w:cnfStyle w:val="000000100000" w:firstRow="0" w:lastRow="0" w:firstColumn="0" w:lastColumn="0" w:oddVBand="0" w:evenVBand="0" w:oddHBand="1" w:evenHBand="0" w:firstRowFirstColumn="0" w:firstRowLastColumn="0" w:lastRowFirstColumn="0" w:lastRowLastColumn="0"/>
              <w:rPr>
                <w:sz w:val="20"/>
                <w:szCs w:val="20"/>
              </w:rPr>
            </w:pPr>
            <w:r w:rsidRPr="004F1198">
              <w:rPr>
                <w:sz w:val="20"/>
                <w:szCs w:val="20"/>
              </w:rPr>
              <w:t>Wielość mechanizmów operujących w różnych kontekstach</w:t>
            </w:r>
          </w:p>
        </w:tc>
        <w:tc>
          <w:tcPr>
            <w:tcW w:w="1843" w:type="dxa"/>
            <w:vAlign w:val="center"/>
          </w:tcPr>
          <w:p w14:paraId="3F268C20" w14:textId="77777777" w:rsidR="00375D7D" w:rsidRPr="004F1198" w:rsidRDefault="00375D7D" w:rsidP="00375D7D">
            <w:pPr>
              <w:spacing w:line="264" w:lineRule="auto"/>
              <w:cnfStyle w:val="000000100000" w:firstRow="0" w:lastRow="0" w:firstColumn="0" w:lastColumn="0" w:oddVBand="0" w:evenVBand="0" w:oddHBand="1" w:evenHBand="0" w:firstRowFirstColumn="0" w:firstRowLastColumn="0" w:lastRowFirstColumn="0" w:lastRowLastColumn="0"/>
              <w:rPr>
                <w:sz w:val="20"/>
                <w:szCs w:val="20"/>
              </w:rPr>
            </w:pPr>
            <w:r w:rsidRPr="004F1198">
              <w:rPr>
                <w:sz w:val="20"/>
                <w:szCs w:val="20"/>
              </w:rPr>
              <w:t>Replikacja efektywnych programów wymaga zrozumienia kontekstów.  Podejście kontrfaktyczne może być zawodne</w:t>
            </w:r>
          </w:p>
        </w:tc>
        <w:tc>
          <w:tcPr>
            <w:tcW w:w="1701" w:type="dxa"/>
            <w:vAlign w:val="center"/>
          </w:tcPr>
          <w:p w14:paraId="44DA6A9C" w14:textId="77777777" w:rsidR="00375D7D" w:rsidRPr="004F1198" w:rsidRDefault="00375D7D" w:rsidP="00375D7D">
            <w:pPr>
              <w:spacing w:line="264" w:lineRule="auto"/>
              <w:cnfStyle w:val="000000100000" w:firstRow="0" w:lastRow="0" w:firstColumn="0" w:lastColumn="0" w:oddVBand="0" w:evenVBand="0" w:oddHBand="1" w:evenHBand="0" w:firstRowFirstColumn="0" w:firstRowLastColumn="0" w:lastRowFirstColumn="0" w:lastRowLastColumn="0"/>
              <w:rPr>
                <w:sz w:val="20"/>
                <w:szCs w:val="20"/>
              </w:rPr>
            </w:pPr>
            <w:r w:rsidRPr="004F1198">
              <w:rPr>
                <w:sz w:val="20"/>
                <w:szCs w:val="20"/>
              </w:rPr>
              <w:t>Skomplikowana</w:t>
            </w:r>
          </w:p>
        </w:tc>
      </w:tr>
      <w:tr w:rsidR="00375D7D" w:rsidRPr="004F1198" w14:paraId="4AA65F7E" w14:textId="77777777" w:rsidTr="004F1198">
        <w:trPr>
          <w:trHeight w:val="2390"/>
        </w:trPr>
        <w:tc>
          <w:tcPr>
            <w:cnfStyle w:val="001000000000" w:firstRow="0" w:lastRow="0" w:firstColumn="1" w:lastColumn="0" w:oddVBand="0" w:evenVBand="0" w:oddHBand="0" w:evenHBand="0" w:firstRowFirstColumn="0" w:firstRowLastColumn="0" w:lastRowFirstColumn="0" w:lastRowLastColumn="0"/>
            <w:tcW w:w="1980" w:type="dxa"/>
            <w:gridSpan w:val="2"/>
            <w:vAlign w:val="center"/>
          </w:tcPr>
          <w:p w14:paraId="3FDDE5A8" w14:textId="2C59585C" w:rsidR="00375D7D" w:rsidRPr="004F1198" w:rsidRDefault="00375D7D" w:rsidP="002F50E8">
            <w:pPr>
              <w:pStyle w:val="Akapitzlist"/>
              <w:numPr>
                <w:ilvl w:val="0"/>
                <w:numId w:val="2"/>
              </w:numPr>
              <w:spacing w:line="264" w:lineRule="auto"/>
              <w:ind w:left="454" w:hanging="454"/>
              <w:rPr>
                <w:sz w:val="20"/>
                <w:szCs w:val="20"/>
              </w:rPr>
            </w:pPr>
            <w:r w:rsidRPr="004F1198">
              <w:rPr>
                <w:sz w:val="20"/>
                <w:szCs w:val="20"/>
              </w:rPr>
              <w:t>Nieliniowość i nieproporcjonalność wyników</w:t>
            </w:r>
          </w:p>
        </w:tc>
        <w:tc>
          <w:tcPr>
            <w:tcW w:w="1701" w:type="dxa"/>
            <w:vAlign w:val="center"/>
          </w:tcPr>
          <w:p w14:paraId="3EC02D15" w14:textId="77777777" w:rsidR="00375D7D" w:rsidRPr="004F1198" w:rsidRDefault="00375D7D" w:rsidP="00375D7D">
            <w:pPr>
              <w:spacing w:line="264" w:lineRule="auto"/>
              <w:cnfStyle w:val="000000000000" w:firstRow="0" w:lastRow="0" w:firstColumn="0" w:lastColumn="0" w:oddVBand="0" w:evenVBand="0" w:oddHBand="0" w:evenHBand="0" w:firstRowFirstColumn="0" w:firstRowLastColumn="0" w:lastRowFirstColumn="0" w:lastRowLastColumn="0"/>
              <w:rPr>
                <w:sz w:val="20"/>
                <w:szCs w:val="20"/>
              </w:rPr>
            </w:pPr>
            <w:r w:rsidRPr="004F1198">
              <w:rPr>
                <w:sz w:val="20"/>
                <w:szCs w:val="20"/>
              </w:rPr>
              <w:t>Liniowa przyczynowość i wpływ proporcjonalny</w:t>
            </w:r>
          </w:p>
        </w:tc>
        <w:tc>
          <w:tcPr>
            <w:tcW w:w="1984" w:type="dxa"/>
            <w:gridSpan w:val="2"/>
            <w:vAlign w:val="center"/>
          </w:tcPr>
          <w:p w14:paraId="6D8E4A4E" w14:textId="77777777" w:rsidR="00375D7D" w:rsidRPr="004F1198" w:rsidRDefault="00375D7D" w:rsidP="00375D7D">
            <w:pPr>
              <w:spacing w:line="264" w:lineRule="auto"/>
              <w:cnfStyle w:val="000000000000" w:firstRow="0" w:lastRow="0" w:firstColumn="0" w:lastColumn="0" w:oddVBand="0" w:evenVBand="0" w:oddHBand="0" w:evenHBand="0" w:firstRowFirstColumn="0" w:firstRowLastColumn="0" w:lastRowFirstColumn="0" w:lastRowLastColumn="0"/>
              <w:rPr>
                <w:sz w:val="20"/>
                <w:szCs w:val="20"/>
              </w:rPr>
            </w:pPr>
            <w:r w:rsidRPr="004F1198">
              <w:rPr>
                <w:sz w:val="20"/>
                <w:szCs w:val="20"/>
              </w:rPr>
              <w:t xml:space="preserve">Związki </w:t>
            </w:r>
            <w:r w:rsidRPr="004F1198">
              <w:rPr>
                <w:sz w:val="20"/>
                <w:szCs w:val="20"/>
              </w:rPr>
              <w:br/>
              <w:t>rekurencyjne i pętle sprzężeń zwrotnych</w:t>
            </w:r>
          </w:p>
        </w:tc>
        <w:tc>
          <w:tcPr>
            <w:tcW w:w="1843" w:type="dxa"/>
            <w:vAlign w:val="center"/>
          </w:tcPr>
          <w:p w14:paraId="06C57DB6" w14:textId="77777777" w:rsidR="00375D7D" w:rsidRPr="004F1198" w:rsidRDefault="00375D7D" w:rsidP="00375D7D">
            <w:pPr>
              <w:spacing w:line="264" w:lineRule="auto"/>
              <w:cnfStyle w:val="000000000000" w:firstRow="0" w:lastRow="0" w:firstColumn="0" w:lastColumn="0" w:oddVBand="0" w:evenVBand="0" w:oddHBand="0" w:evenHBand="0" w:firstRowFirstColumn="0" w:firstRowLastColumn="0" w:lastRowFirstColumn="0" w:lastRowLastColumn="0"/>
              <w:rPr>
                <w:sz w:val="20"/>
                <w:szCs w:val="20"/>
              </w:rPr>
            </w:pPr>
            <w:r w:rsidRPr="004F1198">
              <w:rPr>
                <w:sz w:val="20"/>
                <w:szCs w:val="20"/>
              </w:rPr>
              <w:t>Pętle sprzężeń zwrotnych i występowanie krytycznych punktów zwrotnych wzmacniają końcowy rezultat małego początkowego wpływu</w:t>
            </w:r>
          </w:p>
        </w:tc>
        <w:tc>
          <w:tcPr>
            <w:tcW w:w="1701" w:type="dxa"/>
            <w:vAlign w:val="center"/>
          </w:tcPr>
          <w:p w14:paraId="61746DD5" w14:textId="77777777" w:rsidR="00375D7D" w:rsidRPr="004F1198" w:rsidRDefault="00375D7D" w:rsidP="00375D7D">
            <w:pPr>
              <w:spacing w:line="264" w:lineRule="auto"/>
              <w:cnfStyle w:val="000000000000" w:firstRow="0" w:lastRow="0" w:firstColumn="0" w:lastColumn="0" w:oddVBand="0" w:evenVBand="0" w:oddHBand="0" w:evenHBand="0" w:firstRowFirstColumn="0" w:firstRowLastColumn="0" w:lastRowFirstColumn="0" w:lastRowLastColumn="0"/>
              <w:rPr>
                <w:sz w:val="20"/>
                <w:szCs w:val="20"/>
              </w:rPr>
            </w:pPr>
            <w:r w:rsidRPr="004F1198">
              <w:rPr>
                <w:sz w:val="20"/>
                <w:szCs w:val="20"/>
              </w:rPr>
              <w:t xml:space="preserve">         Złożona</w:t>
            </w:r>
          </w:p>
        </w:tc>
      </w:tr>
      <w:tr w:rsidR="00375D7D" w:rsidRPr="004F1198" w14:paraId="56F788A3" w14:textId="77777777" w:rsidTr="00226CC0">
        <w:trPr>
          <w:cnfStyle w:val="000000100000" w:firstRow="0" w:lastRow="0" w:firstColumn="0" w:lastColumn="0" w:oddVBand="0" w:evenVBand="0" w:oddHBand="1" w:evenHBand="0" w:firstRowFirstColumn="0" w:firstRowLastColumn="0" w:lastRowFirstColumn="0" w:lastRowLastColumn="0"/>
          <w:trHeight w:val="1687"/>
        </w:trPr>
        <w:tc>
          <w:tcPr>
            <w:cnfStyle w:val="001000000000" w:firstRow="0" w:lastRow="0" w:firstColumn="1" w:lastColumn="0" w:oddVBand="0" w:evenVBand="0" w:oddHBand="0" w:evenHBand="0" w:firstRowFirstColumn="0" w:firstRowLastColumn="0" w:lastRowFirstColumn="0" w:lastRowLastColumn="0"/>
            <w:tcW w:w="1980" w:type="dxa"/>
            <w:gridSpan w:val="2"/>
            <w:vAlign w:val="center"/>
          </w:tcPr>
          <w:p w14:paraId="6BAA39D1" w14:textId="32B350CC" w:rsidR="00375D7D" w:rsidRPr="004F1198" w:rsidRDefault="00375D7D" w:rsidP="002F50E8">
            <w:pPr>
              <w:pStyle w:val="Akapitzlist"/>
              <w:numPr>
                <w:ilvl w:val="0"/>
                <w:numId w:val="2"/>
              </w:numPr>
              <w:spacing w:line="264" w:lineRule="auto"/>
              <w:ind w:left="313" w:hanging="284"/>
              <w:rPr>
                <w:sz w:val="20"/>
                <w:szCs w:val="20"/>
              </w:rPr>
            </w:pPr>
            <w:r w:rsidRPr="004F1198">
              <w:rPr>
                <w:sz w:val="20"/>
                <w:szCs w:val="20"/>
              </w:rPr>
              <w:t xml:space="preserve">Wyniki </w:t>
            </w:r>
            <w:r w:rsidRPr="004F1198">
              <w:rPr>
                <w:sz w:val="20"/>
                <w:szCs w:val="20"/>
              </w:rPr>
              <w:br/>
              <w:t xml:space="preserve">emergentne </w:t>
            </w:r>
            <w:r w:rsidRPr="004F1198">
              <w:rPr>
                <w:sz w:val="20"/>
                <w:szCs w:val="20"/>
              </w:rPr>
              <w:br/>
              <w:t>(wyłaniające się)</w:t>
            </w:r>
          </w:p>
        </w:tc>
        <w:tc>
          <w:tcPr>
            <w:tcW w:w="1701" w:type="dxa"/>
            <w:vAlign w:val="center"/>
          </w:tcPr>
          <w:p w14:paraId="7C78E6FB" w14:textId="77777777" w:rsidR="00375D7D" w:rsidRPr="004F1198" w:rsidRDefault="00375D7D" w:rsidP="00375D7D">
            <w:pPr>
              <w:spacing w:line="264" w:lineRule="auto"/>
              <w:cnfStyle w:val="000000100000" w:firstRow="0" w:lastRow="0" w:firstColumn="0" w:lastColumn="0" w:oddVBand="0" w:evenVBand="0" w:oddHBand="1" w:evenHBand="0" w:firstRowFirstColumn="0" w:firstRowLastColumn="0" w:lastRowFirstColumn="0" w:lastRowLastColumn="0"/>
              <w:rPr>
                <w:sz w:val="20"/>
                <w:szCs w:val="20"/>
              </w:rPr>
            </w:pPr>
            <w:r w:rsidRPr="004F1198">
              <w:rPr>
                <w:sz w:val="20"/>
                <w:szCs w:val="20"/>
              </w:rPr>
              <w:t xml:space="preserve">Z góry </w:t>
            </w:r>
            <w:r w:rsidRPr="004F1198">
              <w:rPr>
                <w:sz w:val="20"/>
                <w:szCs w:val="20"/>
              </w:rPr>
              <w:br/>
              <w:t xml:space="preserve">określone </w:t>
            </w:r>
            <w:r w:rsidRPr="004F1198">
              <w:rPr>
                <w:sz w:val="20"/>
                <w:szCs w:val="20"/>
              </w:rPr>
              <w:br/>
              <w:t>wyniki</w:t>
            </w:r>
          </w:p>
        </w:tc>
        <w:tc>
          <w:tcPr>
            <w:tcW w:w="1984" w:type="dxa"/>
            <w:gridSpan w:val="2"/>
            <w:vAlign w:val="center"/>
          </w:tcPr>
          <w:p w14:paraId="4542264A" w14:textId="77777777" w:rsidR="00375D7D" w:rsidRPr="004F1198" w:rsidRDefault="00375D7D" w:rsidP="00375D7D">
            <w:pPr>
              <w:spacing w:line="264" w:lineRule="auto"/>
              <w:cnfStyle w:val="000000100000" w:firstRow="0" w:lastRow="0" w:firstColumn="0" w:lastColumn="0" w:oddVBand="0" w:evenVBand="0" w:oddHBand="1" w:evenHBand="0" w:firstRowFirstColumn="0" w:firstRowLastColumn="0" w:lastRowFirstColumn="0" w:lastRowLastColumn="0"/>
              <w:rPr>
                <w:sz w:val="20"/>
                <w:szCs w:val="20"/>
              </w:rPr>
            </w:pPr>
            <w:r w:rsidRPr="004F1198">
              <w:rPr>
                <w:sz w:val="20"/>
                <w:szCs w:val="20"/>
              </w:rPr>
              <w:t>Wyniki emergentne</w:t>
            </w:r>
          </w:p>
        </w:tc>
        <w:tc>
          <w:tcPr>
            <w:tcW w:w="1843" w:type="dxa"/>
            <w:vAlign w:val="center"/>
          </w:tcPr>
          <w:p w14:paraId="15C3CF82" w14:textId="77777777" w:rsidR="00375D7D" w:rsidRPr="004F1198" w:rsidRDefault="00375D7D" w:rsidP="00375D7D">
            <w:pPr>
              <w:spacing w:line="264" w:lineRule="auto"/>
              <w:cnfStyle w:val="000000100000" w:firstRow="0" w:lastRow="0" w:firstColumn="0" w:lastColumn="0" w:oddVBand="0" w:evenVBand="0" w:oddHBand="1" w:evenHBand="0" w:firstRowFirstColumn="0" w:firstRowLastColumn="0" w:lastRowFirstColumn="0" w:lastRowLastColumn="0"/>
              <w:rPr>
                <w:sz w:val="20"/>
                <w:szCs w:val="20"/>
              </w:rPr>
            </w:pPr>
            <w:r w:rsidRPr="004F1198">
              <w:rPr>
                <w:sz w:val="20"/>
                <w:szCs w:val="20"/>
              </w:rPr>
              <w:t>Trudno z góry zaprojektować specyficzne miary oraz prowadzić porównania ex-ante i ex-post</w:t>
            </w:r>
          </w:p>
        </w:tc>
        <w:tc>
          <w:tcPr>
            <w:tcW w:w="1701" w:type="dxa"/>
            <w:vAlign w:val="center"/>
          </w:tcPr>
          <w:p w14:paraId="13FC73EA" w14:textId="77777777" w:rsidR="00375D7D" w:rsidRPr="004F1198" w:rsidRDefault="00375D7D" w:rsidP="00375D7D">
            <w:pPr>
              <w:spacing w:line="264" w:lineRule="auto"/>
              <w:cnfStyle w:val="000000100000" w:firstRow="0" w:lastRow="0" w:firstColumn="0" w:lastColumn="0" w:oddVBand="0" w:evenVBand="0" w:oddHBand="1" w:evenHBand="0" w:firstRowFirstColumn="0" w:firstRowLastColumn="0" w:lastRowFirstColumn="0" w:lastRowLastColumn="0"/>
              <w:rPr>
                <w:sz w:val="20"/>
                <w:szCs w:val="20"/>
              </w:rPr>
            </w:pPr>
            <w:r w:rsidRPr="004F1198">
              <w:rPr>
                <w:sz w:val="20"/>
                <w:szCs w:val="20"/>
              </w:rPr>
              <w:t xml:space="preserve">           Złożona</w:t>
            </w:r>
          </w:p>
        </w:tc>
      </w:tr>
      <w:bookmarkEnd w:id="4"/>
    </w:tbl>
    <w:p w14:paraId="7141AAA1" w14:textId="77777777" w:rsidR="00375D7D" w:rsidRPr="00DB6AED" w:rsidRDefault="00375D7D" w:rsidP="00375D7D">
      <w:pPr>
        <w:spacing w:after="0" w:line="264" w:lineRule="auto"/>
        <w:jc w:val="both"/>
        <w:rPr>
          <w:rFonts w:ascii="Times New Roman" w:eastAsia="Times New Roman" w:hAnsi="Times New Roman" w:cs="Times New Roman"/>
          <w:kern w:val="0"/>
          <w:sz w:val="28"/>
          <w:lang w:eastAsia="pl-PL"/>
          <w14:ligatures w14:val="none"/>
        </w:rPr>
      </w:pPr>
    </w:p>
    <w:p w14:paraId="7F3BE562" w14:textId="77777777" w:rsidR="00375D7D" w:rsidRPr="00DB6AED" w:rsidRDefault="00375D7D" w:rsidP="00375D7D">
      <w:pPr>
        <w:spacing w:after="240" w:line="264" w:lineRule="auto"/>
        <w:jc w:val="both"/>
        <w:rPr>
          <w:rFonts w:ascii="Times New Roman" w:eastAsia="Times New Roman" w:hAnsi="Times New Roman" w:cs="Times New Roman"/>
          <w:i/>
          <w:iCs/>
          <w:spacing w:val="2"/>
          <w:kern w:val="0"/>
          <w:lang w:val="en-US" w:eastAsia="pl-PL"/>
          <w14:ligatures w14:val="none"/>
        </w:rPr>
      </w:pPr>
      <w:r w:rsidRPr="00DB6AED">
        <w:rPr>
          <w:rFonts w:ascii="Times New Roman" w:eastAsia="Times New Roman" w:hAnsi="Times New Roman" w:cs="Times New Roman"/>
          <w:i/>
          <w:iCs/>
          <w:spacing w:val="2"/>
          <w:kern w:val="0"/>
          <w:lang w:val="en-US" w:eastAsia="pl-PL"/>
          <w14:ligatures w14:val="none"/>
        </w:rPr>
        <w:t>Źródło: opracowano na podstawie: Rogers J.P. (2008), Using programme theory to evaluate complicated and complex aspects of interventions, Evaluation, 14(1), 29-48, doi: 10.1177/1356389007084674</w:t>
      </w:r>
    </w:p>
    <w:p w14:paraId="37DBED65" w14:textId="77777777" w:rsidR="00375D7D" w:rsidRPr="00DB6AED" w:rsidRDefault="00375D7D" w:rsidP="00375D7D">
      <w:pPr>
        <w:spacing w:after="0" w:line="264" w:lineRule="auto"/>
        <w:ind w:firstLine="709"/>
        <w:jc w:val="both"/>
        <w:rPr>
          <w:rFonts w:ascii="Times New Roman" w:eastAsia="Times New Roman" w:hAnsi="Times New Roman" w:cs="Times New Roman"/>
          <w:spacing w:val="-2"/>
          <w:kern w:val="0"/>
          <w:sz w:val="28"/>
          <w:lang w:eastAsia="pl-PL"/>
          <w14:ligatures w14:val="none"/>
        </w:rPr>
      </w:pPr>
      <w:r w:rsidRPr="00DB6AED">
        <w:rPr>
          <w:rFonts w:ascii="Times New Roman" w:eastAsia="Times New Roman" w:hAnsi="Times New Roman" w:cs="Times New Roman"/>
          <w:spacing w:val="-2"/>
          <w:kern w:val="0"/>
          <w:sz w:val="28"/>
          <w:lang w:eastAsia="pl-PL"/>
          <w14:ligatures w14:val="none"/>
        </w:rPr>
        <w:lastRenderedPageBreak/>
        <w:t>W prostych modelach logicznych (</w:t>
      </w:r>
      <w:r w:rsidRPr="00DB6AED">
        <w:rPr>
          <w:rFonts w:ascii="Times New Roman" w:eastAsia="Times New Roman" w:hAnsi="Times New Roman" w:cs="Times New Roman"/>
          <w:i/>
          <w:iCs/>
          <w:spacing w:val="-2"/>
          <w:kern w:val="0"/>
          <w:sz w:val="28"/>
          <w:lang w:eastAsia="pl-PL"/>
          <w14:ligatures w14:val="none"/>
        </w:rPr>
        <w:t>the logical  framework approach</w:t>
      </w:r>
      <w:r w:rsidRPr="00DB6AED">
        <w:rPr>
          <w:rFonts w:ascii="Times New Roman" w:eastAsia="Times New Roman" w:hAnsi="Times New Roman" w:cs="Times New Roman"/>
          <w:spacing w:val="-2"/>
          <w:kern w:val="0"/>
          <w:sz w:val="28"/>
          <w:lang w:eastAsia="pl-PL"/>
          <w14:ligatures w14:val="none"/>
        </w:rPr>
        <w:t>, LFA) stosowanych w teorii programu ścieżka przyczynowa powinna odzwierciedlać kombinacje: nakładów/zasobów, procesów/aktywności, które ewaluator planuje z góry, wyniki ilościowe (</w:t>
      </w:r>
      <w:r w:rsidRPr="00DB6AED">
        <w:rPr>
          <w:rFonts w:ascii="Times New Roman" w:eastAsia="Times New Roman" w:hAnsi="Times New Roman" w:cs="Times New Roman"/>
          <w:i/>
          <w:iCs/>
          <w:spacing w:val="-2"/>
          <w:kern w:val="0"/>
          <w:sz w:val="28"/>
          <w:lang w:eastAsia="pl-PL"/>
          <w14:ligatures w14:val="none"/>
        </w:rPr>
        <w:t>outputs</w:t>
      </w:r>
      <w:r w:rsidRPr="00DB6AED">
        <w:rPr>
          <w:rFonts w:ascii="Times New Roman" w:eastAsia="Times New Roman" w:hAnsi="Times New Roman" w:cs="Times New Roman"/>
          <w:spacing w:val="-2"/>
          <w:kern w:val="0"/>
          <w:sz w:val="28"/>
          <w:lang w:eastAsia="pl-PL"/>
          <w14:ligatures w14:val="none"/>
        </w:rPr>
        <w:t>), korzyści (</w:t>
      </w:r>
      <w:r w:rsidRPr="00DB6AED">
        <w:rPr>
          <w:rFonts w:ascii="Times New Roman" w:eastAsia="Times New Roman" w:hAnsi="Times New Roman" w:cs="Times New Roman"/>
          <w:i/>
          <w:iCs/>
          <w:spacing w:val="-2"/>
          <w:kern w:val="0"/>
          <w:sz w:val="28"/>
          <w:lang w:eastAsia="pl-PL"/>
          <w14:ligatures w14:val="none"/>
        </w:rPr>
        <w:t>outcomes</w:t>
      </w:r>
      <w:r w:rsidRPr="00DB6AED">
        <w:rPr>
          <w:rFonts w:ascii="Times New Roman" w:eastAsia="Times New Roman" w:hAnsi="Times New Roman" w:cs="Times New Roman"/>
          <w:spacing w:val="-2"/>
          <w:kern w:val="0"/>
          <w:sz w:val="28"/>
          <w:lang w:eastAsia="pl-PL"/>
          <w14:ligatures w14:val="none"/>
        </w:rPr>
        <w:t>) oraz wpływy (</w:t>
      </w:r>
      <w:r w:rsidRPr="00DB6AED">
        <w:rPr>
          <w:rFonts w:ascii="Times New Roman" w:eastAsia="Times New Roman" w:hAnsi="Times New Roman" w:cs="Times New Roman"/>
          <w:i/>
          <w:iCs/>
          <w:spacing w:val="-2"/>
          <w:kern w:val="0"/>
          <w:sz w:val="28"/>
          <w:lang w:eastAsia="pl-PL"/>
          <w14:ligatures w14:val="none"/>
        </w:rPr>
        <w:t>impats</w:t>
      </w:r>
      <w:r w:rsidRPr="00DB6AED">
        <w:rPr>
          <w:rFonts w:ascii="Times New Roman" w:eastAsia="Times New Roman" w:hAnsi="Times New Roman" w:cs="Times New Roman"/>
          <w:spacing w:val="-2"/>
          <w:kern w:val="0"/>
          <w:sz w:val="28"/>
          <w:lang w:eastAsia="pl-PL"/>
          <w14:ligatures w14:val="none"/>
        </w:rPr>
        <w:t>) (Douthwaite i in., 2003). Zawsze trzeba się w nich jednak liczyć z ryzykami dosłownego ich wdrożenia, opuszczenia wielu istotnych zmiennych, zależności, kontekstów i możliwego oddziaływania innych realizowanych równocześnie interwencji. W konsekwencji ewaluator nigdy do końca nie wie, czy przeszacował lub zaniżył rzeczywiste efekty. Oznacza to, że bezpiecznie można ich używać tylko w stabilnym otoczeniu i zdecydowanej dominacji jedynej teorii zmiany, oraz gdy cele interwencji są bardzo precyzyjnie ustalone a ich pomiar nie stwarza poważniejszych wyzwań. We współczesnych warunkach występowanie polikryzysu (początek trzeciej dekady XXI wieku) bardzo jasno widzimy ich bardzo ograniczoną przydatność praktyczną, co najwyżej do ewaluowania pewnych tylko aspektów interwencji.</w:t>
      </w:r>
    </w:p>
    <w:p w14:paraId="0B2EFADC" w14:textId="77777777" w:rsidR="00375D7D" w:rsidRPr="00DB6AED" w:rsidRDefault="00375D7D" w:rsidP="00375D7D">
      <w:pPr>
        <w:spacing w:after="0" w:line="264" w:lineRule="auto"/>
        <w:ind w:firstLine="709"/>
        <w:jc w:val="both"/>
        <w:rPr>
          <w:rFonts w:ascii="Times New Roman" w:eastAsia="Times New Roman" w:hAnsi="Times New Roman" w:cs="Times New Roman"/>
          <w:spacing w:val="-8"/>
          <w:kern w:val="0"/>
          <w:sz w:val="28"/>
          <w:lang w:eastAsia="pl-PL"/>
          <w14:ligatures w14:val="none"/>
        </w:rPr>
      </w:pPr>
      <w:r w:rsidRPr="00DB6AED">
        <w:rPr>
          <w:rFonts w:ascii="Times New Roman" w:eastAsia="Times New Roman" w:hAnsi="Times New Roman" w:cs="Times New Roman"/>
          <w:spacing w:val="-8"/>
          <w:kern w:val="0"/>
          <w:sz w:val="28"/>
          <w:lang w:eastAsia="pl-PL"/>
          <w14:ligatures w14:val="none"/>
        </w:rPr>
        <w:t>Skomplikowane modele logiczne powinny zawierać trzy składowe: 1) strukturę zarządzania interwencjami i jej lokalizację; 2) aspekt równoczesności łańcuchów przyczynowych; 3) alternatywne łańcuchy przyczynowe (Rogers, 2008). W przypadku pierwszej możemy mieć jednakże do czynienia również z interwencjami prostymi, które realizuje jedna instytucja. Częściej natomiast występują interwencje skomplikowane, o charakterze interdyscyplinarnym, realizowane przy tym często w różnych jurysdykcjach przez większą liczbę podmiotów. To implikuje trudności logistyczne i koordynacyjne oraz związane z identyfikacją ścieżek przyczynowości i oceną skuteczności i efektywności. Niekiedy w takich warunkach proponuje się operowanie pojedynczymi modelami logicznymi, ale wtedy pojawią się problemy z agregacją informacji.</w:t>
      </w:r>
    </w:p>
    <w:p w14:paraId="245A821F" w14:textId="77777777" w:rsidR="00375D7D" w:rsidRPr="00DB6AED" w:rsidRDefault="00375D7D" w:rsidP="00375D7D">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Występowanie równoczesności dwóch lub większej liczby łańcuchów przyczynowości zmuszać powinno do ich oddzielnego analizowania, jeśli na poważnie traktuje się skuteczność i efektywność interwencji. Wyzwaniem często będzie jednak dostęp do właściwych danych i informacji. Rzecz jasna, to komplikuje monitoring i ewaluację interwencji.</w:t>
      </w:r>
    </w:p>
    <w:p w14:paraId="3F3E9B94" w14:textId="77777777" w:rsidR="00375D7D" w:rsidRPr="00DB6AED" w:rsidRDefault="00375D7D" w:rsidP="00375D7D">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 xml:space="preserve">Alternatywne łańcuchy przyczynowe modeluje, analizuje i ewaluuje się w przypadku interwencji prostych przez odwołanie się do uniwersalnych mechanizmów. W interwencjach skomplikowanych z kolei musimy zidentyfikować poszczególne mechanizmy przyczynowe, które operują jednakże w rozmaitych kontekstach. Może wówczas się zdarzyć, że interwencja okazała się efektywną, chociaż wprowadzono ją przykładowo, ale mimo to we właściwym momencie i w jakiś unikatowych okolicznościach. Dowiedzieliśmy się o tym jednak dopiero ex-post. Widzimy teraz, jak ważną sprawą jest odróżnianie skomplikowania spowodowanego przez rosnącą liczbę składowych interwencji od skomplikowania pochodzącego z konieczności ich dobrania dla danego kontekstu. Dla powielenia </w:t>
      </w:r>
      <w:r w:rsidRPr="00DB6AED">
        <w:rPr>
          <w:rFonts w:ascii="Times New Roman" w:eastAsia="Times New Roman" w:hAnsi="Times New Roman" w:cs="Times New Roman"/>
          <w:kern w:val="0"/>
          <w:sz w:val="28"/>
          <w:lang w:eastAsia="pl-PL"/>
          <w14:ligatures w14:val="none"/>
        </w:rPr>
        <w:lastRenderedPageBreak/>
        <w:t>skutecznych interwencji wynika z powyższego konieczność dokumentowania w ewaluacji łańcuchów przyczynowych do tego prowadzących.</w:t>
      </w:r>
    </w:p>
    <w:p w14:paraId="5FE35F12" w14:textId="77777777" w:rsidR="00375D7D" w:rsidRPr="00DB6AED" w:rsidRDefault="00375D7D" w:rsidP="00375D7D">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Dla logicznych modeli złożonych interwencji ważne są dwa aspekty złożoności: 1) występowanie przyczynowości rekurencyjnych (powtarzalnych) i reakcji nieproporcjonalnych; 2) istnienie efektów emergentnych/wyłaniających się (Patton, 1994). W interwencjach prostych zazwyczaj mamy liniowe zależności między stosowanymi środkami a uzyskiwanymi reakcjami na nie. Jednak gdy przechodzi się do interwencji złożonych, pojawiają się często zależności rekurencyjne, pętle sprzężeń zwrotnych, punkty zwrotne i nieporównywalnie duże skutki i efekty ostateczne w stosunku do zastosowanego działania. Wynika stąd, że w takich sytuacjach ewaluator powinien śledzić cały proces wdrażania interwencji i identyfikować łańcuchy przyczynowe, gdyż końcowe jej rezultaty mogą podlegać tzw. „a virtuous circle”. Oznacza to, że sukces tworzy solidne podstawy do dalszych korzystnych osiągnięć. Może to wynikać m.in. z aktywowania się pewnych punktów zwrotnych po przekroczeniu założonych wcześniej wartości progowych.</w:t>
      </w:r>
    </w:p>
    <w:p w14:paraId="30C31B5E" w14:textId="77777777" w:rsidR="00375D7D" w:rsidRPr="00DB6AED" w:rsidRDefault="00375D7D" w:rsidP="00375D7D">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Emergencja (wyłanianie się) to sytuacja, że po zastosowaniu określonych działań otrzymuje się specyficzne wyniki, co wskazuje, iż mamy do czynienia ze złożonym adaptacyjnym systemem. Jego wyróżnikiem są interakcje między różnymi jego elementami/agentami, które prowadzą do odmienności zachowań całego systemu, bo dodatkowo musi on dostosowywać się do stale zmieniającego się otoczenia. W konsekwencji wyniki emergentne mogą pochodzić z faktu występowania skomplikowanych problemów („</w:t>
      </w:r>
      <w:r w:rsidRPr="00DB6AED">
        <w:rPr>
          <w:rFonts w:ascii="Times New Roman" w:eastAsia="Times New Roman" w:hAnsi="Times New Roman" w:cs="Times New Roman"/>
          <w:i/>
          <w:iCs/>
          <w:kern w:val="0"/>
          <w:sz w:val="28"/>
          <w:lang w:eastAsia="pl-PL"/>
          <w14:ligatures w14:val="none"/>
        </w:rPr>
        <w:t>a wicked problems</w:t>
      </w:r>
      <w:r w:rsidRPr="00DB6AED">
        <w:rPr>
          <w:rFonts w:ascii="Times New Roman" w:eastAsia="Times New Roman" w:hAnsi="Times New Roman" w:cs="Times New Roman"/>
          <w:kern w:val="0"/>
          <w:sz w:val="28"/>
          <w:lang w:eastAsia="pl-PL"/>
          <w14:ligatures w14:val="none"/>
        </w:rPr>
        <w:t>”), stosowania partnerstw oraz sieci zarządzania i budowania potencjału wspólnot lokalnych wraz z identyfikowaniem przywódców. Dotarcie do powyższych wyników w praktyce może wymagać konstruowania też emergentnych modeli logicznych interwencji, na bieżąco aktualizowanych w oparciu o elastyczną teorię programu. To bardzo poważne wyzwanie, szczególnie w złożonych interwencjach, realizowanych w wielu, diametralnie odmiennych lokalizacjach, gdzie nieodzowna jest pionowa i pozioma koordynacja działań.</w:t>
      </w:r>
    </w:p>
    <w:p w14:paraId="47FDB938" w14:textId="55D002A7" w:rsidR="00375D7D" w:rsidRPr="00DB6AED" w:rsidRDefault="00375D7D" w:rsidP="00375D7D">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Niekiedy ewaluatorzy stają przed problemem oceny interwencji i skomplikowanych/wdrażanych na wielu poziomach i w wielu miejscach), i złożonych (możliwość wystąpienia efektów emergentnych) (</w:t>
      </w:r>
      <w:bookmarkStart w:id="5" w:name="_Hlk136522018"/>
      <w:r w:rsidRPr="00DB6AED">
        <w:rPr>
          <w:rFonts w:ascii="Times New Roman" w:eastAsia="Times New Roman" w:hAnsi="Times New Roman" w:cs="Times New Roman"/>
          <w:kern w:val="0"/>
          <w:sz w:val="28"/>
          <w:lang w:eastAsia="pl-PL"/>
          <w14:ligatures w14:val="none"/>
        </w:rPr>
        <w:t>Dowthwaite</w:t>
      </w:r>
      <w:bookmarkEnd w:id="5"/>
      <w:r w:rsidRPr="00DB6AED">
        <w:rPr>
          <w:rFonts w:ascii="Times New Roman" w:eastAsia="Times New Roman" w:hAnsi="Times New Roman" w:cs="Times New Roman"/>
          <w:kern w:val="0"/>
          <w:sz w:val="28"/>
          <w:lang w:eastAsia="pl-PL"/>
          <w14:ligatures w14:val="none"/>
        </w:rPr>
        <w:t xml:space="preserve"> i in., 2003). Generalną zasadą powinno być tu stworzenie modeli logicznych, które będą ogólną ramą, ale wymagającą dostosowania do konkretnych warunków. Nie zmienia to istotnie złożoności takich interwencji, które w ujęciu bardzo rygorystycznym wymagałoby stosowania całej gamy teorii programu i związanych z nimi modeli logicznych oraz łańcuchów przyczynowych. Bardzo interesująco problem ten naświetlają Dowthwaite i in., którzy uczestniczyli w realizacji programu zarządzania rozprzestrzenianiem się strzygi w Afryce Zachodniej (Dowthwaite i in., 2003). </w:t>
      </w:r>
      <w:r w:rsidRPr="00DB6AED">
        <w:rPr>
          <w:rFonts w:ascii="Times New Roman" w:eastAsia="Times New Roman" w:hAnsi="Times New Roman" w:cs="Times New Roman"/>
          <w:kern w:val="0"/>
          <w:sz w:val="28"/>
          <w:lang w:eastAsia="pl-PL"/>
          <w14:ligatures w14:val="none"/>
        </w:rPr>
        <w:lastRenderedPageBreak/>
        <w:t xml:space="preserve">Jest to roślina pasożytnicza, która żeruje głównie na ryżu i kukurydzy. Model logiczny tej interwencji przedstawiono na rysunku </w:t>
      </w:r>
      <w:r w:rsidR="00300569">
        <w:rPr>
          <w:rFonts w:ascii="Times New Roman" w:eastAsia="Times New Roman" w:hAnsi="Times New Roman" w:cs="Times New Roman"/>
          <w:kern w:val="0"/>
          <w:sz w:val="28"/>
          <w:lang w:eastAsia="pl-PL"/>
          <w14:ligatures w14:val="none"/>
        </w:rPr>
        <w:t>5</w:t>
      </w:r>
      <w:r w:rsidRPr="00DB6AED">
        <w:rPr>
          <w:rFonts w:ascii="Times New Roman" w:eastAsia="Times New Roman" w:hAnsi="Times New Roman" w:cs="Times New Roman"/>
          <w:kern w:val="0"/>
          <w:sz w:val="28"/>
          <w:lang w:eastAsia="pl-PL"/>
          <w14:ligatures w14:val="none"/>
        </w:rPr>
        <w:t>.</w:t>
      </w:r>
    </w:p>
    <w:p w14:paraId="3BBE9768" w14:textId="77777777" w:rsidR="00740325" w:rsidRPr="00DB6AED" w:rsidRDefault="00740325" w:rsidP="00375D7D">
      <w:pPr>
        <w:spacing w:after="0" w:line="264" w:lineRule="auto"/>
        <w:ind w:firstLine="709"/>
        <w:jc w:val="both"/>
        <w:rPr>
          <w:rFonts w:ascii="Times New Roman" w:eastAsia="Times New Roman" w:hAnsi="Times New Roman" w:cs="Times New Roman"/>
          <w:kern w:val="0"/>
          <w:sz w:val="28"/>
          <w:lang w:eastAsia="pl-PL"/>
          <w14:ligatures w14:val="none"/>
        </w:rPr>
      </w:pPr>
    </w:p>
    <w:p w14:paraId="76A570EF" w14:textId="1DD55429" w:rsidR="00375D7D" w:rsidRPr="00DB6AED" w:rsidRDefault="00740325" w:rsidP="00740325">
      <w:pPr>
        <w:spacing w:after="0" w:line="264" w:lineRule="auto"/>
        <w:rPr>
          <w:rFonts w:ascii="Times New Roman" w:eastAsia="Times New Roman" w:hAnsi="Times New Roman" w:cs="Times New Roman"/>
          <w:kern w:val="0"/>
          <w:lang w:eastAsia="pl-PL"/>
          <w14:ligatures w14:val="none"/>
        </w:rPr>
      </w:pPr>
      <w:r w:rsidRPr="00DB6AED">
        <w:rPr>
          <w:rFonts w:ascii="Times New Roman" w:eastAsia="Times New Roman" w:hAnsi="Times New Roman" w:cs="Times New Roman"/>
          <w:b/>
          <w:bCs/>
          <w:kern w:val="0"/>
          <w:lang w:eastAsia="pl-PL"/>
          <w14:ligatures w14:val="none"/>
        </w:rPr>
        <w:t xml:space="preserve">Rysunek </w:t>
      </w:r>
      <w:r w:rsidR="00300569">
        <w:rPr>
          <w:rFonts w:ascii="Times New Roman" w:eastAsia="Times New Roman" w:hAnsi="Times New Roman" w:cs="Times New Roman"/>
          <w:b/>
          <w:bCs/>
          <w:kern w:val="0"/>
          <w:lang w:eastAsia="pl-PL"/>
          <w14:ligatures w14:val="none"/>
        </w:rPr>
        <w:t>5</w:t>
      </w:r>
      <w:r w:rsidRPr="00DB6AED">
        <w:rPr>
          <w:rFonts w:ascii="Times New Roman" w:eastAsia="Times New Roman" w:hAnsi="Times New Roman" w:cs="Times New Roman"/>
          <w:b/>
          <w:bCs/>
          <w:kern w:val="0"/>
          <w:lang w:eastAsia="pl-PL"/>
          <w14:ligatures w14:val="none"/>
        </w:rPr>
        <w:t>.</w:t>
      </w:r>
      <w:r w:rsidRPr="00DB6AED">
        <w:rPr>
          <w:rFonts w:ascii="Times New Roman" w:eastAsia="Times New Roman" w:hAnsi="Times New Roman" w:cs="Times New Roman"/>
          <w:kern w:val="0"/>
          <w:lang w:eastAsia="pl-PL"/>
          <w14:ligatures w14:val="none"/>
        </w:rPr>
        <w:t xml:space="preserve"> </w:t>
      </w:r>
      <w:r w:rsidR="00375D7D" w:rsidRPr="00DB6AED">
        <w:rPr>
          <w:rFonts w:ascii="Times New Roman" w:eastAsia="Times New Roman" w:hAnsi="Times New Roman" w:cs="Times New Roman"/>
          <w:kern w:val="0"/>
          <w:lang w:eastAsia="pl-PL"/>
          <w14:ligatures w14:val="none"/>
        </w:rPr>
        <w:t>Model logiczny interwencji skomplikowanej i złożonej (na przykładzie zarządzania rozprzestrzenianiem się strzygi</w:t>
      </w:r>
      <w:r w:rsidR="00D46A20">
        <w:rPr>
          <w:rFonts w:ascii="Times New Roman" w:eastAsia="Times New Roman" w:hAnsi="Times New Roman" w:cs="Times New Roman"/>
          <w:kern w:val="0"/>
          <w:lang w:eastAsia="pl-PL"/>
          <w14:ligatures w14:val="none"/>
        </w:rPr>
        <w:t>)</w:t>
      </w:r>
    </w:p>
    <w:p w14:paraId="43EA7EEE" w14:textId="77777777" w:rsidR="00375D7D" w:rsidRPr="00E65EA4" w:rsidRDefault="00375D7D" w:rsidP="00375D7D">
      <w:pPr>
        <w:spacing w:after="240" w:line="264" w:lineRule="auto"/>
        <w:jc w:val="both"/>
        <w:rPr>
          <w:rFonts w:ascii="Times New Roman" w:eastAsia="Calibri" w:hAnsi="Times New Roman" w:cs="Times New Roman"/>
          <w:i/>
          <w:iCs/>
          <w:spacing w:val="2"/>
          <w:kern w:val="0"/>
          <w:highlight w:val="magenta"/>
          <w14:ligatures w14:val="none"/>
        </w:rPr>
      </w:pPr>
      <w:r w:rsidRPr="00DB6AED">
        <w:rPr>
          <w:rFonts w:ascii="Times New Roman" w:eastAsia="Calibri" w:hAnsi="Times New Roman" w:cs="Times New Roman"/>
          <w:i/>
          <w:iCs/>
          <w:noProof/>
          <w:spacing w:val="2"/>
          <w:kern w:val="0"/>
          <w14:ligatures w14:val="none"/>
        </w:rPr>
        <w:drawing>
          <wp:inline distT="0" distB="0" distL="0" distR="0" wp14:anchorId="1D41DCF4" wp14:editId="02C6384A">
            <wp:extent cx="5759450" cy="6813550"/>
            <wp:effectExtent l="0" t="0" r="0" b="0"/>
            <wp:docPr id="3194668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3493" cy="6818333"/>
                    </a:xfrm>
                    <a:prstGeom prst="rect">
                      <a:avLst/>
                    </a:prstGeom>
                    <a:noFill/>
                    <a:ln>
                      <a:noFill/>
                    </a:ln>
                  </pic:spPr>
                </pic:pic>
              </a:graphicData>
            </a:graphic>
          </wp:inline>
        </w:drawing>
      </w:r>
    </w:p>
    <w:p w14:paraId="16143EEA" w14:textId="77777777" w:rsidR="00375D7D" w:rsidRPr="00375D7D" w:rsidRDefault="00375D7D" w:rsidP="00375D7D">
      <w:pPr>
        <w:spacing w:after="240" w:line="264" w:lineRule="auto"/>
        <w:jc w:val="both"/>
        <w:rPr>
          <w:rFonts w:ascii="Times New Roman" w:eastAsia="Calibri" w:hAnsi="Times New Roman" w:cs="Times New Roman"/>
          <w:i/>
          <w:iCs/>
          <w:spacing w:val="2"/>
          <w:kern w:val="0"/>
          <w:lang w:val="en-US" w:eastAsia="pl-PL"/>
          <w14:ligatures w14:val="none"/>
        </w:rPr>
      </w:pPr>
      <w:r w:rsidRPr="00DB6AED">
        <w:rPr>
          <w:rFonts w:ascii="Times New Roman" w:eastAsia="Calibri" w:hAnsi="Times New Roman" w:cs="Times New Roman"/>
          <w:i/>
          <w:iCs/>
          <w:spacing w:val="2"/>
          <w:kern w:val="0"/>
          <w:lang w:val="en-US" w:eastAsia="pl-PL"/>
          <w14:ligatures w14:val="none"/>
        </w:rPr>
        <w:t>Źródło: opracowano na podstawie: Douthwaite B. Kuby T., van de Fliert E., Schultz S. (2003), Impact pathway evaluation: An Approach for Achieving and Atributing Impact in Complex Systems, Agricultural Systems, 78(3), 243-265, https”//doi.org/10.1016/50308-521x0300128-8</w:t>
      </w:r>
    </w:p>
    <w:p w14:paraId="63F8608B" w14:textId="77777777" w:rsidR="007670B3" w:rsidRPr="00AB4353" w:rsidRDefault="007670B3" w:rsidP="00A26C56">
      <w:pPr>
        <w:spacing w:after="0" w:line="264" w:lineRule="auto"/>
        <w:jc w:val="both"/>
        <w:rPr>
          <w:rFonts w:ascii="Times New Roman" w:eastAsia="Times New Roman" w:hAnsi="Times New Roman" w:cs="Times New Roman"/>
          <w:kern w:val="0"/>
          <w:sz w:val="28"/>
          <w:highlight w:val="green"/>
          <w:lang w:val="en-US" w:eastAsia="pl-PL"/>
          <w14:ligatures w14:val="none"/>
        </w:rPr>
        <w:sectPr w:rsidR="007670B3" w:rsidRPr="00AB4353" w:rsidSect="007670B3">
          <w:footerReference w:type="default" r:id="rId15"/>
          <w:pgSz w:w="11906" w:h="16838"/>
          <w:pgMar w:top="1417" w:right="1417" w:bottom="1417" w:left="1417" w:header="709" w:footer="709" w:gutter="0"/>
          <w:cols w:space="708"/>
          <w:docGrid w:linePitch="381"/>
        </w:sectPr>
      </w:pPr>
    </w:p>
    <w:p w14:paraId="2FF212C8" w14:textId="7A2E0CA8" w:rsidR="007670B3" w:rsidRPr="00DB6AED" w:rsidRDefault="007670B3" w:rsidP="007670B3">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lastRenderedPageBreak/>
        <w:t>Duże interwencje/programy/projekty społeczno-ekonomiczno-ekologiczne są poważnym wyzwaniem przy ich konstruowaniu i ewaluacji, głównie z racji ich złożoności, rozciągnięcia w czasie oraz dużego zróżnicowania skal przestrzennych. Mamy wówczas do czynienia z systemami złożonymi, których zachowanie daje się wprost wyprowadzić i przewidzieć z analizy ich podsystemów oraz elementów niższego rzędu (Gallagner i Appenzeller, 1999). Wynika to z występowania: a path dependence (przeszłe zdarzenia wpływają na teraźniejszość i przyszłość poprzez dużą trwałość norm i wzorców zachowań); pętli sprzężeń zwrotnych i emergentności. Powyższe pętle (dodatnie i ujemne) wzmacniają lub osłabiają występujące obecnie procesy, wpływając na końcową skuteczność i efektywność interwencji/programów/projektów. Z kolei emergentność przejawiać się może w postaci nowych i spójnych struktur, wzorców i własności w trakcie samoorganizacji systemów złożonych (Goldstein, 1999; Lilja i in., 2010). Niestety, emergentność z drugiej strony może być źródłem niepewności, ryzyka i niejednoznaczności. Można te zagrożenia redukować, jeśli uda się wykorzystać dynamikę systemów złożonych do uzyskania swoistej dźwigni, tj. do wywołania nieproporcjonalnie dużych pożądanych reakcji systemu na małe zmiany niektórych jego parametrów. Kluczowymi warunkami niezbędnymi do zainicjowania i podtrzymania takiego mechanizmu są: znajomość trajektorii osiągania wyników emergentnych, nieliniowości zależności między nimi a zaangażowanymi zasobami oraz katalizującego i wspierającego wpływu punktów zwrotnych (the tipping points) (Doutwaite i in., 2020).</w:t>
      </w:r>
    </w:p>
    <w:p w14:paraId="74C74A0F" w14:textId="77777777" w:rsidR="007670B3" w:rsidRPr="00DB6AED" w:rsidRDefault="007670B3" w:rsidP="007670B3">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Włączenie złożoności systemów do projektowania interwencji/programów i projektów wymaga też dobrania właściwego podejścia ewaluacyjnego. Doutwaite i in. (2007) w tym kontekście uważają, że może być nim The Participatory Impact Patways Analysis (PIPA). Koncepcja ta pozwala zidentyfikować i uzgodnić ścieżki skoncentrowane na zachowaniach głównych aktorów interwencji/programu/projektu, dzięki którym za pomocą pewnego zbioru zależności przyczynowo-skutkowych można powiązać podejmowane aktywności z rezultatami pośrednimi i finalnymi. W konsekwencji aktorzy ci bardziej sobie ufają, chętniej utożsamiają się z interwencją/programem/projektem i są bardziej otwarci na zmiany. To otwiera drogę do rekonstrukcji i rewizji samej teorii zmiany, doskonalenia planowania działań, ich monitorowania i ewaluacji.</w:t>
      </w:r>
    </w:p>
    <w:p w14:paraId="1C7125A0" w14:textId="77777777" w:rsidR="007670B3" w:rsidRPr="00DB6AED" w:rsidRDefault="007670B3" w:rsidP="007670B3">
      <w:pPr>
        <w:spacing w:after="0" w:line="264" w:lineRule="auto"/>
        <w:ind w:firstLine="709"/>
        <w:jc w:val="both"/>
        <w:rPr>
          <w:rFonts w:ascii="Times New Roman" w:eastAsia="Times New Roman" w:hAnsi="Times New Roman" w:cs="Times New Roman"/>
          <w:kern w:val="0"/>
          <w:sz w:val="28"/>
          <w:lang w:eastAsia="pl-PL"/>
          <w14:ligatures w14:val="none"/>
        </w:rPr>
      </w:pPr>
      <w:r w:rsidRPr="00DB6AED">
        <w:rPr>
          <w:rFonts w:ascii="Times New Roman" w:eastAsia="Times New Roman" w:hAnsi="Times New Roman" w:cs="Times New Roman"/>
          <w:kern w:val="0"/>
          <w:sz w:val="28"/>
          <w:lang w:eastAsia="pl-PL"/>
          <w14:ligatures w14:val="none"/>
        </w:rPr>
        <w:t>Doutwaite i in. (2020) przeanalizowali kilkanaście projektów realizowanych w różnych krajach świata w obszarze rolniczych badań i wdrożeń, w których zastosowano ww.  podejście partycypacyjne, uzyskując, iż:</w:t>
      </w:r>
    </w:p>
    <w:p w14:paraId="3BBD2E7C" w14:textId="77777777" w:rsidR="007670B3" w:rsidRPr="00DB6AED" w:rsidRDefault="007670B3" w:rsidP="001D0854">
      <w:pPr>
        <w:pStyle w:val="Numerowanie1"/>
        <w:numPr>
          <w:ilvl w:val="0"/>
          <w:numId w:val="14"/>
        </w:numPr>
      </w:pPr>
      <w:r w:rsidRPr="00DB6AED">
        <w:t xml:space="preserve">Kluczową kwestią dla rewizji teorii zmiany jest precyzyjne rozróżnienie między ścieżkami wynikowymi ex ante i ex post. Znaczenie tego warunku niepomiernie przy tym rośnie, gdy mamy do czynienia z systemami złożonymi. </w:t>
      </w:r>
      <w:r w:rsidRPr="00DB6AED">
        <w:lastRenderedPageBreak/>
        <w:t>Wtedy to powinno się poczekać do momentu aż wykształcą się nowe trajektorie dla wyników emergentnych. Można od tego wymogu jednak odstąpić, gdy istniejące już trajektorie dla pozostałych rezultatów są już dobrze ugruntowane i zweryfikowane. W przypadku większości przedsięwzięć z obszarów rolniczych R &amp; D najlepszym rozwiązaniem jest natomiast stosowanie fazy początkowej dla interwencji/programu/projektu. Może ona trwać nawet od 0,5 do jednego roku.</w:t>
      </w:r>
    </w:p>
    <w:p w14:paraId="63AD3033" w14:textId="77777777" w:rsidR="007670B3" w:rsidRPr="00DB6AED" w:rsidRDefault="007670B3" w:rsidP="001D0854">
      <w:pPr>
        <w:numPr>
          <w:ilvl w:val="0"/>
          <w:numId w:val="9"/>
        </w:numPr>
        <w:spacing w:after="0" w:line="264" w:lineRule="auto"/>
        <w:jc w:val="both"/>
        <w:rPr>
          <w:rFonts w:ascii="Times New Roman" w:eastAsia="Times New Roman" w:hAnsi="Times New Roman" w:cs="Times New Roman"/>
          <w:bCs/>
          <w:kern w:val="0"/>
          <w:sz w:val="28"/>
          <w:lang w:eastAsia="pl-PL"/>
          <w14:ligatures w14:val="none"/>
        </w:rPr>
      </w:pPr>
      <w:r w:rsidRPr="00DB6AED">
        <w:rPr>
          <w:rFonts w:ascii="Times New Roman" w:eastAsia="Times New Roman" w:hAnsi="Times New Roman" w:cs="Times New Roman"/>
          <w:bCs/>
          <w:kern w:val="0"/>
          <w:sz w:val="28"/>
          <w:lang w:eastAsia="pl-PL"/>
          <w14:ligatures w14:val="none"/>
        </w:rPr>
        <w:t>W odniesieniu do PIPA trzeba znaleźć każdorazowo unikatową równowagę między niejednoznacznością, która implikuje pewną elastyczność, a dokładnością.</w:t>
      </w:r>
    </w:p>
    <w:p w14:paraId="5D835669" w14:textId="77777777" w:rsidR="00634B42" w:rsidRDefault="00634B42" w:rsidP="00634B42">
      <w:pPr>
        <w:pStyle w:val="Akapitzlist"/>
        <w:ind w:left="0" w:firstLine="567"/>
        <w:jc w:val="both"/>
        <w:rPr>
          <w:rFonts w:ascii="Times New Roman" w:hAnsi="Times New Roman" w:cs="Times New Roman"/>
          <w:sz w:val="28"/>
          <w:szCs w:val="28"/>
        </w:rPr>
      </w:pPr>
      <w:r>
        <w:tab/>
      </w:r>
      <w:r>
        <w:rPr>
          <w:rFonts w:ascii="Times New Roman" w:hAnsi="Times New Roman" w:cs="Times New Roman"/>
          <w:sz w:val="28"/>
          <w:szCs w:val="28"/>
        </w:rPr>
        <w:t xml:space="preserve">Konstrukcja lub rekonstrukcja teorii programu dla subsydiowanych ubezpieczeń rolnych jest trudna również z tego powodu, że decyzje ubezpieczeniowe podejmowane są równocześnie z decyzjami finansowymi.  Ta równoczesność niekiedy wynika wprost z oczekiwań banków, które wymagają, aby rolnicy chcący uzyskać kredyty musieli równolegle ubezpieczyć przynajmniej jakąś część swojej produkcji. Równocześnie ma także ważne implikacje ekonometryczne, tzn. może być źródłem endogeniczności. To w dalszej konsekwencji prowadzi do uzyskiwania obciążonych statystycznie parametrów, gdy bada się wpływ subsydiowania ubezpieczeń na ekonomikę, finanse i organizację gospodarstw rolniczych. Rzecz jasna, obciążenia te pojawiają się również, gdy szacuje się miary typowe dla </w:t>
      </w:r>
      <w:r w:rsidRPr="001D1D81">
        <w:rPr>
          <w:rFonts w:ascii="Times New Roman" w:hAnsi="Times New Roman" w:cs="Times New Roman"/>
          <w:i/>
          <w:iCs/>
          <w:sz w:val="28"/>
          <w:szCs w:val="28"/>
        </w:rPr>
        <w:t>an impact evaluation</w:t>
      </w:r>
      <w:r>
        <w:rPr>
          <w:rFonts w:ascii="Times New Roman" w:hAnsi="Times New Roman" w:cs="Times New Roman"/>
          <w:sz w:val="28"/>
          <w:szCs w:val="28"/>
        </w:rPr>
        <w:t>, a więc w pierwszym rzędzie ATE i ATT.</w:t>
      </w:r>
    </w:p>
    <w:p w14:paraId="1296E3CC" w14:textId="77777777" w:rsidR="00634B42" w:rsidRDefault="00634B42" w:rsidP="00634B42">
      <w:pPr>
        <w:pStyle w:val="Akapitzlist"/>
        <w:ind w:left="0" w:firstLine="567"/>
        <w:jc w:val="both"/>
        <w:rPr>
          <w:rFonts w:ascii="Times New Roman" w:hAnsi="Times New Roman" w:cs="Times New Roman"/>
          <w:sz w:val="28"/>
          <w:szCs w:val="28"/>
        </w:rPr>
      </w:pPr>
      <w:r>
        <w:rPr>
          <w:rFonts w:ascii="Times New Roman" w:hAnsi="Times New Roman" w:cs="Times New Roman"/>
          <w:sz w:val="28"/>
          <w:szCs w:val="28"/>
        </w:rPr>
        <w:t xml:space="preserve">Badanie i modelowanie równoczesności decyzji ubezpieczeniowych i finansowych powinno bazować na jakimś zestawie hipotez, ale jeszcze lepiej przez odwołanie się do jakiejś teorii lub ich zbioru. W przypadku rolnictwa mamy dwa takie układy referencyjne: 1. </w:t>
      </w:r>
      <w:r w:rsidRPr="0076346D">
        <w:rPr>
          <w:rFonts w:ascii="Times New Roman" w:hAnsi="Times New Roman" w:cs="Times New Roman"/>
          <w:sz w:val="28"/>
          <w:szCs w:val="28"/>
        </w:rPr>
        <w:t xml:space="preserve">The Risk balancing; 2. The theory of risk homeostatis. </w:t>
      </w:r>
      <w:r w:rsidRPr="00906109">
        <w:rPr>
          <w:rFonts w:ascii="Times New Roman" w:hAnsi="Times New Roman" w:cs="Times New Roman"/>
          <w:sz w:val="28"/>
          <w:szCs w:val="28"/>
        </w:rPr>
        <w:t xml:space="preserve">Pierwszy zawdzięczamy: Gabrielowi </w:t>
      </w:r>
      <w:r>
        <w:rPr>
          <w:rFonts w:ascii="Times New Roman" w:hAnsi="Times New Roman" w:cs="Times New Roman"/>
          <w:sz w:val="28"/>
          <w:szCs w:val="28"/>
        </w:rPr>
        <w:t>i</w:t>
      </w:r>
      <w:r w:rsidRPr="00906109">
        <w:rPr>
          <w:rFonts w:ascii="Times New Roman" w:hAnsi="Times New Roman" w:cs="Times New Roman"/>
          <w:sz w:val="28"/>
          <w:szCs w:val="28"/>
        </w:rPr>
        <w:t xml:space="preserve"> Bakerowi (1980); Collinsowi (1985) oraz Featherstonowi </w:t>
      </w:r>
      <w:r>
        <w:rPr>
          <w:rFonts w:ascii="Times New Roman" w:hAnsi="Times New Roman" w:cs="Times New Roman"/>
          <w:sz w:val="28"/>
          <w:szCs w:val="28"/>
        </w:rPr>
        <w:t>i</w:t>
      </w:r>
      <w:r w:rsidRPr="00906109">
        <w:rPr>
          <w:rFonts w:ascii="Times New Roman" w:hAnsi="Times New Roman" w:cs="Times New Roman"/>
          <w:sz w:val="28"/>
          <w:szCs w:val="28"/>
        </w:rPr>
        <w:t xml:space="preserve"> in.</w:t>
      </w:r>
      <w:r>
        <w:rPr>
          <w:rFonts w:ascii="Times New Roman" w:hAnsi="Times New Roman" w:cs="Times New Roman"/>
          <w:sz w:val="28"/>
          <w:szCs w:val="28"/>
        </w:rPr>
        <w:t xml:space="preserve"> (1980). W przypadku zaś teorii homeostazy trzeba wymienić trzech autorów: Slovica i Fischhoffa (1982) oraz Wilde’a (1982). Hipoteza bilansowania ryzyka orzeka, iż ubezpieczenie może redukować ryzyko produkcyjne i cenowe, ale z drugiej strony może zwiększać ryzyko finansowe. Może się niekiedy zdarzyć zatem tak, że subsydiowanie ubezpieczeń rolnych może skutkować wzrostem ryzyka całkowitego niektórych gospodarstw, a nawet całego sektora rolnego. Przy dokładniejszej analizie uprawniony jest wniosek, że teoria homeostazy jest bardzo podobna do ww. równoważenia ryzyka, chociaż traktuje się ją jako bardziej ogólną. W tej pierwszej hipotezie zakłada się, że rolnik wyznacza sobie jakiś nieprzekraczalny próg całkowitej ekspozycji na ryzyka, elastycznie do tego dostosowując ekspozycje jednostkowe. To bardzo wysublimowane założenie, jeśli chodzi o kompetencje finansowe producentów rolnych, dostęp do </w:t>
      </w:r>
      <w:r>
        <w:rPr>
          <w:rFonts w:ascii="Times New Roman" w:hAnsi="Times New Roman" w:cs="Times New Roman"/>
          <w:sz w:val="28"/>
          <w:szCs w:val="28"/>
        </w:rPr>
        <w:lastRenderedPageBreak/>
        <w:t>odpowiednich danych i możliwości ich przetwarzania oraz interpretowania. Z drugiej natomiast strony byłoby</w:t>
      </w:r>
      <w:r w:rsidRPr="00AC775D">
        <w:rPr>
          <w:rFonts w:ascii="Times New Roman" w:hAnsi="Times New Roman" w:cs="Times New Roman"/>
          <w:sz w:val="28"/>
          <w:szCs w:val="28"/>
        </w:rPr>
        <w:t xml:space="preserve"> </w:t>
      </w:r>
      <w:r>
        <w:rPr>
          <w:rFonts w:ascii="Times New Roman" w:hAnsi="Times New Roman" w:cs="Times New Roman"/>
          <w:sz w:val="28"/>
          <w:szCs w:val="28"/>
        </w:rPr>
        <w:t>bardzo pożądane, żeby politycy rolni i twórcy programów subsydiowania ubezpieczeń i pomocy klęskowej oraz zasilania gospodarstw w tańszy kapitał obcy, w tym kredyty klęskowe, znali logikę tych dwóch hipotez.</w:t>
      </w:r>
    </w:p>
    <w:p w14:paraId="41ADC0EE" w14:textId="77777777" w:rsidR="00634B42" w:rsidRDefault="00634B42" w:rsidP="00634B42">
      <w:pPr>
        <w:pStyle w:val="Akapitzlist"/>
        <w:ind w:left="0" w:firstLine="567"/>
        <w:jc w:val="both"/>
        <w:rPr>
          <w:rFonts w:ascii="Times New Roman" w:hAnsi="Times New Roman" w:cs="Times New Roman"/>
          <w:sz w:val="28"/>
          <w:szCs w:val="28"/>
        </w:rPr>
      </w:pPr>
      <w:r>
        <w:rPr>
          <w:rFonts w:ascii="Times New Roman" w:hAnsi="Times New Roman" w:cs="Times New Roman"/>
          <w:sz w:val="28"/>
          <w:szCs w:val="28"/>
        </w:rPr>
        <w:t>Poniżej zaprezentuje się kluczowe składowe hipotez bilansowania i homeostazy ryzyka, korzystając z ich współczesnego ujęcia przez DeLay’ego i in. (2023). Przyjmijmy, że całkowite ryzyko producenta rolnego (TR) jest suma ryzyka biznesowego/gospodarczego (BR), a więc zmienności wyników produkcyjnych, cen produktów sprzedawanych i nakładów kupowanych, oraz ryzyka finansowego (FR), którego źródłem może być nadmierne korzystanie z długów. Zależności tu występujące zapisać możemy następująco:</w:t>
      </w:r>
    </w:p>
    <w:p w14:paraId="49565A4E" w14:textId="77777777" w:rsidR="00634B42" w:rsidRDefault="00634B42" w:rsidP="00634B42">
      <w:pPr>
        <w:tabs>
          <w:tab w:val="left" w:pos="2949"/>
        </w:tabs>
      </w:pPr>
      <w:r>
        <w:tab/>
      </w:r>
      <w:r w:rsidRPr="00195F86">
        <w:rPr>
          <w:position w:val="-34"/>
        </w:rPr>
        <w:object w:dxaOrig="3340" w:dyaOrig="720" w14:anchorId="45E89F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5pt;height:36.5pt" o:ole="">
            <v:imagedata r:id="rId16" o:title=""/>
          </v:shape>
          <o:OLEObject Type="Embed" ProgID="Equation.DSMT4" ShapeID="_x0000_i1025" DrawAspect="Content" ObjectID="_1799840596" r:id="rId17"/>
        </w:object>
      </w:r>
      <w:r>
        <w:t>,</w:t>
      </w:r>
    </w:p>
    <w:p w14:paraId="10D3464B" w14:textId="77777777" w:rsidR="00634B42" w:rsidRDefault="00634B42" w:rsidP="00634B42">
      <w:pPr>
        <w:jc w:val="both"/>
        <w:rPr>
          <w:rFonts w:ascii="Times New Roman" w:hAnsi="Times New Roman" w:cs="Times New Roman"/>
          <w:sz w:val="28"/>
          <w:szCs w:val="28"/>
        </w:rPr>
      </w:pPr>
      <w:r>
        <w:rPr>
          <w:rFonts w:ascii="Times New Roman" w:hAnsi="Times New Roman" w:cs="Times New Roman"/>
          <w:sz w:val="28"/>
          <w:szCs w:val="28"/>
        </w:rPr>
        <w:t>g</w:t>
      </w:r>
      <w:r w:rsidRPr="00195F86">
        <w:rPr>
          <w:rFonts w:ascii="Times New Roman" w:hAnsi="Times New Roman" w:cs="Times New Roman"/>
          <w:sz w:val="28"/>
          <w:szCs w:val="28"/>
        </w:rPr>
        <w:t xml:space="preserve">dzie: </w:t>
      </w:r>
      <w:r>
        <w:rPr>
          <w:rFonts w:ascii="Times New Roman" w:hAnsi="Times New Roman" w:cs="Times New Roman"/>
          <w:sz w:val="28"/>
          <w:szCs w:val="28"/>
        </w:rPr>
        <w:t>E[π] – wartość oczekiwana zysku operacyjnego przed spłatą odsetek; σ</w:t>
      </w:r>
      <w:r w:rsidRPr="00195F86">
        <w:rPr>
          <w:rFonts w:ascii="Times New Roman" w:hAnsi="Times New Roman" w:cs="Times New Roman"/>
          <w:sz w:val="28"/>
          <w:szCs w:val="28"/>
          <w:vertAlign w:val="subscript"/>
        </w:rPr>
        <w:t>π</w:t>
      </w:r>
      <w:r>
        <w:rPr>
          <w:rFonts w:ascii="Times New Roman" w:hAnsi="Times New Roman" w:cs="Times New Roman"/>
          <w:sz w:val="28"/>
          <w:szCs w:val="28"/>
        </w:rPr>
        <w:t xml:space="preserve"> – odchylenie standardowe zysku; pierwszy człon oddaje ryzyko biznesowe; I – odsetki do zapłacenia; człon drugi to ryzyko finansowe; β – maksymalnie dopuszczalny poziom ryzyka całkowitego. Dodajmy, że ta formalizacja odzwierciedla poglądy Gabriela i Bakera (1980), którzy jako pierwsi posługiwali się terminem „</w:t>
      </w:r>
      <w:r w:rsidRPr="00654BC2">
        <w:rPr>
          <w:rFonts w:ascii="Times New Roman" w:hAnsi="Times New Roman" w:cs="Times New Roman"/>
          <w:i/>
          <w:iCs/>
          <w:sz w:val="28"/>
          <w:szCs w:val="28"/>
        </w:rPr>
        <w:t>a risk balancing</w:t>
      </w:r>
      <w:r>
        <w:rPr>
          <w:rFonts w:ascii="Times New Roman" w:hAnsi="Times New Roman" w:cs="Times New Roman"/>
          <w:sz w:val="28"/>
          <w:szCs w:val="28"/>
        </w:rPr>
        <w:t>”.</w:t>
      </w:r>
    </w:p>
    <w:p w14:paraId="143C6A90" w14:textId="77777777" w:rsidR="00634B42" w:rsidRDefault="00634B42" w:rsidP="00634B42">
      <w:pPr>
        <w:ind w:firstLine="708"/>
        <w:jc w:val="both"/>
        <w:rPr>
          <w:rFonts w:ascii="Times New Roman" w:hAnsi="Times New Roman" w:cs="Times New Roman"/>
          <w:sz w:val="28"/>
          <w:szCs w:val="28"/>
        </w:rPr>
      </w:pPr>
      <w:r>
        <w:rPr>
          <w:rFonts w:ascii="Times New Roman" w:hAnsi="Times New Roman" w:cs="Times New Roman"/>
          <w:sz w:val="28"/>
          <w:szCs w:val="28"/>
        </w:rPr>
        <w:t xml:space="preserve">Zamiast odchyleniem standardowym jako miarą ryzyka można posługiwać się wariancją, jak zrobili to Collins (1985) i Featherstone i in. (1988).  Ta trójka ekonomistów operowała już producentem rolnym wykazującym awersję do ryzyka, który wybiera optymalny poziom zadłużenia D* oraz optymalną sumę ubezpieczeniową L*, aby zmaksymalizować swój oczekiwany zwrot z kapitału własnego </w:t>
      </w:r>
      <w:r w:rsidRPr="00B90185">
        <w:rPr>
          <w:rFonts w:ascii="Times New Roman" w:hAnsi="Times New Roman" w:cs="Times New Roman"/>
          <w:position w:val="-12"/>
          <w:sz w:val="28"/>
          <w:szCs w:val="28"/>
        </w:rPr>
        <w:object w:dxaOrig="380" w:dyaOrig="380" w14:anchorId="08496F9A">
          <v:shape id="_x0000_i1026" type="#_x0000_t75" style="width:22pt;height:22pt" o:ole="">
            <v:imagedata r:id="rId18" o:title=""/>
          </v:shape>
          <o:OLEObject Type="Embed" ProgID="Equation.DSMT4" ShapeID="_x0000_i1026" DrawAspect="Content" ObjectID="_1799840597" r:id="rId19"/>
        </w:object>
      </w:r>
      <w:r>
        <w:rPr>
          <w:rFonts w:ascii="Times New Roman" w:hAnsi="Times New Roman" w:cs="Times New Roman"/>
          <w:sz w:val="28"/>
          <w:szCs w:val="28"/>
        </w:rPr>
        <w:t xml:space="preserve">, nawiązując wprost do znanego powszechnie systemu wskaźnikowego DuPonta. To prowadzi nas do poniższego wyrażenia: </w:t>
      </w:r>
    </w:p>
    <w:p w14:paraId="6CD0DC71" w14:textId="77777777" w:rsidR="00634B42" w:rsidRDefault="00634B42" w:rsidP="00634B42">
      <w:pPr>
        <w:tabs>
          <w:tab w:val="left" w:pos="3894"/>
        </w:tabs>
        <w:rPr>
          <w:rFonts w:ascii="Times New Roman" w:hAnsi="Times New Roman" w:cs="Times New Roman"/>
          <w:sz w:val="28"/>
          <w:szCs w:val="28"/>
        </w:rPr>
      </w:pPr>
      <w:r>
        <w:rPr>
          <w:rFonts w:ascii="Times New Roman" w:hAnsi="Times New Roman" w:cs="Times New Roman"/>
          <w:sz w:val="28"/>
          <w:szCs w:val="28"/>
        </w:rPr>
        <w:tab/>
      </w:r>
      <w:r w:rsidRPr="00B90185">
        <w:rPr>
          <w:rFonts w:ascii="Times New Roman" w:hAnsi="Times New Roman" w:cs="Times New Roman"/>
          <w:position w:val="-24"/>
          <w:sz w:val="28"/>
          <w:szCs w:val="28"/>
        </w:rPr>
        <w:object w:dxaOrig="2420" w:dyaOrig="660" w14:anchorId="044B0EA9">
          <v:shape id="_x0000_i1027" type="#_x0000_t75" style="width:122.5pt;height:36.5pt" o:ole="">
            <v:imagedata r:id="rId20" o:title=""/>
          </v:shape>
          <o:OLEObject Type="Embed" ProgID="Equation.DSMT4" ShapeID="_x0000_i1027" DrawAspect="Content" ObjectID="_1799840598" r:id="rId21"/>
        </w:object>
      </w:r>
      <w:r>
        <w:rPr>
          <w:rFonts w:ascii="Times New Roman" w:hAnsi="Times New Roman" w:cs="Times New Roman"/>
          <w:sz w:val="28"/>
          <w:szCs w:val="28"/>
        </w:rPr>
        <w:t>,</w:t>
      </w:r>
    </w:p>
    <w:p w14:paraId="23A5DBDB" w14:textId="77777777" w:rsidR="00634B42" w:rsidRDefault="00634B42" w:rsidP="00634B42">
      <w:pPr>
        <w:tabs>
          <w:tab w:val="left" w:pos="3894"/>
        </w:tabs>
        <w:jc w:val="both"/>
        <w:rPr>
          <w:rFonts w:ascii="Times New Roman" w:hAnsi="Times New Roman" w:cs="Times New Roman"/>
          <w:sz w:val="28"/>
          <w:szCs w:val="28"/>
        </w:rPr>
      </w:pPr>
      <w:r>
        <w:rPr>
          <w:rFonts w:ascii="Times New Roman" w:hAnsi="Times New Roman" w:cs="Times New Roman"/>
          <w:sz w:val="28"/>
          <w:szCs w:val="28"/>
        </w:rPr>
        <w:t>gdzie: R -zwrot (rentowność) z aktywów produkcyjnych po odliczeniu kosztów obsługi długu; E – kapitał własny, A – aktywa produkcyjne; i – oczekiwane oprocentowanie długu; π – zysk operacyjny przed spłatą odsetek; c – koszty operacyjne; r – ogólna funkcja generowania przychodów.</w:t>
      </w:r>
    </w:p>
    <w:p w14:paraId="2CF01D54" w14:textId="77777777" w:rsidR="00634B42" w:rsidRDefault="00634B42" w:rsidP="00634B42">
      <w:pPr>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Z uwagi na ryzykowność produkcji, cen i nakładów rentowność kapitału własnego jest zmienną losową ze średnią równą </w:t>
      </w:r>
      <w:r w:rsidRPr="00F236A2">
        <w:rPr>
          <w:rFonts w:ascii="Times New Roman" w:hAnsi="Times New Roman" w:cs="Times New Roman"/>
          <w:position w:val="-12"/>
          <w:sz w:val="28"/>
          <w:szCs w:val="28"/>
        </w:rPr>
        <w:object w:dxaOrig="320" w:dyaOrig="380" w14:anchorId="4E7E2736">
          <v:shape id="_x0000_i1028" type="#_x0000_t75" style="width:14.5pt;height:22pt" o:ole="">
            <v:imagedata r:id="rId22" o:title=""/>
          </v:shape>
          <o:OLEObject Type="Embed" ProgID="Equation.DSMT4" ShapeID="_x0000_i1028" DrawAspect="Content" ObjectID="_1799840599" r:id="rId23"/>
        </w:object>
      </w:r>
      <w:r>
        <w:rPr>
          <w:rFonts w:ascii="Times New Roman" w:hAnsi="Times New Roman" w:cs="Times New Roman"/>
          <w:sz w:val="28"/>
          <w:szCs w:val="28"/>
        </w:rPr>
        <w:t xml:space="preserve"> i wariancją </w:t>
      </w:r>
      <w:r w:rsidRPr="00F236A2">
        <w:rPr>
          <w:rFonts w:ascii="Times New Roman" w:hAnsi="Times New Roman" w:cs="Times New Roman"/>
          <w:position w:val="-12"/>
          <w:sz w:val="28"/>
          <w:szCs w:val="28"/>
        </w:rPr>
        <w:object w:dxaOrig="320" w:dyaOrig="380" w14:anchorId="58B316D6">
          <v:shape id="_x0000_i1029" type="#_x0000_t75" style="width:14.5pt;height:22pt" o:ole="">
            <v:imagedata r:id="rId24" o:title=""/>
          </v:shape>
          <o:OLEObject Type="Embed" ProgID="Equation.DSMT4" ShapeID="_x0000_i1029" DrawAspect="Content" ObjectID="_1799840600" r:id="rId25"/>
        </w:object>
      </w:r>
      <w:r>
        <w:rPr>
          <w:rFonts w:ascii="Times New Roman" w:hAnsi="Times New Roman" w:cs="Times New Roman"/>
          <w:sz w:val="28"/>
          <w:szCs w:val="28"/>
        </w:rPr>
        <w:t>:</w:t>
      </w:r>
    </w:p>
    <w:p w14:paraId="12A1DEE8" w14:textId="77777777" w:rsidR="00634B42" w:rsidRDefault="00634B42" w:rsidP="00634B42">
      <w:pPr>
        <w:tabs>
          <w:tab w:val="left" w:pos="3318"/>
        </w:tabs>
        <w:jc w:val="center"/>
        <w:rPr>
          <w:rFonts w:ascii="Times New Roman" w:hAnsi="Times New Roman" w:cs="Times New Roman"/>
          <w:sz w:val="28"/>
          <w:szCs w:val="28"/>
        </w:rPr>
      </w:pPr>
      <w:r w:rsidRPr="004F7978">
        <w:rPr>
          <w:rFonts w:ascii="Times New Roman" w:hAnsi="Times New Roman" w:cs="Times New Roman"/>
          <w:position w:val="-24"/>
          <w:sz w:val="28"/>
          <w:szCs w:val="28"/>
        </w:rPr>
        <w:object w:dxaOrig="4160" w:dyaOrig="700" w14:anchorId="697FEFDF">
          <v:shape id="_x0000_i1030" type="#_x0000_t75" style="width:209pt;height:36.5pt" o:ole="">
            <v:imagedata r:id="rId26" o:title=""/>
          </v:shape>
          <o:OLEObject Type="Embed" ProgID="Equation.DSMT4" ShapeID="_x0000_i1030" DrawAspect="Content" ObjectID="_1799840601" r:id="rId27"/>
        </w:object>
      </w:r>
    </w:p>
    <w:p w14:paraId="66F13761" w14:textId="77777777" w:rsidR="00634B42" w:rsidRDefault="00634B42" w:rsidP="00634B42">
      <w:pPr>
        <w:tabs>
          <w:tab w:val="left" w:pos="3836"/>
        </w:tabs>
        <w:rPr>
          <w:rFonts w:ascii="Times New Roman" w:hAnsi="Times New Roman" w:cs="Times New Roman"/>
          <w:sz w:val="28"/>
          <w:szCs w:val="28"/>
        </w:rPr>
      </w:pPr>
      <w:r>
        <w:rPr>
          <w:rFonts w:ascii="Times New Roman" w:hAnsi="Times New Roman" w:cs="Times New Roman"/>
          <w:sz w:val="28"/>
          <w:szCs w:val="28"/>
        </w:rPr>
        <w:tab/>
      </w:r>
      <w:r w:rsidRPr="004F7978">
        <w:rPr>
          <w:rFonts w:ascii="Times New Roman" w:hAnsi="Times New Roman" w:cs="Times New Roman"/>
          <w:position w:val="-36"/>
          <w:sz w:val="28"/>
          <w:szCs w:val="28"/>
        </w:rPr>
        <w:object w:dxaOrig="1560" w:dyaOrig="800" w14:anchorId="6C223FEF">
          <v:shape id="_x0000_i1031" type="#_x0000_t75" style="width:79pt;height:43pt" o:ole="">
            <v:imagedata r:id="rId28" o:title=""/>
          </v:shape>
          <o:OLEObject Type="Embed" ProgID="Equation.DSMT4" ShapeID="_x0000_i1031" DrawAspect="Content" ObjectID="_1799840602" r:id="rId29"/>
        </w:object>
      </w:r>
    </w:p>
    <w:p w14:paraId="4EE680EB" w14:textId="77777777" w:rsidR="00634B42" w:rsidRDefault="00634B42" w:rsidP="00634B42">
      <w:pPr>
        <w:jc w:val="both"/>
        <w:rPr>
          <w:rFonts w:ascii="Times New Roman" w:hAnsi="Times New Roman" w:cs="Times New Roman"/>
          <w:sz w:val="28"/>
          <w:szCs w:val="28"/>
        </w:rPr>
      </w:pPr>
      <w:r>
        <w:rPr>
          <w:rFonts w:ascii="Times New Roman" w:hAnsi="Times New Roman" w:cs="Times New Roman"/>
          <w:sz w:val="28"/>
          <w:szCs w:val="28"/>
        </w:rPr>
        <w:t>gdzie: σ</w:t>
      </w:r>
      <w:r w:rsidRPr="004F7978">
        <w:rPr>
          <w:rFonts w:ascii="Times New Roman" w:hAnsi="Times New Roman" w:cs="Times New Roman"/>
          <w:sz w:val="28"/>
          <w:szCs w:val="28"/>
          <w:vertAlign w:val="subscript"/>
        </w:rPr>
        <w:t>π</w:t>
      </w:r>
      <w:r>
        <w:rPr>
          <w:rFonts w:ascii="Times New Roman" w:hAnsi="Times New Roman" w:cs="Times New Roman"/>
          <w:sz w:val="28"/>
          <w:szCs w:val="28"/>
        </w:rPr>
        <w:t xml:space="preserve"> – wariancja zysku operacyjnego, która maleje w ślad za wzrostem sumy ubezpieczeniowej L; oznacza to, że wyższy poziom ochrony ubezpieczeniowej zawęża rozkład ryzyka od dołu, ale równocześnie większa zmienność produkcji go rozszerzając, </w:t>
      </w:r>
      <w:r w:rsidRPr="00F236A2">
        <w:rPr>
          <w:rFonts w:ascii="Times New Roman" w:hAnsi="Times New Roman" w:cs="Times New Roman"/>
          <w:position w:val="-12"/>
          <w:sz w:val="28"/>
          <w:szCs w:val="28"/>
        </w:rPr>
        <w:object w:dxaOrig="320" w:dyaOrig="380" w14:anchorId="78FBB2AD">
          <v:shape id="_x0000_i1032" type="#_x0000_t75" style="width:14.5pt;height:22pt" o:ole="">
            <v:imagedata r:id="rId24" o:title=""/>
          </v:shape>
          <o:OLEObject Type="Embed" ProgID="Equation.DSMT4" ShapeID="_x0000_i1032" DrawAspect="Content" ObjectID="_1799840603" r:id="rId30"/>
        </w:object>
      </w:r>
      <w:r>
        <w:rPr>
          <w:rFonts w:ascii="Times New Roman" w:hAnsi="Times New Roman" w:cs="Times New Roman"/>
          <w:sz w:val="28"/>
          <w:szCs w:val="28"/>
        </w:rPr>
        <w:t xml:space="preserve"> - wariancja kapitału własnego, która rośnie, gdy rosną ryzyka biznesowe i finansowe.</w:t>
      </w:r>
    </w:p>
    <w:p w14:paraId="7BEC9ACC" w14:textId="77777777" w:rsidR="00634B42" w:rsidRDefault="00634B42" w:rsidP="00634B42">
      <w:pPr>
        <w:ind w:firstLine="709"/>
        <w:jc w:val="both"/>
        <w:rPr>
          <w:rFonts w:ascii="Times New Roman" w:hAnsi="Times New Roman" w:cs="Times New Roman"/>
          <w:sz w:val="28"/>
          <w:szCs w:val="28"/>
        </w:rPr>
      </w:pPr>
      <w:r>
        <w:rPr>
          <w:rFonts w:ascii="Times New Roman" w:hAnsi="Times New Roman" w:cs="Times New Roman"/>
          <w:sz w:val="28"/>
          <w:szCs w:val="28"/>
        </w:rPr>
        <w:t>Maksymalizacji wartości oczekiwanej rentowności kapitału własnego producenta rolnego DeLay i in. dokonują za pomocą wykładniczej funkcji użyteczności:</w:t>
      </w:r>
    </w:p>
    <w:p w14:paraId="3EFB85BC" w14:textId="77777777" w:rsidR="00634B42" w:rsidRDefault="00634B42" w:rsidP="00634B42">
      <w:pPr>
        <w:tabs>
          <w:tab w:val="left" w:pos="3191"/>
        </w:tabs>
        <w:jc w:val="center"/>
        <w:rPr>
          <w:rFonts w:ascii="Times New Roman" w:hAnsi="Times New Roman" w:cs="Times New Roman"/>
          <w:sz w:val="28"/>
          <w:szCs w:val="28"/>
        </w:rPr>
      </w:pPr>
      <w:r w:rsidRPr="00092750">
        <w:rPr>
          <w:rFonts w:ascii="Times New Roman" w:hAnsi="Times New Roman" w:cs="Times New Roman"/>
          <w:position w:val="-36"/>
          <w:sz w:val="28"/>
          <w:szCs w:val="28"/>
        </w:rPr>
        <w:object w:dxaOrig="4480" w:dyaOrig="800" w14:anchorId="6B02849E">
          <v:shape id="_x0000_i1033" type="#_x0000_t75" style="width:223pt;height:43pt" o:ole="">
            <v:imagedata r:id="rId31" o:title=""/>
          </v:shape>
          <o:OLEObject Type="Embed" ProgID="Equation.DSMT4" ShapeID="_x0000_i1033" DrawAspect="Content" ObjectID="_1799840604" r:id="rId32"/>
        </w:object>
      </w:r>
      <w:r>
        <w:rPr>
          <w:rFonts w:ascii="Times New Roman" w:hAnsi="Times New Roman" w:cs="Times New Roman"/>
          <w:sz w:val="28"/>
          <w:szCs w:val="28"/>
        </w:rPr>
        <w:t>,</w:t>
      </w:r>
    </w:p>
    <w:p w14:paraId="5246606D" w14:textId="77777777" w:rsidR="00634B42" w:rsidRDefault="00634B42" w:rsidP="00634B42">
      <w:pPr>
        <w:tabs>
          <w:tab w:val="left" w:pos="922"/>
        </w:tabs>
        <w:rPr>
          <w:rFonts w:ascii="Times New Roman" w:hAnsi="Times New Roman" w:cs="Times New Roman"/>
          <w:sz w:val="28"/>
          <w:szCs w:val="28"/>
        </w:rPr>
      </w:pPr>
      <w:r>
        <w:rPr>
          <w:rFonts w:ascii="Times New Roman" w:hAnsi="Times New Roman" w:cs="Times New Roman"/>
          <w:sz w:val="28"/>
          <w:szCs w:val="28"/>
        </w:rPr>
        <w:t>gdzie: α – współczynnik absolutnej awersji do ryzyka rolnika.</w:t>
      </w:r>
    </w:p>
    <w:p w14:paraId="70EE1B59" w14:textId="77777777" w:rsidR="00634B42" w:rsidRDefault="00634B42" w:rsidP="00634B42">
      <w:pPr>
        <w:jc w:val="both"/>
        <w:rPr>
          <w:rFonts w:ascii="Times New Roman" w:hAnsi="Times New Roman" w:cs="Times New Roman"/>
          <w:sz w:val="28"/>
          <w:szCs w:val="28"/>
        </w:rPr>
      </w:pPr>
      <w:r>
        <w:rPr>
          <w:rFonts w:ascii="Times New Roman" w:hAnsi="Times New Roman" w:cs="Times New Roman"/>
          <w:sz w:val="28"/>
          <w:szCs w:val="28"/>
        </w:rPr>
        <w:t>Po przyrównaniu do zera warunku pierwszego rzędu istnienia maksimum funkcji użyteczności oczekiwanej otrzymujemy warunek wyboru optymalnego pokrycia ochroną ubezpieczeniową (sumy ubezpieczeniowej):</w:t>
      </w:r>
    </w:p>
    <w:p w14:paraId="799C18CB" w14:textId="77777777" w:rsidR="00634B42" w:rsidRDefault="00634B42" w:rsidP="00634B42">
      <w:pPr>
        <w:tabs>
          <w:tab w:val="left" w:pos="3721"/>
        </w:tabs>
        <w:jc w:val="center"/>
        <w:rPr>
          <w:rFonts w:ascii="Times New Roman" w:hAnsi="Times New Roman" w:cs="Times New Roman"/>
          <w:sz w:val="28"/>
          <w:szCs w:val="28"/>
        </w:rPr>
      </w:pPr>
      <w:r w:rsidRPr="00092750">
        <w:rPr>
          <w:rFonts w:ascii="Times New Roman" w:hAnsi="Times New Roman" w:cs="Times New Roman"/>
          <w:position w:val="-28"/>
          <w:sz w:val="28"/>
          <w:szCs w:val="28"/>
        </w:rPr>
        <w:object w:dxaOrig="3019" w:dyaOrig="700" w14:anchorId="5AA67F48">
          <v:shape id="_x0000_i1034" type="#_x0000_t75" style="width:151.5pt;height:36.5pt" o:ole="">
            <v:imagedata r:id="rId33" o:title=""/>
          </v:shape>
          <o:OLEObject Type="Embed" ProgID="Equation.DSMT4" ShapeID="_x0000_i1034" DrawAspect="Content" ObjectID="_1799840605" r:id="rId34"/>
        </w:object>
      </w:r>
    </w:p>
    <w:p w14:paraId="74702080" w14:textId="77777777" w:rsidR="00634B42" w:rsidRDefault="00634B42" w:rsidP="00634B42">
      <w:pPr>
        <w:jc w:val="both"/>
        <w:rPr>
          <w:rFonts w:ascii="Times New Roman" w:hAnsi="Times New Roman" w:cs="Times New Roman"/>
          <w:sz w:val="28"/>
          <w:szCs w:val="28"/>
        </w:rPr>
      </w:pPr>
      <w:r>
        <w:rPr>
          <w:rFonts w:ascii="Times New Roman" w:hAnsi="Times New Roman" w:cs="Times New Roman"/>
          <w:sz w:val="28"/>
          <w:szCs w:val="28"/>
        </w:rPr>
        <w:t>Jeśli rolnik wykazuje awersję do ryzyka, prawa strona powyższego równania musi być ujemna. Oznacza to, że może być on bardziej skłonny zapłacić więcej za ubezpieczenie niż oczekiwana wartość odszkodowania, o ile taka dodatkowa ochrona zredukuje zmienność jego zysku operacyjnego. Innymi słowy, rolnik taki mógłby być nawet zainteresowany zakupem ubezpieczenia niesprawiedliwego aktuarialnie. W rzeczywistości jego decyzja zakupowa jest daleko bardziej skomplikowana, co oddaje poniższa formuła funkcyjna na optymalną wysokość sumy ubezpieczeniowej:</w:t>
      </w:r>
    </w:p>
    <w:p w14:paraId="0C9BB8FA" w14:textId="77777777" w:rsidR="00634B42" w:rsidRDefault="00634B42" w:rsidP="00634B42">
      <w:pPr>
        <w:rPr>
          <w:rFonts w:ascii="Times New Roman" w:hAnsi="Times New Roman" w:cs="Times New Roman"/>
          <w:sz w:val="28"/>
          <w:szCs w:val="28"/>
        </w:rPr>
      </w:pPr>
    </w:p>
    <w:p w14:paraId="4D1406A4" w14:textId="77777777" w:rsidR="00634B42" w:rsidRDefault="00634B42" w:rsidP="00634B42">
      <w:pPr>
        <w:tabs>
          <w:tab w:val="left" w:pos="3168"/>
        </w:tabs>
        <w:rPr>
          <w:rFonts w:ascii="Times New Roman" w:hAnsi="Times New Roman" w:cs="Times New Roman"/>
          <w:sz w:val="28"/>
          <w:szCs w:val="28"/>
        </w:rPr>
      </w:pPr>
      <w:r>
        <w:rPr>
          <w:rFonts w:ascii="Times New Roman" w:hAnsi="Times New Roman" w:cs="Times New Roman"/>
          <w:sz w:val="28"/>
          <w:szCs w:val="28"/>
        </w:rPr>
        <w:lastRenderedPageBreak/>
        <w:tab/>
      </w:r>
      <w:r w:rsidRPr="003118BA">
        <w:rPr>
          <w:rFonts w:ascii="Times New Roman" w:hAnsi="Times New Roman" w:cs="Times New Roman"/>
          <w:position w:val="-14"/>
          <w:sz w:val="28"/>
          <w:szCs w:val="28"/>
        </w:rPr>
        <w:object w:dxaOrig="2060" w:dyaOrig="400" w14:anchorId="406DDDEC">
          <v:shape id="_x0000_i1035" type="#_x0000_t75" style="width:101pt;height:22pt" o:ole="">
            <v:imagedata r:id="rId35" o:title=""/>
          </v:shape>
          <o:OLEObject Type="Embed" ProgID="Equation.DSMT4" ShapeID="_x0000_i1035" DrawAspect="Content" ObjectID="_1799840606" r:id="rId36"/>
        </w:object>
      </w:r>
    </w:p>
    <w:p w14:paraId="144FA7C9" w14:textId="77777777" w:rsidR="00634B42" w:rsidRDefault="00634B42" w:rsidP="00634B42">
      <w:pPr>
        <w:ind w:firstLine="709"/>
        <w:jc w:val="both"/>
        <w:rPr>
          <w:rFonts w:ascii="Times New Roman" w:hAnsi="Times New Roman" w:cs="Times New Roman"/>
          <w:sz w:val="28"/>
          <w:szCs w:val="28"/>
        </w:rPr>
      </w:pPr>
      <w:r>
        <w:rPr>
          <w:rFonts w:ascii="Times New Roman" w:hAnsi="Times New Roman" w:cs="Times New Roman"/>
          <w:sz w:val="28"/>
          <w:szCs w:val="28"/>
        </w:rPr>
        <w:t>Jeśli zróżniczkujemy wzór na maksymalizację wartości oczekiwanej rentowności kapitału własnego względem D i wynik przyrównamy do zera, to otrzymamy ogólne wyrażenie na optymalny poziom zadłużenia producenta rolnego:</w:t>
      </w:r>
    </w:p>
    <w:p w14:paraId="4EE47434" w14:textId="77777777" w:rsidR="00634B42" w:rsidRDefault="00634B42" w:rsidP="00634B42">
      <w:pPr>
        <w:jc w:val="center"/>
        <w:rPr>
          <w:rFonts w:ascii="Times New Roman" w:hAnsi="Times New Roman" w:cs="Times New Roman"/>
          <w:sz w:val="28"/>
          <w:szCs w:val="28"/>
        </w:rPr>
      </w:pPr>
      <w:r w:rsidRPr="003118BA">
        <w:rPr>
          <w:rFonts w:ascii="Times New Roman" w:hAnsi="Times New Roman" w:cs="Times New Roman"/>
          <w:position w:val="-36"/>
          <w:sz w:val="28"/>
          <w:szCs w:val="28"/>
        </w:rPr>
        <w:object w:dxaOrig="4000" w:dyaOrig="800" w14:anchorId="51E78EBC">
          <v:shape id="_x0000_i1036" type="#_x0000_t75" style="width:201.5pt;height:43pt" o:ole="">
            <v:imagedata r:id="rId37" o:title=""/>
          </v:shape>
          <o:OLEObject Type="Embed" ProgID="Equation.DSMT4" ShapeID="_x0000_i1036" DrawAspect="Content" ObjectID="_1799840607" r:id="rId38"/>
        </w:object>
      </w:r>
      <w:r>
        <w:rPr>
          <w:rFonts w:ascii="Times New Roman" w:hAnsi="Times New Roman" w:cs="Times New Roman"/>
          <w:sz w:val="28"/>
          <w:szCs w:val="28"/>
        </w:rPr>
        <w:t>.</w:t>
      </w:r>
    </w:p>
    <w:p w14:paraId="2D4AD2D9" w14:textId="77777777" w:rsidR="00634B42" w:rsidRDefault="00634B42" w:rsidP="00634B42">
      <w:pPr>
        <w:jc w:val="both"/>
        <w:rPr>
          <w:rFonts w:ascii="Times New Roman" w:hAnsi="Times New Roman" w:cs="Times New Roman"/>
          <w:sz w:val="28"/>
          <w:szCs w:val="28"/>
        </w:rPr>
      </w:pPr>
      <w:r>
        <w:rPr>
          <w:rFonts w:ascii="Times New Roman" w:hAnsi="Times New Roman" w:cs="Times New Roman"/>
          <w:sz w:val="28"/>
          <w:szCs w:val="28"/>
        </w:rPr>
        <w:t xml:space="preserve">Po odpowiednim przekształceniu w celu wyrażenia optymalnego długu jako funkcji parametrów i powiązaniu go z sumą ubezpieczeniową otrzymamy: </w:t>
      </w:r>
    </w:p>
    <w:p w14:paraId="2A878E26" w14:textId="77777777" w:rsidR="00634B42" w:rsidRDefault="00634B42" w:rsidP="00634B42">
      <w:pPr>
        <w:jc w:val="center"/>
        <w:rPr>
          <w:rFonts w:ascii="Times New Roman" w:hAnsi="Times New Roman" w:cs="Times New Roman"/>
          <w:sz w:val="28"/>
          <w:szCs w:val="28"/>
        </w:rPr>
      </w:pPr>
      <w:r w:rsidRPr="00EA3425">
        <w:rPr>
          <w:rFonts w:ascii="Times New Roman" w:hAnsi="Times New Roman" w:cs="Times New Roman"/>
          <w:position w:val="-32"/>
          <w:sz w:val="28"/>
          <w:szCs w:val="28"/>
        </w:rPr>
        <w:object w:dxaOrig="4320" w:dyaOrig="760" w14:anchorId="3B5BA0A2">
          <v:shape id="_x0000_i1037" type="#_x0000_t75" style="width:3in;height:35.5pt" o:ole="">
            <v:imagedata r:id="rId39" o:title=""/>
          </v:shape>
          <o:OLEObject Type="Embed" ProgID="Equation.DSMT4" ShapeID="_x0000_i1037" DrawAspect="Content" ObjectID="_1799840608" r:id="rId40"/>
        </w:object>
      </w:r>
    </w:p>
    <w:p w14:paraId="2D650DF0" w14:textId="77777777" w:rsidR="00634B42" w:rsidRDefault="00634B42" w:rsidP="00132C4F">
      <w:pPr>
        <w:jc w:val="both"/>
        <w:rPr>
          <w:rFonts w:ascii="Times New Roman" w:hAnsi="Times New Roman" w:cs="Times New Roman"/>
          <w:sz w:val="28"/>
          <w:szCs w:val="28"/>
        </w:rPr>
      </w:pPr>
      <w:r>
        <w:rPr>
          <w:rFonts w:ascii="Times New Roman" w:hAnsi="Times New Roman" w:cs="Times New Roman"/>
          <w:sz w:val="28"/>
          <w:szCs w:val="28"/>
        </w:rPr>
        <w:t>W warunkach równowagi widzimy, że optymalny poziom zadłużenia jest ujemnie skorelowany z awersją do ryzyka, stałą płatnością odsetek i zmiennością ryzyka biznesowego. Jeśli natomiast wzrośnie oczekiwany dochód gospodarstwa, optymalny dług może też wzrosnąć. Z kolei dla ustalonej wielkości sumy ubezpieczeniowej wzrost odszkodowania może zwiększyć taki dług, ale gdy przychody przyrosną o kwotę równą:</w:t>
      </w:r>
    </w:p>
    <w:p w14:paraId="18D48AA1" w14:textId="77777777" w:rsidR="00634B42" w:rsidRDefault="00634B42" w:rsidP="00634B42">
      <w:pPr>
        <w:rPr>
          <w:rFonts w:ascii="Times New Roman" w:hAnsi="Times New Roman" w:cs="Times New Roman"/>
          <w:sz w:val="28"/>
          <w:szCs w:val="28"/>
        </w:rPr>
      </w:pPr>
    </w:p>
    <w:p w14:paraId="2CD6FF2F" w14:textId="77777777" w:rsidR="00634B42" w:rsidRDefault="00634B42" w:rsidP="00634B42">
      <w:pPr>
        <w:tabs>
          <w:tab w:val="left" w:pos="3537"/>
        </w:tabs>
        <w:rPr>
          <w:rFonts w:ascii="Times New Roman" w:hAnsi="Times New Roman" w:cs="Times New Roman"/>
          <w:sz w:val="28"/>
          <w:szCs w:val="28"/>
        </w:rPr>
      </w:pPr>
      <w:r>
        <w:rPr>
          <w:rFonts w:ascii="Times New Roman" w:hAnsi="Times New Roman" w:cs="Times New Roman"/>
          <w:sz w:val="28"/>
          <w:szCs w:val="28"/>
        </w:rPr>
        <w:tab/>
      </w:r>
      <w:r w:rsidRPr="0092488B">
        <w:rPr>
          <w:rFonts w:ascii="Times New Roman" w:hAnsi="Times New Roman" w:cs="Times New Roman"/>
          <w:position w:val="-32"/>
          <w:sz w:val="28"/>
          <w:szCs w:val="28"/>
        </w:rPr>
        <w:object w:dxaOrig="3080" w:dyaOrig="740" w14:anchorId="452E34A1">
          <v:shape id="_x0000_i1038" type="#_x0000_t75" style="width:151.5pt;height:36.5pt" o:ole="">
            <v:imagedata r:id="rId41" o:title=""/>
          </v:shape>
          <o:OLEObject Type="Embed" ProgID="Equation.DSMT4" ShapeID="_x0000_i1038" DrawAspect="Content" ObjectID="_1799840609" r:id="rId42"/>
        </w:object>
      </w:r>
    </w:p>
    <w:p w14:paraId="4F08667F" w14:textId="77777777" w:rsidR="00634B42" w:rsidRDefault="00634B42" w:rsidP="00634B42">
      <w:pPr>
        <w:rPr>
          <w:rFonts w:ascii="Times New Roman" w:hAnsi="Times New Roman" w:cs="Times New Roman"/>
          <w:sz w:val="28"/>
          <w:szCs w:val="28"/>
        </w:rPr>
      </w:pPr>
    </w:p>
    <w:p w14:paraId="1050E75D" w14:textId="77777777" w:rsidR="00634B42" w:rsidRDefault="00634B42" w:rsidP="00634B42">
      <w:pPr>
        <w:rPr>
          <w:rFonts w:ascii="Times New Roman" w:hAnsi="Times New Roman" w:cs="Times New Roman"/>
          <w:sz w:val="28"/>
          <w:szCs w:val="28"/>
        </w:rPr>
      </w:pPr>
      <w:r>
        <w:rPr>
          <w:rFonts w:ascii="Times New Roman" w:hAnsi="Times New Roman" w:cs="Times New Roman"/>
          <w:sz w:val="28"/>
          <w:szCs w:val="28"/>
        </w:rPr>
        <w:t xml:space="preserve">To ostatnie wyrażenie oddaje nam istotę </w:t>
      </w:r>
      <w:r w:rsidRPr="00F6560A">
        <w:rPr>
          <w:rFonts w:ascii="Times New Roman" w:hAnsi="Times New Roman" w:cs="Times New Roman"/>
          <w:i/>
          <w:iCs/>
          <w:sz w:val="28"/>
          <w:szCs w:val="28"/>
        </w:rPr>
        <w:t>a risk balancing</w:t>
      </w:r>
      <w:r>
        <w:rPr>
          <w:rFonts w:ascii="Times New Roman" w:hAnsi="Times New Roman" w:cs="Times New Roman"/>
          <w:sz w:val="28"/>
          <w:szCs w:val="28"/>
        </w:rPr>
        <w:t>.</w:t>
      </w:r>
    </w:p>
    <w:p w14:paraId="0AC88A5E" w14:textId="77777777" w:rsidR="00634B42" w:rsidRDefault="00634B42" w:rsidP="00634B42">
      <w:pPr>
        <w:ind w:firstLine="708"/>
        <w:jc w:val="both"/>
        <w:rPr>
          <w:rFonts w:ascii="Times New Roman" w:hAnsi="Times New Roman" w:cs="Times New Roman"/>
          <w:sz w:val="28"/>
          <w:szCs w:val="28"/>
        </w:rPr>
      </w:pPr>
      <w:r>
        <w:rPr>
          <w:rFonts w:ascii="Times New Roman" w:hAnsi="Times New Roman" w:cs="Times New Roman"/>
          <w:sz w:val="28"/>
          <w:szCs w:val="28"/>
        </w:rPr>
        <w:t>Problemy równoczesnego podejmowania decyzji ubezpieczeniowych i finansowych najczęściej bada się empirycznie za pomocą modelu równań równoczesnych (</w:t>
      </w:r>
      <w:r w:rsidRPr="00F6560A">
        <w:rPr>
          <w:rFonts w:ascii="Times New Roman" w:hAnsi="Times New Roman" w:cs="Times New Roman"/>
          <w:i/>
          <w:iCs/>
          <w:sz w:val="28"/>
          <w:szCs w:val="28"/>
        </w:rPr>
        <w:t>a simultaneous equations model</w:t>
      </w:r>
      <w:r>
        <w:rPr>
          <w:rFonts w:ascii="Times New Roman" w:hAnsi="Times New Roman" w:cs="Times New Roman"/>
          <w:sz w:val="28"/>
          <w:szCs w:val="28"/>
        </w:rPr>
        <w:t>, SEM). Rozwiązanie to zastosowali również DeLay i in., konstruując dwa poniższe równania:</w:t>
      </w:r>
    </w:p>
    <w:p w14:paraId="4A70F8BC" w14:textId="77777777" w:rsidR="00634B42" w:rsidRDefault="00634B42" w:rsidP="00634B42">
      <w:pPr>
        <w:tabs>
          <w:tab w:val="left" w:pos="3548"/>
        </w:tabs>
        <w:jc w:val="center"/>
        <w:rPr>
          <w:rFonts w:ascii="Times New Roman" w:hAnsi="Times New Roman" w:cs="Times New Roman"/>
          <w:sz w:val="28"/>
          <w:szCs w:val="28"/>
        </w:rPr>
      </w:pPr>
      <w:r w:rsidRPr="0092488B">
        <w:rPr>
          <w:rFonts w:ascii="Times New Roman" w:hAnsi="Times New Roman" w:cs="Times New Roman"/>
          <w:position w:val="-14"/>
          <w:sz w:val="28"/>
          <w:szCs w:val="28"/>
        </w:rPr>
        <w:object w:dxaOrig="6000" w:dyaOrig="400" w14:anchorId="18A5CCCC">
          <v:shape id="_x0000_i1039" type="#_x0000_t75" style="width:302.5pt;height:22pt" o:ole="">
            <v:imagedata r:id="rId43" o:title=""/>
          </v:shape>
          <o:OLEObject Type="Embed" ProgID="Equation.DSMT4" ShapeID="_x0000_i1039" DrawAspect="Content" ObjectID="_1799840610" r:id="rId44"/>
        </w:object>
      </w:r>
    </w:p>
    <w:p w14:paraId="6B03342A" w14:textId="77777777" w:rsidR="00634B42" w:rsidRDefault="00634B42" w:rsidP="00634B42">
      <w:pPr>
        <w:ind w:firstLine="708"/>
        <w:jc w:val="center"/>
        <w:rPr>
          <w:rFonts w:ascii="Times New Roman" w:hAnsi="Times New Roman" w:cs="Times New Roman"/>
          <w:sz w:val="28"/>
          <w:szCs w:val="28"/>
        </w:rPr>
      </w:pPr>
      <w:r w:rsidRPr="003068F9">
        <w:rPr>
          <w:rFonts w:ascii="Times New Roman" w:hAnsi="Times New Roman" w:cs="Times New Roman"/>
          <w:position w:val="-14"/>
          <w:sz w:val="28"/>
          <w:szCs w:val="28"/>
        </w:rPr>
        <w:object w:dxaOrig="5400" w:dyaOrig="400" w14:anchorId="2BAE6C74">
          <v:shape id="_x0000_i1040" type="#_x0000_t75" style="width:273pt;height:22pt" o:ole="">
            <v:imagedata r:id="rId45" o:title=""/>
          </v:shape>
          <o:OLEObject Type="Embed" ProgID="Equation.DSMT4" ShapeID="_x0000_i1040" DrawAspect="Content" ObjectID="_1799840611" r:id="rId46"/>
        </w:object>
      </w:r>
    </w:p>
    <w:p w14:paraId="74F5105D" w14:textId="77777777" w:rsidR="00634B42" w:rsidRDefault="00634B42" w:rsidP="00634B42">
      <w:pPr>
        <w:jc w:val="both"/>
        <w:rPr>
          <w:rFonts w:ascii="Times New Roman" w:hAnsi="Times New Roman" w:cs="Times New Roman"/>
          <w:sz w:val="28"/>
          <w:szCs w:val="28"/>
        </w:rPr>
      </w:pPr>
      <w:r>
        <w:rPr>
          <w:rFonts w:ascii="Times New Roman" w:hAnsi="Times New Roman" w:cs="Times New Roman"/>
          <w:sz w:val="28"/>
          <w:szCs w:val="28"/>
        </w:rPr>
        <w:t>gdzie: Debt</w:t>
      </w:r>
      <w:r w:rsidRPr="003068F9">
        <w:rPr>
          <w:rFonts w:ascii="Times New Roman" w:hAnsi="Times New Roman" w:cs="Times New Roman"/>
          <w:sz w:val="28"/>
          <w:szCs w:val="28"/>
          <w:vertAlign w:val="subscript"/>
        </w:rPr>
        <w:t>i,t</w:t>
      </w:r>
      <w:r>
        <w:rPr>
          <w:rFonts w:ascii="Times New Roman" w:hAnsi="Times New Roman" w:cs="Times New Roman"/>
          <w:sz w:val="28"/>
          <w:szCs w:val="28"/>
        </w:rPr>
        <w:t>, Liab</w:t>
      </w:r>
      <w:r w:rsidRPr="003068F9">
        <w:rPr>
          <w:rFonts w:ascii="Times New Roman" w:hAnsi="Times New Roman" w:cs="Times New Roman"/>
          <w:sz w:val="28"/>
          <w:szCs w:val="28"/>
          <w:vertAlign w:val="subscript"/>
        </w:rPr>
        <w:t xml:space="preserve">i,t </w:t>
      </w:r>
      <w:r>
        <w:rPr>
          <w:rFonts w:ascii="Times New Roman" w:hAnsi="Times New Roman" w:cs="Times New Roman"/>
          <w:sz w:val="28"/>
          <w:szCs w:val="28"/>
        </w:rPr>
        <w:t xml:space="preserve">– odpowiednio dług i suma ubezpieczeniowa w gospodarstwie </w:t>
      </w:r>
      <w:r w:rsidRPr="00F6560A">
        <w:rPr>
          <w:rFonts w:ascii="Times New Roman" w:hAnsi="Times New Roman" w:cs="Times New Roman"/>
          <w:i/>
          <w:iCs/>
          <w:sz w:val="28"/>
          <w:szCs w:val="28"/>
        </w:rPr>
        <w:t>i</w:t>
      </w:r>
      <w:r>
        <w:rPr>
          <w:rFonts w:ascii="Times New Roman" w:hAnsi="Times New Roman" w:cs="Times New Roman"/>
          <w:sz w:val="28"/>
          <w:szCs w:val="28"/>
        </w:rPr>
        <w:t xml:space="preserve"> w roku </w:t>
      </w:r>
      <w:r w:rsidRPr="00F6560A">
        <w:rPr>
          <w:rFonts w:ascii="Times New Roman" w:hAnsi="Times New Roman" w:cs="Times New Roman"/>
          <w:i/>
          <w:iCs/>
          <w:sz w:val="28"/>
          <w:szCs w:val="28"/>
        </w:rPr>
        <w:t>t</w:t>
      </w:r>
      <w:r>
        <w:rPr>
          <w:rFonts w:ascii="Times New Roman" w:hAnsi="Times New Roman" w:cs="Times New Roman"/>
          <w:sz w:val="28"/>
          <w:szCs w:val="28"/>
        </w:rPr>
        <w:t>; tą ostatnią wyrażono również jako iloraz wydatków ubezpieczeniowych rolników i stopy składki ubezpieczeniowej; Ind</w:t>
      </w:r>
      <w:r w:rsidRPr="003068F9">
        <w:rPr>
          <w:rFonts w:ascii="Times New Roman" w:hAnsi="Times New Roman" w:cs="Times New Roman"/>
          <w:sz w:val="28"/>
          <w:szCs w:val="28"/>
          <w:vertAlign w:val="subscript"/>
        </w:rPr>
        <w:t xml:space="preserve">i,t </w:t>
      </w:r>
      <w:r>
        <w:rPr>
          <w:rFonts w:ascii="Times New Roman" w:hAnsi="Times New Roman" w:cs="Times New Roman"/>
          <w:sz w:val="28"/>
          <w:szCs w:val="28"/>
        </w:rPr>
        <w:t xml:space="preserve">– odszkodowanie; </w:t>
      </w:r>
      <w:r>
        <w:rPr>
          <w:rFonts w:ascii="Times New Roman" w:hAnsi="Times New Roman" w:cs="Times New Roman"/>
          <w:sz w:val="28"/>
          <w:szCs w:val="28"/>
        </w:rPr>
        <w:lastRenderedPageBreak/>
        <w:t>IntRate</w:t>
      </w:r>
      <w:r w:rsidRPr="003068F9">
        <w:rPr>
          <w:rFonts w:ascii="Times New Roman" w:hAnsi="Times New Roman" w:cs="Times New Roman"/>
          <w:sz w:val="28"/>
          <w:szCs w:val="28"/>
          <w:vertAlign w:val="subscript"/>
        </w:rPr>
        <w:t>i,t</w:t>
      </w:r>
      <w:r>
        <w:rPr>
          <w:rFonts w:ascii="Times New Roman" w:hAnsi="Times New Roman" w:cs="Times New Roman"/>
          <w:sz w:val="28"/>
          <w:szCs w:val="28"/>
        </w:rPr>
        <w:t xml:space="preserve"> – oprocentowanie długu; Prem Rate</w:t>
      </w:r>
      <w:r w:rsidRPr="003068F9">
        <w:rPr>
          <w:rFonts w:ascii="Times New Roman" w:hAnsi="Times New Roman" w:cs="Times New Roman"/>
          <w:sz w:val="28"/>
          <w:szCs w:val="28"/>
          <w:vertAlign w:val="subscript"/>
        </w:rPr>
        <w:t xml:space="preserve">i,t </w:t>
      </w:r>
      <w:r>
        <w:rPr>
          <w:rFonts w:ascii="Times New Roman" w:hAnsi="Times New Roman" w:cs="Times New Roman"/>
          <w:sz w:val="28"/>
          <w:szCs w:val="28"/>
        </w:rPr>
        <w:t>– stopa składki ubezpieczeniowej, tj. iloraz, w liczniku którego znajduje się różnica między składką a otrzymanym subsydium do niej, a w mianowniku suma ubezpieczeniowa; X – wektor zmiennych kontrolnych (dochody, koszty, uprawiany areał, wiek kierownika, typ gospodarstwa, aktywa); τ</w:t>
      </w:r>
      <w:r w:rsidRPr="005366D0">
        <w:rPr>
          <w:rFonts w:ascii="Times New Roman" w:hAnsi="Times New Roman" w:cs="Times New Roman"/>
          <w:sz w:val="28"/>
          <w:szCs w:val="28"/>
          <w:vertAlign w:val="subscript"/>
        </w:rPr>
        <w:t>t</w:t>
      </w:r>
      <w:r>
        <w:rPr>
          <w:rFonts w:ascii="Times New Roman" w:hAnsi="Times New Roman" w:cs="Times New Roman"/>
          <w:sz w:val="28"/>
          <w:szCs w:val="28"/>
        </w:rPr>
        <w:t xml:space="preserve"> i λ</w:t>
      </w:r>
      <w:r w:rsidRPr="005366D0">
        <w:rPr>
          <w:rFonts w:ascii="Times New Roman" w:hAnsi="Times New Roman" w:cs="Times New Roman"/>
          <w:sz w:val="28"/>
          <w:szCs w:val="28"/>
          <w:vertAlign w:val="subscript"/>
        </w:rPr>
        <w:t>t</w:t>
      </w:r>
      <w:r>
        <w:rPr>
          <w:rFonts w:ascii="Times New Roman" w:hAnsi="Times New Roman" w:cs="Times New Roman"/>
          <w:sz w:val="28"/>
          <w:szCs w:val="28"/>
        </w:rPr>
        <w:t xml:space="preserve"> – efekty stałe; μ</w:t>
      </w:r>
      <w:r w:rsidRPr="005366D0">
        <w:rPr>
          <w:rFonts w:ascii="Times New Roman" w:hAnsi="Times New Roman" w:cs="Times New Roman"/>
          <w:sz w:val="28"/>
          <w:szCs w:val="28"/>
          <w:vertAlign w:val="subscript"/>
        </w:rPr>
        <w:t>i</w:t>
      </w:r>
      <w:r>
        <w:rPr>
          <w:rFonts w:ascii="Times New Roman" w:hAnsi="Times New Roman" w:cs="Times New Roman"/>
          <w:sz w:val="28"/>
          <w:szCs w:val="28"/>
        </w:rPr>
        <w:t xml:space="preserve"> i σ</w:t>
      </w:r>
      <w:r w:rsidRPr="005366D0">
        <w:rPr>
          <w:rFonts w:ascii="Times New Roman" w:hAnsi="Times New Roman" w:cs="Times New Roman"/>
          <w:sz w:val="28"/>
          <w:szCs w:val="28"/>
          <w:vertAlign w:val="subscript"/>
        </w:rPr>
        <w:t>i</w:t>
      </w:r>
      <w:r>
        <w:rPr>
          <w:rFonts w:ascii="Times New Roman" w:hAnsi="Times New Roman" w:cs="Times New Roman"/>
          <w:sz w:val="28"/>
          <w:szCs w:val="28"/>
        </w:rPr>
        <w:t xml:space="preserve"> – nieobserwowane charakterystyki gospodarstw, niezmieniające się w czasie, ale oddziaływujące jednak na decyzje ubezpieczeniowe i dotyczące zadłużania się (jakość gleb, agroklimat, awersja do ryzyka kierownika gospodarstwa;  β</w:t>
      </w:r>
      <w:r w:rsidRPr="005366D0">
        <w:rPr>
          <w:rFonts w:ascii="Times New Roman" w:hAnsi="Times New Roman" w:cs="Times New Roman"/>
          <w:sz w:val="28"/>
          <w:szCs w:val="28"/>
          <w:vertAlign w:val="subscript"/>
        </w:rPr>
        <w:t>1</w:t>
      </w:r>
      <w:r>
        <w:rPr>
          <w:rFonts w:ascii="Times New Roman" w:hAnsi="Times New Roman" w:cs="Times New Roman"/>
          <w:sz w:val="28"/>
          <w:szCs w:val="28"/>
        </w:rPr>
        <w:t>,β</w:t>
      </w:r>
      <w:r w:rsidRPr="005366D0">
        <w:rPr>
          <w:rFonts w:ascii="Times New Roman" w:hAnsi="Times New Roman" w:cs="Times New Roman"/>
          <w:sz w:val="28"/>
          <w:szCs w:val="28"/>
          <w:vertAlign w:val="subscript"/>
        </w:rPr>
        <w:t>2</w:t>
      </w:r>
      <w:r>
        <w:rPr>
          <w:rFonts w:ascii="Times New Roman" w:hAnsi="Times New Roman" w:cs="Times New Roman"/>
          <w:sz w:val="28"/>
          <w:szCs w:val="28"/>
        </w:rPr>
        <w:t>,Y</w:t>
      </w:r>
      <w:r w:rsidRPr="005366D0">
        <w:rPr>
          <w:rFonts w:ascii="Times New Roman" w:hAnsi="Times New Roman" w:cs="Times New Roman"/>
          <w:sz w:val="28"/>
          <w:szCs w:val="28"/>
          <w:vertAlign w:val="subscript"/>
        </w:rPr>
        <w:t>1</w:t>
      </w:r>
      <w:r>
        <w:rPr>
          <w:rFonts w:ascii="Times New Roman" w:hAnsi="Times New Roman" w:cs="Times New Roman"/>
          <w:sz w:val="28"/>
          <w:szCs w:val="28"/>
        </w:rPr>
        <w:t xml:space="preserve"> – współczynniki do oszacowania, które służyły w pierwszym rzędzie do weryfikacji hipotezy o występowaniu w badanej próbie panelowej – ponad 3 tys. farm ze stanu Kansas za lata 2002-2018 – zjawiska </w:t>
      </w:r>
      <w:r w:rsidRPr="008606DB">
        <w:rPr>
          <w:rFonts w:ascii="Times New Roman" w:hAnsi="Times New Roman" w:cs="Times New Roman"/>
          <w:i/>
          <w:iCs/>
          <w:sz w:val="28"/>
          <w:szCs w:val="28"/>
        </w:rPr>
        <w:t>a risk balancing</w:t>
      </w:r>
      <w:r>
        <w:rPr>
          <w:rFonts w:ascii="Times New Roman" w:hAnsi="Times New Roman" w:cs="Times New Roman"/>
          <w:sz w:val="28"/>
          <w:szCs w:val="28"/>
        </w:rPr>
        <w:t>. Stosowane obliczenia wykorzystano z użyciem podwójnej metody najmniejszych kwadratów. Generalnie ustalono, że nie występowała statystycznie istotna zależność między sumą ubezpieczeniową a długiem; ergo: nie można przyjąć hipotezy występowania a risk balancing w badanej populacji. Równocześnie uzyskano, że zainkasowanie odszkodowań zwiększało stan zadłużenia krótkoterminowego, ale nie zmieniało poziomu długu całkowitego.</w:t>
      </w:r>
    </w:p>
    <w:p w14:paraId="56B5E05A" w14:textId="77777777" w:rsidR="009B0352" w:rsidRDefault="009B0352" w:rsidP="009B0352">
      <w:pPr>
        <w:spacing w:line="264" w:lineRule="auto"/>
        <w:ind w:firstLine="708"/>
        <w:jc w:val="both"/>
        <w:rPr>
          <w:rFonts w:ascii="Times New Roman" w:hAnsi="Times New Roman" w:cs="Times New Roman"/>
          <w:sz w:val="28"/>
          <w:szCs w:val="28"/>
        </w:rPr>
      </w:pPr>
      <w:r>
        <w:rPr>
          <w:rFonts w:ascii="Times New Roman" w:hAnsi="Times New Roman" w:cs="Times New Roman"/>
          <w:sz w:val="28"/>
          <w:szCs w:val="28"/>
        </w:rPr>
        <w:t>Dominującym punktem odniesienia w analizie mechanizmów i kanałów wpływu subsydiowania ubezpieczeń rolnych jest ich wpływ na strukturę upraw. Ramaswami (1993) zależności te modelował za pomocą funkcji produkcji z jednym lub wieloma nakładami w konwencji maksymalizowania użyteczności oczekiwanej rolnika. Wpływ samych zaś ubezpieczeń podzielił na dwa mechanizmy: redukcji ryzyka i hazardu moralnego (pokusy nadużycia). W konkluzji nie ustalił jednak jednoznacznego wpływu ubezpieczeń. Z kolei Eeckhoudt i in. (1997) oraz Hennessy (1998) w swoich modelach przyjęli, że decyzje rolników dotyczące ilości angażowanych przez nich ryzykownych aktywów (ziemi uprawnej) i nabywanych ubezpieczeń odbywają się równocześnie. Badacze ci przedstawili też formuły matematyczne, które pokazywały m.in., że zakup większej ochrony ubezpieczeniowej zwiększał inwestycje w uprawy bardziej ryzykowne, ale z drugiej strony wzrost składek ubezpieczeniowych je redukował. Co jeszcze ważniejsze to to, że Eeckhoudt i in. (1997) jako pierwsi wprowadzili rozróżnienie wpływu ubezpieczeń na ich efekty bezpośrednie i pośrednie.</w:t>
      </w:r>
    </w:p>
    <w:p w14:paraId="1A6CCB38" w14:textId="6B9EDC5C" w:rsidR="009B0352" w:rsidRDefault="009B0352" w:rsidP="009B0352">
      <w:pPr>
        <w:spacing w:line="264"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Do powyżej przywołanych badaczy, ale nie tylko, odwołali się Yu i Summer (2018), proponując pogłębioną analizę oddziaływania subsydiowania ubezpieczeń na wybór przez rolników proporcji między uprawami bardziej ryzykownymi, ale potencjalnie bardziej opłacalnymi, a uprawami, które charakteryzowała </w:t>
      </w:r>
      <w:r>
        <w:rPr>
          <w:rFonts w:ascii="Times New Roman" w:hAnsi="Times New Roman" w:cs="Times New Roman"/>
          <w:sz w:val="28"/>
          <w:szCs w:val="28"/>
        </w:rPr>
        <w:lastRenderedPageBreak/>
        <w:t>kombinacja: niższa ryzykowność – niższa opłacalność. Punktem wyjścia dla formalizacji matematycznej w pracy Yu i Summera był rysunek</w:t>
      </w:r>
      <w:r w:rsidR="00300569">
        <w:rPr>
          <w:rFonts w:ascii="Times New Roman" w:hAnsi="Times New Roman" w:cs="Times New Roman"/>
          <w:sz w:val="28"/>
          <w:szCs w:val="28"/>
        </w:rPr>
        <w:t xml:space="preserve"> 6</w:t>
      </w:r>
      <w:r>
        <w:rPr>
          <w:rFonts w:ascii="Times New Roman" w:hAnsi="Times New Roman" w:cs="Times New Roman"/>
          <w:sz w:val="28"/>
          <w:szCs w:val="28"/>
        </w:rPr>
        <w:t>.</w:t>
      </w:r>
    </w:p>
    <w:p w14:paraId="19142D44" w14:textId="563EF683" w:rsidR="009B0352" w:rsidRDefault="0001101B" w:rsidP="0001101B">
      <w:pPr>
        <w:spacing w:line="264" w:lineRule="auto"/>
        <w:rPr>
          <w:rFonts w:ascii="Times New Roman" w:hAnsi="Times New Roman" w:cs="Times New Roman"/>
          <w:sz w:val="28"/>
          <w:szCs w:val="28"/>
        </w:rPr>
      </w:pPr>
      <w:r w:rsidRPr="00300569">
        <w:rPr>
          <w:rFonts w:ascii="Times New Roman" w:hAnsi="Times New Roman" w:cs="Times New Roman"/>
          <w:b/>
          <w:bCs/>
          <w:sz w:val="28"/>
          <w:szCs w:val="28"/>
        </w:rPr>
        <w:t>Rysunek</w:t>
      </w:r>
      <w:r w:rsidR="00300569" w:rsidRPr="00300569">
        <w:rPr>
          <w:rFonts w:ascii="Times New Roman" w:hAnsi="Times New Roman" w:cs="Times New Roman"/>
          <w:b/>
          <w:bCs/>
          <w:sz w:val="28"/>
          <w:szCs w:val="28"/>
        </w:rPr>
        <w:t xml:space="preserve"> 6</w:t>
      </w:r>
      <w:r w:rsidRPr="00300569">
        <w:rPr>
          <w:rFonts w:ascii="Times New Roman" w:hAnsi="Times New Roman" w:cs="Times New Roman"/>
          <w:b/>
          <w:bCs/>
          <w:sz w:val="28"/>
          <w:szCs w:val="28"/>
        </w:rPr>
        <w:t>.</w:t>
      </w:r>
      <w:r>
        <w:rPr>
          <w:rFonts w:ascii="Times New Roman" w:hAnsi="Times New Roman" w:cs="Times New Roman"/>
          <w:sz w:val="28"/>
          <w:szCs w:val="28"/>
        </w:rPr>
        <w:t xml:space="preserve"> </w:t>
      </w:r>
      <w:r w:rsidR="009B0352">
        <w:rPr>
          <w:rFonts w:ascii="Times New Roman" w:hAnsi="Times New Roman" w:cs="Times New Roman"/>
          <w:sz w:val="28"/>
          <w:szCs w:val="28"/>
        </w:rPr>
        <w:t>Oddziaływania subsydiów do ubezpieczeń upraw na inwestycje w uprawy ryzykowniejsze</w:t>
      </w:r>
    </w:p>
    <w:p w14:paraId="36194C3E" w14:textId="77777777" w:rsidR="009B0352" w:rsidRDefault="009B0352" w:rsidP="009B0352">
      <w:pPr>
        <w:tabs>
          <w:tab w:val="left" w:pos="1090"/>
        </w:tabs>
        <w:spacing w:line="264" w:lineRule="auto"/>
        <w:rPr>
          <w:noProof/>
        </w:rPr>
      </w:pPr>
      <w:r>
        <w:rPr>
          <w:rFonts w:ascii="Times New Roman" w:hAnsi="Times New Roman" w:cs="Times New Roman"/>
          <w:sz w:val="28"/>
          <w:szCs w:val="28"/>
        </w:rPr>
        <w:tab/>
      </w:r>
      <w:r w:rsidRPr="0049094B">
        <w:rPr>
          <w:noProof/>
        </w:rPr>
        <w:drawing>
          <wp:inline distT="0" distB="0" distL="0" distR="0" wp14:anchorId="46BA80D1" wp14:editId="7BEC9BF4">
            <wp:extent cx="5760720" cy="4339590"/>
            <wp:effectExtent l="0" t="0" r="0" b="0"/>
            <wp:docPr id="14274816"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720" cy="4339590"/>
                    </a:xfrm>
                    <a:prstGeom prst="rect">
                      <a:avLst/>
                    </a:prstGeom>
                    <a:noFill/>
                    <a:ln>
                      <a:noFill/>
                    </a:ln>
                  </pic:spPr>
                </pic:pic>
              </a:graphicData>
            </a:graphic>
          </wp:inline>
        </w:drawing>
      </w:r>
    </w:p>
    <w:p w14:paraId="038EA564" w14:textId="77777777" w:rsidR="009B0352" w:rsidRDefault="009B0352" w:rsidP="009B0352">
      <w:pPr>
        <w:spacing w:line="264" w:lineRule="auto"/>
        <w:rPr>
          <w:noProof/>
        </w:rPr>
      </w:pPr>
    </w:p>
    <w:p w14:paraId="126BB004" w14:textId="77777777" w:rsidR="009B0352" w:rsidRPr="00990D0E" w:rsidRDefault="009B0352" w:rsidP="009B0352">
      <w:pPr>
        <w:tabs>
          <w:tab w:val="left" w:pos="1460"/>
        </w:tabs>
        <w:spacing w:line="264" w:lineRule="auto"/>
        <w:rPr>
          <w:rFonts w:ascii="Times New Roman" w:eastAsia="Times New Roman" w:hAnsi="Times New Roman" w:cs="Times New Roman"/>
          <w:i/>
          <w:iCs/>
          <w:spacing w:val="2"/>
          <w:kern w:val="0"/>
          <w:lang w:val="en-US" w:eastAsia="pl-PL"/>
          <w14:ligatures w14:val="none"/>
        </w:rPr>
      </w:pPr>
      <w:r w:rsidRPr="00990D0E">
        <w:rPr>
          <w:rFonts w:ascii="Times New Roman" w:eastAsia="Times New Roman" w:hAnsi="Times New Roman" w:cs="Times New Roman"/>
          <w:i/>
          <w:iCs/>
          <w:spacing w:val="2"/>
          <w:kern w:val="0"/>
          <w:lang w:val="en-US" w:eastAsia="pl-PL"/>
          <w14:ligatures w14:val="none"/>
        </w:rPr>
        <w:t xml:space="preserve">Źródło: opracowanie własne na podstawie: </w:t>
      </w:r>
      <w:bookmarkStart w:id="6" w:name="_Hlk172279320"/>
      <w:r w:rsidRPr="00990D0E">
        <w:rPr>
          <w:rFonts w:ascii="Times New Roman" w:eastAsia="Times New Roman" w:hAnsi="Times New Roman" w:cs="Times New Roman"/>
          <w:i/>
          <w:iCs/>
          <w:spacing w:val="2"/>
          <w:kern w:val="0"/>
          <w:lang w:val="en-US" w:eastAsia="pl-PL"/>
          <w14:ligatures w14:val="none"/>
        </w:rPr>
        <w:t>Yu J., Summer A.D. (2018), Effect</w:t>
      </w:r>
      <w:r>
        <w:rPr>
          <w:rFonts w:ascii="Times New Roman" w:eastAsia="Times New Roman" w:hAnsi="Times New Roman" w:cs="Times New Roman"/>
          <w:i/>
          <w:iCs/>
          <w:spacing w:val="2"/>
          <w:kern w:val="0"/>
          <w:lang w:val="en-US" w:eastAsia="pl-PL"/>
          <w14:ligatures w14:val="none"/>
        </w:rPr>
        <w:t>s</w:t>
      </w:r>
      <w:r w:rsidRPr="00990D0E">
        <w:rPr>
          <w:rFonts w:ascii="Times New Roman" w:eastAsia="Times New Roman" w:hAnsi="Times New Roman" w:cs="Times New Roman"/>
          <w:i/>
          <w:iCs/>
          <w:spacing w:val="2"/>
          <w:kern w:val="0"/>
          <w:lang w:val="en-US" w:eastAsia="pl-PL"/>
          <w14:ligatures w14:val="none"/>
        </w:rPr>
        <w:t xml:space="preserve"> of subsidized crop insurance on cr</w:t>
      </w:r>
      <w:r>
        <w:rPr>
          <w:rFonts w:ascii="Times New Roman" w:eastAsia="Times New Roman" w:hAnsi="Times New Roman" w:cs="Times New Roman"/>
          <w:i/>
          <w:iCs/>
          <w:spacing w:val="2"/>
          <w:kern w:val="0"/>
          <w:lang w:val="en-US" w:eastAsia="pl-PL"/>
          <w14:ligatures w14:val="none"/>
        </w:rPr>
        <w:t>op choices, Agricultural Economics, vol. 49, no. 4, 535-545</w:t>
      </w:r>
    </w:p>
    <w:bookmarkEnd w:id="6"/>
    <w:p w14:paraId="484C5641" w14:textId="77777777" w:rsidR="009B0352" w:rsidRPr="00990D0E" w:rsidRDefault="009B0352" w:rsidP="009B0352">
      <w:pPr>
        <w:spacing w:line="264" w:lineRule="auto"/>
        <w:rPr>
          <w:rFonts w:ascii="Times New Roman" w:hAnsi="Times New Roman" w:cs="Times New Roman"/>
          <w:sz w:val="28"/>
          <w:szCs w:val="28"/>
          <w:lang w:val="en-US"/>
        </w:rPr>
      </w:pPr>
      <w:r w:rsidRPr="00990D0E">
        <w:rPr>
          <w:rFonts w:ascii="Times New Roman" w:hAnsi="Times New Roman" w:cs="Times New Roman"/>
          <w:sz w:val="28"/>
          <w:szCs w:val="28"/>
          <w:lang w:val="en-US"/>
        </w:rPr>
        <w:tab/>
      </w:r>
    </w:p>
    <w:p w14:paraId="3395DC6C" w14:textId="77777777" w:rsidR="009B0352" w:rsidRPr="002415AC" w:rsidRDefault="009B0352" w:rsidP="009B0352">
      <w:pPr>
        <w:spacing w:after="0" w:line="264" w:lineRule="auto"/>
        <w:ind w:firstLine="709"/>
        <w:jc w:val="both"/>
        <w:rPr>
          <w:rFonts w:ascii="Times New Roman" w:hAnsi="Times New Roman" w:cs="Times New Roman"/>
          <w:spacing w:val="-2"/>
          <w:sz w:val="28"/>
          <w:szCs w:val="28"/>
        </w:rPr>
      </w:pPr>
      <w:r w:rsidRPr="002415AC">
        <w:rPr>
          <w:rFonts w:ascii="Times New Roman" w:hAnsi="Times New Roman" w:cs="Times New Roman"/>
          <w:spacing w:val="-2"/>
          <w:sz w:val="28"/>
          <w:szCs w:val="28"/>
        </w:rPr>
        <w:t>Modelowanie Yu i Summera osadzone jest w konwencji maksymalizacji użyteczności oczekiwanej rolnika. Punktem wyjścia jest sytuacja bez ubezpieczeń. W ślad za tym rolnicy część swojego kapitału początkowego, K</w:t>
      </w:r>
      <w:r w:rsidRPr="002415AC">
        <w:rPr>
          <w:rFonts w:ascii="Times New Roman" w:hAnsi="Times New Roman" w:cs="Times New Roman"/>
          <w:spacing w:val="-2"/>
          <w:sz w:val="28"/>
          <w:szCs w:val="28"/>
          <w:vertAlign w:val="subscript"/>
        </w:rPr>
        <w:t>o</w:t>
      </w:r>
      <w:r w:rsidRPr="002415AC">
        <w:rPr>
          <w:rFonts w:ascii="Times New Roman" w:hAnsi="Times New Roman" w:cs="Times New Roman"/>
          <w:spacing w:val="-2"/>
          <w:sz w:val="28"/>
          <w:szCs w:val="28"/>
        </w:rPr>
        <w:t>, inwestują w uprawy bezpieczne (mało ryzykowne), K</w:t>
      </w:r>
      <w:r w:rsidRPr="002415AC">
        <w:rPr>
          <w:rFonts w:ascii="Times New Roman" w:hAnsi="Times New Roman" w:cs="Times New Roman"/>
          <w:spacing w:val="-2"/>
          <w:sz w:val="28"/>
          <w:szCs w:val="28"/>
          <w:vertAlign w:val="subscript"/>
        </w:rPr>
        <w:t>s</w:t>
      </w:r>
      <w:r w:rsidRPr="002415AC">
        <w:rPr>
          <w:rFonts w:ascii="Times New Roman" w:hAnsi="Times New Roman" w:cs="Times New Roman"/>
          <w:spacing w:val="-2"/>
          <w:sz w:val="28"/>
          <w:szCs w:val="28"/>
        </w:rPr>
        <w:t>, które mogą przynieść zwrot równy r</w:t>
      </w:r>
      <w:r w:rsidRPr="002415AC">
        <w:rPr>
          <w:rFonts w:ascii="Times New Roman" w:hAnsi="Times New Roman" w:cs="Times New Roman"/>
          <w:spacing w:val="-2"/>
          <w:sz w:val="28"/>
          <w:szCs w:val="28"/>
          <w:vertAlign w:val="subscript"/>
        </w:rPr>
        <w:t>s</w:t>
      </w:r>
      <w:r w:rsidRPr="002415AC">
        <w:rPr>
          <w:rFonts w:ascii="Times New Roman" w:hAnsi="Times New Roman" w:cs="Times New Roman"/>
          <w:spacing w:val="-2"/>
          <w:sz w:val="28"/>
          <w:szCs w:val="28"/>
        </w:rPr>
        <w:t>K</w:t>
      </w:r>
      <w:r w:rsidRPr="002415AC">
        <w:rPr>
          <w:rFonts w:ascii="Times New Roman" w:hAnsi="Times New Roman" w:cs="Times New Roman"/>
          <w:spacing w:val="-2"/>
          <w:sz w:val="28"/>
          <w:szCs w:val="28"/>
          <w:vertAlign w:val="subscript"/>
        </w:rPr>
        <w:t>s</w:t>
      </w:r>
      <w:r w:rsidRPr="002415AC">
        <w:rPr>
          <w:rFonts w:ascii="Times New Roman" w:hAnsi="Times New Roman" w:cs="Times New Roman"/>
          <w:spacing w:val="-2"/>
          <w:sz w:val="28"/>
          <w:szCs w:val="28"/>
        </w:rPr>
        <w:t>, przy czym r</w:t>
      </w:r>
      <w:r w:rsidRPr="002415AC">
        <w:rPr>
          <w:rFonts w:ascii="Times New Roman" w:hAnsi="Times New Roman" w:cs="Times New Roman"/>
          <w:spacing w:val="-2"/>
          <w:sz w:val="28"/>
          <w:szCs w:val="28"/>
          <w:vertAlign w:val="subscript"/>
        </w:rPr>
        <w:t>s</w:t>
      </w:r>
      <w:r w:rsidRPr="002415AC">
        <w:rPr>
          <w:rFonts w:ascii="Times New Roman" w:hAnsi="Times New Roman" w:cs="Times New Roman"/>
          <w:spacing w:val="-2"/>
          <w:sz w:val="28"/>
          <w:szCs w:val="28"/>
        </w:rPr>
        <w:t xml:space="preserve"> oznacza stałą rentowność/opłacalność. Ci sami rolnicy mają jednakże alternatywę, tj. możliwość zainwestowania kapitału K</w:t>
      </w:r>
      <w:r w:rsidRPr="002415AC">
        <w:rPr>
          <w:rFonts w:ascii="Times New Roman" w:hAnsi="Times New Roman" w:cs="Times New Roman"/>
          <w:spacing w:val="-2"/>
          <w:sz w:val="28"/>
          <w:szCs w:val="28"/>
          <w:vertAlign w:val="subscript"/>
        </w:rPr>
        <w:t>r</w:t>
      </w:r>
      <w:r w:rsidRPr="002415AC">
        <w:rPr>
          <w:rFonts w:ascii="Times New Roman" w:hAnsi="Times New Roman" w:cs="Times New Roman"/>
          <w:spacing w:val="-2"/>
          <w:sz w:val="28"/>
          <w:szCs w:val="28"/>
        </w:rPr>
        <w:t xml:space="preserve"> w uprawy ryzykowniejsze, licząc, iż wówczas zwrot wyniesie r</w:t>
      </w:r>
      <w:r w:rsidRPr="002415AC">
        <w:rPr>
          <w:rFonts w:ascii="Times New Roman" w:hAnsi="Times New Roman" w:cs="Times New Roman"/>
          <w:spacing w:val="-2"/>
          <w:sz w:val="28"/>
          <w:szCs w:val="28"/>
          <w:vertAlign w:val="subscript"/>
        </w:rPr>
        <w:t>r</w:t>
      </w:r>
      <w:r w:rsidRPr="002415AC">
        <w:rPr>
          <w:rFonts w:ascii="Times New Roman" w:hAnsi="Times New Roman" w:cs="Times New Roman"/>
          <w:spacing w:val="-2"/>
          <w:sz w:val="28"/>
          <w:szCs w:val="28"/>
        </w:rPr>
        <w:t xml:space="preserve"> K</w:t>
      </w:r>
      <w:r w:rsidRPr="002415AC">
        <w:rPr>
          <w:rFonts w:ascii="Times New Roman" w:hAnsi="Times New Roman" w:cs="Times New Roman"/>
          <w:spacing w:val="-2"/>
          <w:sz w:val="28"/>
          <w:szCs w:val="28"/>
          <w:vertAlign w:val="subscript"/>
        </w:rPr>
        <w:t>r</w:t>
      </w:r>
      <w:r w:rsidRPr="002415AC">
        <w:rPr>
          <w:rFonts w:ascii="Times New Roman" w:hAnsi="Times New Roman" w:cs="Times New Roman"/>
          <w:spacing w:val="-2"/>
          <w:sz w:val="28"/>
          <w:szCs w:val="28"/>
        </w:rPr>
        <w:t>, gdzie r</w:t>
      </w:r>
      <w:r w:rsidRPr="002415AC">
        <w:rPr>
          <w:rFonts w:ascii="Times New Roman" w:hAnsi="Times New Roman" w:cs="Times New Roman"/>
          <w:spacing w:val="-2"/>
          <w:sz w:val="28"/>
          <w:szCs w:val="28"/>
          <w:vertAlign w:val="subscript"/>
        </w:rPr>
        <w:t>r</w:t>
      </w:r>
      <w:r w:rsidRPr="002415AC">
        <w:rPr>
          <w:rFonts w:ascii="Times New Roman" w:hAnsi="Times New Roman" w:cs="Times New Roman"/>
          <w:spacing w:val="-2"/>
          <w:sz w:val="28"/>
          <w:szCs w:val="28"/>
        </w:rPr>
        <w:t xml:space="preserve"> będzie dodatnią rentownością, ale traktowaną jako zmienna losowa. Co ważne, zakłada się, że r</w:t>
      </w:r>
      <w:r w:rsidRPr="002415AC">
        <w:rPr>
          <w:rFonts w:ascii="Times New Roman" w:hAnsi="Times New Roman" w:cs="Times New Roman"/>
          <w:spacing w:val="-2"/>
          <w:sz w:val="28"/>
          <w:szCs w:val="28"/>
          <w:vertAlign w:val="subscript"/>
        </w:rPr>
        <w:t>r</w:t>
      </w:r>
      <w:r w:rsidRPr="002415AC">
        <w:rPr>
          <w:rFonts w:ascii="Times New Roman" w:hAnsi="Times New Roman" w:cs="Times New Roman"/>
          <w:spacing w:val="-2"/>
          <w:sz w:val="28"/>
          <w:szCs w:val="28"/>
        </w:rPr>
        <w:t xml:space="preserve"> będzie większe niż </w:t>
      </w:r>
      <w:r w:rsidRPr="002415AC">
        <w:rPr>
          <w:rFonts w:ascii="Times New Roman" w:hAnsi="Times New Roman" w:cs="Times New Roman"/>
          <w:spacing w:val="-2"/>
          <w:sz w:val="28"/>
          <w:szCs w:val="28"/>
        </w:rPr>
        <w:lastRenderedPageBreak/>
        <w:t>r</w:t>
      </w:r>
      <w:r w:rsidRPr="002415AC">
        <w:rPr>
          <w:rFonts w:ascii="Times New Roman" w:hAnsi="Times New Roman" w:cs="Times New Roman"/>
          <w:spacing w:val="-2"/>
          <w:sz w:val="28"/>
          <w:szCs w:val="28"/>
          <w:vertAlign w:val="subscript"/>
        </w:rPr>
        <w:t>s</w:t>
      </w:r>
      <w:r w:rsidRPr="002415AC">
        <w:rPr>
          <w:rFonts w:ascii="Times New Roman" w:hAnsi="Times New Roman" w:cs="Times New Roman"/>
          <w:spacing w:val="-2"/>
          <w:sz w:val="28"/>
          <w:szCs w:val="28"/>
        </w:rPr>
        <w:t>. Dla uproszczenia rozważań przyjęto dalej, że rentowności będą funkcjami liniowymi, a rolnicy nie będą mogli zadłużać się ani oszczędzać. Te modyfikacje nie wpłynęły jednak na jakość analizy, wnioski oraz rekomendacje.</w:t>
      </w:r>
    </w:p>
    <w:p w14:paraId="1735E8CA" w14:textId="77777777" w:rsidR="009B0352" w:rsidRDefault="009B0352" w:rsidP="009B0352">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Standardowo przyjęto, że rolnicy odznaczają się awersją do ryzyka. Będą maksymalizować swoją użyteczność oczekiwaną U = E (u(</w:t>
      </w:r>
      <w:r w:rsidRPr="0040443E">
        <w:rPr>
          <w:rFonts w:ascii="Times New Roman" w:hAnsi="Times New Roman" w:cs="Times New Roman"/>
          <w:sz w:val="32"/>
          <w:szCs w:val="32"/>
        </w:rPr>
        <w:t>·</w:t>
      </w:r>
      <w:r>
        <w:rPr>
          <w:rFonts w:ascii="Times New Roman" w:hAnsi="Times New Roman" w:cs="Times New Roman"/>
          <w:sz w:val="28"/>
          <w:szCs w:val="28"/>
        </w:rPr>
        <w:t>)), gdzie u(·) jest funkcją ściśle wklęsłą i rosnącą, a E jest operatorem wartości oczekiwanej. Problem optymalizacyjny możemy teraz zapisać następująco:</w:t>
      </w:r>
    </w:p>
    <w:p w14:paraId="0A3040CA" w14:textId="77777777" w:rsidR="009B0352" w:rsidRDefault="009B0352" w:rsidP="009B0352">
      <w:pPr>
        <w:spacing w:line="264" w:lineRule="auto"/>
        <w:jc w:val="center"/>
        <w:rPr>
          <w:rFonts w:ascii="Times New Roman" w:hAnsi="Times New Roman" w:cs="Times New Roman"/>
          <w:sz w:val="28"/>
          <w:szCs w:val="28"/>
        </w:rPr>
      </w:pPr>
      <w:r w:rsidRPr="00FC3F2C">
        <w:rPr>
          <w:rFonts w:ascii="Times New Roman" w:hAnsi="Times New Roman" w:cs="Times New Roman"/>
          <w:position w:val="-52"/>
          <w:sz w:val="28"/>
          <w:szCs w:val="28"/>
        </w:rPr>
        <w:object w:dxaOrig="3040" w:dyaOrig="1219" w14:anchorId="1EE64FE4">
          <v:shape id="_x0000_i1041" type="#_x0000_t75" style="width:151.5pt;height:64.5pt" o:ole="">
            <v:imagedata r:id="rId48" o:title=""/>
          </v:shape>
          <o:OLEObject Type="Embed" ProgID="Equation.DSMT4" ShapeID="_x0000_i1041" DrawAspect="Content" ObjectID="_1799840612" r:id="rId49"/>
        </w:object>
      </w:r>
    </w:p>
    <w:p w14:paraId="783229B8" w14:textId="77777777" w:rsidR="009B0352" w:rsidRDefault="009B0352" w:rsidP="009B0352">
      <w:pPr>
        <w:tabs>
          <w:tab w:val="left" w:pos="1129"/>
        </w:tabs>
        <w:spacing w:line="264" w:lineRule="auto"/>
        <w:rPr>
          <w:rFonts w:ascii="Times New Roman" w:hAnsi="Times New Roman" w:cs="Times New Roman"/>
          <w:sz w:val="28"/>
          <w:szCs w:val="28"/>
        </w:rPr>
      </w:pPr>
      <w:r>
        <w:rPr>
          <w:rFonts w:ascii="Times New Roman" w:hAnsi="Times New Roman" w:cs="Times New Roman"/>
          <w:sz w:val="28"/>
          <w:szCs w:val="28"/>
        </w:rPr>
        <w:t xml:space="preserve">i </w:t>
      </w:r>
      <w:r w:rsidRPr="000E4FC8">
        <w:rPr>
          <w:rFonts w:ascii="Times New Roman" w:hAnsi="Times New Roman" w:cs="Times New Roman"/>
          <w:position w:val="-14"/>
          <w:sz w:val="28"/>
          <w:szCs w:val="28"/>
        </w:rPr>
        <w:object w:dxaOrig="2659" w:dyaOrig="400" w14:anchorId="0493AD42">
          <v:shape id="_x0000_i1042" type="#_x0000_t75" style="width:137pt;height:22pt" o:ole="">
            <v:imagedata r:id="rId50" o:title=""/>
          </v:shape>
          <o:OLEObject Type="Embed" ProgID="Equation.DSMT4" ShapeID="_x0000_i1042" DrawAspect="Content" ObjectID="_1799840613" r:id="rId51"/>
        </w:object>
      </w:r>
      <w:r>
        <w:rPr>
          <w:rFonts w:ascii="Times New Roman" w:hAnsi="Times New Roman" w:cs="Times New Roman"/>
          <w:sz w:val="28"/>
          <w:szCs w:val="28"/>
        </w:rPr>
        <w:t xml:space="preserve"> jest stochastycznym przychodem zależnym od realizacji r</w:t>
      </w:r>
      <w:r w:rsidRPr="009901C2">
        <w:rPr>
          <w:rFonts w:ascii="Times New Roman" w:hAnsi="Times New Roman" w:cs="Times New Roman"/>
          <w:sz w:val="28"/>
          <w:szCs w:val="28"/>
          <w:vertAlign w:val="subscript"/>
        </w:rPr>
        <w:t>r</w:t>
      </w:r>
      <w:r>
        <w:rPr>
          <w:rFonts w:ascii="Times New Roman" w:hAnsi="Times New Roman" w:cs="Times New Roman"/>
          <w:sz w:val="28"/>
          <w:szCs w:val="28"/>
        </w:rPr>
        <w:t>.</w:t>
      </w:r>
    </w:p>
    <w:p w14:paraId="37777BB8" w14:textId="77777777" w:rsidR="009B0352" w:rsidRDefault="009B0352" w:rsidP="009B0352">
      <w:pPr>
        <w:tabs>
          <w:tab w:val="left" w:pos="1129"/>
        </w:tabs>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Dopóki </w:t>
      </w:r>
      <w:r w:rsidRPr="009901C2">
        <w:rPr>
          <w:rFonts w:ascii="Times New Roman" w:hAnsi="Times New Roman" w:cs="Times New Roman"/>
          <w:position w:val="-14"/>
          <w:sz w:val="28"/>
          <w:szCs w:val="28"/>
        </w:rPr>
        <w:object w:dxaOrig="999" w:dyaOrig="400" w14:anchorId="306A5EC5">
          <v:shape id="_x0000_i1043" type="#_x0000_t75" style="width:50pt;height:22pt" o:ole="">
            <v:imagedata r:id="rId52" o:title=""/>
          </v:shape>
          <o:OLEObject Type="Embed" ProgID="Equation.DSMT4" ShapeID="_x0000_i1043" DrawAspect="Content" ObjectID="_1799840614" r:id="rId53"/>
        </w:object>
      </w:r>
      <w:r>
        <w:rPr>
          <w:rFonts w:ascii="Times New Roman" w:hAnsi="Times New Roman" w:cs="Times New Roman"/>
          <w:sz w:val="28"/>
          <w:szCs w:val="28"/>
        </w:rPr>
        <w:t xml:space="preserve">, jest jasne, że rolnicy, dla których </w:t>
      </w:r>
      <w:r w:rsidRPr="009901C2">
        <w:rPr>
          <w:rFonts w:ascii="Times New Roman" w:hAnsi="Times New Roman" w:cs="Times New Roman"/>
          <w:i/>
          <w:iCs/>
          <w:sz w:val="28"/>
          <w:szCs w:val="28"/>
        </w:rPr>
        <w:t>u’</w:t>
      </w:r>
      <w:r>
        <w:rPr>
          <w:rFonts w:ascii="Times New Roman" w:hAnsi="Times New Roman" w:cs="Times New Roman"/>
          <w:sz w:val="28"/>
          <w:szCs w:val="28"/>
        </w:rPr>
        <w:t xml:space="preserve"> &gt; 0, co najmniej pewną część swojego kapitału zainwestują w uprawy bardziej ryzykowne. Stąd otrzymujemy, że jedynym rozwiązaniem powyższego problemu maksymalizacyjnego jest rozwiązanie brzegowe, tj. </w:t>
      </w:r>
      <w:r w:rsidRPr="009C6813">
        <w:rPr>
          <w:rFonts w:ascii="Times New Roman" w:hAnsi="Times New Roman" w:cs="Times New Roman"/>
          <w:position w:val="-12"/>
          <w:sz w:val="28"/>
          <w:szCs w:val="28"/>
        </w:rPr>
        <w:object w:dxaOrig="840" w:dyaOrig="380" w14:anchorId="7BC28254">
          <v:shape id="_x0000_i1044" type="#_x0000_t75" style="width:43pt;height:22pt" o:ole="">
            <v:imagedata r:id="rId54" o:title=""/>
          </v:shape>
          <o:OLEObject Type="Embed" ProgID="Equation.DSMT4" ShapeID="_x0000_i1044" DrawAspect="Content" ObjectID="_1799840615" r:id="rId55"/>
        </w:object>
      </w:r>
      <w:r>
        <w:rPr>
          <w:rFonts w:ascii="Times New Roman" w:hAnsi="Times New Roman" w:cs="Times New Roman"/>
          <w:sz w:val="28"/>
          <w:szCs w:val="28"/>
        </w:rPr>
        <w:t xml:space="preserve">. Natomiast przypadek, iż </w:t>
      </w:r>
      <w:r w:rsidRPr="009C6813">
        <w:rPr>
          <w:rFonts w:ascii="Times New Roman" w:hAnsi="Times New Roman" w:cs="Times New Roman"/>
          <w:position w:val="-12"/>
          <w:sz w:val="28"/>
          <w:szCs w:val="28"/>
        </w:rPr>
        <w:object w:dxaOrig="840" w:dyaOrig="380" w14:anchorId="700EDDC1">
          <v:shape id="_x0000_i1045" type="#_x0000_t75" style="width:43pt;height:22pt" o:ole="">
            <v:imagedata r:id="rId56" o:title=""/>
          </v:shape>
          <o:OLEObject Type="Embed" ProgID="Equation.DSMT4" ShapeID="_x0000_i1045" DrawAspect="Content" ObjectID="_1799840616" r:id="rId57"/>
        </w:object>
      </w:r>
      <w:r>
        <w:rPr>
          <w:rFonts w:ascii="Times New Roman" w:hAnsi="Times New Roman" w:cs="Times New Roman"/>
          <w:sz w:val="28"/>
          <w:szCs w:val="28"/>
        </w:rPr>
        <w:t xml:space="preserve"> pojawi się wtedy i tylko wtedy, gdy spełniona będzie następująca nierówność:</w:t>
      </w:r>
    </w:p>
    <w:bookmarkStart w:id="7" w:name="_Hlk172028372"/>
    <w:p w14:paraId="7DD20FB1" w14:textId="77777777" w:rsidR="009B0352" w:rsidRDefault="009B0352" w:rsidP="009B0352">
      <w:pPr>
        <w:tabs>
          <w:tab w:val="left" w:pos="1129"/>
        </w:tabs>
        <w:spacing w:line="264" w:lineRule="auto"/>
        <w:ind w:firstLine="709"/>
        <w:jc w:val="center"/>
        <w:rPr>
          <w:rFonts w:ascii="Times New Roman" w:hAnsi="Times New Roman" w:cs="Times New Roman"/>
          <w:sz w:val="28"/>
          <w:szCs w:val="28"/>
        </w:rPr>
      </w:pPr>
      <w:r w:rsidRPr="003E147A">
        <w:rPr>
          <w:rFonts w:ascii="Times New Roman" w:hAnsi="Times New Roman" w:cs="Times New Roman"/>
          <w:position w:val="-14"/>
          <w:sz w:val="28"/>
          <w:szCs w:val="28"/>
        </w:rPr>
        <w:object w:dxaOrig="2100" w:dyaOrig="460" w14:anchorId="055E1E17">
          <v:shape id="_x0000_i1046" type="#_x0000_t75" style="width:108.5pt;height:21.5pt" o:ole="">
            <v:imagedata r:id="rId58" o:title=""/>
          </v:shape>
          <o:OLEObject Type="Embed" ProgID="Equation.DSMT4" ShapeID="_x0000_i1046" DrawAspect="Content" ObjectID="_1799840617" r:id="rId59"/>
        </w:object>
      </w:r>
      <w:bookmarkEnd w:id="7"/>
      <w:r>
        <w:rPr>
          <w:rFonts w:ascii="Times New Roman" w:hAnsi="Times New Roman" w:cs="Times New Roman"/>
          <w:sz w:val="28"/>
          <w:szCs w:val="28"/>
        </w:rPr>
        <w:t>.</w:t>
      </w:r>
    </w:p>
    <w:p w14:paraId="7EB0EEEF" w14:textId="77777777" w:rsidR="009B0352" w:rsidRDefault="009B0352" w:rsidP="009B0352">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Nierówność </w:t>
      </w:r>
      <w:r w:rsidRPr="009C6813">
        <w:rPr>
          <w:rFonts w:ascii="Times New Roman" w:hAnsi="Times New Roman" w:cs="Times New Roman"/>
          <w:position w:val="-12"/>
          <w:sz w:val="28"/>
          <w:szCs w:val="28"/>
        </w:rPr>
        <w:object w:dxaOrig="840" w:dyaOrig="380" w14:anchorId="06B51E44">
          <v:shape id="_x0000_i1047" type="#_x0000_t75" style="width:43pt;height:22pt" o:ole="">
            <v:imagedata r:id="rId56" o:title=""/>
          </v:shape>
          <o:OLEObject Type="Embed" ProgID="Equation.DSMT4" ShapeID="_x0000_i1047" DrawAspect="Content" ObjectID="_1799840618" r:id="rId60"/>
        </w:object>
      </w:r>
      <w:r>
        <w:rPr>
          <w:rFonts w:ascii="Times New Roman" w:hAnsi="Times New Roman" w:cs="Times New Roman"/>
          <w:sz w:val="28"/>
          <w:szCs w:val="28"/>
        </w:rPr>
        <w:t xml:space="preserve"> oznacza, że rolnik co najmniej pewną część swojego kapitału początkowego zainwestuje w uprawy bezpieczne wtedy i tylko wtedy, gdy uzyskana w ten sposób korzyść przewyższy korzyść z inwestycji w uprawy ryzykowne. Inwestycje w rośliny bezpieczne, w ślad za Erlichem i Beckerem (1972), Yu i Summer utożsamiają z samoubezpieczeniem się. Jest rzeczą oczywistą, że jeśli r</w:t>
      </w:r>
      <w:r w:rsidRPr="00915201">
        <w:rPr>
          <w:rFonts w:ascii="Times New Roman" w:hAnsi="Times New Roman" w:cs="Times New Roman"/>
          <w:sz w:val="28"/>
          <w:szCs w:val="28"/>
          <w:vertAlign w:val="subscript"/>
        </w:rPr>
        <w:t>s</w:t>
      </w:r>
      <w:r>
        <w:rPr>
          <w:rFonts w:ascii="Times New Roman" w:hAnsi="Times New Roman" w:cs="Times New Roman"/>
          <w:sz w:val="28"/>
          <w:szCs w:val="28"/>
        </w:rPr>
        <w:t xml:space="preserve"> będzie rosło szybciej niż E(r</w:t>
      </w:r>
      <w:r w:rsidRPr="00915201">
        <w:rPr>
          <w:rFonts w:ascii="Times New Roman" w:hAnsi="Times New Roman" w:cs="Times New Roman"/>
          <w:sz w:val="28"/>
          <w:szCs w:val="28"/>
          <w:vertAlign w:val="subscript"/>
        </w:rPr>
        <w:t>s</w:t>
      </w:r>
      <w:r>
        <w:rPr>
          <w:rFonts w:ascii="Times New Roman" w:hAnsi="Times New Roman" w:cs="Times New Roman"/>
          <w:sz w:val="28"/>
          <w:szCs w:val="28"/>
        </w:rPr>
        <w:t xml:space="preserve">), to samoubezpieczenie staje się bardziej interesującym instrumentem zarządzania ryzykiem niż zakup ubezpieczenia. Dodajmy, że dalej Yu i Summer modelują inwestowanie rolników w obydwa typy upraw  w warunkach dostępu do niesubsydiowanych ubezpieczeń sprawiedliwych aktuarialnie i w wariancie subsydiowania składek ubezpieczeniowych. Jeśli przy tym </w:t>
      </w:r>
      <w:r w:rsidRPr="003E147A">
        <w:rPr>
          <w:rFonts w:ascii="Times New Roman" w:hAnsi="Times New Roman" w:cs="Times New Roman"/>
          <w:position w:val="-14"/>
          <w:sz w:val="28"/>
          <w:szCs w:val="28"/>
        </w:rPr>
        <w:object w:dxaOrig="2100" w:dyaOrig="460" w14:anchorId="6D56DC3C">
          <v:shape id="_x0000_i1048" type="#_x0000_t75" style="width:108.5pt;height:21.5pt" o:ole="">
            <v:imagedata r:id="rId61" o:title=""/>
          </v:shape>
          <o:OLEObject Type="Embed" ProgID="Equation.DSMT4" ShapeID="_x0000_i1048" DrawAspect="Content" ObjectID="_1799840619" r:id="rId62"/>
        </w:object>
      </w:r>
      <w:r>
        <w:rPr>
          <w:rFonts w:ascii="Times New Roman" w:hAnsi="Times New Roman" w:cs="Times New Roman"/>
          <w:sz w:val="28"/>
          <w:szCs w:val="28"/>
        </w:rPr>
        <w:t xml:space="preserve">, to efekty obydwu rodzajów ubezpieczeń nie są dodatnie, bo </w:t>
      </w:r>
      <w:r w:rsidRPr="009C6813">
        <w:rPr>
          <w:rFonts w:ascii="Times New Roman" w:hAnsi="Times New Roman" w:cs="Times New Roman"/>
          <w:position w:val="-12"/>
          <w:sz w:val="28"/>
          <w:szCs w:val="28"/>
        </w:rPr>
        <w:object w:dxaOrig="840" w:dyaOrig="380" w14:anchorId="384BD937">
          <v:shape id="_x0000_i1049" type="#_x0000_t75" style="width:43pt;height:22pt" o:ole="">
            <v:imagedata r:id="rId54" o:title=""/>
          </v:shape>
          <o:OLEObject Type="Embed" ProgID="Equation.DSMT4" ShapeID="_x0000_i1049" DrawAspect="Content" ObjectID="_1799840620" r:id="rId63"/>
        </w:object>
      </w:r>
      <w:r>
        <w:rPr>
          <w:rFonts w:ascii="Times New Roman" w:hAnsi="Times New Roman" w:cs="Times New Roman"/>
          <w:sz w:val="28"/>
          <w:szCs w:val="28"/>
        </w:rPr>
        <w:t>, gdy ubezpieczenia upraw nie są dostępne.</w:t>
      </w:r>
    </w:p>
    <w:p w14:paraId="64CB4DEB" w14:textId="77777777" w:rsidR="009B0352" w:rsidRDefault="009B0352" w:rsidP="009B0352">
      <w:pPr>
        <w:spacing w:line="264" w:lineRule="auto"/>
        <w:ind w:firstLine="708"/>
        <w:jc w:val="both"/>
        <w:rPr>
          <w:rFonts w:ascii="Times New Roman" w:hAnsi="Times New Roman" w:cs="Times New Roman"/>
          <w:sz w:val="28"/>
          <w:szCs w:val="28"/>
        </w:rPr>
      </w:pPr>
      <w:r>
        <w:rPr>
          <w:rFonts w:ascii="Times New Roman" w:hAnsi="Times New Roman" w:cs="Times New Roman"/>
          <w:sz w:val="28"/>
          <w:szCs w:val="28"/>
        </w:rPr>
        <w:t>Centralne miejsce w modelowaniu skutków nabycia przez rolnika ubezpieczenia sprawiedliwego aktuarialnie, ale niesubsydiowanego, jest lemat pierwszy. Orzeka on, że wystarczy, gdy rolnik będzie się charakteryzował stałą absolutną awersją do ryzyka (</w:t>
      </w:r>
      <w:r w:rsidRPr="00380A45">
        <w:rPr>
          <w:rFonts w:ascii="Times New Roman" w:hAnsi="Times New Roman" w:cs="Times New Roman"/>
          <w:i/>
          <w:iCs/>
          <w:sz w:val="28"/>
          <w:szCs w:val="28"/>
        </w:rPr>
        <w:t>constatnt absolute risk aversion</w:t>
      </w:r>
      <w:r>
        <w:rPr>
          <w:rFonts w:ascii="Times New Roman" w:hAnsi="Times New Roman" w:cs="Times New Roman"/>
          <w:sz w:val="28"/>
          <w:szCs w:val="28"/>
        </w:rPr>
        <w:t xml:space="preserve">, CARA) albo malejącą </w:t>
      </w:r>
      <w:r>
        <w:rPr>
          <w:rFonts w:ascii="Times New Roman" w:hAnsi="Times New Roman" w:cs="Times New Roman"/>
          <w:sz w:val="28"/>
          <w:szCs w:val="28"/>
        </w:rPr>
        <w:lastRenderedPageBreak/>
        <w:t>absolutną awersją do niego (</w:t>
      </w:r>
      <w:r w:rsidRPr="00380A45">
        <w:rPr>
          <w:rFonts w:ascii="Times New Roman" w:hAnsi="Times New Roman" w:cs="Times New Roman"/>
          <w:i/>
          <w:iCs/>
          <w:sz w:val="28"/>
          <w:szCs w:val="28"/>
        </w:rPr>
        <w:t>decreasing absolute risk aversion</w:t>
      </w:r>
      <w:r>
        <w:rPr>
          <w:rFonts w:ascii="Times New Roman" w:hAnsi="Times New Roman" w:cs="Times New Roman"/>
          <w:sz w:val="28"/>
          <w:szCs w:val="28"/>
        </w:rPr>
        <w:t>, DARA), aby jego zakup przynosił mu dodatnią użyteczność oczekiwaną. Dodajmy jeszcze, że do identycznych wniosków doszli Eeckhoudt i in. (1997).</w:t>
      </w:r>
    </w:p>
    <w:p w14:paraId="66791D64" w14:textId="77777777" w:rsidR="009B0352" w:rsidRDefault="009B0352" w:rsidP="009B0352">
      <w:pPr>
        <w:spacing w:line="264" w:lineRule="auto"/>
        <w:ind w:firstLine="708"/>
        <w:jc w:val="both"/>
        <w:rPr>
          <w:rFonts w:ascii="Times New Roman" w:hAnsi="Times New Roman" w:cs="Times New Roman"/>
          <w:sz w:val="28"/>
          <w:szCs w:val="28"/>
        </w:rPr>
      </w:pPr>
      <w:r>
        <w:rPr>
          <w:rFonts w:ascii="Times New Roman" w:hAnsi="Times New Roman" w:cs="Times New Roman"/>
          <w:sz w:val="28"/>
          <w:szCs w:val="28"/>
        </w:rPr>
        <w:t>Popyt efektywny na ubezpieczenia sprawiedliwe aktuarialnie pojawi się natomiast wtedy i tylko wtedy, gdy oczekiwana korzyść krańcowa z wypłaty odszkodowania przekraczać będzie krańcowy koszt nabycia ochrony. Ten ostatni jest iloczynem krańcowej korzyści z samoubezpieczenia (inwestycji w bezpieczne uprawy) i składki poprawnej aktuarialnie. Jeśli jednak nie zakupi takiego ubezpieczenia, marginalnym kosztem samoubezpieczenia staje się marginalna korzyść z upraw ryzykownych.</w:t>
      </w:r>
    </w:p>
    <w:p w14:paraId="4F696A2E" w14:textId="77777777" w:rsidR="009B0352" w:rsidRDefault="009B0352" w:rsidP="009B0352">
      <w:pPr>
        <w:spacing w:line="264" w:lineRule="auto"/>
        <w:ind w:firstLine="708"/>
        <w:jc w:val="both"/>
        <w:rPr>
          <w:rFonts w:ascii="Times New Roman" w:hAnsi="Times New Roman" w:cs="Times New Roman"/>
          <w:sz w:val="28"/>
          <w:szCs w:val="28"/>
        </w:rPr>
      </w:pPr>
      <w:r>
        <w:rPr>
          <w:rFonts w:ascii="Times New Roman" w:hAnsi="Times New Roman" w:cs="Times New Roman"/>
          <w:sz w:val="28"/>
          <w:szCs w:val="28"/>
        </w:rPr>
        <w:t>Jak widać z powyższego, między ubezpieczeniem a samoubezpieczeniem najczęściej występuje relacja substytucyjna. W pierwszym rzędzie jest ona pochodną zwrotu/opłacalności inwestycji w uprawy bezpieczne. Formalnie zależności te oddaje twierdzenie pierwsze Yu i Summera. Stwierdza się w nim, że popyt na ubezpieczenia poprawne aktuarialnie maleje, gdy rośnie zwrot z upraw bezpiecznych r</w:t>
      </w:r>
      <w:r w:rsidRPr="009F69A6">
        <w:rPr>
          <w:rFonts w:ascii="Times New Roman" w:hAnsi="Times New Roman" w:cs="Times New Roman"/>
          <w:sz w:val="28"/>
          <w:szCs w:val="28"/>
          <w:vertAlign w:val="subscript"/>
        </w:rPr>
        <w:t>s</w:t>
      </w:r>
      <w:r>
        <w:rPr>
          <w:rFonts w:ascii="Times New Roman" w:hAnsi="Times New Roman" w:cs="Times New Roman"/>
          <w:sz w:val="28"/>
          <w:szCs w:val="28"/>
        </w:rPr>
        <w:t>, jeśli rolnik charakteryzuje się preferencjami CARA lub DARA i</w:t>
      </w:r>
      <w:r w:rsidRPr="007E7E47">
        <w:rPr>
          <w:rFonts w:ascii="Times New Roman" w:hAnsi="Times New Roman" w:cs="Times New Roman"/>
          <w:position w:val="-14"/>
          <w:sz w:val="28"/>
          <w:szCs w:val="28"/>
        </w:rPr>
        <w:object w:dxaOrig="880" w:dyaOrig="400" w14:anchorId="50D8F0B7">
          <v:shape id="_x0000_i1050" type="#_x0000_t75" style="width:43pt;height:22pt" o:ole="">
            <v:imagedata r:id="rId64" o:title=""/>
          </v:shape>
          <o:OLEObject Type="Embed" ProgID="Equation.DSMT4" ShapeID="_x0000_i1050" DrawAspect="Content" ObjectID="_1799840621" r:id="rId65"/>
        </w:object>
      </w:r>
      <w:r>
        <w:rPr>
          <w:rFonts w:ascii="Times New Roman" w:hAnsi="Times New Roman" w:cs="Times New Roman"/>
          <w:sz w:val="28"/>
          <w:szCs w:val="28"/>
        </w:rPr>
        <w:t>, przy czym</w:t>
      </w:r>
      <w:r w:rsidRPr="007E7E47">
        <w:rPr>
          <w:rFonts w:ascii="Times New Roman" w:hAnsi="Times New Roman" w:cs="Times New Roman"/>
          <w:position w:val="-32"/>
          <w:sz w:val="28"/>
          <w:szCs w:val="28"/>
        </w:rPr>
        <w:object w:dxaOrig="1719" w:dyaOrig="740" w14:anchorId="2D977F3D">
          <v:shape id="_x0000_i1051" type="#_x0000_t75" style="width:86.5pt;height:36.5pt" o:ole="">
            <v:imagedata r:id="rId66" o:title=""/>
          </v:shape>
          <o:OLEObject Type="Embed" ProgID="Equation.DSMT4" ShapeID="_x0000_i1051" DrawAspect="Content" ObjectID="_1799840622" r:id="rId67"/>
        </w:object>
      </w:r>
      <w:r>
        <w:rPr>
          <w:rFonts w:ascii="Times New Roman" w:hAnsi="Times New Roman" w:cs="Times New Roman"/>
          <w:sz w:val="28"/>
          <w:szCs w:val="28"/>
        </w:rPr>
        <w:t>.</w:t>
      </w:r>
    </w:p>
    <w:p w14:paraId="1A1B5349" w14:textId="77777777" w:rsidR="009B0352" w:rsidRDefault="009B0352" w:rsidP="009B0352">
      <w:pPr>
        <w:spacing w:line="264" w:lineRule="auto"/>
        <w:ind w:firstLine="708"/>
        <w:jc w:val="both"/>
        <w:rPr>
          <w:rFonts w:ascii="Times New Roman" w:hAnsi="Times New Roman" w:cs="Times New Roman"/>
          <w:sz w:val="28"/>
          <w:szCs w:val="28"/>
        </w:rPr>
      </w:pPr>
      <w:r>
        <w:rPr>
          <w:rFonts w:ascii="Times New Roman" w:hAnsi="Times New Roman" w:cs="Times New Roman"/>
          <w:sz w:val="28"/>
          <w:szCs w:val="28"/>
        </w:rPr>
        <w:t>Substytucyjność zależy jednak jeszcze od dwóch dodatkowych czynników:</w:t>
      </w:r>
    </w:p>
    <w:p w14:paraId="2556D291" w14:textId="77777777" w:rsidR="009B0352" w:rsidRDefault="009B0352" w:rsidP="001D0854">
      <w:pPr>
        <w:pStyle w:val="Akapitzlist"/>
        <w:numPr>
          <w:ilvl w:val="0"/>
          <w:numId w:val="15"/>
        </w:numPr>
        <w:spacing w:line="264" w:lineRule="auto"/>
        <w:ind w:left="567" w:hanging="567"/>
        <w:jc w:val="both"/>
        <w:rPr>
          <w:rFonts w:ascii="Times New Roman" w:hAnsi="Times New Roman" w:cs="Times New Roman"/>
          <w:sz w:val="28"/>
          <w:szCs w:val="28"/>
        </w:rPr>
      </w:pPr>
      <w:r>
        <w:rPr>
          <w:rFonts w:ascii="Times New Roman" w:hAnsi="Times New Roman" w:cs="Times New Roman"/>
          <w:sz w:val="28"/>
          <w:szCs w:val="28"/>
        </w:rPr>
        <w:t>Zmiany krańcowej użyteczności z racji dodatkowej inwestycji w uprawy ryzykowne, którą możemy nazwać bezpośrednim efektem</w:t>
      </w:r>
    </w:p>
    <w:p w14:paraId="0ED8BD40" w14:textId="77777777" w:rsidR="009B0352" w:rsidRDefault="009B0352" w:rsidP="001D0854">
      <w:pPr>
        <w:pStyle w:val="Akapitzlist"/>
        <w:numPr>
          <w:ilvl w:val="0"/>
          <w:numId w:val="15"/>
        </w:numPr>
        <w:spacing w:line="264" w:lineRule="auto"/>
        <w:ind w:left="567" w:hanging="567"/>
        <w:jc w:val="both"/>
        <w:rPr>
          <w:rFonts w:ascii="Times New Roman" w:hAnsi="Times New Roman" w:cs="Times New Roman"/>
          <w:sz w:val="28"/>
          <w:szCs w:val="28"/>
        </w:rPr>
      </w:pPr>
      <w:r>
        <w:rPr>
          <w:rFonts w:ascii="Times New Roman" w:hAnsi="Times New Roman" w:cs="Times New Roman"/>
          <w:sz w:val="28"/>
          <w:szCs w:val="28"/>
        </w:rPr>
        <w:t>Zmiany krańcowej użyteczności z przyrostem o kolejną jednostkę poziomu pokrycia ochroną ubezpieczeniową. Jest to efekt pośredni.</w:t>
      </w:r>
    </w:p>
    <w:p w14:paraId="2BE0F90C" w14:textId="77777777" w:rsidR="009B0352" w:rsidRDefault="009B0352" w:rsidP="009B0352">
      <w:pPr>
        <w:spacing w:line="264" w:lineRule="auto"/>
        <w:jc w:val="both"/>
        <w:rPr>
          <w:rFonts w:ascii="Times New Roman" w:hAnsi="Times New Roman" w:cs="Times New Roman"/>
          <w:sz w:val="28"/>
          <w:szCs w:val="28"/>
        </w:rPr>
      </w:pPr>
      <w:r>
        <w:rPr>
          <w:rFonts w:ascii="Times New Roman" w:hAnsi="Times New Roman" w:cs="Times New Roman"/>
          <w:sz w:val="28"/>
          <w:szCs w:val="28"/>
        </w:rPr>
        <w:t>Każdorazowo wnioskowanie o wpływie tych zmian musi jednakże uwzględnić preferencje rolnika względem ryzyka. Oczywiście, zawsze rosnący zwrot  inwestycji w uprawy bezpieczne będzie je uprzywilejowywał. Logicznie z tego też wynika, że wtedy będzie rósł koszt alternatywny zakupu ubezpieczenia. Ponadto, rolnicy z preferencją DARA będą mniej zainteresowani zakupem, gdy będzie rósł ich majątek.</w:t>
      </w:r>
    </w:p>
    <w:p w14:paraId="70BF0F0F" w14:textId="77777777" w:rsidR="009B0352" w:rsidRDefault="009B0352" w:rsidP="009B0352">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Wpływ ubezpieczeń poprawnych aktuarialnie na obydwa typy inwestycji w uprawy Yu i Summer rekapitulują za pomocą dwóch kolejnych twierdzeń. W pierwszym zapisano, iż zakup takiego instrumentu stymuluje wzrost z inwestycji w uprawy ryzykowne niezależnie od rozważanego typu preferencji względem ryzyka. Twierdzenie drugie z kolei orzeka, że rosnący zwrot z inwestycji w uprawy bezpieczne redukuje wpływ takich ubezpieczeń na inwestycje w uprawy ryzykowne niezależnie od rodzaju preferencji, o ile spełniony jest warunek </w:t>
      </w:r>
      <w:bookmarkStart w:id="8" w:name="_Hlk172186348"/>
      <w:r>
        <w:rPr>
          <w:rFonts w:ascii="Times New Roman" w:hAnsi="Times New Roman" w:cs="Times New Roman"/>
          <w:sz w:val="28"/>
          <w:szCs w:val="28"/>
        </w:rPr>
        <w:t>R(x) ≤ 1</w:t>
      </w:r>
      <w:bookmarkEnd w:id="8"/>
      <w:r>
        <w:rPr>
          <w:rFonts w:ascii="Times New Roman" w:hAnsi="Times New Roman" w:cs="Times New Roman"/>
          <w:sz w:val="28"/>
          <w:szCs w:val="28"/>
        </w:rPr>
        <w:t xml:space="preserve">. </w:t>
      </w:r>
      <w:r>
        <w:rPr>
          <w:rFonts w:ascii="Times New Roman" w:hAnsi="Times New Roman" w:cs="Times New Roman"/>
          <w:sz w:val="28"/>
          <w:szCs w:val="28"/>
        </w:rPr>
        <w:lastRenderedPageBreak/>
        <w:t>Innymi słowy, wielkość wpływu tych ubezpieczeń na inwestycje ryzykowne zależy od kosztu samoubezpieczenia.</w:t>
      </w:r>
    </w:p>
    <w:p w14:paraId="6CB19A26" w14:textId="77777777" w:rsidR="009B0352" w:rsidRDefault="009B0352" w:rsidP="009B0352">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Yu i Summer przyjęli, że stopa subsydiowania składki ubezpieczeniowej, γ, będzie spełniała warunek </w:t>
      </w:r>
      <w:r w:rsidRPr="00821181">
        <w:rPr>
          <w:rFonts w:ascii="Times New Roman" w:hAnsi="Times New Roman" w:cs="Times New Roman"/>
          <w:position w:val="-10"/>
          <w:sz w:val="28"/>
          <w:szCs w:val="28"/>
        </w:rPr>
        <w:object w:dxaOrig="859" w:dyaOrig="320" w14:anchorId="27F90A13">
          <v:shape id="_x0000_i1052" type="#_x0000_t75" style="width:43pt;height:14.5pt" o:ole="">
            <v:imagedata r:id="rId68" o:title=""/>
          </v:shape>
          <o:OLEObject Type="Embed" ProgID="Equation.DSMT4" ShapeID="_x0000_i1052" DrawAspect="Content" ObjectID="_1799840623" r:id="rId69"/>
        </w:object>
      </w:r>
      <w:r>
        <w:rPr>
          <w:rFonts w:ascii="Times New Roman" w:hAnsi="Times New Roman" w:cs="Times New Roman"/>
          <w:sz w:val="28"/>
          <w:szCs w:val="28"/>
        </w:rPr>
        <w:t xml:space="preserve">. Stąd składka płacona z własnej kieszeni przez rolnika będzie równa </w:t>
      </w:r>
      <w:r w:rsidRPr="00821181">
        <w:rPr>
          <w:rFonts w:ascii="Times New Roman" w:hAnsi="Times New Roman" w:cs="Times New Roman"/>
          <w:position w:val="-14"/>
          <w:sz w:val="28"/>
          <w:szCs w:val="28"/>
        </w:rPr>
        <w:object w:dxaOrig="859" w:dyaOrig="400" w14:anchorId="18043640">
          <v:shape id="_x0000_i1053" type="#_x0000_t75" style="width:43pt;height:22pt" o:ole="">
            <v:imagedata r:id="rId70" o:title=""/>
          </v:shape>
          <o:OLEObject Type="Embed" ProgID="Equation.DSMT4" ShapeID="_x0000_i1053" DrawAspect="Content" ObjectID="_1799840624" r:id="rId71"/>
        </w:object>
      </w:r>
      <w:r>
        <w:rPr>
          <w:rFonts w:ascii="Times New Roman" w:hAnsi="Times New Roman" w:cs="Times New Roman"/>
          <w:sz w:val="28"/>
          <w:szCs w:val="28"/>
        </w:rPr>
        <w:t xml:space="preserve">. Natomiast musi być spełniony poniższy warunek, żeby rolnik ujawnił efektywny popyt na ochronę: </w:t>
      </w:r>
    </w:p>
    <w:bookmarkStart w:id="9" w:name="_Hlk172115518"/>
    <w:p w14:paraId="74738CA0" w14:textId="77777777" w:rsidR="009B0352" w:rsidRDefault="009B0352" w:rsidP="009B0352">
      <w:pPr>
        <w:spacing w:line="264" w:lineRule="auto"/>
        <w:jc w:val="center"/>
        <w:rPr>
          <w:rFonts w:ascii="Times New Roman" w:hAnsi="Times New Roman" w:cs="Times New Roman"/>
          <w:sz w:val="28"/>
          <w:szCs w:val="28"/>
        </w:rPr>
      </w:pPr>
      <w:r w:rsidRPr="005E08A3">
        <w:rPr>
          <w:rFonts w:ascii="Times New Roman" w:hAnsi="Times New Roman" w:cs="Times New Roman"/>
          <w:position w:val="-16"/>
          <w:sz w:val="28"/>
          <w:szCs w:val="28"/>
        </w:rPr>
        <w:object w:dxaOrig="3840" w:dyaOrig="440" w14:anchorId="74A1E354">
          <v:shape id="_x0000_i1054" type="#_x0000_t75" style="width:194.5pt;height:22pt" o:ole="">
            <v:imagedata r:id="rId72" o:title=""/>
          </v:shape>
          <o:OLEObject Type="Embed" ProgID="Equation.DSMT4" ShapeID="_x0000_i1054" DrawAspect="Content" ObjectID="_1799840625" r:id="rId73"/>
        </w:object>
      </w:r>
      <w:bookmarkEnd w:id="9"/>
      <w:r>
        <w:rPr>
          <w:rFonts w:ascii="Times New Roman" w:hAnsi="Times New Roman" w:cs="Times New Roman"/>
          <w:sz w:val="28"/>
          <w:szCs w:val="28"/>
        </w:rPr>
        <w:t>,</w:t>
      </w:r>
    </w:p>
    <w:p w14:paraId="0FE6DAD4" w14:textId="77777777" w:rsidR="009B0352" w:rsidRDefault="009B0352" w:rsidP="009B0352">
      <w:pPr>
        <w:tabs>
          <w:tab w:val="left" w:pos="1417"/>
        </w:tabs>
        <w:spacing w:line="264" w:lineRule="auto"/>
        <w:jc w:val="both"/>
        <w:rPr>
          <w:rFonts w:ascii="Times New Roman" w:hAnsi="Times New Roman" w:cs="Times New Roman"/>
          <w:sz w:val="28"/>
          <w:szCs w:val="28"/>
        </w:rPr>
      </w:pPr>
      <w:r>
        <w:rPr>
          <w:rFonts w:ascii="Times New Roman" w:hAnsi="Times New Roman" w:cs="Times New Roman"/>
          <w:sz w:val="28"/>
          <w:szCs w:val="28"/>
        </w:rPr>
        <w:t>gdzie: I(r</w:t>
      </w:r>
      <w:r w:rsidRPr="005E08A3">
        <w:rPr>
          <w:rFonts w:ascii="Times New Roman" w:hAnsi="Times New Roman" w:cs="Times New Roman"/>
          <w:sz w:val="28"/>
          <w:szCs w:val="28"/>
          <w:vertAlign w:val="subscript"/>
        </w:rPr>
        <w:t>r</w:t>
      </w:r>
      <w:r>
        <w:rPr>
          <w:rFonts w:ascii="Times New Roman" w:hAnsi="Times New Roman" w:cs="Times New Roman"/>
          <w:sz w:val="28"/>
          <w:szCs w:val="28"/>
        </w:rPr>
        <w:t>) – odszkodowanie; θ – ilość nabywanych ubezpieczeń sprawiedliwych aktuarialnie; π – składka sprawiedliwa aktuarialnie.</w:t>
      </w:r>
    </w:p>
    <w:p w14:paraId="26659E81" w14:textId="77777777" w:rsidR="009B0352" w:rsidRDefault="009B0352" w:rsidP="009B0352">
      <w:pPr>
        <w:tabs>
          <w:tab w:val="left" w:pos="1417"/>
        </w:tabs>
        <w:spacing w:line="264" w:lineRule="auto"/>
        <w:jc w:val="both"/>
        <w:rPr>
          <w:rFonts w:ascii="Times New Roman" w:hAnsi="Times New Roman" w:cs="Times New Roman"/>
          <w:sz w:val="28"/>
          <w:szCs w:val="28"/>
        </w:rPr>
      </w:pPr>
      <w:r>
        <w:rPr>
          <w:rFonts w:ascii="Times New Roman" w:hAnsi="Times New Roman" w:cs="Times New Roman"/>
          <w:sz w:val="28"/>
          <w:szCs w:val="28"/>
        </w:rPr>
        <w:t xml:space="preserve">Jeśli natomiast spełniony będzie kolejny warunek, to rolnik nabędzie tylko ubezpieczenie subsydiowane: </w:t>
      </w:r>
    </w:p>
    <w:p w14:paraId="237E8A24" w14:textId="77777777" w:rsidR="009B0352" w:rsidRDefault="009B0352" w:rsidP="009B0352">
      <w:pPr>
        <w:tabs>
          <w:tab w:val="left" w:pos="3444"/>
        </w:tabs>
        <w:spacing w:line="264" w:lineRule="auto"/>
        <w:jc w:val="center"/>
        <w:rPr>
          <w:rFonts w:ascii="Times New Roman" w:hAnsi="Times New Roman" w:cs="Times New Roman"/>
          <w:sz w:val="28"/>
          <w:szCs w:val="28"/>
        </w:rPr>
      </w:pPr>
      <w:r w:rsidRPr="005E08A3">
        <w:rPr>
          <w:rFonts w:ascii="Times New Roman" w:hAnsi="Times New Roman" w:cs="Times New Roman"/>
          <w:position w:val="-16"/>
          <w:sz w:val="28"/>
          <w:szCs w:val="28"/>
        </w:rPr>
        <w:object w:dxaOrig="5400" w:dyaOrig="440" w14:anchorId="019B028F">
          <v:shape id="_x0000_i1055" type="#_x0000_t75" style="width:273pt;height:22pt" o:ole="">
            <v:imagedata r:id="rId74" o:title=""/>
          </v:shape>
          <o:OLEObject Type="Embed" ProgID="Equation.DSMT4" ShapeID="_x0000_i1055" DrawAspect="Content" ObjectID="_1799840626" r:id="rId75"/>
        </w:object>
      </w:r>
      <w:r>
        <w:rPr>
          <w:rFonts w:ascii="Times New Roman" w:hAnsi="Times New Roman" w:cs="Times New Roman"/>
          <w:sz w:val="28"/>
          <w:szCs w:val="28"/>
        </w:rPr>
        <w:t>.</w:t>
      </w:r>
    </w:p>
    <w:p w14:paraId="4886414C" w14:textId="77777777" w:rsidR="009B0352" w:rsidRDefault="009B0352" w:rsidP="009B0352">
      <w:pPr>
        <w:tabs>
          <w:tab w:val="left" w:pos="1578"/>
        </w:tabs>
        <w:spacing w:line="264" w:lineRule="auto"/>
        <w:rPr>
          <w:rFonts w:ascii="Times New Roman" w:hAnsi="Times New Roman" w:cs="Times New Roman"/>
          <w:sz w:val="28"/>
          <w:szCs w:val="28"/>
        </w:rPr>
      </w:pPr>
      <w:r>
        <w:rPr>
          <w:rFonts w:ascii="Times New Roman" w:hAnsi="Times New Roman" w:cs="Times New Roman"/>
          <w:sz w:val="28"/>
          <w:szCs w:val="28"/>
        </w:rPr>
        <w:t xml:space="preserve">Warunek ten pozwala skonstruować efektywną stopę subsydiowania składki </w:t>
      </w:r>
      <w:r w:rsidRPr="00B97288">
        <w:rPr>
          <w:rFonts w:ascii="Times New Roman" w:hAnsi="Times New Roman" w:cs="Times New Roman"/>
          <w:position w:val="-12"/>
          <w:sz w:val="28"/>
          <w:szCs w:val="28"/>
        </w:rPr>
        <w:object w:dxaOrig="279" w:dyaOrig="360" w14:anchorId="32BDD0F0">
          <v:shape id="_x0000_i1056" type="#_x0000_t75" style="width:14.5pt;height:22pt" o:ole="">
            <v:imagedata r:id="rId76" o:title=""/>
          </v:shape>
          <o:OLEObject Type="Embed" ProgID="Equation.DSMT4" ShapeID="_x0000_i1056" DrawAspect="Content" ObjectID="_1799840627" r:id="rId77"/>
        </w:object>
      </w:r>
      <w:r>
        <w:rPr>
          <w:rFonts w:ascii="Times New Roman" w:hAnsi="Times New Roman" w:cs="Times New Roman"/>
          <w:sz w:val="28"/>
          <w:szCs w:val="28"/>
        </w:rPr>
        <w:t>:</w:t>
      </w:r>
    </w:p>
    <w:p w14:paraId="6183DF9E" w14:textId="77777777" w:rsidR="009B0352" w:rsidRDefault="009B0352" w:rsidP="009B0352">
      <w:pPr>
        <w:tabs>
          <w:tab w:val="left" w:pos="3087"/>
        </w:tabs>
        <w:spacing w:line="264" w:lineRule="auto"/>
        <w:rPr>
          <w:rFonts w:ascii="Times New Roman" w:hAnsi="Times New Roman" w:cs="Times New Roman"/>
          <w:sz w:val="28"/>
          <w:szCs w:val="28"/>
        </w:rPr>
      </w:pPr>
      <w:r>
        <w:rPr>
          <w:rFonts w:ascii="Times New Roman" w:hAnsi="Times New Roman" w:cs="Times New Roman"/>
          <w:sz w:val="28"/>
          <w:szCs w:val="28"/>
        </w:rPr>
        <w:tab/>
      </w:r>
      <w:r w:rsidRPr="00D23A7A">
        <w:rPr>
          <w:rFonts w:ascii="Times New Roman" w:hAnsi="Times New Roman" w:cs="Times New Roman"/>
          <w:position w:val="-34"/>
          <w:sz w:val="28"/>
          <w:szCs w:val="28"/>
        </w:rPr>
        <w:object w:dxaOrig="3000" w:dyaOrig="800" w14:anchorId="37054861">
          <v:shape id="_x0000_i1057" type="#_x0000_t75" style="width:151.5pt;height:43pt" o:ole="">
            <v:imagedata r:id="rId78" o:title=""/>
          </v:shape>
          <o:OLEObject Type="Embed" ProgID="Equation.DSMT4" ShapeID="_x0000_i1057" DrawAspect="Content" ObjectID="_1799840628" r:id="rId79"/>
        </w:object>
      </w:r>
      <w:r>
        <w:rPr>
          <w:rFonts w:ascii="Times New Roman" w:hAnsi="Times New Roman" w:cs="Times New Roman"/>
          <w:sz w:val="28"/>
          <w:szCs w:val="28"/>
        </w:rPr>
        <w:t>.</w:t>
      </w:r>
    </w:p>
    <w:p w14:paraId="1B269687" w14:textId="77777777" w:rsidR="009B0352" w:rsidRDefault="009B0352" w:rsidP="009B0352">
      <w:pPr>
        <w:tabs>
          <w:tab w:val="left" w:pos="1428"/>
        </w:tabs>
        <w:spacing w:line="264" w:lineRule="auto"/>
        <w:jc w:val="both"/>
        <w:rPr>
          <w:rFonts w:ascii="Times New Roman" w:hAnsi="Times New Roman" w:cs="Times New Roman"/>
          <w:spacing w:val="-4"/>
          <w:sz w:val="28"/>
          <w:szCs w:val="28"/>
        </w:rPr>
      </w:pPr>
      <w:r>
        <w:rPr>
          <w:rFonts w:ascii="Times New Roman" w:hAnsi="Times New Roman" w:cs="Times New Roman"/>
          <w:sz w:val="28"/>
          <w:szCs w:val="28"/>
        </w:rPr>
        <w:t xml:space="preserve">Widzimy teraz, że stopa subsydiowania </w:t>
      </w:r>
      <w:r w:rsidRPr="005C5328">
        <w:rPr>
          <w:rFonts w:ascii="Times New Roman" w:hAnsi="Times New Roman" w:cs="Times New Roman"/>
          <w:position w:val="-10"/>
          <w:sz w:val="28"/>
          <w:szCs w:val="28"/>
        </w:rPr>
        <w:object w:dxaOrig="200" w:dyaOrig="260" w14:anchorId="60B67143">
          <v:shape id="_x0000_i1058" type="#_x0000_t75" style="width:14.5pt;height:22pt" o:ole="">
            <v:imagedata r:id="rId80" o:title=""/>
          </v:shape>
          <o:OLEObject Type="Embed" ProgID="Equation.DSMT4" ShapeID="_x0000_i1058" DrawAspect="Content" ObjectID="_1799840629" r:id="rId81"/>
        </w:object>
      </w:r>
      <w:r>
        <w:rPr>
          <w:rFonts w:ascii="Times New Roman" w:hAnsi="Times New Roman" w:cs="Times New Roman"/>
          <w:sz w:val="28"/>
          <w:szCs w:val="28"/>
        </w:rPr>
        <w:t xml:space="preserve"> mniejsza od</w:t>
      </w:r>
      <w:r w:rsidRPr="00B97288">
        <w:rPr>
          <w:rFonts w:ascii="Times New Roman" w:hAnsi="Times New Roman" w:cs="Times New Roman"/>
          <w:position w:val="-12"/>
          <w:sz w:val="28"/>
          <w:szCs w:val="28"/>
        </w:rPr>
        <w:object w:dxaOrig="279" w:dyaOrig="360" w14:anchorId="52240C87">
          <v:shape id="_x0000_i1059" type="#_x0000_t75" style="width:14.5pt;height:22pt" o:ole="">
            <v:imagedata r:id="rId76" o:title=""/>
          </v:shape>
          <o:OLEObject Type="Embed" ProgID="Equation.DSMT4" ShapeID="_x0000_i1059" DrawAspect="Content" ObjectID="_1799840630" r:id="rId82"/>
        </w:object>
      </w:r>
      <w:r>
        <w:rPr>
          <w:rFonts w:ascii="Times New Roman" w:hAnsi="Times New Roman" w:cs="Times New Roman"/>
          <w:sz w:val="28"/>
          <w:szCs w:val="28"/>
        </w:rPr>
        <w:t xml:space="preserve"> nie wywoła żadnych zmian w podziale inwestycji na obydwa rodzaje upraw. </w:t>
      </w:r>
      <w:r w:rsidRPr="00D23A7A">
        <w:rPr>
          <w:rFonts w:ascii="Times New Roman" w:hAnsi="Times New Roman" w:cs="Times New Roman"/>
          <w:spacing w:val="-4"/>
          <w:sz w:val="28"/>
          <w:szCs w:val="28"/>
        </w:rPr>
        <w:t xml:space="preserve">Z kolei </w:t>
      </w:r>
      <w:r w:rsidRPr="00D23A7A">
        <w:rPr>
          <w:rFonts w:ascii="Times New Roman" w:hAnsi="Times New Roman" w:cs="Times New Roman"/>
          <w:spacing w:val="-4"/>
          <w:position w:val="-12"/>
          <w:sz w:val="28"/>
          <w:szCs w:val="28"/>
        </w:rPr>
        <w:object w:dxaOrig="279" w:dyaOrig="360" w14:anchorId="4C01742E">
          <v:shape id="_x0000_i1060" type="#_x0000_t75" style="width:14.5pt;height:22pt" o:ole="">
            <v:imagedata r:id="rId76" o:title=""/>
          </v:shape>
          <o:OLEObject Type="Embed" ProgID="Equation.DSMT4" ShapeID="_x0000_i1060" DrawAspect="Content" ObjectID="_1799840631" r:id="rId83"/>
        </w:object>
      </w:r>
      <w:r w:rsidRPr="00D23A7A">
        <w:rPr>
          <w:rFonts w:ascii="Times New Roman" w:hAnsi="Times New Roman" w:cs="Times New Roman"/>
          <w:spacing w:val="-4"/>
          <w:sz w:val="28"/>
          <w:szCs w:val="28"/>
        </w:rPr>
        <w:t>rośnie wraz powiększaniem się parametru r</w:t>
      </w:r>
      <w:r w:rsidRPr="00D23A7A">
        <w:rPr>
          <w:rFonts w:ascii="Times New Roman" w:hAnsi="Times New Roman" w:cs="Times New Roman"/>
          <w:spacing w:val="-4"/>
          <w:sz w:val="28"/>
          <w:szCs w:val="28"/>
          <w:vertAlign w:val="subscript"/>
        </w:rPr>
        <w:t>s</w:t>
      </w:r>
      <w:r w:rsidRPr="00D23A7A">
        <w:rPr>
          <w:rFonts w:ascii="Times New Roman" w:hAnsi="Times New Roman" w:cs="Times New Roman"/>
          <w:spacing w:val="-4"/>
          <w:sz w:val="28"/>
          <w:szCs w:val="28"/>
        </w:rPr>
        <w:t xml:space="preserve"> dla obydwu typów/preferencji względem ryzyka. Oznacza to dalej, że tanienie samoochrony prowadzi do wzrostu wymaganego </w:t>
      </w:r>
      <w:r w:rsidRPr="00D23A7A">
        <w:rPr>
          <w:rFonts w:ascii="Times New Roman" w:hAnsi="Times New Roman" w:cs="Times New Roman"/>
          <w:spacing w:val="-4"/>
          <w:position w:val="-12"/>
          <w:sz w:val="28"/>
          <w:szCs w:val="28"/>
        </w:rPr>
        <w:object w:dxaOrig="279" w:dyaOrig="360" w14:anchorId="6ED2DA15">
          <v:shape id="_x0000_i1061" type="#_x0000_t75" style="width:14.5pt;height:22pt" o:ole="">
            <v:imagedata r:id="rId76" o:title=""/>
          </v:shape>
          <o:OLEObject Type="Embed" ProgID="Equation.DSMT4" ShapeID="_x0000_i1061" DrawAspect="Content" ObjectID="_1799840632" r:id="rId84"/>
        </w:object>
      </w:r>
      <w:r w:rsidRPr="00D23A7A">
        <w:rPr>
          <w:rFonts w:ascii="Times New Roman" w:hAnsi="Times New Roman" w:cs="Times New Roman"/>
          <w:spacing w:val="-4"/>
          <w:sz w:val="28"/>
          <w:szCs w:val="28"/>
        </w:rPr>
        <w:t>.</w:t>
      </w:r>
    </w:p>
    <w:p w14:paraId="326982A0" w14:textId="77777777" w:rsidR="009B0352" w:rsidRDefault="009B0352" w:rsidP="009B0352">
      <w:pPr>
        <w:tabs>
          <w:tab w:val="left" w:pos="922"/>
        </w:tabs>
        <w:spacing w:line="264" w:lineRule="auto"/>
        <w:jc w:val="both"/>
        <w:rPr>
          <w:rFonts w:ascii="Times New Roman" w:hAnsi="Times New Roman" w:cs="Times New Roman"/>
          <w:sz w:val="28"/>
          <w:szCs w:val="28"/>
        </w:rPr>
      </w:pPr>
      <w:r>
        <w:rPr>
          <w:rFonts w:ascii="Times New Roman" w:hAnsi="Times New Roman" w:cs="Times New Roman"/>
          <w:sz w:val="28"/>
          <w:szCs w:val="28"/>
        </w:rPr>
        <w:tab/>
        <w:t>Już na rysunku … pokazano, że subsydiowanie składek ubezpieczeniowych generuje dwa efekty: bezpośredniego dla zysku i pośredniego dla poziomu ochrony ubezpieczeniowej. Przybliżmy ich formalne ujęcie przez Yu i Summera, które badacze ci zawarli w trzech twierdzeniach. Treść pierwszego jest następująca: wzrost parametru γ zwiększa inwestycje w uprawy ryzykowne dla obydwu typów preferencji wobec ryzyka i R(x) ≤ 1, gdy rolnik nabędzie nawet niewielką ochronę. Jeśli wzrost ten wynika ze wzrostu zysku na jednostkę inwestycji to pojawia się właśnie efekt bezpośredni. Gdy natomiast subsydiowanie składki zachęca rolnika do wybierania wyższych poziomów pokrycia, mamy do czynienia z efektem pośrednim. Formalnie wyraża się to następująco:</w:t>
      </w:r>
    </w:p>
    <w:p w14:paraId="14C4F5D7" w14:textId="77777777" w:rsidR="009B0352" w:rsidRDefault="009B0352" w:rsidP="009B0352">
      <w:pPr>
        <w:tabs>
          <w:tab w:val="left" w:pos="4073"/>
        </w:tabs>
        <w:spacing w:line="264" w:lineRule="auto"/>
        <w:jc w:val="center"/>
        <w:rPr>
          <w:rFonts w:ascii="Times New Roman" w:hAnsi="Times New Roman" w:cs="Times New Roman"/>
          <w:sz w:val="28"/>
          <w:szCs w:val="28"/>
        </w:rPr>
      </w:pPr>
      <w:r w:rsidRPr="00C0186E">
        <w:rPr>
          <w:rFonts w:ascii="Times New Roman" w:hAnsi="Times New Roman" w:cs="Times New Roman"/>
          <w:position w:val="-34"/>
          <w:sz w:val="28"/>
          <w:szCs w:val="28"/>
        </w:rPr>
        <w:object w:dxaOrig="5060" w:dyaOrig="820" w14:anchorId="2A053B83">
          <v:shape id="_x0000_i1062" type="#_x0000_t75" style="width:251.5pt;height:43pt" o:ole="">
            <v:imagedata r:id="rId85" o:title=""/>
          </v:shape>
          <o:OLEObject Type="Embed" ProgID="Equation.DSMT4" ShapeID="_x0000_i1062" DrawAspect="Content" ObjectID="_1799840633" r:id="rId86"/>
        </w:object>
      </w:r>
      <w:r>
        <w:rPr>
          <w:rFonts w:ascii="Times New Roman" w:hAnsi="Times New Roman" w:cs="Times New Roman"/>
          <w:sz w:val="28"/>
          <w:szCs w:val="28"/>
        </w:rPr>
        <w:t>,</w:t>
      </w:r>
    </w:p>
    <w:p w14:paraId="6317F80B" w14:textId="77777777" w:rsidR="009B0352" w:rsidRDefault="009B0352" w:rsidP="009B0352">
      <w:pPr>
        <w:tabs>
          <w:tab w:val="left" w:pos="1504"/>
        </w:tabs>
        <w:spacing w:line="264" w:lineRule="auto"/>
        <w:rPr>
          <w:rFonts w:ascii="Times New Roman" w:hAnsi="Times New Roman" w:cs="Times New Roman"/>
          <w:sz w:val="28"/>
          <w:szCs w:val="28"/>
        </w:rPr>
      </w:pPr>
      <w:r>
        <w:rPr>
          <w:rFonts w:ascii="Times New Roman" w:hAnsi="Times New Roman" w:cs="Times New Roman"/>
          <w:sz w:val="28"/>
          <w:szCs w:val="28"/>
        </w:rPr>
        <w:lastRenderedPageBreak/>
        <w:t xml:space="preserve">gdzie: </w:t>
      </w:r>
      <w:r w:rsidRPr="0005170F">
        <w:rPr>
          <w:rFonts w:ascii="Times New Roman" w:hAnsi="Times New Roman" w:cs="Times New Roman"/>
          <w:position w:val="-12"/>
          <w:sz w:val="28"/>
          <w:szCs w:val="28"/>
        </w:rPr>
        <w:object w:dxaOrig="940" w:dyaOrig="380" w14:anchorId="25C8C903">
          <v:shape id="_x0000_i1063" type="#_x0000_t75" style="width:50pt;height:22pt" o:ole="">
            <v:imagedata r:id="rId87" o:title=""/>
          </v:shape>
          <o:OLEObject Type="Embed" ProgID="Equation.DSMT4" ShapeID="_x0000_i1063" DrawAspect="Content" ObjectID="_1799840634" r:id="rId88"/>
        </w:object>
      </w:r>
      <w:r>
        <w:rPr>
          <w:rFonts w:ascii="Times New Roman" w:hAnsi="Times New Roman" w:cs="Times New Roman"/>
          <w:sz w:val="28"/>
          <w:szCs w:val="28"/>
        </w:rPr>
        <w:t xml:space="preserve"> egzogeniczne zmiany θ i K</w:t>
      </w:r>
      <w:r w:rsidRPr="0005170F">
        <w:rPr>
          <w:rFonts w:ascii="Times New Roman" w:hAnsi="Times New Roman" w:cs="Times New Roman"/>
          <w:sz w:val="28"/>
          <w:szCs w:val="28"/>
          <w:vertAlign w:val="subscript"/>
        </w:rPr>
        <w:t>r</w:t>
      </w:r>
      <w:r>
        <w:rPr>
          <w:rFonts w:ascii="Times New Roman" w:hAnsi="Times New Roman" w:cs="Times New Roman"/>
          <w:sz w:val="28"/>
          <w:szCs w:val="28"/>
        </w:rPr>
        <w:t>.</w:t>
      </w:r>
    </w:p>
    <w:p w14:paraId="2993AE04" w14:textId="77777777" w:rsidR="009B0352" w:rsidRDefault="009B0352" w:rsidP="009B0352">
      <w:pPr>
        <w:spacing w:line="264" w:lineRule="auto"/>
        <w:rPr>
          <w:rFonts w:ascii="Times New Roman" w:hAnsi="Times New Roman" w:cs="Times New Roman"/>
          <w:sz w:val="28"/>
          <w:szCs w:val="28"/>
        </w:rPr>
      </w:pPr>
      <w:r>
        <w:rPr>
          <w:rFonts w:ascii="Times New Roman" w:hAnsi="Times New Roman" w:cs="Times New Roman"/>
          <w:sz w:val="28"/>
          <w:szCs w:val="28"/>
        </w:rPr>
        <w:t xml:space="preserve">Wyrażenie </w:t>
      </w:r>
      <w:r w:rsidRPr="00655437">
        <w:rPr>
          <w:rFonts w:ascii="Times New Roman" w:hAnsi="Times New Roman" w:cs="Times New Roman"/>
          <w:position w:val="-32"/>
          <w:sz w:val="28"/>
          <w:szCs w:val="28"/>
        </w:rPr>
        <w:object w:dxaOrig="1040" w:dyaOrig="700" w14:anchorId="22D44950">
          <v:shape id="_x0000_i1064" type="#_x0000_t75" style="width:50pt;height:36.5pt" o:ole="">
            <v:imagedata r:id="rId89" o:title=""/>
          </v:shape>
          <o:OLEObject Type="Embed" ProgID="Equation.DSMT4" ShapeID="_x0000_i1064" DrawAspect="Content" ObjectID="_1799840635" r:id="rId90"/>
        </w:object>
      </w:r>
      <w:r>
        <w:rPr>
          <w:rFonts w:ascii="Times New Roman" w:hAnsi="Times New Roman" w:cs="Times New Roman"/>
          <w:sz w:val="28"/>
          <w:szCs w:val="28"/>
        </w:rPr>
        <w:t xml:space="preserve"> to efekt bezpośredni, natomiast</w:t>
      </w:r>
      <w:r w:rsidRPr="00C0186E">
        <w:rPr>
          <w:rFonts w:ascii="Times New Roman" w:hAnsi="Times New Roman" w:cs="Times New Roman"/>
          <w:position w:val="-34"/>
          <w:sz w:val="28"/>
          <w:szCs w:val="28"/>
        </w:rPr>
        <w:object w:dxaOrig="1480" w:dyaOrig="720" w14:anchorId="450D5801">
          <v:shape id="_x0000_i1065" type="#_x0000_t75" style="width:1in;height:36.5pt" o:ole="">
            <v:imagedata r:id="rId91" o:title=""/>
          </v:shape>
          <o:OLEObject Type="Embed" ProgID="Equation.DSMT4" ShapeID="_x0000_i1065" DrawAspect="Content" ObjectID="_1799840636" r:id="rId92"/>
        </w:object>
      </w:r>
      <w:r>
        <w:rPr>
          <w:rFonts w:ascii="Times New Roman" w:hAnsi="Times New Roman" w:cs="Times New Roman"/>
          <w:sz w:val="28"/>
          <w:szCs w:val="28"/>
        </w:rPr>
        <w:t xml:space="preserve"> - oznacza efekt pośredni.</w:t>
      </w:r>
    </w:p>
    <w:p w14:paraId="21879823" w14:textId="77777777" w:rsidR="009B0352" w:rsidRDefault="009B0352" w:rsidP="009B0352">
      <w:pPr>
        <w:spacing w:line="264" w:lineRule="auto"/>
        <w:jc w:val="both"/>
        <w:rPr>
          <w:rFonts w:ascii="Times New Roman" w:hAnsi="Times New Roman" w:cs="Times New Roman"/>
          <w:sz w:val="28"/>
          <w:szCs w:val="28"/>
        </w:rPr>
      </w:pPr>
      <w:r>
        <w:rPr>
          <w:rFonts w:ascii="Times New Roman" w:hAnsi="Times New Roman" w:cs="Times New Roman"/>
          <w:sz w:val="28"/>
          <w:szCs w:val="28"/>
        </w:rPr>
        <w:t>Stąd mamy twierdzenie, iż efekt bezpośredni jest dodatni, jeśli rolnik charakteryzuje się preferencją CARA lub DARA.  W jego dowodzie znalazło się m.in. poniższe wyrażenie, które ma znaczenie dla dalszych rozważań:</w:t>
      </w:r>
    </w:p>
    <w:p w14:paraId="69E43188" w14:textId="77777777" w:rsidR="009B0352" w:rsidRDefault="009B0352" w:rsidP="009B0352">
      <w:pPr>
        <w:tabs>
          <w:tab w:val="left" w:pos="3385"/>
        </w:tabs>
        <w:spacing w:line="264" w:lineRule="auto"/>
        <w:jc w:val="center"/>
        <w:rPr>
          <w:rFonts w:ascii="Times New Roman" w:hAnsi="Times New Roman" w:cs="Times New Roman"/>
          <w:sz w:val="28"/>
          <w:szCs w:val="28"/>
        </w:rPr>
      </w:pPr>
      <w:r w:rsidRPr="00413012">
        <w:rPr>
          <w:rFonts w:ascii="Times New Roman" w:hAnsi="Times New Roman" w:cs="Times New Roman"/>
          <w:position w:val="-18"/>
          <w:sz w:val="28"/>
          <w:szCs w:val="28"/>
        </w:rPr>
        <w:object w:dxaOrig="7140" w:dyaOrig="480" w14:anchorId="2BF60551">
          <v:shape id="_x0000_i1066" type="#_x0000_t75" style="width:5in;height:22pt" o:ole="">
            <v:imagedata r:id="rId93" o:title=""/>
          </v:shape>
          <o:OLEObject Type="Embed" ProgID="Equation.DSMT4" ShapeID="_x0000_i1066" DrawAspect="Content" ObjectID="_1799840637" r:id="rId94"/>
        </w:object>
      </w:r>
    </w:p>
    <w:p w14:paraId="724D1ECC" w14:textId="77777777" w:rsidR="009B0352" w:rsidRDefault="009B0352" w:rsidP="009B0352">
      <w:pPr>
        <w:tabs>
          <w:tab w:val="left" w:pos="3385"/>
        </w:tabs>
        <w:spacing w:line="264" w:lineRule="auto"/>
        <w:jc w:val="both"/>
        <w:rPr>
          <w:rFonts w:ascii="Times New Roman" w:hAnsi="Times New Roman" w:cs="Times New Roman"/>
          <w:sz w:val="28"/>
          <w:szCs w:val="28"/>
        </w:rPr>
      </w:pPr>
      <w:r>
        <w:rPr>
          <w:rFonts w:ascii="Times New Roman" w:hAnsi="Times New Roman" w:cs="Times New Roman"/>
          <w:sz w:val="28"/>
          <w:szCs w:val="28"/>
        </w:rPr>
        <w:t>gdzie: A(x) – współczynnik absolutnej wersji do ryzyka w konwencji Arrowa-Pratta.</w:t>
      </w:r>
    </w:p>
    <w:p w14:paraId="13A363A2" w14:textId="77777777" w:rsidR="009B0352" w:rsidRDefault="009B0352" w:rsidP="009B0352">
      <w:pPr>
        <w:tabs>
          <w:tab w:val="left" w:pos="3385"/>
        </w:tabs>
        <w:spacing w:line="264" w:lineRule="auto"/>
        <w:ind w:firstLine="426"/>
        <w:jc w:val="both"/>
        <w:rPr>
          <w:rFonts w:ascii="Times New Roman" w:hAnsi="Times New Roman" w:cs="Times New Roman"/>
          <w:sz w:val="28"/>
          <w:szCs w:val="28"/>
        </w:rPr>
      </w:pPr>
      <w:r>
        <w:rPr>
          <w:rFonts w:ascii="Times New Roman" w:hAnsi="Times New Roman" w:cs="Times New Roman"/>
          <w:sz w:val="28"/>
          <w:szCs w:val="28"/>
        </w:rPr>
        <w:t>Twierdzenie ostatnie orzeka, że efekt pośredni jest dodatni, jeśli rolnik wykazuje preferencje CARA lub DARA i R(x) ≤ 1. W jego dowodzie Yu i Summer zawarli kolejne ważne wyrażenie dla zidentyfikowania efektów subsydiowania i ryzyka.</w:t>
      </w:r>
    </w:p>
    <w:p w14:paraId="7E320A80" w14:textId="77777777" w:rsidR="009B0352" w:rsidRDefault="009B0352" w:rsidP="009B0352">
      <w:pPr>
        <w:tabs>
          <w:tab w:val="left" w:pos="3385"/>
        </w:tabs>
        <w:spacing w:line="264" w:lineRule="auto"/>
        <w:jc w:val="center"/>
        <w:rPr>
          <w:rFonts w:ascii="Times New Roman" w:hAnsi="Times New Roman" w:cs="Times New Roman"/>
          <w:sz w:val="28"/>
          <w:szCs w:val="28"/>
        </w:rPr>
      </w:pPr>
      <w:r w:rsidRPr="00385C51">
        <w:rPr>
          <w:rFonts w:ascii="Times New Roman" w:hAnsi="Times New Roman" w:cs="Times New Roman"/>
          <w:position w:val="-14"/>
          <w:sz w:val="28"/>
          <w:szCs w:val="28"/>
        </w:rPr>
        <w:object w:dxaOrig="5820" w:dyaOrig="400" w14:anchorId="1836BDEF">
          <v:shape id="_x0000_i1067" type="#_x0000_t75" style="width:295pt;height:22pt" o:ole="">
            <v:imagedata r:id="rId95" o:title=""/>
          </v:shape>
          <o:OLEObject Type="Embed" ProgID="Equation.DSMT4" ShapeID="_x0000_i1067" DrawAspect="Content" ObjectID="_1799840638" r:id="rId96"/>
        </w:object>
      </w:r>
      <w:r>
        <w:rPr>
          <w:rFonts w:ascii="Times New Roman" w:hAnsi="Times New Roman" w:cs="Times New Roman"/>
          <w:sz w:val="28"/>
          <w:szCs w:val="28"/>
        </w:rPr>
        <w:t>.</w:t>
      </w:r>
    </w:p>
    <w:p w14:paraId="60C9C9BB" w14:textId="77777777" w:rsidR="009B0352" w:rsidRDefault="009B0352" w:rsidP="009B0352">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Widzimy, że bezpośredni efekt zysku wyraża zmianę inwestycji w uprawy ryzykowne przy stałości wielkości zakupywanych ubezpieczeń. Człon </w:t>
      </w:r>
      <w:r w:rsidRPr="00613156">
        <w:rPr>
          <w:rFonts w:ascii="Times New Roman" w:hAnsi="Times New Roman" w:cs="Times New Roman"/>
          <w:position w:val="-14"/>
          <w:sz w:val="28"/>
          <w:szCs w:val="28"/>
        </w:rPr>
        <w:object w:dxaOrig="1300" w:dyaOrig="400" w14:anchorId="07213492">
          <v:shape id="_x0000_i1068" type="#_x0000_t75" style="width:65pt;height:22pt" o:ole="">
            <v:imagedata r:id="rId97" o:title=""/>
          </v:shape>
          <o:OLEObject Type="Embed" ProgID="Equation.DSMT4" ShapeID="_x0000_i1068" DrawAspect="Content" ObjectID="_1799840639" r:id="rId98"/>
        </w:object>
      </w:r>
      <w:r>
        <w:rPr>
          <w:rFonts w:ascii="Times New Roman" w:hAnsi="Times New Roman" w:cs="Times New Roman"/>
          <w:sz w:val="28"/>
          <w:szCs w:val="28"/>
        </w:rPr>
        <w:t xml:space="preserve"> opisuje natomiast efekt subsydiowania, a człon </w:t>
      </w:r>
      <w:r w:rsidRPr="009E14BB">
        <w:rPr>
          <w:rFonts w:ascii="Times New Roman" w:hAnsi="Times New Roman" w:cs="Times New Roman"/>
          <w:position w:val="-14"/>
          <w:sz w:val="28"/>
          <w:szCs w:val="28"/>
        </w:rPr>
        <w:object w:dxaOrig="3240" w:dyaOrig="400" w14:anchorId="1FEA881A">
          <v:shape id="_x0000_i1069" type="#_x0000_t75" style="width:165pt;height:22pt" o:ole="">
            <v:imagedata r:id="rId99" o:title=""/>
          </v:shape>
          <o:OLEObject Type="Embed" ProgID="Equation.DSMT4" ShapeID="_x0000_i1069" DrawAspect="Content" ObjectID="_1799840640" r:id="rId100"/>
        </w:object>
      </w:r>
      <w:r>
        <w:rPr>
          <w:rFonts w:ascii="Times New Roman" w:hAnsi="Times New Roman" w:cs="Times New Roman"/>
          <w:sz w:val="28"/>
          <w:szCs w:val="28"/>
        </w:rPr>
        <w:t>jest efektem ryzyka. Pierwszy z ww. efektów jest stale dodatni i jest krańcową zmianą użyteczności z tytułu ogólnego wzrostu zysku na skutek subsydiowania. Preferencje względem ryzyka nie mają na niego żadnego wpływu. Inaczej jest w przypadku efektu drugiego, gdyż tu otrzymanie subsydium zwiększa majątek rolnika. Dla preferencji DARA producenci mają niższy koszt ryzyka, gdy majątek ich rośnie; ergo: efekt ryzyka jest dodatni. W przypadku zaś CARA jest on zerowy.</w:t>
      </w:r>
    </w:p>
    <w:p w14:paraId="384D073E" w14:textId="77777777" w:rsidR="009B0352" w:rsidRDefault="009B0352" w:rsidP="009B0352">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Efekt pokrycia odzwierciedla przyrost ilości nabywanej ochrony na skutek udzielania subsydiów. Jeśli koszt ubezpieczenia spada, popyt na ubezpieczenie rośnie, bo ubezpieczenia rynkowe są substytutem samoubezpieczenia. Człon </w:t>
      </w:r>
      <w:r w:rsidRPr="00613156">
        <w:rPr>
          <w:rFonts w:ascii="Times New Roman" w:hAnsi="Times New Roman" w:cs="Times New Roman"/>
          <w:position w:val="-14"/>
          <w:sz w:val="28"/>
          <w:szCs w:val="28"/>
        </w:rPr>
        <w:object w:dxaOrig="1300" w:dyaOrig="400" w14:anchorId="037416BB">
          <v:shape id="_x0000_i1070" type="#_x0000_t75" style="width:65pt;height:22pt" o:ole="">
            <v:imagedata r:id="rId97" o:title=""/>
          </v:shape>
          <o:OLEObject Type="Embed" ProgID="Equation.DSMT4" ShapeID="_x0000_i1070" DrawAspect="Content" ObjectID="_1799840641" r:id="rId101"/>
        </w:object>
      </w:r>
      <w:r>
        <w:rPr>
          <w:rFonts w:ascii="Times New Roman" w:hAnsi="Times New Roman" w:cs="Times New Roman"/>
          <w:sz w:val="28"/>
          <w:szCs w:val="28"/>
        </w:rPr>
        <w:t xml:space="preserve"> jest efektem subsydiowania i wyraża krańcową korzyść z jednostkowego przyrostu pokrycia ubezpieczeniowego z racji otrzymania dodatkowego subsydium. Jest on również dodatni dla obydwu typów preferencji. Z kolei wyrażenie </w:t>
      </w:r>
      <w:r w:rsidRPr="009E14BB">
        <w:rPr>
          <w:rFonts w:ascii="Times New Roman" w:hAnsi="Times New Roman" w:cs="Times New Roman"/>
          <w:position w:val="-14"/>
          <w:sz w:val="28"/>
          <w:szCs w:val="28"/>
        </w:rPr>
        <w:object w:dxaOrig="3240" w:dyaOrig="400" w14:anchorId="1798A9C6">
          <v:shape id="_x0000_i1071" type="#_x0000_t75" style="width:165pt;height:22pt" o:ole="">
            <v:imagedata r:id="rId99" o:title=""/>
          </v:shape>
          <o:OLEObject Type="Embed" ProgID="Equation.DSMT4" ShapeID="_x0000_i1071" DrawAspect="Content" ObjectID="_1799840642" r:id="rId102"/>
        </w:object>
      </w:r>
      <w:r>
        <w:rPr>
          <w:rFonts w:ascii="Times New Roman" w:hAnsi="Times New Roman" w:cs="Times New Roman"/>
          <w:sz w:val="28"/>
          <w:szCs w:val="28"/>
        </w:rPr>
        <w:t xml:space="preserve"> jest efektem ryzyka. Przyjmuje on wartość zero dla CARA oraz ujemną dla DARA. Gdy majątek rolnika się powiększa, </w:t>
      </w:r>
      <w:r>
        <w:rPr>
          <w:rFonts w:ascii="Times New Roman" w:hAnsi="Times New Roman" w:cs="Times New Roman"/>
          <w:sz w:val="28"/>
          <w:szCs w:val="28"/>
        </w:rPr>
        <w:lastRenderedPageBreak/>
        <w:t>ubezpieczenia stają się bowiem dla niego mniej atrakcyjne. Dla preferencji DARA i R(x) ≤ 1 efekt subsydiowania jest większy niż efekt ryzyka.</w:t>
      </w:r>
    </w:p>
    <w:p w14:paraId="7E1B961C" w14:textId="77777777" w:rsidR="009B0352" w:rsidRDefault="009B0352" w:rsidP="009B0352">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Podsumujmy teraz krótko wyniki modelowania Yu i Summera. Widzimy, że efekty subsydiowania składek ubezpieczeniowych są pochodną interakcji między kosztem samoubezpieczenia – parametr r</w:t>
      </w:r>
      <w:r w:rsidRPr="00020622">
        <w:rPr>
          <w:rFonts w:ascii="Times New Roman" w:hAnsi="Times New Roman" w:cs="Times New Roman"/>
          <w:sz w:val="28"/>
          <w:szCs w:val="28"/>
          <w:vertAlign w:val="subscript"/>
        </w:rPr>
        <w:t>s</w:t>
      </w:r>
      <w:r>
        <w:rPr>
          <w:rFonts w:ascii="Times New Roman" w:hAnsi="Times New Roman" w:cs="Times New Roman"/>
          <w:sz w:val="28"/>
          <w:szCs w:val="28"/>
        </w:rPr>
        <w:t xml:space="preserve"> a poziomem i typem awersji do ryzyka producenta rolnego. W tle mamy tu jednakże substytucyjność między inwestycjami w uprawy bezpieczne i ryzykowne, gdy interesuje nas bezpośredni efekty subsydiowania. Z kolei dla efektu pośredniego podstawowe znaczenie ma substytucyjność między ubezpieczeniami rynkowymi a samoubezpieczeniem – inwestycjami w uprawy mniej ryzykowne. Co jednak ważne to to, że dla preferencji DARA i R(x) ≤ 1 ta ostatnia substytucja nie musi się pojawić. Wówczas efekt pośredni staje się ujemnym. Najczęściej nie będzie on jednak na tyle duży, by uczynić ujemnym efekt bezpośredni.</w:t>
      </w:r>
    </w:p>
    <w:p w14:paraId="035AA00B" w14:textId="77777777" w:rsidR="009B0352" w:rsidRDefault="009B0352" w:rsidP="009B0352">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Yu i Summer wykonali jeszcze symulację numeryczną, by pokazać, jak działają subsydia do składek ubezpieczeniowych w porównaniu do dotowania nakładów obrotowych nabywanych przez rolników. Okazało się, że producenci o wysokim koszcie samoubezpieczenia i wysokiej awersji do ryzyka preferują subsydiowane ubezpieczenia, zwiększając inwestycje w uprawy ryzykowne. Natomiast producenci odznaczający się niskim kosztem samoubezpieczenia i niską awersją do ryzyka mogą wybierać jeden albo drugi sposób wsparcia budżetowego. Dla części z nich jednakże dotowanie zakupu polis utożsamiane jest z otrzymaniem bezpośredniego wsparcia produkcyjnego. Stąd też politycy rolni powinni bardzo starannie ewaluować ex-ante projektowane do wdrożenia różne schematy subsydiowania, bo reakcje rolników na nie mogą być często zaskakujące. Z pewnością zagrożenie nieefektywną alokacją funduszy budżetowych wzrosło w czasie pandemii Covid-19 i po wybuchu wojny w Ukrainie, kiedy to, przynajmniej w Polsce, nastąpiła eksplozja programów subsydiowania rolnictwa, w tym m.in. zakupu nawozów mineralnych.</w:t>
      </w:r>
    </w:p>
    <w:p w14:paraId="2009FEB5" w14:textId="09975054" w:rsidR="00BB2E5D" w:rsidRDefault="00BB2E5D" w:rsidP="00E41A4F">
      <w:pPr>
        <w:pStyle w:val="Akapitzlist"/>
        <w:spacing w:line="264" w:lineRule="auto"/>
        <w:ind w:left="0" w:firstLine="425"/>
        <w:jc w:val="both"/>
        <w:rPr>
          <w:rFonts w:ascii="Times New Roman" w:hAnsi="Times New Roman" w:cs="Times New Roman"/>
          <w:sz w:val="28"/>
          <w:szCs w:val="28"/>
        </w:rPr>
      </w:pPr>
      <w:r>
        <w:rPr>
          <w:rFonts w:ascii="Times New Roman" w:hAnsi="Times New Roman" w:cs="Times New Roman"/>
          <w:sz w:val="28"/>
          <w:szCs w:val="28"/>
        </w:rPr>
        <w:t>Decyzje rolników dotyczące struktury zasiewów są pochodną ich głównych celów w postaci maksymalizacji zysków/dochodów, minimalizacji ryzyka i niezbędnych nakładów. Przekładają się one także na decyzje związane z ewentualnym zakupem ubezpieczeń, ale pojawiają się tu również autonomiczne oczekiwania co do tego instrumentu zarządzania ryzykiem (Chai i Zhang, 2024). Generalnie ubezpieczenia te powinny obniżać fluktuację produkcji i dochodów. Zainteresowanie polisami jest natomiast wypadkową wielu czynników. W przypadku wyboru struktury zasiewów wpływ ubezpieczeń może wiązać się to z oczekiwaniem, iż pojawi się wówczas mechanizm, który przedstawiono na rysunku</w:t>
      </w:r>
      <w:r w:rsidR="00300569">
        <w:rPr>
          <w:rFonts w:ascii="Times New Roman" w:hAnsi="Times New Roman" w:cs="Times New Roman"/>
          <w:sz w:val="28"/>
          <w:szCs w:val="28"/>
        </w:rPr>
        <w:t xml:space="preserve"> 7</w:t>
      </w:r>
      <w:r>
        <w:rPr>
          <w:rFonts w:ascii="Times New Roman" w:hAnsi="Times New Roman" w:cs="Times New Roman"/>
          <w:sz w:val="28"/>
          <w:szCs w:val="28"/>
        </w:rPr>
        <w:t>.</w:t>
      </w:r>
    </w:p>
    <w:p w14:paraId="3A7D1D0D" w14:textId="77777777" w:rsidR="00BB2E5D" w:rsidRDefault="00BB2E5D" w:rsidP="00BB2E5D">
      <w:pPr>
        <w:spacing w:line="264" w:lineRule="auto"/>
        <w:ind w:firstLine="708"/>
        <w:sectPr w:rsidR="00BB2E5D" w:rsidSect="00BB2E5D">
          <w:footerReference w:type="default" r:id="rId103"/>
          <w:pgSz w:w="11906" w:h="16838"/>
          <w:pgMar w:top="1417" w:right="1417" w:bottom="1417" w:left="1417" w:header="708" w:footer="708" w:gutter="0"/>
          <w:cols w:space="708"/>
          <w:docGrid w:linePitch="360"/>
        </w:sectPr>
      </w:pPr>
    </w:p>
    <w:p w14:paraId="0FBA03A0" w14:textId="233E49A0" w:rsidR="00BB2E5D" w:rsidRPr="008D1C90" w:rsidRDefault="00E41A4F" w:rsidP="00E41A4F">
      <w:pPr>
        <w:spacing w:after="0" w:line="264" w:lineRule="auto"/>
        <w:ind w:firstLine="709"/>
        <w:rPr>
          <w:rFonts w:ascii="Times New Roman" w:hAnsi="Times New Roman" w:cs="Times New Roman"/>
          <w:sz w:val="28"/>
          <w:szCs w:val="28"/>
        </w:rPr>
      </w:pPr>
      <w:r w:rsidRPr="00A10D98">
        <w:rPr>
          <w:rFonts w:ascii="Times New Roman" w:hAnsi="Times New Roman" w:cs="Times New Roman"/>
          <w:b/>
          <w:bCs/>
          <w:sz w:val="28"/>
          <w:szCs w:val="28"/>
        </w:rPr>
        <w:lastRenderedPageBreak/>
        <w:t>Rysunek</w:t>
      </w:r>
      <w:r w:rsidR="00300569">
        <w:rPr>
          <w:rFonts w:ascii="Times New Roman" w:hAnsi="Times New Roman" w:cs="Times New Roman"/>
          <w:b/>
          <w:bCs/>
          <w:sz w:val="28"/>
          <w:szCs w:val="28"/>
        </w:rPr>
        <w:t xml:space="preserve"> 7</w:t>
      </w:r>
      <w:r w:rsidRPr="00A10D98">
        <w:rPr>
          <w:rFonts w:ascii="Times New Roman" w:hAnsi="Times New Roman" w:cs="Times New Roman"/>
          <w:b/>
          <w:bCs/>
          <w:sz w:val="28"/>
          <w:szCs w:val="28"/>
        </w:rPr>
        <w:t>.</w:t>
      </w:r>
      <w:r w:rsidRPr="008D1C90">
        <w:rPr>
          <w:rFonts w:ascii="Times New Roman" w:hAnsi="Times New Roman" w:cs="Times New Roman"/>
          <w:sz w:val="28"/>
          <w:szCs w:val="28"/>
        </w:rPr>
        <w:t xml:space="preserve"> </w:t>
      </w:r>
      <w:r w:rsidR="00BB2E5D" w:rsidRPr="008D1C90">
        <w:rPr>
          <w:rFonts w:ascii="Times New Roman" w:hAnsi="Times New Roman" w:cs="Times New Roman"/>
          <w:sz w:val="28"/>
          <w:szCs w:val="28"/>
        </w:rPr>
        <w:t>Możliwy mechanizm wpływu ubezpieczeń upraw na dostosowanie w ich strukturze</w:t>
      </w:r>
    </w:p>
    <w:p w14:paraId="6E29CC17" w14:textId="77777777" w:rsidR="00BB2E5D" w:rsidRDefault="00BB2E5D" w:rsidP="00BB2E5D">
      <w:pPr>
        <w:spacing w:line="264" w:lineRule="auto"/>
        <w:ind w:firstLine="567"/>
        <w:rPr>
          <w:noProof/>
        </w:rPr>
      </w:pPr>
      <w:r w:rsidRPr="00874451">
        <w:rPr>
          <w:noProof/>
        </w:rPr>
        <w:drawing>
          <wp:inline distT="0" distB="0" distL="0" distR="0" wp14:anchorId="40F6BFB6" wp14:editId="55256F19">
            <wp:extent cx="8345606" cy="4800600"/>
            <wp:effectExtent l="0" t="0" r="0" b="0"/>
            <wp:docPr id="983092855"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356888" cy="4807089"/>
                    </a:xfrm>
                    <a:prstGeom prst="rect">
                      <a:avLst/>
                    </a:prstGeom>
                    <a:noFill/>
                    <a:ln>
                      <a:noFill/>
                    </a:ln>
                  </pic:spPr>
                </pic:pic>
              </a:graphicData>
            </a:graphic>
          </wp:inline>
        </w:drawing>
      </w:r>
    </w:p>
    <w:p w14:paraId="54878CAF" w14:textId="77777777" w:rsidR="00BB2E5D" w:rsidRPr="00320035" w:rsidRDefault="00BB2E5D" w:rsidP="00BB2E5D">
      <w:pPr>
        <w:tabs>
          <w:tab w:val="left" w:pos="1810"/>
        </w:tabs>
        <w:spacing w:line="264" w:lineRule="auto"/>
        <w:rPr>
          <w:rFonts w:ascii="Times New Roman" w:hAnsi="Times New Roman" w:cs="Times New Roman"/>
          <w:i/>
          <w:iCs/>
          <w:lang w:val="en-US"/>
        </w:rPr>
        <w:sectPr w:rsidR="00BB2E5D" w:rsidRPr="00320035" w:rsidSect="00BB2E5D">
          <w:pgSz w:w="16838" w:h="11906" w:orient="landscape"/>
          <w:pgMar w:top="1417" w:right="1417" w:bottom="1417" w:left="1417" w:header="708" w:footer="708" w:gutter="0"/>
          <w:cols w:space="708"/>
          <w:docGrid w:linePitch="360"/>
        </w:sectPr>
      </w:pPr>
      <w:r w:rsidRPr="00320035">
        <w:rPr>
          <w:rFonts w:ascii="Times New Roman" w:hAnsi="Times New Roman" w:cs="Times New Roman"/>
          <w:i/>
          <w:iCs/>
          <w:lang w:val="en-US"/>
        </w:rPr>
        <w:t xml:space="preserve">Źródło: opracowanie własne na podstawie: </w:t>
      </w:r>
      <w:bookmarkStart w:id="10" w:name="_Hlk172279130"/>
      <w:r w:rsidRPr="00320035">
        <w:rPr>
          <w:rFonts w:ascii="Times New Roman" w:hAnsi="Times New Roman" w:cs="Times New Roman"/>
          <w:i/>
          <w:iCs/>
          <w:lang w:val="en-US"/>
        </w:rPr>
        <w:t>Chai Z., Zhang X. (2024), The impact of agricultural insurance on planting st</w:t>
      </w:r>
      <w:r>
        <w:rPr>
          <w:rFonts w:ascii="Times New Roman" w:hAnsi="Times New Roman" w:cs="Times New Roman"/>
          <w:i/>
          <w:iCs/>
          <w:lang w:val="en-US"/>
        </w:rPr>
        <w:t xml:space="preserve">ructure adjustment. </w:t>
      </w:r>
      <w:r w:rsidRPr="00320035">
        <w:rPr>
          <w:rFonts w:ascii="Times New Roman" w:hAnsi="Times New Roman" w:cs="Times New Roman"/>
          <w:i/>
          <w:iCs/>
          <w:lang w:val="en-US"/>
        </w:rPr>
        <w:t>An empirical study from Inner Mongolia autonomous region, China, A</w:t>
      </w:r>
      <w:r>
        <w:rPr>
          <w:rFonts w:ascii="Times New Roman" w:hAnsi="Times New Roman" w:cs="Times New Roman"/>
          <w:i/>
          <w:iCs/>
          <w:lang w:val="en-US"/>
        </w:rPr>
        <w:t>griculture, 14(4), 1-21</w:t>
      </w:r>
      <w:bookmarkEnd w:id="10"/>
    </w:p>
    <w:p w14:paraId="6F2CF900" w14:textId="77777777" w:rsidR="00BB2E5D" w:rsidRDefault="00BB2E5D" w:rsidP="0075456A">
      <w:pPr>
        <w:tabs>
          <w:tab w:val="left" w:pos="1810"/>
        </w:tabs>
        <w:spacing w:line="264" w:lineRule="auto"/>
        <w:ind w:firstLine="709"/>
        <w:jc w:val="both"/>
        <w:rPr>
          <w:rFonts w:ascii="Times New Roman" w:hAnsi="Times New Roman" w:cs="Times New Roman"/>
          <w:sz w:val="28"/>
          <w:szCs w:val="28"/>
        </w:rPr>
      </w:pPr>
      <w:r w:rsidRPr="00065168">
        <w:rPr>
          <w:rFonts w:ascii="Times New Roman" w:hAnsi="Times New Roman" w:cs="Times New Roman"/>
          <w:sz w:val="28"/>
          <w:szCs w:val="28"/>
        </w:rPr>
        <w:lastRenderedPageBreak/>
        <w:t>Bardzo poż</w:t>
      </w:r>
      <w:r>
        <w:rPr>
          <w:rFonts w:ascii="Times New Roman" w:hAnsi="Times New Roman" w:cs="Times New Roman"/>
          <w:sz w:val="28"/>
          <w:szCs w:val="28"/>
        </w:rPr>
        <w:t>ądane jest, żeby graficzny schemat mechanizmu wpływu ubezpieczeń na strukturę zasiewów poddać weryfikacji empirycznej. Chai i Zhang zaproponowali do tego następujący model regresji:</w:t>
      </w:r>
    </w:p>
    <w:p w14:paraId="2B5976A1" w14:textId="77777777" w:rsidR="00BB2E5D" w:rsidRDefault="00BB2E5D" w:rsidP="00BB2E5D">
      <w:pPr>
        <w:tabs>
          <w:tab w:val="left" w:pos="4019"/>
        </w:tabs>
        <w:spacing w:line="264" w:lineRule="auto"/>
        <w:jc w:val="center"/>
        <w:rPr>
          <w:rFonts w:ascii="Times New Roman" w:hAnsi="Times New Roman" w:cs="Times New Roman"/>
          <w:sz w:val="28"/>
          <w:szCs w:val="28"/>
        </w:rPr>
      </w:pPr>
      <w:r w:rsidRPr="00826C9C">
        <w:rPr>
          <w:rFonts w:ascii="Times New Roman" w:hAnsi="Times New Roman" w:cs="Times New Roman"/>
          <w:position w:val="-14"/>
          <w:sz w:val="28"/>
          <w:szCs w:val="28"/>
        </w:rPr>
        <w:object w:dxaOrig="4260" w:dyaOrig="400" w14:anchorId="561755F3">
          <v:shape id="_x0000_i1072" type="#_x0000_t75" style="width:3in;height:22pt" o:ole="">
            <v:imagedata r:id="rId105" o:title=""/>
          </v:shape>
          <o:OLEObject Type="Embed" ProgID="Equation.DSMT4" ShapeID="_x0000_i1072" DrawAspect="Content" ObjectID="_1799840643" r:id="rId106"/>
        </w:object>
      </w:r>
      <w:r>
        <w:rPr>
          <w:rFonts w:ascii="Times New Roman" w:hAnsi="Times New Roman" w:cs="Times New Roman"/>
          <w:sz w:val="28"/>
          <w:szCs w:val="28"/>
        </w:rPr>
        <w:t>.</w:t>
      </w:r>
    </w:p>
    <w:p w14:paraId="2228BB42" w14:textId="77777777" w:rsidR="00BB2E5D" w:rsidRDefault="00BB2E5D" w:rsidP="004D5849">
      <w:pPr>
        <w:spacing w:line="264" w:lineRule="auto"/>
        <w:jc w:val="both"/>
        <w:rPr>
          <w:rFonts w:ascii="Times New Roman" w:hAnsi="Times New Roman" w:cs="Times New Roman"/>
          <w:sz w:val="28"/>
          <w:szCs w:val="28"/>
        </w:rPr>
      </w:pPr>
      <w:r>
        <w:rPr>
          <w:rFonts w:ascii="Times New Roman" w:hAnsi="Times New Roman" w:cs="Times New Roman"/>
          <w:sz w:val="28"/>
          <w:szCs w:val="28"/>
        </w:rPr>
        <w:t>gdzie: ln (1+ grainarea</w:t>
      </w:r>
      <w:r w:rsidRPr="00826C9C">
        <w:rPr>
          <w:rFonts w:ascii="Times New Roman" w:hAnsi="Times New Roman" w:cs="Times New Roman"/>
          <w:sz w:val="28"/>
          <w:szCs w:val="28"/>
          <w:vertAlign w:val="subscript"/>
        </w:rPr>
        <w:t>i</w:t>
      </w:r>
      <w:r>
        <w:rPr>
          <w:rFonts w:ascii="Times New Roman" w:hAnsi="Times New Roman" w:cs="Times New Roman"/>
          <w:sz w:val="28"/>
          <w:szCs w:val="28"/>
        </w:rPr>
        <w:t>) – zmienna objaśniana, w której grainarea</w:t>
      </w:r>
      <w:r w:rsidRPr="00EE536E">
        <w:rPr>
          <w:rFonts w:ascii="Times New Roman" w:hAnsi="Times New Roman" w:cs="Times New Roman"/>
          <w:sz w:val="28"/>
          <w:szCs w:val="28"/>
          <w:vertAlign w:val="subscript"/>
        </w:rPr>
        <w:t>i</w:t>
      </w:r>
      <w:r>
        <w:rPr>
          <w:rFonts w:ascii="Times New Roman" w:hAnsi="Times New Roman" w:cs="Times New Roman"/>
          <w:sz w:val="28"/>
          <w:szCs w:val="28"/>
        </w:rPr>
        <w:t xml:space="preserve"> oznacza areał uprawy zbóż w gospodarstwie </w:t>
      </w:r>
      <w:r w:rsidRPr="00EE536E">
        <w:rPr>
          <w:rFonts w:ascii="Times New Roman" w:hAnsi="Times New Roman" w:cs="Times New Roman"/>
          <w:i/>
          <w:iCs/>
          <w:sz w:val="28"/>
          <w:szCs w:val="28"/>
        </w:rPr>
        <w:t>i</w:t>
      </w:r>
      <w:r>
        <w:rPr>
          <w:rFonts w:ascii="Times New Roman" w:hAnsi="Times New Roman" w:cs="Times New Roman"/>
          <w:sz w:val="28"/>
          <w:szCs w:val="28"/>
        </w:rPr>
        <w:t xml:space="preserve">; Insu – zmienna binarna przyjmująca wartość 1, gdy rolnik nabył ubezpieczenie </w:t>
      </w:r>
      <w:r w:rsidRPr="00EE536E">
        <w:rPr>
          <w:rFonts w:ascii="Times New Roman" w:hAnsi="Times New Roman" w:cs="Times New Roman"/>
          <w:i/>
          <w:iCs/>
          <w:sz w:val="28"/>
          <w:szCs w:val="28"/>
        </w:rPr>
        <w:t>i</w:t>
      </w:r>
      <w:r>
        <w:rPr>
          <w:rFonts w:ascii="Times New Roman" w:hAnsi="Times New Roman" w:cs="Times New Roman"/>
          <w:sz w:val="28"/>
          <w:szCs w:val="28"/>
        </w:rPr>
        <w:t xml:space="preserve"> 0 w sytuacji przeciwnej; X – zbiór zmiennych kontrolnych; ɛ</w:t>
      </w:r>
      <w:r w:rsidRPr="00A570CA">
        <w:rPr>
          <w:rFonts w:ascii="Times New Roman" w:hAnsi="Times New Roman" w:cs="Times New Roman"/>
          <w:sz w:val="28"/>
          <w:szCs w:val="28"/>
          <w:vertAlign w:val="subscript"/>
        </w:rPr>
        <w:t>1</w:t>
      </w:r>
      <w:r>
        <w:rPr>
          <w:rFonts w:ascii="Times New Roman" w:hAnsi="Times New Roman" w:cs="Times New Roman"/>
          <w:sz w:val="28"/>
          <w:szCs w:val="28"/>
        </w:rPr>
        <w:t xml:space="preserve"> – błąd losowy; β – współczynniki do oszacowania.</w:t>
      </w:r>
    </w:p>
    <w:p w14:paraId="0FA4925F" w14:textId="7AD78CFA" w:rsidR="00BB2E5D" w:rsidRDefault="00BB2E5D" w:rsidP="00BB2E5D">
      <w:pPr>
        <w:spacing w:line="264"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Ograniczony dostęp do ubezpieczeń jest jednym z powodów, dlaczego podmioty gospodarcze wstrzymują się przed inwestowaniem i podejmowaniem aktywności, które wprawdzie mogą odznaczać się wyższą ryzykownością, ale z drugiej strony dają szansę uzyskania większych zysków (Cole i in., 2017). Stąd też innowacje finansowe, które uzupełniają istniejący zestaw niekompletnych rynków finansowych, a więc oferują na przykład produkty ubezpieczeniowe, mogą łagodzić awersję do ryzyka i ułatwiać przez to wdrażanie nowych technik i technologii. Ubezpieczenia ponadto mogą wpływać na moment podejmowania inwestycji. Rozróżnia się przy tym dwa efekty ubezpieczeń: ex-ante, który odnosi się do wyboru okresu czasu trwania ochrony ubezpieczeniowej, oraz ex-post, który wywoływany jest przez dotychczasową historię uzyskiwania odszkodowań i </w:t>
      </w:r>
      <w:r w:rsidR="00F45E71">
        <w:rPr>
          <w:rFonts w:ascii="Times New Roman" w:hAnsi="Times New Roman" w:cs="Times New Roman"/>
          <w:sz w:val="28"/>
          <w:szCs w:val="28"/>
        </w:rPr>
        <w:t>sposób</w:t>
      </w:r>
      <w:r>
        <w:rPr>
          <w:rFonts w:ascii="Times New Roman" w:hAnsi="Times New Roman" w:cs="Times New Roman"/>
          <w:sz w:val="28"/>
          <w:szCs w:val="28"/>
        </w:rPr>
        <w:t xml:space="preserve"> formowania oczekiwań co do prawdopodobieństwa ich otrzymania w przyszłości.</w:t>
      </w:r>
    </w:p>
    <w:p w14:paraId="378FED40" w14:textId="77777777" w:rsidR="00BB2E5D" w:rsidRPr="007C0F29" w:rsidRDefault="00BB2E5D" w:rsidP="00BB2E5D">
      <w:pPr>
        <w:spacing w:after="0" w:line="264" w:lineRule="auto"/>
        <w:ind w:firstLine="709"/>
        <w:jc w:val="both"/>
        <w:rPr>
          <w:rFonts w:ascii="Times New Roman" w:eastAsia="Times New Roman" w:hAnsi="Times New Roman" w:cs="Times New Roman"/>
          <w:kern w:val="0"/>
          <w:sz w:val="28"/>
          <w:lang w:eastAsia="pl-PL"/>
          <w14:ligatures w14:val="none"/>
        </w:rPr>
      </w:pPr>
      <w:r w:rsidRPr="002E4A25">
        <w:rPr>
          <w:rFonts w:ascii="Times New Roman" w:eastAsia="Times New Roman" w:hAnsi="Times New Roman" w:cs="Times New Roman"/>
          <w:kern w:val="0"/>
          <w:sz w:val="28"/>
          <w:lang w:eastAsia="pl-PL"/>
          <w14:ligatures w14:val="none"/>
        </w:rPr>
        <w:t>Jednym z kluczowych, aczkolwiek bardzo często lekceważonym w polityk</w:t>
      </w:r>
      <w:r w:rsidRPr="007C0F29">
        <w:rPr>
          <w:rFonts w:ascii="Times New Roman" w:eastAsia="Times New Roman" w:hAnsi="Times New Roman" w:cs="Times New Roman"/>
          <w:kern w:val="0"/>
          <w:sz w:val="28"/>
          <w:lang w:eastAsia="pl-PL"/>
          <w14:ligatures w14:val="none"/>
        </w:rPr>
        <w:t xml:space="preserve">ach rolnych nastawionych na rozległe subsydiowanie, warunków trwałego rozwoju gospodarstw rolniczych jest promowanie postaw przedsiębiorczych wśród ich kierowników. Ich niedostatek jest przy tym samodzielnym źródłem ryzyka, a prawdziwy problem pojawia się wtedy, gdy rolnicy mało przedsiębiorczy wykazują równocześnie wysoką awersję wobec ryzyka. Jeśli do tego dochodzi jeszcze niedorozwój i niekompletność rynków ubezpieczeniowych i finansowych, a kredytu w szczególności, to rolnicy tacy mogą mieć poważne problemy z radzeniem sobie z ryzykiem dochodowym. Te ostatnie coraz bardziej będzie powiększane przez zaostrzanie się skutków dokonującej się zmiany klimatu. W ślad za tym gospodarstwa domowe nie będą dostatecznie zabezpieczone przed następstwami na przykład poważnej suszy. Mogą jednak próbować starać się wygładzać poziom i ścieżkę konsumpcji w czasie w konwencji ex ante, wybierając kombinacje aktywności produkcyjnej i inwestycyjnej, które mogą wprawdzie zredukować zmienność dochodów, ale równocześnie obniżać będą ich średni poziom. Najprostsze metody osiągania takiego celu to dywersyfikowanie upraw i struktur </w:t>
      </w:r>
      <w:r w:rsidRPr="007C0F29">
        <w:rPr>
          <w:rFonts w:ascii="Times New Roman" w:eastAsia="Times New Roman" w:hAnsi="Times New Roman" w:cs="Times New Roman"/>
          <w:kern w:val="0"/>
          <w:sz w:val="28"/>
          <w:lang w:eastAsia="pl-PL"/>
          <w14:ligatures w14:val="none"/>
        </w:rPr>
        <w:lastRenderedPageBreak/>
        <w:t>produkcyjnych, wprowadz</w:t>
      </w:r>
      <w:r>
        <w:rPr>
          <w:rFonts w:ascii="Times New Roman" w:eastAsia="Times New Roman" w:hAnsi="Times New Roman" w:cs="Times New Roman"/>
          <w:kern w:val="0"/>
          <w:sz w:val="28"/>
          <w:lang w:eastAsia="pl-PL"/>
          <w14:ligatures w14:val="none"/>
        </w:rPr>
        <w:t>a</w:t>
      </w:r>
      <w:r w:rsidRPr="007C0F29">
        <w:rPr>
          <w:rFonts w:ascii="Times New Roman" w:eastAsia="Times New Roman" w:hAnsi="Times New Roman" w:cs="Times New Roman"/>
          <w:kern w:val="0"/>
          <w:sz w:val="28"/>
          <w:lang w:eastAsia="pl-PL"/>
          <w14:ligatures w14:val="none"/>
        </w:rPr>
        <w:t>nie odporniejszych na zmianę klimatu odmian roślin, wdrażanie innowacji i nowych technologii, racjonalne gospodarowanie wodą, ochrona gleb, ale też sięganie po innowacje finansowe, a więc na przykład po derywaty pogodowe.</w:t>
      </w:r>
    </w:p>
    <w:p w14:paraId="278D8692" w14:textId="77777777" w:rsidR="00BB2E5D" w:rsidRPr="007C0F29" w:rsidRDefault="00BB2E5D" w:rsidP="00BB2E5D">
      <w:pPr>
        <w:spacing w:after="0" w:line="264" w:lineRule="auto"/>
        <w:ind w:firstLine="709"/>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Zasygnalizowane powyżej w wielkim skrócie szerokie uwarunkowania zarządzania ryzykiem w rolnictwie jasno pokazują, że w identyczny sposób powinno się traktować również stosowane w tym sektorze ubezpieczenia. Zgodnie z tym powinno się je analizować także w kontekście ogólnych zależności między ryzykiem, wzrostem gospodarczym i wdrażaniem technologii oraz postępem technicznym. Nie możemy wtedy być zaskoczeni tym, że może się okazać, iż brak wystarczająco skutecznych ubezpieczeń przed ryzykiem produkcyjnym w rolnictwie może hamować inwestowanie w technologie potencjalnie wysoko opłacalne, ale jednocześnie obciążone znacznym i złożonym ryzykiem. Antidotum na to mogą być innowacje finansowo-ubezpieczeniowe, które złagodzą problem niekompletności związanych z nimi rynków. To wprost prowadzi nas do zależności między finansami a przedsiębiorczością. Niestety, są one domeną głównie finansów korporacyjnych. Z prowadzonych tam badań wynika m.in., że w prawie gospodarczym powinny być regulacje, które ułatwiają procesy restrukturyzacyjne i upadłościowe. Będą one łagodziły ryzyko przedsiębiorcze, pozwalając tym samym na powstawanie nowych firm. Badania też wskazują, że istnieje związek przyczynowy między jakością zarządzania ryzykiem a inwestycjami i wartością firm. Wreszcie, w ramach poszerz</w:t>
      </w:r>
      <w:r>
        <w:rPr>
          <w:rFonts w:ascii="Times New Roman" w:eastAsia="Times New Roman" w:hAnsi="Times New Roman" w:cs="Times New Roman"/>
          <w:kern w:val="0"/>
          <w:sz w:val="28"/>
          <w:lang w:eastAsia="pl-PL"/>
          <w14:ligatures w14:val="none"/>
        </w:rPr>
        <w:t>a</w:t>
      </w:r>
      <w:r w:rsidRPr="007C0F29">
        <w:rPr>
          <w:rFonts w:ascii="Times New Roman" w:eastAsia="Times New Roman" w:hAnsi="Times New Roman" w:cs="Times New Roman"/>
          <w:kern w:val="0"/>
          <w:sz w:val="28"/>
          <w:lang w:eastAsia="pl-PL"/>
          <w14:ligatures w14:val="none"/>
        </w:rPr>
        <w:t>nia perspektywy analizowania ubezpieczeń rolnych trzeba sięgać po dorobek finansów gospodarstw domowych. Okaże się wówczas m.in., że większość z nich ma problemy z podejmowaniem optymalnych decyzji w zakresie złożonych produktów finansowo-ubezpieczeniowych. Stąd wynika prosta rekomendacja, iż wszyscy potrzebujemy cały czas się edukować w podwyższanie stosownych kompetencji. Finanse gospodarstw domowych akcentują też bardzo mocno więzi mi</w:t>
      </w:r>
      <w:r>
        <w:rPr>
          <w:rFonts w:ascii="Times New Roman" w:eastAsia="Times New Roman" w:hAnsi="Times New Roman" w:cs="Times New Roman"/>
          <w:kern w:val="0"/>
          <w:sz w:val="28"/>
          <w:lang w:eastAsia="pl-PL"/>
          <w14:ligatures w14:val="none"/>
        </w:rPr>
        <w:t>ę</w:t>
      </w:r>
      <w:r w:rsidRPr="007C0F29">
        <w:rPr>
          <w:rFonts w:ascii="Times New Roman" w:eastAsia="Times New Roman" w:hAnsi="Times New Roman" w:cs="Times New Roman"/>
          <w:kern w:val="0"/>
          <w:sz w:val="28"/>
          <w:lang w:eastAsia="pl-PL"/>
          <w14:ligatures w14:val="none"/>
        </w:rPr>
        <w:t xml:space="preserve">dzy decyzjami ubezpieczeniowymi, oszczędnościowymi i kredytowymi z jednej strony, a produkcyjnymi i inwestycyjnymi z drugiej. Nieźle w takie ramy konceptualne wpisuje się praca S. Cole’go i in., którą się teraz przybliży </w:t>
      </w:r>
      <w:r>
        <w:rPr>
          <w:rFonts w:ascii="Times New Roman" w:eastAsia="Times New Roman" w:hAnsi="Times New Roman" w:cs="Times New Roman"/>
          <w:kern w:val="0"/>
          <w:sz w:val="28"/>
          <w:lang w:eastAsia="pl-PL"/>
          <w14:ligatures w14:val="none"/>
        </w:rPr>
        <w:t>(</w:t>
      </w:r>
      <w:r w:rsidRPr="007C0F29">
        <w:rPr>
          <w:rFonts w:ascii="Times New Roman" w:eastAsia="Times New Roman" w:hAnsi="Times New Roman" w:cs="Times New Roman"/>
          <w:kern w:val="0"/>
          <w:sz w:val="28"/>
          <w:lang w:eastAsia="pl-PL"/>
          <w14:ligatures w14:val="none"/>
        </w:rPr>
        <w:t>Cole i in., 2017</w:t>
      </w:r>
      <w:r>
        <w:rPr>
          <w:rFonts w:ascii="Times New Roman" w:eastAsia="Times New Roman" w:hAnsi="Times New Roman" w:cs="Times New Roman"/>
          <w:kern w:val="0"/>
          <w:sz w:val="28"/>
          <w:lang w:eastAsia="pl-PL"/>
          <w14:ligatures w14:val="none"/>
        </w:rPr>
        <w:t>)</w:t>
      </w:r>
      <w:r w:rsidRPr="007C0F29">
        <w:rPr>
          <w:rFonts w:ascii="Times New Roman" w:eastAsia="Times New Roman" w:hAnsi="Times New Roman" w:cs="Times New Roman"/>
          <w:kern w:val="0"/>
          <w:sz w:val="28"/>
          <w:lang w:eastAsia="pl-PL"/>
          <w14:ligatures w14:val="none"/>
        </w:rPr>
        <w:t>.</w:t>
      </w:r>
    </w:p>
    <w:p w14:paraId="7B704C1A" w14:textId="77777777" w:rsidR="00BB2E5D" w:rsidRPr="007C0F29" w:rsidRDefault="00BB2E5D" w:rsidP="00BB2E5D">
      <w:pPr>
        <w:spacing w:after="0" w:line="264" w:lineRule="auto"/>
        <w:ind w:firstLine="709"/>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 xml:space="preserve">Dopiero co przywołana trójka ekonomistów amerykańskich postanowiła zbadać, jaki wpływ na indyjskie gospodarstwa rolnicze będzie miało zaoferowanie im polis indeksowych, chroniących przed skutkami suszy, a które potraktowano jako rodzaj innowacji finansowej. Jako hipotezę roboczą przyjęto, że polisy te powinny zachęcać gospodarstwa domowe rolników do lokowania więcej zasobów w działalności produkcyjne i inwestycyjne bardziej wprawdzie ryzykowne, ale z drugiej strony bardziej opłacalne. Hipotezę tą najpierw próbowano </w:t>
      </w:r>
      <w:r w:rsidRPr="007C0F29">
        <w:rPr>
          <w:rFonts w:ascii="Times New Roman" w:eastAsia="Times New Roman" w:hAnsi="Times New Roman" w:cs="Times New Roman"/>
          <w:kern w:val="0"/>
          <w:sz w:val="28"/>
          <w:lang w:eastAsia="pl-PL"/>
          <w14:ligatures w14:val="none"/>
        </w:rPr>
        <w:lastRenderedPageBreak/>
        <w:t>wyprowadzić z prostego modelu mikroekonomicznego. Przedstawmy zatem jego konstrukcję.</w:t>
      </w:r>
    </w:p>
    <w:p w14:paraId="1E248313" w14:textId="77777777" w:rsidR="00BB2E5D" w:rsidRPr="007C0F29" w:rsidRDefault="00BB2E5D" w:rsidP="00BB2E5D">
      <w:pPr>
        <w:spacing w:after="0" w:line="264" w:lineRule="auto"/>
        <w:ind w:firstLine="709"/>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Załóżmy, że rolnik charakteryzuje się stałą absolutną awersją do ryzyka (CARA), a dostęp do ubezpieczeń ryzyka produkcyjnego stymulować będzie wzrost jego zainteresowania bardziej ryzykowną produkcją i inwestycjami, które dają jednak szansę na uzyskanie wyższych dochodów. Oznaczmy majątek początkowy reprezentatywnego rolnika przez W</w:t>
      </w:r>
      <w:r w:rsidRPr="007C0F29">
        <w:rPr>
          <w:rFonts w:ascii="Times New Roman" w:eastAsia="Times New Roman" w:hAnsi="Times New Roman" w:cs="Times New Roman"/>
          <w:kern w:val="0"/>
          <w:sz w:val="28"/>
          <w:vertAlign w:val="subscript"/>
          <w:lang w:eastAsia="pl-PL"/>
          <w14:ligatures w14:val="none"/>
        </w:rPr>
        <w:t>0</w:t>
      </w:r>
      <w:r w:rsidRPr="007C0F29">
        <w:rPr>
          <w:rFonts w:ascii="Times New Roman" w:eastAsia="Times New Roman" w:hAnsi="Times New Roman" w:cs="Times New Roman"/>
          <w:kern w:val="0"/>
          <w:sz w:val="28"/>
          <w:lang w:eastAsia="pl-PL"/>
          <w14:ligatures w14:val="none"/>
        </w:rPr>
        <w:t xml:space="preserve"> a za pomocą α jego część przeznaczoną na bardziej ryzykowne aktywności. Zwrot z inwestycji niech będzie sumą </w:t>
      </w:r>
      <w:r w:rsidRPr="007C0F29">
        <w:rPr>
          <w:rFonts w:ascii="Times New Roman" w:eastAsia="Times New Roman" w:hAnsi="Times New Roman" w:cs="Times New Roman"/>
          <w:kern w:val="0"/>
          <w:position w:val="-6"/>
          <w:sz w:val="28"/>
          <w:lang w:eastAsia="pl-PL"/>
          <w14:ligatures w14:val="none"/>
        </w:rPr>
        <w:object w:dxaOrig="560" w:dyaOrig="320" w14:anchorId="58493334">
          <v:shape id="_x0000_i1073" type="#_x0000_t75" style="width:29pt;height:14.5pt" o:ole="">
            <v:imagedata r:id="rId107" o:title=""/>
          </v:shape>
          <o:OLEObject Type="Embed" ProgID="Equation.DSMT4" ShapeID="_x0000_i1073" DrawAspect="Content" ObjectID="_1799840644" r:id="rId108"/>
        </w:object>
      </w:r>
      <w:r w:rsidRPr="007C0F29">
        <w:rPr>
          <w:rFonts w:ascii="Times New Roman" w:eastAsia="Times New Roman" w:hAnsi="Times New Roman" w:cs="Times New Roman"/>
          <w:kern w:val="0"/>
          <w:sz w:val="28"/>
          <w:lang w:eastAsia="pl-PL"/>
          <w14:ligatures w14:val="none"/>
        </w:rPr>
        <w:t xml:space="preserve">, przy czym </w:t>
      </w:r>
      <w:r w:rsidRPr="007C0F29">
        <w:rPr>
          <w:rFonts w:ascii="Times New Roman" w:eastAsia="Times New Roman" w:hAnsi="Times New Roman" w:cs="Times New Roman"/>
          <w:kern w:val="0"/>
          <w:position w:val="-4"/>
          <w:sz w:val="28"/>
          <w:lang w:eastAsia="pl-PL"/>
          <w14:ligatures w14:val="none"/>
        </w:rPr>
        <w:object w:dxaOrig="240" w:dyaOrig="300" w14:anchorId="0B3E2943">
          <v:shape id="_x0000_i1074" type="#_x0000_t75" style="width:14.5pt;height:14.5pt" o:ole="">
            <v:imagedata r:id="rId109" o:title=""/>
          </v:shape>
          <o:OLEObject Type="Embed" ProgID="Equation.DSMT4" ShapeID="_x0000_i1074" DrawAspect="Content" ObjectID="_1799840645" r:id="rId110"/>
        </w:object>
      </w:r>
      <w:r w:rsidRPr="007C0F29">
        <w:rPr>
          <w:rFonts w:ascii="Times New Roman" w:eastAsia="Times New Roman" w:hAnsi="Times New Roman" w:cs="Times New Roman"/>
          <w:kern w:val="0"/>
          <w:sz w:val="28"/>
          <w:lang w:eastAsia="pl-PL"/>
          <w14:ligatures w14:val="none"/>
        </w:rPr>
        <w:t xml:space="preserve"> będzie jego wartością oczekiwaną, zaś </w:t>
      </w:r>
      <w:r w:rsidRPr="007C0F29">
        <w:rPr>
          <w:rFonts w:ascii="Times New Roman" w:eastAsia="Times New Roman" w:hAnsi="Times New Roman" w:cs="Times New Roman"/>
          <w:i/>
          <w:kern w:val="0"/>
          <w:sz w:val="28"/>
          <w:lang w:eastAsia="pl-PL"/>
          <w14:ligatures w14:val="none"/>
        </w:rPr>
        <w:t>e</w:t>
      </w:r>
      <w:r w:rsidRPr="007C0F29">
        <w:rPr>
          <w:rFonts w:ascii="Times New Roman" w:eastAsia="Times New Roman" w:hAnsi="Times New Roman" w:cs="Times New Roman"/>
          <w:kern w:val="0"/>
          <w:sz w:val="28"/>
          <w:lang w:eastAsia="pl-PL"/>
          <w14:ligatures w14:val="none"/>
        </w:rPr>
        <w:t xml:space="preserve"> – błędem losowym, takim, że </w:t>
      </w:r>
      <w:r w:rsidRPr="007C0F29">
        <w:rPr>
          <w:rFonts w:ascii="Times New Roman" w:eastAsia="Times New Roman" w:hAnsi="Times New Roman" w:cs="Times New Roman"/>
          <w:kern w:val="0"/>
          <w:position w:val="-16"/>
          <w:sz w:val="28"/>
          <w:lang w:eastAsia="pl-PL"/>
          <w14:ligatures w14:val="none"/>
        </w:rPr>
        <w:object w:dxaOrig="1300" w:dyaOrig="440" w14:anchorId="6AC19ADF">
          <v:shape id="_x0000_i1075" type="#_x0000_t75" style="width:65pt;height:22pt" o:ole="">
            <v:imagedata r:id="rId111" o:title=""/>
          </v:shape>
          <o:OLEObject Type="Embed" ProgID="Equation.DSMT4" ShapeID="_x0000_i1075" DrawAspect="Content" ObjectID="_1799840646" r:id="rId112"/>
        </w:object>
      </w:r>
      <w:r w:rsidRPr="007C0F29">
        <w:rPr>
          <w:rFonts w:ascii="Times New Roman" w:eastAsia="Times New Roman" w:hAnsi="Times New Roman" w:cs="Times New Roman"/>
          <w:kern w:val="0"/>
          <w:sz w:val="28"/>
          <w:lang w:eastAsia="pl-PL"/>
          <w14:ligatures w14:val="none"/>
        </w:rPr>
        <w:t>. Pozostały majątek angażowany będzie w działalność bezpieczną, z której realny zwrot będzie zerowy.</w:t>
      </w:r>
    </w:p>
    <w:p w14:paraId="79C52CAA" w14:textId="77777777" w:rsidR="00BB2E5D" w:rsidRPr="007C0F29" w:rsidRDefault="00BB2E5D" w:rsidP="00BB2E5D">
      <w:pPr>
        <w:spacing w:after="0" w:line="264" w:lineRule="auto"/>
        <w:ind w:firstLine="709"/>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Nasz rolnik zdecydował, że spróbuje przynajmniej w części zabezpieczyć się przed ryzykiem produkcyjnym, kupując ubezpieczeni</w:t>
      </w:r>
      <w:r>
        <w:rPr>
          <w:rFonts w:ascii="Times New Roman" w:eastAsia="Times New Roman" w:hAnsi="Times New Roman" w:cs="Times New Roman"/>
          <w:kern w:val="0"/>
          <w:sz w:val="28"/>
          <w:lang w:eastAsia="pl-PL"/>
          <w14:ligatures w14:val="none"/>
        </w:rPr>
        <w:t>e</w:t>
      </w:r>
      <w:r w:rsidRPr="007C0F29">
        <w:rPr>
          <w:rFonts w:ascii="Times New Roman" w:eastAsia="Times New Roman" w:hAnsi="Times New Roman" w:cs="Times New Roman"/>
          <w:kern w:val="0"/>
          <w:sz w:val="28"/>
          <w:lang w:eastAsia="pl-PL"/>
          <w14:ligatures w14:val="none"/>
        </w:rPr>
        <w:t xml:space="preserve">. Wiąże się z tym konieczność zapłaty składki ø. Wypłata odszkodowana będzie ujemnie skorelowana ze zwrotem z inwestycji, ale nie w sposób doskonały. Oznacza to, że istnieje jakieś nieubezpieczone ryzyko bazowe </w:t>
      </w:r>
      <w:r w:rsidRPr="007C0F29">
        <w:rPr>
          <w:rFonts w:ascii="Times New Roman" w:eastAsia="Times New Roman" w:hAnsi="Times New Roman" w:cs="Times New Roman"/>
          <w:i/>
          <w:kern w:val="0"/>
          <w:sz w:val="28"/>
          <w:lang w:eastAsia="pl-PL"/>
          <w14:ligatures w14:val="none"/>
        </w:rPr>
        <w:t>u</w:t>
      </w:r>
      <w:r w:rsidRPr="007C0F29">
        <w:rPr>
          <w:rFonts w:ascii="Times New Roman" w:eastAsia="Times New Roman" w:hAnsi="Times New Roman" w:cs="Times New Roman"/>
          <w:kern w:val="0"/>
          <w:sz w:val="28"/>
          <w:lang w:eastAsia="pl-PL"/>
          <w14:ligatures w14:val="none"/>
        </w:rPr>
        <w:t xml:space="preserve">. Oczekiwana płatność netto z ubezpieczenia wyniesie </w:t>
      </w:r>
      <w:r w:rsidRPr="007C0F29">
        <w:rPr>
          <w:rFonts w:ascii="Times New Roman" w:eastAsia="Times New Roman" w:hAnsi="Times New Roman" w:cs="Times New Roman"/>
          <w:kern w:val="0"/>
          <w:position w:val="-10"/>
          <w:sz w:val="28"/>
          <w:lang w:eastAsia="pl-PL"/>
          <w14:ligatures w14:val="none"/>
        </w:rPr>
        <w:object w:dxaOrig="1020" w:dyaOrig="279" w14:anchorId="205F4B4F">
          <v:shape id="_x0000_i1076" type="#_x0000_t75" style="width:57.5pt;height:14.5pt" o:ole="">
            <v:imagedata r:id="rId113" o:title=""/>
          </v:shape>
          <o:OLEObject Type="Embed" ProgID="Equation.DSMT4" ShapeID="_x0000_i1076" DrawAspect="Content" ObjectID="_1799840647" r:id="rId114"/>
        </w:object>
      </w:r>
      <w:r w:rsidRPr="007C0F29">
        <w:rPr>
          <w:rFonts w:ascii="Times New Roman" w:eastAsia="Times New Roman" w:hAnsi="Times New Roman" w:cs="Times New Roman"/>
          <w:kern w:val="0"/>
          <w:sz w:val="28"/>
          <w:lang w:eastAsia="pl-PL"/>
          <w14:ligatures w14:val="none"/>
        </w:rPr>
        <w:t xml:space="preserve">, przy czym µ jest oczekiwanym jednostkowym kosztem netto ubezpieczenia, a </w:t>
      </w:r>
      <w:r w:rsidRPr="007C0F29">
        <w:rPr>
          <w:rFonts w:ascii="Times New Roman" w:eastAsia="Times New Roman" w:hAnsi="Times New Roman" w:cs="Times New Roman"/>
          <w:kern w:val="0"/>
          <w:position w:val="-16"/>
          <w:sz w:val="28"/>
          <w:lang w:eastAsia="pl-PL"/>
          <w14:ligatures w14:val="none"/>
        </w:rPr>
        <w:object w:dxaOrig="1320" w:dyaOrig="440" w14:anchorId="02D8D791">
          <v:shape id="_x0000_i1077" type="#_x0000_t75" style="width:65pt;height:22pt" o:ole="">
            <v:imagedata r:id="rId115" o:title=""/>
          </v:shape>
          <o:OLEObject Type="Embed" ProgID="Equation.DSMT4" ShapeID="_x0000_i1077" DrawAspect="Content" ObjectID="_1799840648" r:id="rId116"/>
        </w:object>
      </w:r>
      <w:r w:rsidRPr="007C0F29">
        <w:rPr>
          <w:rFonts w:ascii="Times New Roman" w:eastAsia="Times New Roman" w:hAnsi="Times New Roman" w:cs="Times New Roman"/>
          <w:kern w:val="0"/>
          <w:sz w:val="28"/>
          <w:lang w:eastAsia="pl-PL"/>
          <w14:ligatures w14:val="none"/>
        </w:rPr>
        <w:t xml:space="preserve">. Im wyższa będzie wariancja </w:t>
      </w:r>
      <w:r w:rsidRPr="007C0F29">
        <w:rPr>
          <w:rFonts w:ascii="Times New Roman" w:eastAsia="Times New Roman" w:hAnsi="Times New Roman" w:cs="Times New Roman"/>
          <w:kern w:val="0"/>
          <w:position w:val="-12"/>
          <w:sz w:val="28"/>
          <w:lang w:eastAsia="pl-PL"/>
          <w14:ligatures w14:val="none"/>
        </w:rPr>
        <w:object w:dxaOrig="320" w:dyaOrig="380" w14:anchorId="53D27C30">
          <v:shape id="_x0000_i1078" type="#_x0000_t75" style="width:22pt;height:22pt" o:ole="">
            <v:imagedata r:id="rId117" o:title=""/>
          </v:shape>
          <o:OLEObject Type="Embed" ProgID="Equation.DSMT4" ShapeID="_x0000_i1078" DrawAspect="Content" ObjectID="_1799840649" r:id="rId118"/>
        </w:object>
      </w:r>
      <w:r w:rsidRPr="007C0F29">
        <w:rPr>
          <w:rFonts w:ascii="Times New Roman" w:eastAsia="Times New Roman" w:hAnsi="Times New Roman" w:cs="Times New Roman"/>
          <w:kern w:val="0"/>
          <w:sz w:val="28"/>
          <w:lang w:eastAsia="pl-PL"/>
          <w14:ligatures w14:val="none"/>
        </w:rPr>
        <w:t>, tym wyższe będzie też ryzyko bazowe. Niestety, ubezpieczenie to nie jest sprawiedliwe aktuarialnie, bo µ &gt; 0. Innymi słowy, oczekiwane odszkodowanie netto (pomniejszone o składkę) będzie ujemne. Należy z tego wnioskować, iż konkurencja na rynku ubezpieczeniowym będzie niedoskonała. Inaczej rzecz ujmując, założono, iż składki płacone przez rolników będą składkami brutto.</w:t>
      </w:r>
    </w:p>
    <w:p w14:paraId="1C4F81E0" w14:textId="77777777" w:rsidR="00BB2E5D" w:rsidRDefault="00BB2E5D" w:rsidP="00BB2E5D">
      <w:pPr>
        <w:spacing w:after="0" w:line="264" w:lineRule="auto"/>
        <w:ind w:firstLine="709"/>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Problem decyzyjny, przed którym stoi rolnik, polega na wybraniu parametrów α i ϕ, żeby zmaksymalizować wartość końcową W</w:t>
      </w:r>
      <w:r w:rsidRPr="007C0F29">
        <w:rPr>
          <w:rFonts w:ascii="Times New Roman" w:eastAsia="Times New Roman" w:hAnsi="Times New Roman" w:cs="Times New Roman"/>
          <w:kern w:val="0"/>
          <w:sz w:val="28"/>
          <w:vertAlign w:val="subscript"/>
          <w:lang w:eastAsia="pl-PL"/>
          <w14:ligatures w14:val="none"/>
        </w:rPr>
        <w:t>1</w:t>
      </w:r>
      <w:r w:rsidRPr="007C0F29">
        <w:rPr>
          <w:rFonts w:ascii="Times New Roman" w:eastAsia="Times New Roman" w:hAnsi="Times New Roman" w:cs="Times New Roman"/>
          <w:kern w:val="0"/>
          <w:sz w:val="28"/>
          <w:lang w:eastAsia="pl-PL"/>
          <w14:ligatures w14:val="none"/>
        </w:rPr>
        <w:t xml:space="preserve"> jego majątku. Uzupełnijmy jeszcze zbiór oznaczeń przez γ, tj. współczynnik absolutnej stałej awersji do ryzyka. Problem maksymalizacyjny ma taką oto formalną postać:</w:t>
      </w:r>
    </w:p>
    <w:p w14:paraId="31363BA1" w14:textId="77777777" w:rsidR="00BB2E5D" w:rsidRPr="007C0F29" w:rsidRDefault="00BB2E5D" w:rsidP="00BB2E5D">
      <w:pPr>
        <w:spacing w:after="0" w:line="264" w:lineRule="auto"/>
        <w:ind w:firstLine="709"/>
        <w:jc w:val="both"/>
        <w:rPr>
          <w:rFonts w:ascii="Times New Roman" w:eastAsia="Times New Roman" w:hAnsi="Times New Roman" w:cs="Times New Roman"/>
          <w:kern w:val="0"/>
          <w:sz w:val="28"/>
          <w:lang w:eastAsia="pl-PL"/>
          <w14:ligatures w14:val="none"/>
        </w:rPr>
      </w:pPr>
    </w:p>
    <w:p w14:paraId="089A4D62" w14:textId="77777777" w:rsidR="00BB2E5D" w:rsidRPr="007C0F29" w:rsidRDefault="00BB2E5D" w:rsidP="00BB2E5D">
      <w:pPr>
        <w:tabs>
          <w:tab w:val="left" w:pos="4223"/>
        </w:tabs>
        <w:spacing w:after="0" w:line="264" w:lineRule="auto"/>
        <w:ind w:firstLine="709"/>
        <w:jc w:val="center"/>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position w:val="-16"/>
          <w:sz w:val="28"/>
          <w:lang w:eastAsia="pl-PL"/>
          <w14:ligatures w14:val="none"/>
        </w:rPr>
        <w:object w:dxaOrig="4780" w:dyaOrig="440" w14:anchorId="4CF32537">
          <v:shape id="_x0000_i1079" type="#_x0000_t75" style="width:237.5pt;height:22pt" o:ole="">
            <v:imagedata r:id="rId119" o:title=""/>
          </v:shape>
          <o:OLEObject Type="Embed" ProgID="Equation.DSMT4" ShapeID="_x0000_i1079" DrawAspect="Content" ObjectID="_1799840650" r:id="rId120"/>
        </w:object>
      </w:r>
      <w:r w:rsidRPr="007C0F29">
        <w:rPr>
          <w:rFonts w:ascii="Times New Roman" w:eastAsia="Times New Roman" w:hAnsi="Times New Roman" w:cs="Times New Roman"/>
          <w:kern w:val="0"/>
          <w:sz w:val="28"/>
          <w:lang w:eastAsia="pl-PL"/>
          <w14:ligatures w14:val="none"/>
        </w:rPr>
        <w:t>,</w:t>
      </w:r>
    </w:p>
    <w:p w14:paraId="22975D6E" w14:textId="77777777" w:rsidR="00BB2E5D" w:rsidRPr="007C0F29" w:rsidRDefault="00BB2E5D" w:rsidP="00BB2E5D">
      <w:pPr>
        <w:tabs>
          <w:tab w:val="left" w:pos="4223"/>
        </w:tabs>
        <w:spacing w:after="0" w:line="264" w:lineRule="auto"/>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 xml:space="preserve">gdzie: </w:t>
      </w:r>
      <w:r w:rsidRPr="007C0F29">
        <w:rPr>
          <w:rFonts w:ascii="Times New Roman" w:eastAsia="Times New Roman" w:hAnsi="Times New Roman" w:cs="Times New Roman"/>
          <w:kern w:val="0"/>
          <w:position w:val="-14"/>
          <w:sz w:val="28"/>
          <w:lang w:eastAsia="pl-PL"/>
          <w14:ligatures w14:val="none"/>
        </w:rPr>
        <w:object w:dxaOrig="4959" w:dyaOrig="440" w14:anchorId="26E78F6A">
          <v:shape id="_x0000_i1080" type="#_x0000_t75" style="width:244pt;height:22pt" o:ole="">
            <v:imagedata r:id="rId121" o:title=""/>
          </v:shape>
          <o:OLEObject Type="Embed" ProgID="Equation.DSMT4" ShapeID="_x0000_i1080" DrawAspect="Content" ObjectID="_1799840651" r:id="rId122"/>
        </w:object>
      </w:r>
      <w:r w:rsidRPr="007C0F29">
        <w:rPr>
          <w:rFonts w:ascii="Times New Roman" w:eastAsia="Times New Roman" w:hAnsi="Times New Roman" w:cs="Times New Roman"/>
          <w:kern w:val="0"/>
          <w:sz w:val="28"/>
          <w:lang w:eastAsia="pl-PL"/>
          <w14:ligatures w14:val="none"/>
        </w:rPr>
        <w:t>.</w:t>
      </w:r>
    </w:p>
    <w:p w14:paraId="23E7FA9D" w14:textId="77777777" w:rsidR="00BB2E5D" w:rsidRPr="007C0F29" w:rsidRDefault="00BB2E5D" w:rsidP="00BB2E5D">
      <w:pPr>
        <w:tabs>
          <w:tab w:val="left" w:pos="4223"/>
        </w:tabs>
        <w:spacing w:after="0" w:line="264" w:lineRule="auto"/>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Po sformułowaniu warunku pierwszego rzędu istnienia maksimum względem α i ϕ uzyskujemy pierwsze wyrażenie na optymalny poziom α:</w:t>
      </w:r>
    </w:p>
    <w:p w14:paraId="15860E9D" w14:textId="77777777" w:rsidR="00BB2E5D" w:rsidRPr="007C0F29" w:rsidRDefault="00BB2E5D" w:rsidP="00BB2E5D">
      <w:pPr>
        <w:spacing w:after="0" w:line="264" w:lineRule="auto"/>
        <w:ind w:firstLine="709"/>
        <w:jc w:val="both"/>
        <w:rPr>
          <w:rFonts w:ascii="Times New Roman" w:eastAsia="Times New Roman" w:hAnsi="Times New Roman" w:cs="Times New Roman"/>
          <w:kern w:val="0"/>
          <w:sz w:val="28"/>
          <w:lang w:eastAsia="pl-PL"/>
          <w14:ligatures w14:val="none"/>
        </w:rPr>
      </w:pPr>
    </w:p>
    <w:p w14:paraId="52EB4BA4" w14:textId="77777777" w:rsidR="00BB2E5D" w:rsidRPr="007C0F29" w:rsidRDefault="00BB2E5D" w:rsidP="00BB2E5D">
      <w:pPr>
        <w:tabs>
          <w:tab w:val="left" w:pos="4084"/>
        </w:tabs>
        <w:spacing w:after="0" w:line="264" w:lineRule="auto"/>
        <w:ind w:firstLine="709"/>
        <w:jc w:val="center"/>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position w:val="-32"/>
          <w:sz w:val="28"/>
          <w:lang w:eastAsia="pl-PL"/>
          <w14:ligatures w14:val="none"/>
        </w:rPr>
        <w:object w:dxaOrig="2140" w:dyaOrig="760" w14:anchorId="1C75A695">
          <v:shape id="_x0000_i1081" type="#_x0000_t75" style="width:107.5pt;height:35.5pt" o:ole="">
            <v:imagedata r:id="rId123" o:title=""/>
          </v:shape>
          <o:OLEObject Type="Embed" ProgID="Equation.DSMT4" ShapeID="_x0000_i1081" DrawAspect="Content" ObjectID="_1799840652" r:id="rId124"/>
        </w:object>
      </w:r>
    </w:p>
    <w:p w14:paraId="27C1ABAB" w14:textId="77777777" w:rsidR="00BB2E5D" w:rsidRDefault="00BB2E5D" w:rsidP="00BB2E5D">
      <w:pPr>
        <w:tabs>
          <w:tab w:val="left" w:pos="1752"/>
        </w:tabs>
        <w:spacing w:after="0" w:line="264" w:lineRule="auto"/>
        <w:jc w:val="both"/>
        <w:rPr>
          <w:rFonts w:ascii="Times New Roman" w:eastAsia="Times New Roman" w:hAnsi="Times New Roman" w:cs="Times New Roman"/>
          <w:kern w:val="0"/>
          <w:sz w:val="28"/>
          <w:lang w:eastAsia="pl-PL"/>
          <w14:ligatures w14:val="none"/>
        </w:rPr>
      </w:pPr>
    </w:p>
    <w:p w14:paraId="4BE397D6" w14:textId="77777777" w:rsidR="00BB2E5D" w:rsidRPr="007C0F29" w:rsidRDefault="00BB2E5D" w:rsidP="00BB2E5D">
      <w:pPr>
        <w:tabs>
          <w:tab w:val="left" w:pos="1752"/>
        </w:tabs>
        <w:spacing w:after="0" w:line="264" w:lineRule="auto"/>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lastRenderedPageBreak/>
        <w:t>Do problemu można jednak podejść jeszcze inaczej: przyjąć, że parametr ϕ będzie ustalony egzogenicznie, a więc nie będzie zmienną decyzyjną dla rolnika. Wtedy otrzymujemy</w:t>
      </w:r>
    </w:p>
    <w:p w14:paraId="7544C8FA" w14:textId="77777777" w:rsidR="00BB2E5D" w:rsidRPr="007C0F29" w:rsidRDefault="00BB2E5D" w:rsidP="00BB2E5D">
      <w:pPr>
        <w:tabs>
          <w:tab w:val="left" w:pos="3858"/>
        </w:tabs>
        <w:spacing w:after="0" w:line="264" w:lineRule="auto"/>
        <w:ind w:firstLine="709"/>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ab/>
      </w:r>
      <w:r w:rsidRPr="007C0F29">
        <w:rPr>
          <w:rFonts w:ascii="Times New Roman" w:eastAsia="Times New Roman" w:hAnsi="Times New Roman" w:cs="Times New Roman"/>
          <w:kern w:val="0"/>
          <w:position w:val="-30"/>
          <w:sz w:val="28"/>
          <w:lang w:eastAsia="pl-PL"/>
          <w14:ligatures w14:val="none"/>
        </w:rPr>
        <w:object w:dxaOrig="1420" w:dyaOrig="700" w14:anchorId="68846A22">
          <v:shape id="_x0000_i1082" type="#_x0000_t75" style="width:1in;height:36.5pt" o:ole="">
            <v:imagedata r:id="rId125" o:title=""/>
          </v:shape>
          <o:OLEObject Type="Embed" ProgID="Equation.DSMT4" ShapeID="_x0000_i1082" DrawAspect="Content" ObjectID="_1799840653" r:id="rId126"/>
        </w:object>
      </w:r>
      <w:r w:rsidRPr="007C0F29">
        <w:rPr>
          <w:rFonts w:ascii="Times New Roman" w:eastAsia="Times New Roman" w:hAnsi="Times New Roman" w:cs="Times New Roman"/>
          <w:kern w:val="0"/>
          <w:sz w:val="28"/>
          <w:lang w:eastAsia="pl-PL"/>
          <w14:ligatures w14:val="none"/>
        </w:rPr>
        <w:t>.</w:t>
      </w:r>
    </w:p>
    <w:p w14:paraId="6ADF0FA9" w14:textId="77777777" w:rsidR="00BB2E5D" w:rsidRPr="007C0F29" w:rsidRDefault="00BB2E5D" w:rsidP="00BB2E5D">
      <w:pPr>
        <w:spacing w:after="0" w:line="264" w:lineRule="auto"/>
        <w:ind w:firstLine="709"/>
        <w:jc w:val="both"/>
        <w:rPr>
          <w:rFonts w:ascii="Times New Roman" w:eastAsia="Times New Roman" w:hAnsi="Times New Roman" w:cs="Times New Roman"/>
          <w:kern w:val="0"/>
          <w:sz w:val="28"/>
          <w:lang w:eastAsia="pl-PL"/>
          <w14:ligatures w14:val="none"/>
        </w:rPr>
      </w:pPr>
    </w:p>
    <w:p w14:paraId="0A68B584" w14:textId="77777777" w:rsidR="00BB2E5D" w:rsidRPr="007C0F29" w:rsidRDefault="00BB2E5D" w:rsidP="00BB2E5D">
      <w:pPr>
        <w:spacing w:after="0" w:line="264" w:lineRule="auto"/>
        <w:ind w:firstLine="709"/>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Z przeprowadzonej dalej statyki porównawczej wynika, że optymalny poziom ryzykownych inwestycji rolnika α* w warunkach równowagi i przy pierwszym sposobie jego wyznaczania jest:</w:t>
      </w:r>
    </w:p>
    <w:p w14:paraId="6E084AD0" w14:textId="77777777" w:rsidR="00BB2E5D" w:rsidRPr="007C0F29" w:rsidRDefault="00BB2E5D" w:rsidP="001D0854">
      <w:pPr>
        <w:numPr>
          <w:ilvl w:val="0"/>
          <w:numId w:val="16"/>
        </w:numPr>
        <w:spacing w:after="0" w:line="264" w:lineRule="auto"/>
        <w:ind w:left="567" w:hanging="567"/>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malejący względem oczekiwanego jednostkowego kosztu ubezpieczenia (µ);</w:t>
      </w:r>
    </w:p>
    <w:p w14:paraId="4F2B00CD" w14:textId="77777777" w:rsidR="00BB2E5D" w:rsidRPr="007C0F29" w:rsidRDefault="00BB2E5D" w:rsidP="001D0854">
      <w:pPr>
        <w:numPr>
          <w:ilvl w:val="0"/>
          <w:numId w:val="16"/>
        </w:numPr>
        <w:spacing w:after="0" w:line="264" w:lineRule="auto"/>
        <w:ind w:left="567" w:hanging="567"/>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malejący względem wariancji ryzyka bazowego ubezpieczenia</w:t>
      </w:r>
      <w:r w:rsidRPr="007C0F29">
        <w:rPr>
          <w:rFonts w:ascii="Times New Roman" w:eastAsia="Times New Roman" w:hAnsi="Times New Roman" w:cs="Times New Roman"/>
          <w:kern w:val="0"/>
          <w:position w:val="-12"/>
          <w:sz w:val="28"/>
          <w:lang w:eastAsia="pl-PL"/>
          <w14:ligatures w14:val="none"/>
        </w:rPr>
        <w:object w:dxaOrig="320" w:dyaOrig="380" w14:anchorId="3AE8898C">
          <v:shape id="_x0000_i1083" type="#_x0000_t75" style="width:14.5pt;height:14.5pt" o:ole="">
            <v:imagedata r:id="rId127" o:title=""/>
          </v:shape>
          <o:OLEObject Type="Embed" ProgID="Equation.DSMT4" ShapeID="_x0000_i1083" DrawAspect="Content" ObjectID="_1799840654" r:id="rId128"/>
        </w:object>
      </w:r>
      <w:r w:rsidRPr="007C0F29">
        <w:rPr>
          <w:rFonts w:ascii="Times New Roman" w:eastAsia="Times New Roman" w:hAnsi="Times New Roman" w:cs="Times New Roman"/>
          <w:kern w:val="0"/>
          <w:sz w:val="28"/>
          <w:lang w:eastAsia="pl-PL"/>
          <w14:ligatures w14:val="none"/>
        </w:rPr>
        <w:t>;</w:t>
      </w:r>
    </w:p>
    <w:p w14:paraId="3FCAA066" w14:textId="77777777" w:rsidR="00BB2E5D" w:rsidRPr="007C0F29" w:rsidRDefault="00BB2E5D" w:rsidP="001D0854">
      <w:pPr>
        <w:numPr>
          <w:ilvl w:val="0"/>
          <w:numId w:val="16"/>
        </w:numPr>
        <w:spacing w:after="0" w:line="264" w:lineRule="auto"/>
        <w:ind w:left="567" w:hanging="567"/>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 xml:space="preserve">malejący względem wariancji zwrotu z inwestycji </w:t>
      </w:r>
      <w:r w:rsidRPr="007C0F29">
        <w:rPr>
          <w:rFonts w:ascii="Times New Roman" w:eastAsia="Times New Roman" w:hAnsi="Times New Roman" w:cs="Times New Roman"/>
          <w:kern w:val="0"/>
          <w:position w:val="-12"/>
          <w:sz w:val="28"/>
          <w:lang w:eastAsia="pl-PL"/>
          <w14:ligatures w14:val="none"/>
        </w:rPr>
        <w:object w:dxaOrig="320" w:dyaOrig="380" w14:anchorId="05F1889E">
          <v:shape id="_x0000_i1084" type="#_x0000_t75" style="width:14.5pt;height:14.5pt" o:ole="">
            <v:imagedata r:id="rId129" o:title=""/>
          </v:shape>
          <o:OLEObject Type="Embed" ProgID="Equation.DSMT4" ShapeID="_x0000_i1084" DrawAspect="Content" ObjectID="_1799840655" r:id="rId130"/>
        </w:object>
      </w:r>
    </w:p>
    <w:p w14:paraId="5B78406B" w14:textId="77777777" w:rsidR="00BB2E5D" w:rsidRPr="007C0F29" w:rsidRDefault="00BB2E5D" w:rsidP="001D0854">
      <w:pPr>
        <w:numPr>
          <w:ilvl w:val="0"/>
          <w:numId w:val="16"/>
        </w:numPr>
        <w:spacing w:after="0" w:line="264" w:lineRule="auto"/>
        <w:ind w:left="567" w:hanging="567"/>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malejący, gdy rośnie awersja do ryzyka (γ);</w:t>
      </w:r>
    </w:p>
    <w:p w14:paraId="2F4C4122" w14:textId="77777777" w:rsidR="00BB2E5D" w:rsidRPr="007C0F29" w:rsidRDefault="00BB2E5D" w:rsidP="001D0854">
      <w:pPr>
        <w:numPr>
          <w:ilvl w:val="0"/>
          <w:numId w:val="16"/>
        </w:numPr>
        <w:spacing w:after="0" w:line="264" w:lineRule="auto"/>
        <w:ind w:left="567" w:hanging="567"/>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 xml:space="preserve">rosnący dla rosnących zwrotów oczekiwanych z inwestycji </w:t>
      </w:r>
      <w:r w:rsidRPr="007C0F29">
        <w:rPr>
          <w:rFonts w:ascii="Times New Roman" w:eastAsia="Times New Roman" w:hAnsi="Times New Roman" w:cs="Times New Roman"/>
          <w:kern w:val="0"/>
          <w:position w:val="-16"/>
          <w:sz w:val="28"/>
          <w:lang w:eastAsia="pl-PL"/>
          <w14:ligatures w14:val="none"/>
        </w:rPr>
        <w:object w:dxaOrig="420" w:dyaOrig="440" w14:anchorId="1E12D730">
          <v:shape id="_x0000_i1085" type="#_x0000_t75" style="width:22pt;height:22pt" o:ole="">
            <v:imagedata r:id="rId131" o:title=""/>
          </v:shape>
          <o:OLEObject Type="Embed" ProgID="Equation.DSMT4" ShapeID="_x0000_i1085" DrawAspect="Content" ObjectID="_1799840656" r:id="rId132"/>
        </w:object>
      </w:r>
      <w:r w:rsidRPr="007C0F29">
        <w:rPr>
          <w:rFonts w:ascii="Times New Roman" w:eastAsia="Times New Roman" w:hAnsi="Times New Roman" w:cs="Times New Roman"/>
          <w:kern w:val="0"/>
          <w:sz w:val="28"/>
          <w:lang w:eastAsia="pl-PL"/>
          <w14:ligatures w14:val="none"/>
        </w:rPr>
        <w:t>.</w:t>
      </w:r>
    </w:p>
    <w:p w14:paraId="1B6B7D49" w14:textId="77777777" w:rsidR="00BB2E5D" w:rsidRPr="007C0F29" w:rsidRDefault="00BB2E5D" w:rsidP="00BB2E5D">
      <w:pPr>
        <w:spacing w:after="0" w:line="264" w:lineRule="auto"/>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Generalnie te same zależności uzyskamy, jeśli α* wyznaczymy drugim sposobem. Jedyna różnica polega na tym, że α* rośnie, gdy rośnie też wartość ϕ.</w:t>
      </w:r>
    </w:p>
    <w:p w14:paraId="05B21B63" w14:textId="77777777" w:rsidR="00BB2E5D" w:rsidRPr="007C0F29" w:rsidRDefault="00BB2E5D" w:rsidP="00BB2E5D">
      <w:pPr>
        <w:spacing w:after="0" w:line="264" w:lineRule="auto"/>
        <w:ind w:firstLine="709"/>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Widzimy, że jeśli potrafimy ułatwić dostęp rolnikom do ubezpieczeń albo przez większy strumień ich podaży, albo poprzez redukcję ich kosztów, to możemy oczekiwać, iż będą oni chętniej inwestować w bardziej ryzykowne działalności. Oznacza to, że między oczekiwanymi zwrotami z inwestycji a ryzykiem istnieje wymienność (substytucyjność). Mamy t</w:t>
      </w:r>
      <w:r>
        <w:rPr>
          <w:rFonts w:ascii="Times New Roman" w:eastAsia="Times New Roman" w:hAnsi="Times New Roman" w:cs="Times New Roman"/>
          <w:kern w:val="0"/>
          <w:sz w:val="28"/>
          <w:lang w:eastAsia="pl-PL"/>
          <w14:ligatures w14:val="none"/>
        </w:rPr>
        <w:t>u</w:t>
      </w:r>
      <w:r w:rsidRPr="007C0F29">
        <w:rPr>
          <w:rFonts w:ascii="Times New Roman" w:eastAsia="Times New Roman" w:hAnsi="Times New Roman" w:cs="Times New Roman"/>
          <w:kern w:val="0"/>
          <w:sz w:val="28"/>
          <w:lang w:eastAsia="pl-PL"/>
          <w14:ligatures w14:val="none"/>
        </w:rPr>
        <w:t xml:space="preserve"> zatem bezpośrednie nawiązanie do teorii portfela. Zgodnie z tym</w:t>
      </w:r>
      <w:r>
        <w:rPr>
          <w:rFonts w:ascii="Times New Roman" w:eastAsia="Times New Roman" w:hAnsi="Times New Roman" w:cs="Times New Roman"/>
          <w:kern w:val="0"/>
          <w:sz w:val="28"/>
          <w:lang w:eastAsia="pl-PL"/>
          <w14:ligatures w14:val="none"/>
        </w:rPr>
        <w:t>,</w:t>
      </w:r>
      <w:r w:rsidRPr="007C0F29">
        <w:rPr>
          <w:rFonts w:ascii="Times New Roman" w:eastAsia="Times New Roman" w:hAnsi="Times New Roman" w:cs="Times New Roman"/>
          <w:kern w:val="0"/>
          <w:sz w:val="28"/>
          <w:lang w:eastAsia="pl-PL"/>
          <w14:ligatures w14:val="none"/>
        </w:rPr>
        <w:t xml:space="preserve"> powyższe zwiększenie dostępu rolników do ubezpieczeń powinno prowadzić także do redukcji </w:t>
      </w:r>
      <w:r w:rsidRPr="00697717">
        <w:rPr>
          <w:rFonts w:ascii="Times New Roman" w:eastAsia="Times New Roman" w:hAnsi="Times New Roman" w:cs="Times New Roman"/>
          <w:i/>
          <w:iCs/>
          <w:kern w:val="0"/>
          <w:sz w:val="28"/>
          <w:lang w:eastAsia="pl-PL"/>
          <w14:ligatures w14:val="none"/>
        </w:rPr>
        <w:t>the background risk</w:t>
      </w:r>
      <w:r w:rsidRPr="007C0F29">
        <w:rPr>
          <w:rFonts w:ascii="Times New Roman" w:eastAsia="Times New Roman" w:hAnsi="Times New Roman" w:cs="Times New Roman"/>
          <w:kern w:val="0"/>
          <w:sz w:val="28"/>
          <w:lang w:eastAsia="pl-PL"/>
          <w14:ligatures w14:val="none"/>
        </w:rPr>
        <w:t xml:space="preserve">, tj. ryzyka nieubezpieczalnego, co znajduje swój  wyraz w przesunięciu się w górę granicy efektywności portfela. Dalej z tego wynika, że oczekiwane dochody i użyteczności rolników są malejące względem oczekiwanych jednostkowych kosztów ubezpieczenia (µ) oraz wariancji ryzyka bazowego </w:t>
      </w:r>
      <w:r w:rsidRPr="007C0F29">
        <w:rPr>
          <w:rFonts w:ascii="Times New Roman" w:eastAsia="Times New Roman" w:hAnsi="Times New Roman" w:cs="Times New Roman"/>
          <w:kern w:val="0"/>
          <w:position w:val="-12"/>
          <w:sz w:val="28"/>
          <w:lang w:eastAsia="pl-PL"/>
          <w14:ligatures w14:val="none"/>
        </w:rPr>
        <w:object w:dxaOrig="320" w:dyaOrig="380" w14:anchorId="53D61258">
          <v:shape id="_x0000_i1086" type="#_x0000_t75" style="width:14.5pt;height:14.5pt" o:ole="">
            <v:imagedata r:id="rId127" o:title=""/>
          </v:shape>
          <o:OLEObject Type="Embed" ProgID="Equation.DSMT4" ShapeID="_x0000_i1086" DrawAspect="Content" ObjectID="_1799840657" r:id="rId133"/>
        </w:object>
      </w:r>
      <w:r w:rsidRPr="007C0F29">
        <w:rPr>
          <w:rFonts w:ascii="Times New Roman" w:eastAsia="Times New Roman" w:hAnsi="Times New Roman" w:cs="Times New Roman"/>
          <w:kern w:val="0"/>
          <w:sz w:val="28"/>
          <w:lang w:eastAsia="pl-PL"/>
          <w14:ligatures w14:val="none"/>
        </w:rPr>
        <w:t>; ergo: lepszy dostęp do ubezpieczeń, przy innych czynnikach stałych, powinien zwiększać dochody i dobrobyt rolników.</w:t>
      </w:r>
    </w:p>
    <w:p w14:paraId="1CD14B7B" w14:textId="77777777" w:rsidR="00BB2E5D" w:rsidRPr="007C0F29" w:rsidRDefault="00BB2E5D" w:rsidP="00BB2E5D">
      <w:pPr>
        <w:spacing w:after="0" w:line="264" w:lineRule="auto"/>
        <w:ind w:firstLine="709"/>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 xml:space="preserve">Jak już wcześniej pisano, Cole i in. swój model teoretyczny weryfikowali w zbiorowości 1479 indyjskich gospodarstw rolnych, przy czym 743 otrzymało po 10 kontraktów indeksowych od prywatnej firmy ubezpieczeniowej ICICI Lombard. Badanie rozpoczęto w 2004 roku w oparciu o metodologię </w:t>
      </w:r>
      <w:r w:rsidRPr="00482C8A">
        <w:rPr>
          <w:rFonts w:ascii="Times New Roman" w:eastAsia="Times New Roman" w:hAnsi="Times New Roman" w:cs="Times New Roman"/>
          <w:i/>
          <w:iCs/>
          <w:kern w:val="0"/>
          <w:sz w:val="28"/>
          <w:lang w:eastAsia="pl-PL"/>
          <w14:ligatures w14:val="none"/>
        </w:rPr>
        <w:t>a randomized controlled trial</w:t>
      </w:r>
      <w:r w:rsidRPr="007C0F29">
        <w:rPr>
          <w:rFonts w:ascii="Times New Roman" w:eastAsia="Times New Roman" w:hAnsi="Times New Roman" w:cs="Times New Roman"/>
          <w:kern w:val="0"/>
          <w:sz w:val="28"/>
          <w:lang w:eastAsia="pl-PL"/>
          <w14:ligatures w14:val="none"/>
        </w:rPr>
        <w:t xml:space="preserve"> (RCD) oraz regresje tobitowe i probitowe.</w:t>
      </w:r>
      <w:r>
        <w:rPr>
          <w:rFonts w:ascii="Times New Roman" w:eastAsia="Times New Roman" w:hAnsi="Times New Roman" w:cs="Times New Roman"/>
          <w:kern w:val="0"/>
          <w:sz w:val="28"/>
          <w:lang w:eastAsia="pl-PL"/>
          <w14:ligatures w14:val="none"/>
        </w:rPr>
        <w:t xml:space="preserve"> To bardzo rygorystyczne postępowanie badawcze, które prowadzi jednak do uzyskania nieobciążonych statystycznie oszacowań ATE.</w:t>
      </w:r>
      <w:r w:rsidRPr="007C0F29">
        <w:rPr>
          <w:rFonts w:ascii="Times New Roman" w:eastAsia="Times New Roman" w:hAnsi="Times New Roman" w:cs="Times New Roman"/>
          <w:kern w:val="0"/>
          <w:sz w:val="28"/>
          <w:lang w:eastAsia="pl-PL"/>
          <w14:ligatures w14:val="none"/>
        </w:rPr>
        <w:t xml:space="preserve"> Zgodnie z tym gospodarstwa, które otrzymały polisy, były </w:t>
      </w:r>
      <w:r w:rsidRPr="007C0F29">
        <w:rPr>
          <w:rFonts w:ascii="Times New Roman" w:eastAsia="Times New Roman" w:hAnsi="Times New Roman" w:cs="Times New Roman"/>
          <w:i/>
          <w:kern w:val="0"/>
          <w:sz w:val="28"/>
          <w:lang w:eastAsia="pl-PL"/>
          <w14:ligatures w14:val="none"/>
        </w:rPr>
        <w:t>the treatment group</w:t>
      </w:r>
      <w:r w:rsidRPr="007C0F29">
        <w:rPr>
          <w:rFonts w:ascii="Times New Roman" w:eastAsia="Times New Roman" w:hAnsi="Times New Roman" w:cs="Times New Roman"/>
          <w:kern w:val="0"/>
          <w:sz w:val="28"/>
          <w:lang w:eastAsia="pl-PL"/>
          <w14:ligatures w14:val="none"/>
        </w:rPr>
        <w:t xml:space="preserve">, a pozostałe </w:t>
      </w:r>
      <w:r w:rsidRPr="007C0F29">
        <w:rPr>
          <w:rFonts w:ascii="Times New Roman" w:eastAsia="Times New Roman" w:hAnsi="Times New Roman" w:cs="Times New Roman"/>
          <w:i/>
          <w:kern w:val="0"/>
          <w:sz w:val="28"/>
          <w:lang w:eastAsia="pl-PL"/>
          <w14:ligatures w14:val="none"/>
        </w:rPr>
        <w:t>the control group</w:t>
      </w:r>
      <w:r w:rsidRPr="007C0F29">
        <w:rPr>
          <w:rFonts w:ascii="Times New Roman" w:eastAsia="Times New Roman" w:hAnsi="Times New Roman" w:cs="Times New Roman"/>
          <w:kern w:val="0"/>
          <w:sz w:val="28"/>
          <w:lang w:eastAsia="pl-PL"/>
          <w14:ligatures w14:val="none"/>
        </w:rPr>
        <w:t xml:space="preserve">. Tym </w:t>
      </w:r>
      <w:r w:rsidRPr="007C0F29">
        <w:rPr>
          <w:rFonts w:ascii="Times New Roman" w:eastAsia="Times New Roman" w:hAnsi="Times New Roman" w:cs="Times New Roman"/>
          <w:kern w:val="0"/>
          <w:sz w:val="28"/>
          <w:lang w:eastAsia="pl-PL"/>
          <w14:ligatures w14:val="none"/>
        </w:rPr>
        <w:lastRenderedPageBreak/>
        <w:t>ostatnim przekazano jednak po 200 rupii, gdyż chodziło o to, żeby wyniki eksperymentów i regresji nie były deformowane przez występowanie efektu majątkowego.</w:t>
      </w:r>
    </w:p>
    <w:p w14:paraId="24496F19" w14:textId="77777777" w:rsidR="00BB2E5D" w:rsidRPr="007C0F29" w:rsidRDefault="00BB2E5D" w:rsidP="00BB2E5D">
      <w:pPr>
        <w:spacing w:after="0" w:line="264" w:lineRule="auto"/>
        <w:ind w:firstLine="709"/>
        <w:jc w:val="both"/>
        <w:rPr>
          <w:rFonts w:ascii="Times New Roman" w:eastAsia="Times New Roman" w:hAnsi="Times New Roman" w:cs="Times New Roman"/>
          <w:kern w:val="0"/>
          <w:sz w:val="28"/>
          <w:lang w:eastAsia="pl-PL"/>
          <w14:ligatures w14:val="none"/>
        </w:rPr>
      </w:pPr>
      <w:r w:rsidRPr="007C0F29">
        <w:rPr>
          <w:rFonts w:ascii="Times New Roman" w:eastAsia="Times New Roman" w:hAnsi="Times New Roman" w:cs="Times New Roman"/>
          <w:kern w:val="0"/>
          <w:sz w:val="28"/>
          <w:lang w:eastAsia="pl-PL"/>
          <w14:ligatures w14:val="none"/>
        </w:rPr>
        <w:t>W badanym stanie Andhra Pradesh głównymi uprawami towarowymi są: kasztany, orzeszki ziemne, rośliny oleiste i ryż. Przynoszą one wprawdzie wyższe dochody, ale z drugiej strony są bardziej wrażliwe na niedobór opadów. Natomiast na autokonsumpcję w gospodarstwach domowych rolników przeznaczone są przede wszystkim sorgo oraz różne rośliny strączkowe. Wszystkie poniżej komentowane wyniki analiz empirycznych dotyczą 2009 roku. Wybrano dwie podstawowe zmienne zależne: inwestycje we wszystkie uprawy oraz inwestycje tylko w uprawy towarowe. Każdą z nich jednakże opisano dodatkowymi zmiennymi, tj. wzrostem poziomu nakładów obrotowych i ich wartością oraz udziałem roślin towarowych w uprawianym areale i udziałem nakładów przeznaczonych na nie w łącznych wydatkach produkcyjnych. Lista zmiennych kontrolnych (niezależnych) była z kolei bardzo obszerna, gdyż liczyła w sumie 59 pozycji. Poniżej w sposób syntetyczny przedstawia się podstawowe rezultaty.</w:t>
      </w:r>
    </w:p>
    <w:p w14:paraId="3037DB83" w14:textId="595DA493" w:rsidR="00BB2E5D" w:rsidRPr="00BB2E5D" w:rsidRDefault="00BB2E5D" w:rsidP="001D0854">
      <w:pPr>
        <w:pStyle w:val="Numerowanie1"/>
        <w:numPr>
          <w:ilvl w:val="0"/>
          <w:numId w:val="17"/>
        </w:numPr>
      </w:pPr>
      <w:r w:rsidRPr="00BB2E5D">
        <w:t xml:space="preserve">Udostępnienie rolnikom ubezpieczeń indeksowych spowodowało, iż krańcowe prawdopodobieństwo zwiększenia inwestycji w uprawy było wyższe o 12 punktów procentowych (p.p) w stosunku do grupy kontrolnej, ale zależność ta nie była istotna statystycznie. W przypadku upraw towarowych wzrost prawdopodobieństwa wyniósł tylko 6 p.p., ale był istotny na poziomie 5%. Zwiększyło się również prawdopodobieństwo obydwu ww. udziałów, ale były to wskaźniki wyraźnie niższe. Stąd zależności te Cole i in. określili jako </w:t>
      </w:r>
      <w:r w:rsidRPr="00BB2E5D">
        <w:rPr>
          <w:i/>
          <w:iCs/>
        </w:rPr>
        <w:t>the extensive margin</w:t>
      </w:r>
      <w:r w:rsidRPr="00BB2E5D">
        <w:t xml:space="preserve">, tzn. nie odnosiły się szczególnie do rolników już nastawionych na uprawy towarowe i nie zwiększały też istotnie ich nakładów na te ziemiopłody. W konsekwencji wpływ ubezpieczeń w grupie, która je otrzymała, miał charakter nieliniowy, co widać na rysunku </w:t>
      </w:r>
      <w:r w:rsidR="001A62CB">
        <w:t>8</w:t>
      </w:r>
      <w:r w:rsidRPr="00BB2E5D">
        <w:t>. Mamy tu zaznaczony dyskretny skok inwestycji. Innymi słowy istniały tu korzyści skali.</w:t>
      </w:r>
    </w:p>
    <w:p w14:paraId="69ED0ABA" w14:textId="77777777" w:rsidR="00BB2E5D" w:rsidRDefault="00BB2E5D" w:rsidP="00BB2E5D">
      <w:pPr>
        <w:spacing w:after="0" w:line="264" w:lineRule="auto"/>
        <w:ind w:left="360"/>
        <w:jc w:val="right"/>
        <w:rPr>
          <w:rFonts w:ascii="Times New Roman" w:eastAsia="Times New Roman" w:hAnsi="Times New Roman" w:cs="Times New Roman"/>
          <w:bCs/>
          <w:kern w:val="0"/>
          <w:sz w:val="28"/>
          <w:lang w:eastAsia="pl-PL"/>
          <w14:ligatures w14:val="none"/>
        </w:rPr>
      </w:pPr>
    </w:p>
    <w:p w14:paraId="45C16F1E" w14:textId="77777777" w:rsidR="00BB2E5D" w:rsidRDefault="00BB2E5D" w:rsidP="00BB2E5D">
      <w:pPr>
        <w:spacing w:after="0" w:line="264" w:lineRule="auto"/>
        <w:ind w:left="360"/>
        <w:jc w:val="right"/>
        <w:rPr>
          <w:rFonts w:ascii="Times New Roman" w:eastAsia="Times New Roman" w:hAnsi="Times New Roman" w:cs="Times New Roman"/>
          <w:bCs/>
          <w:kern w:val="0"/>
          <w:sz w:val="28"/>
          <w:lang w:eastAsia="pl-PL"/>
          <w14:ligatures w14:val="none"/>
        </w:rPr>
      </w:pPr>
    </w:p>
    <w:p w14:paraId="28D09ACE" w14:textId="77777777" w:rsidR="00BB2E5D" w:rsidRDefault="00BB2E5D" w:rsidP="00BB2E5D">
      <w:pPr>
        <w:spacing w:after="0" w:line="264" w:lineRule="auto"/>
        <w:ind w:left="360"/>
        <w:jc w:val="right"/>
        <w:rPr>
          <w:rFonts w:ascii="Times New Roman" w:eastAsia="Times New Roman" w:hAnsi="Times New Roman" w:cs="Times New Roman"/>
          <w:bCs/>
          <w:kern w:val="0"/>
          <w:sz w:val="28"/>
          <w:lang w:eastAsia="pl-PL"/>
          <w14:ligatures w14:val="none"/>
        </w:rPr>
      </w:pPr>
    </w:p>
    <w:p w14:paraId="65CFA08F" w14:textId="77777777" w:rsidR="00BB2E5D" w:rsidRDefault="00BB2E5D" w:rsidP="00BB2E5D">
      <w:pPr>
        <w:spacing w:after="0" w:line="264" w:lineRule="auto"/>
        <w:ind w:left="360"/>
        <w:jc w:val="right"/>
        <w:rPr>
          <w:rFonts w:ascii="Times New Roman" w:eastAsia="Times New Roman" w:hAnsi="Times New Roman" w:cs="Times New Roman"/>
          <w:bCs/>
          <w:kern w:val="0"/>
          <w:sz w:val="28"/>
          <w:lang w:eastAsia="pl-PL"/>
          <w14:ligatures w14:val="none"/>
        </w:rPr>
      </w:pPr>
    </w:p>
    <w:p w14:paraId="694F71FA" w14:textId="77777777" w:rsidR="00BB2E5D" w:rsidRDefault="00BB2E5D" w:rsidP="00BB2E5D">
      <w:pPr>
        <w:spacing w:after="0" w:line="264" w:lineRule="auto"/>
        <w:ind w:left="360"/>
        <w:jc w:val="right"/>
        <w:rPr>
          <w:rFonts w:ascii="Times New Roman" w:eastAsia="Times New Roman" w:hAnsi="Times New Roman" w:cs="Times New Roman"/>
          <w:bCs/>
          <w:kern w:val="0"/>
          <w:sz w:val="28"/>
          <w:lang w:eastAsia="pl-PL"/>
          <w14:ligatures w14:val="none"/>
        </w:rPr>
      </w:pPr>
    </w:p>
    <w:p w14:paraId="27D47078" w14:textId="77777777" w:rsidR="00BB2E5D" w:rsidRDefault="00BB2E5D" w:rsidP="00BB2E5D">
      <w:pPr>
        <w:spacing w:after="0" w:line="264" w:lineRule="auto"/>
        <w:ind w:left="360"/>
        <w:jc w:val="right"/>
        <w:rPr>
          <w:rFonts w:ascii="Times New Roman" w:eastAsia="Times New Roman" w:hAnsi="Times New Roman" w:cs="Times New Roman"/>
          <w:bCs/>
          <w:kern w:val="0"/>
          <w:sz w:val="28"/>
          <w:lang w:eastAsia="pl-PL"/>
          <w14:ligatures w14:val="none"/>
        </w:rPr>
      </w:pPr>
    </w:p>
    <w:p w14:paraId="1BEB6D9C" w14:textId="77777777" w:rsidR="00BB2E5D" w:rsidRDefault="00BB2E5D" w:rsidP="00BB2E5D">
      <w:pPr>
        <w:spacing w:after="0" w:line="264" w:lineRule="auto"/>
        <w:ind w:left="360"/>
        <w:jc w:val="right"/>
        <w:rPr>
          <w:rFonts w:ascii="Times New Roman" w:eastAsia="Times New Roman" w:hAnsi="Times New Roman" w:cs="Times New Roman"/>
          <w:bCs/>
          <w:kern w:val="0"/>
          <w:sz w:val="28"/>
          <w:lang w:eastAsia="pl-PL"/>
          <w14:ligatures w14:val="none"/>
        </w:rPr>
      </w:pPr>
    </w:p>
    <w:p w14:paraId="31D8AE1F" w14:textId="77777777" w:rsidR="00BB2E5D" w:rsidRDefault="00BB2E5D" w:rsidP="00BB2E5D">
      <w:pPr>
        <w:spacing w:after="0" w:line="264" w:lineRule="auto"/>
        <w:ind w:left="360"/>
        <w:jc w:val="right"/>
        <w:rPr>
          <w:rFonts w:ascii="Times New Roman" w:eastAsia="Times New Roman" w:hAnsi="Times New Roman" w:cs="Times New Roman"/>
          <w:bCs/>
          <w:kern w:val="0"/>
          <w:sz w:val="28"/>
          <w:lang w:eastAsia="pl-PL"/>
          <w14:ligatures w14:val="none"/>
        </w:rPr>
      </w:pPr>
    </w:p>
    <w:p w14:paraId="609CBACB" w14:textId="77777777" w:rsidR="00BB2E5D" w:rsidRDefault="00BB2E5D" w:rsidP="00BB2E5D">
      <w:pPr>
        <w:spacing w:after="0" w:line="264" w:lineRule="auto"/>
        <w:ind w:left="360"/>
        <w:jc w:val="right"/>
        <w:rPr>
          <w:rFonts w:ascii="Times New Roman" w:eastAsia="Times New Roman" w:hAnsi="Times New Roman" w:cs="Times New Roman"/>
          <w:bCs/>
          <w:kern w:val="0"/>
          <w:sz w:val="28"/>
          <w:lang w:eastAsia="pl-PL"/>
          <w14:ligatures w14:val="none"/>
        </w:rPr>
      </w:pPr>
    </w:p>
    <w:p w14:paraId="77B6EE49" w14:textId="77777777" w:rsidR="00BB2E5D" w:rsidRDefault="00BB2E5D" w:rsidP="00BB2E5D">
      <w:pPr>
        <w:spacing w:after="0" w:line="264" w:lineRule="auto"/>
        <w:ind w:left="360"/>
        <w:jc w:val="right"/>
        <w:rPr>
          <w:rFonts w:ascii="Times New Roman" w:eastAsia="Times New Roman" w:hAnsi="Times New Roman" w:cs="Times New Roman"/>
          <w:bCs/>
          <w:kern w:val="0"/>
          <w:sz w:val="28"/>
          <w:lang w:eastAsia="pl-PL"/>
          <w14:ligatures w14:val="none"/>
        </w:rPr>
      </w:pPr>
    </w:p>
    <w:p w14:paraId="3FE05FFB" w14:textId="77777777" w:rsidR="00BB2E5D" w:rsidRDefault="00BB2E5D" w:rsidP="00BB2E5D">
      <w:pPr>
        <w:spacing w:after="0" w:line="264" w:lineRule="auto"/>
        <w:ind w:left="360"/>
        <w:jc w:val="right"/>
        <w:rPr>
          <w:rFonts w:ascii="Times New Roman" w:eastAsia="Times New Roman" w:hAnsi="Times New Roman" w:cs="Times New Roman"/>
          <w:bCs/>
          <w:kern w:val="0"/>
          <w:sz w:val="28"/>
          <w:lang w:eastAsia="pl-PL"/>
          <w14:ligatures w14:val="none"/>
        </w:rPr>
      </w:pPr>
    </w:p>
    <w:p w14:paraId="01BCFCDC" w14:textId="4E374C62" w:rsidR="00BB2E5D" w:rsidRPr="007C0F29" w:rsidRDefault="00E41A4F" w:rsidP="00E41A4F">
      <w:pPr>
        <w:spacing w:after="0" w:line="264" w:lineRule="auto"/>
        <w:ind w:left="360"/>
        <w:rPr>
          <w:rFonts w:ascii="Times New Roman" w:eastAsia="Times New Roman" w:hAnsi="Times New Roman" w:cs="Times New Roman"/>
          <w:bCs/>
          <w:kern w:val="0"/>
          <w:sz w:val="28"/>
          <w:lang w:eastAsia="pl-PL"/>
          <w14:ligatures w14:val="none"/>
        </w:rPr>
      </w:pPr>
      <w:r w:rsidRPr="00A10D98">
        <w:rPr>
          <w:rFonts w:ascii="Times New Roman" w:eastAsia="Times New Roman" w:hAnsi="Times New Roman" w:cs="Times New Roman"/>
          <w:b/>
          <w:kern w:val="0"/>
          <w:sz w:val="28"/>
          <w:lang w:eastAsia="pl-PL"/>
          <w14:ligatures w14:val="none"/>
        </w:rPr>
        <w:lastRenderedPageBreak/>
        <w:t xml:space="preserve">Rysunek </w:t>
      </w:r>
      <w:r w:rsidR="001A62CB">
        <w:rPr>
          <w:rFonts w:ascii="Times New Roman" w:eastAsia="Times New Roman" w:hAnsi="Times New Roman" w:cs="Times New Roman"/>
          <w:b/>
          <w:kern w:val="0"/>
          <w:sz w:val="28"/>
          <w:lang w:eastAsia="pl-PL"/>
          <w14:ligatures w14:val="none"/>
        </w:rPr>
        <w:t>8</w:t>
      </w:r>
      <w:r w:rsidRPr="00A10D98">
        <w:rPr>
          <w:rFonts w:ascii="Times New Roman" w:eastAsia="Times New Roman" w:hAnsi="Times New Roman" w:cs="Times New Roman"/>
          <w:b/>
          <w:kern w:val="0"/>
          <w:sz w:val="28"/>
          <w:lang w:eastAsia="pl-PL"/>
          <w14:ligatures w14:val="none"/>
        </w:rPr>
        <w:t>.</w:t>
      </w:r>
      <w:r>
        <w:rPr>
          <w:rFonts w:ascii="Times New Roman" w:eastAsia="Times New Roman" w:hAnsi="Times New Roman" w:cs="Times New Roman"/>
          <w:bCs/>
          <w:kern w:val="0"/>
          <w:sz w:val="28"/>
          <w:lang w:eastAsia="pl-PL"/>
          <w14:ligatures w14:val="none"/>
        </w:rPr>
        <w:t xml:space="preserve"> </w:t>
      </w:r>
      <w:r w:rsidR="00BB2E5D" w:rsidRPr="007C0F29">
        <w:rPr>
          <w:rFonts w:ascii="Times New Roman" w:eastAsia="Times New Roman" w:hAnsi="Times New Roman" w:cs="Times New Roman"/>
          <w:bCs/>
          <w:kern w:val="0"/>
          <w:sz w:val="28"/>
          <w:lang w:eastAsia="pl-PL"/>
          <w14:ligatures w14:val="none"/>
        </w:rPr>
        <w:t xml:space="preserve">Nieliniowość wpływu ubezpieczeń indeksowych upraw </w:t>
      </w:r>
      <w:r>
        <w:rPr>
          <w:rFonts w:ascii="Times New Roman" w:eastAsia="Times New Roman" w:hAnsi="Times New Roman" w:cs="Times New Roman"/>
          <w:bCs/>
          <w:kern w:val="0"/>
          <w:sz w:val="28"/>
          <w:lang w:eastAsia="pl-PL"/>
          <w14:ligatures w14:val="none"/>
        </w:rPr>
        <w:br/>
      </w:r>
      <w:r w:rsidR="00BB2E5D" w:rsidRPr="007C0F29">
        <w:rPr>
          <w:rFonts w:ascii="Times New Roman" w:eastAsia="Times New Roman" w:hAnsi="Times New Roman" w:cs="Times New Roman"/>
          <w:bCs/>
          <w:kern w:val="0"/>
          <w:sz w:val="28"/>
          <w:lang w:eastAsia="pl-PL"/>
          <w14:ligatures w14:val="none"/>
        </w:rPr>
        <w:t>na inwestycje w uprawy towarowe</w:t>
      </w:r>
      <w:r w:rsidR="00BB2E5D" w:rsidRPr="007C0F29">
        <w:rPr>
          <w:rFonts w:ascii="Times New Roman" w:eastAsia="Times New Roman" w:hAnsi="Times New Roman" w:cs="Times New Roman"/>
          <w:bCs/>
          <w:kern w:val="0"/>
          <w:sz w:val="28"/>
          <w:lang w:eastAsia="pl-PL"/>
          <w14:ligatures w14:val="none"/>
        </w:rPr>
        <w:tab/>
      </w:r>
    </w:p>
    <w:p w14:paraId="4A3D33BA" w14:textId="77777777" w:rsidR="00BB2E5D" w:rsidRDefault="00BB2E5D" w:rsidP="00BB2E5D">
      <w:pPr>
        <w:spacing w:after="240" w:line="264" w:lineRule="auto"/>
        <w:jc w:val="both"/>
        <w:rPr>
          <w:rFonts w:ascii="Times New Roman" w:eastAsia="Times New Roman" w:hAnsi="Times New Roman" w:cs="Times New Roman"/>
          <w:i/>
          <w:iCs/>
          <w:spacing w:val="2"/>
          <w:kern w:val="0"/>
          <w:lang w:eastAsia="pl-PL"/>
          <w14:ligatures w14:val="none"/>
        </w:rPr>
      </w:pPr>
      <w:r w:rsidRPr="00747020">
        <w:rPr>
          <w:rFonts w:ascii="Calibri" w:eastAsia="Calibri" w:hAnsi="Calibri" w:cs="Times New Roman"/>
          <w:noProof/>
          <w:kern w:val="0"/>
          <w:sz w:val="22"/>
          <w:szCs w:val="22"/>
          <w14:ligatures w14:val="none"/>
        </w:rPr>
        <w:drawing>
          <wp:inline distT="0" distB="0" distL="0" distR="0" wp14:anchorId="182404F3" wp14:editId="38DEA336">
            <wp:extent cx="5759450" cy="3810000"/>
            <wp:effectExtent l="0" t="0" r="0" b="0"/>
            <wp:docPr id="2038864293" name="Obraz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34">
                      <a:extLst>
                        <a:ext uri="{28A0092B-C50C-407E-A947-70E740481C1C}">
                          <a14:useLocalDpi xmlns:a14="http://schemas.microsoft.com/office/drawing/2010/main" val="0"/>
                        </a:ext>
                      </a:extLst>
                    </a:blip>
                    <a:srcRect t="42911"/>
                    <a:stretch/>
                  </pic:blipFill>
                  <pic:spPr bwMode="auto">
                    <a:xfrm>
                      <a:off x="0" y="0"/>
                      <a:ext cx="5759450" cy="3810000"/>
                    </a:xfrm>
                    <a:prstGeom prst="rect">
                      <a:avLst/>
                    </a:prstGeom>
                    <a:noFill/>
                    <a:ln>
                      <a:noFill/>
                    </a:ln>
                    <a:extLst>
                      <a:ext uri="{53640926-AAD7-44D8-BBD7-CCE9431645EC}">
                        <a14:shadowObscured xmlns:a14="http://schemas.microsoft.com/office/drawing/2010/main"/>
                      </a:ext>
                    </a:extLst>
                  </pic:spPr>
                </pic:pic>
              </a:graphicData>
            </a:graphic>
          </wp:inline>
        </w:drawing>
      </w:r>
    </w:p>
    <w:p w14:paraId="28F63C11" w14:textId="77777777" w:rsidR="00BB2E5D" w:rsidRDefault="00BB2E5D" w:rsidP="00BB2E5D">
      <w:pPr>
        <w:spacing w:after="240" w:line="264" w:lineRule="auto"/>
        <w:jc w:val="both"/>
        <w:rPr>
          <w:rFonts w:ascii="Times New Roman" w:eastAsia="Times New Roman" w:hAnsi="Times New Roman" w:cs="Times New Roman"/>
          <w:i/>
          <w:iCs/>
          <w:spacing w:val="2"/>
          <w:kern w:val="0"/>
          <w:lang w:eastAsia="pl-PL"/>
          <w14:ligatures w14:val="none"/>
        </w:rPr>
      </w:pPr>
    </w:p>
    <w:p w14:paraId="096B2C53" w14:textId="51E92D10" w:rsidR="00BB2E5D" w:rsidRPr="007C0F29" w:rsidRDefault="00BB2E5D" w:rsidP="00BB2E5D">
      <w:pPr>
        <w:spacing w:after="240" w:line="264" w:lineRule="auto"/>
        <w:jc w:val="both"/>
        <w:rPr>
          <w:rFonts w:ascii="Times New Roman" w:eastAsia="Times New Roman" w:hAnsi="Times New Roman" w:cs="Times New Roman"/>
          <w:i/>
          <w:iCs/>
          <w:spacing w:val="2"/>
          <w:kern w:val="0"/>
          <w:lang w:val="en-US" w:eastAsia="pl-PL"/>
          <w14:ligatures w14:val="none"/>
        </w:rPr>
      </w:pPr>
      <w:r w:rsidRPr="00747020">
        <w:rPr>
          <w:rFonts w:ascii="Times New Roman" w:eastAsia="Times New Roman" w:hAnsi="Times New Roman" w:cs="Times New Roman"/>
          <w:i/>
          <w:iCs/>
          <w:spacing w:val="2"/>
          <w:kern w:val="0"/>
          <w:lang w:val="en-US" w:eastAsia="pl-PL"/>
          <w14:ligatures w14:val="none"/>
        </w:rPr>
        <w:t xml:space="preserve">Źródło: opracowano na podstawie: </w:t>
      </w:r>
      <w:bookmarkStart w:id="11" w:name="_Hlk97637216"/>
      <w:r w:rsidRPr="00747020">
        <w:rPr>
          <w:rFonts w:ascii="Times New Roman" w:eastAsia="Times New Roman" w:hAnsi="Times New Roman" w:cs="Times New Roman"/>
          <w:i/>
          <w:iCs/>
          <w:spacing w:val="2"/>
          <w:kern w:val="0"/>
          <w:lang w:val="en-US" w:eastAsia="pl-PL"/>
          <w14:ligatures w14:val="none"/>
        </w:rPr>
        <w:t>Cole S., Gine’ X., Vickery J.</w:t>
      </w:r>
      <w:r w:rsidR="00E463DA" w:rsidRPr="00E463DA">
        <w:rPr>
          <w:rFonts w:ascii="Times New Roman" w:eastAsia="Times New Roman" w:hAnsi="Times New Roman" w:cs="Times New Roman"/>
          <w:i/>
          <w:iCs/>
          <w:spacing w:val="2"/>
          <w:kern w:val="0"/>
          <w:lang w:val="en-US" w:eastAsia="pl-PL"/>
          <w14:ligatures w14:val="none"/>
        </w:rPr>
        <w:t xml:space="preserve"> </w:t>
      </w:r>
      <w:r w:rsidR="00E463DA">
        <w:rPr>
          <w:rFonts w:ascii="Times New Roman" w:eastAsia="Times New Roman" w:hAnsi="Times New Roman" w:cs="Times New Roman"/>
          <w:i/>
          <w:iCs/>
          <w:spacing w:val="2"/>
          <w:kern w:val="0"/>
          <w:lang w:val="en-US" w:eastAsia="pl-PL"/>
          <w14:ligatures w14:val="none"/>
        </w:rPr>
        <w:t>(</w:t>
      </w:r>
      <w:r w:rsidR="00E463DA" w:rsidRPr="007C0F29">
        <w:rPr>
          <w:rFonts w:ascii="Times New Roman" w:eastAsia="Times New Roman" w:hAnsi="Times New Roman" w:cs="Times New Roman"/>
          <w:i/>
          <w:iCs/>
          <w:spacing w:val="2"/>
          <w:kern w:val="0"/>
          <w:lang w:val="en-US" w:eastAsia="pl-PL"/>
          <w14:ligatures w14:val="none"/>
        </w:rPr>
        <w:t>2017</w:t>
      </w:r>
      <w:r w:rsidR="00E463DA">
        <w:rPr>
          <w:rFonts w:ascii="Times New Roman" w:eastAsia="Times New Roman" w:hAnsi="Times New Roman" w:cs="Times New Roman"/>
          <w:i/>
          <w:iCs/>
          <w:spacing w:val="2"/>
          <w:kern w:val="0"/>
          <w:lang w:val="en-US" w:eastAsia="pl-PL"/>
          <w14:ligatures w14:val="none"/>
        </w:rPr>
        <w:t>)</w:t>
      </w:r>
      <w:r w:rsidRPr="00747020">
        <w:rPr>
          <w:rFonts w:ascii="Times New Roman" w:eastAsia="Times New Roman" w:hAnsi="Times New Roman" w:cs="Times New Roman"/>
          <w:i/>
          <w:iCs/>
          <w:spacing w:val="2"/>
          <w:kern w:val="0"/>
          <w:lang w:val="en-US" w:eastAsia="pl-PL"/>
          <w14:ligatures w14:val="none"/>
        </w:rPr>
        <w:t xml:space="preserve">, How Does Risk Management Influence Production Decisions? </w:t>
      </w:r>
      <w:r w:rsidRPr="007C0F29">
        <w:rPr>
          <w:rFonts w:ascii="Times New Roman" w:eastAsia="Times New Roman" w:hAnsi="Times New Roman" w:cs="Times New Roman"/>
          <w:i/>
          <w:iCs/>
          <w:spacing w:val="2"/>
          <w:kern w:val="0"/>
          <w:lang w:val="en-US" w:eastAsia="pl-PL"/>
          <w14:ligatures w14:val="none"/>
        </w:rPr>
        <w:t>Evidence from a Field Experiment, „The Review of Financial Studies”, 30</w:t>
      </w:r>
      <w:r w:rsidR="00E463DA">
        <w:rPr>
          <w:rFonts w:ascii="Times New Roman" w:eastAsia="Times New Roman" w:hAnsi="Times New Roman" w:cs="Times New Roman"/>
          <w:i/>
          <w:iCs/>
          <w:spacing w:val="2"/>
          <w:kern w:val="0"/>
          <w:lang w:val="en-US" w:eastAsia="pl-PL"/>
          <w14:ligatures w14:val="none"/>
        </w:rPr>
        <w:t>(</w:t>
      </w:r>
      <w:r w:rsidRPr="007C0F29">
        <w:rPr>
          <w:rFonts w:ascii="Times New Roman" w:eastAsia="Times New Roman" w:hAnsi="Times New Roman" w:cs="Times New Roman"/>
          <w:i/>
          <w:iCs/>
          <w:spacing w:val="2"/>
          <w:kern w:val="0"/>
          <w:lang w:val="en-US" w:eastAsia="pl-PL"/>
          <w14:ligatures w14:val="none"/>
        </w:rPr>
        <w:t xml:space="preserve"> 6</w:t>
      </w:r>
      <w:r w:rsidR="00E463DA">
        <w:rPr>
          <w:rFonts w:ascii="Times New Roman" w:eastAsia="Times New Roman" w:hAnsi="Times New Roman" w:cs="Times New Roman"/>
          <w:i/>
          <w:iCs/>
          <w:spacing w:val="2"/>
          <w:kern w:val="0"/>
          <w:lang w:val="en-US" w:eastAsia="pl-PL"/>
          <w14:ligatures w14:val="none"/>
        </w:rPr>
        <w:t>)</w:t>
      </w:r>
    </w:p>
    <w:bookmarkEnd w:id="11"/>
    <w:p w14:paraId="6F901EF3" w14:textId="77777777" w:rsidR="00BB2E5D" w:rsidRPr="007C0F29" w:rsidRDefault="00BB2E5D" w:rsidP="00BB2E5D">
      <w:pPr>
        <w:spacing w:after="0" w:line="264" w:lineRule="auto"/>
        <w:ind w:firstLine="709"/>
        <w:jc w:val="both"/>
        <w:rPr>
          <w:rFonts w:ascii="Times New Roman" w:eastAsia="Times New Roman" w:hAnsi="Times New Roman" w:cs="Times New Roman"/>
          <w:kern w:val="0"/>
          <w:sz w:val="28"/>
          <w:lang w:val="en-US" w:eastAsia="pl-PL"/>
          <w14:ligatures w14:val="none"/>
        </w:rPr>
      </w:pPr>
    </w:p>
    <w:p w14:paraId="07005654" w14:textId="77777777" w:rsidR="00BB2E5D" w:rsidRPr="00202961" w:rsidRDefault="00BB2E5D" w:rsidP="001D0854">
      <w:pPr>
        <w:pStyle w:val="Numerowanie1"/>
        <w:numPr>
          <w:ilvl w:val="0"/>
          <w:numId w:val="9"/>
        </w:numPr>
      </w:pPr>
      <w:r w:rsidRPr="00202961">
        <w:t>Z analizy determinant inwestycji w uprawy ogółem i uprawę roślin towarowych otrzymano kilka interesujących wniosków. Po pierwsze, wpływ czysty ubezpieczeń był dodatnio istotnie skorelowany z majątkiem rolników, ale ujemnie z ich wiekiem, chociaż nie istotnie statystycznie. Współczynniki regresji prostej były ujemne także dla zmiennych „edukacja” i „ogólna znajomość indeksów” (zależność istotna). Dla zmiennej „zaufanie do oferenta indeksów” korelacja była z kolei ujemna (nieistotna). Po drugie, współczynniki dla członów interakcyjnych: „ubezpieczenia x ww. zmienne niezależne” dla „edukacji” były najwyższe dodatnie i istotne statystycznie. Dodatkowe obliczeni</w:t>
      </w:r>
      <w:r>
        <w:t>a</w:t>
      </w:r>
      <w:r w:rsidRPr="00202961">
        <w:t xml:space="preserve"> pokazały, że edukacja łącznie z przekonaniem rolników, iż plony ziemiopłodów będą wysoce zmienne, tzn., że będą oni konfrontowani z rosnącym ryzykiem produkcyjnym, są tą kombinacją, która najsilniej skłaniała ich do nabywania ubezpieczeń. Prawdopodobnie rolnicy lepiej wykształceni rozumieją występujące tu zależności. Ma to jednakże ważną implikację polityczną. </w:t>
      </w:r>
      <w:r w:rsidRPr="00202961">
        <w:lastRenderedPageBreak/>
        <w:t>Jeśli innowacje finansowe typu indeksy pogodowe mogą wpływać na wymienność między ryzykiem a zwrotami</w:t>
      </w:r>
      <w:r>
        <w:t xml:space="preserve"> (opłacalnościami, rentownościami)</w:t>
      </w:r>
      <w:r w:rsidRPr="00202961">
        <w:t>, to wykształcenie staje się samoistnym czynnikiem pogłębiającym nierówności dochodowe. Trudno jest jednakże uznać te związki za niekorzystne społecznie, o ile zapewni się wszystkim równe warunki początkowe zdobywania wykształcenia.</w:t>
      </w:r>
    </w:p>
    <w:p w14:paraId="32FC8658" w14:textId="77777777" w:rsidR="00BB2E5D" w:rsidRPr="00202961" w:rsidRDefault="00BB2E5D" w:rsidP="001D0854">
      <w:pPr>
        <w:pStyle w:val="Numerowanie1"/>
        <w:numPr>
          <w:ilvl w:val="0"/>
          <w:numId w:val="9"/>
        </w:numPr>
      </w:pPr>
      <w:r w:rsidRPr="00202961">
        <w:t>Wpływ ubezpieczeń na decyzje produkcyjne i inwestycyjne ma charakter ex ante, a więc odbywa się przed końcem nabytej ochrony i przed ewentualnym otrzymaniem odszkodowań. Alternatywna hipoteza to ta, że decyzje powyższe są odpowiedzią ex post właśnie na uzyskiwanie rekompensaty lub antycypowaniem takich płatności. Jednakże nie znaleziono tu korelacji. Można z tego wnioskować, że efekty ubezpieczeń wydają się odzwierciedlać złagodzenie w ten sposób ograniczeń po stronie samego ryzyka produkcyjnego</w:t>
      </w:r>
      <w:r>
        <w:t>,</w:t>
      </w:r>
      <w:r w:rsidRPr="00202961">
        <w:t xml:space="preserve"> niż być wynikiem  występowania efektu majątkowego albo poluzowania ograniczeń kredytowych. To, że wpływy z odszkodowań oszczędzano na pokrywanie przyszłych strat i obsługę kredytu, uprawdopodabnia sensowność takiego wniosku.</w:t>
      </w:r>
    </w:p>
    <w:p w14:paraId="1CBAAFCB" w14:textId="77777777" w:rsidR="00BB2E5D" w:rsidRPr="00202961" w:rsidRDefault="00BB2E5D" w:rsidP="001D0854">
      <w:pPr>
        <w:pStyle w:val="Numerowanie1"/>
        <w:numPr>
          <w:ilvl w:val="0"/>
          <w:numId w:val="9"/>
        </w:numPr>
      </w:pPr>
      <w:r w:rsidRPr="00202961">
        <w:t xml:space="preserve">To, co Cole i in. uzyskali, dowodzi również, że często rolnicy są niedoubezpieczeni. Jeśli uda się złagodzić tą niedoskonałość i niekompletność rynku, to rosną szanse, że przynajmniej część z nich rozwinie i </w:t>
      </w:r>
      <w:r>
        <w:t>podwyższy</w:t>
      </w:r>
      <w:r w:rsidRPr="00202961">
        <w:t xml:space="preserve"> swój potencjał przedsiębiorczy, czego wyrazem będzie gotowość przyjmowania większego ryzyka. Drogą do tego jest potanienie ochrony ubezpieczeniowej, a niekiedy – w sytuacji poważnych zawodności rynków – dobrze zaprojektowana i wdrożona interwencja publiczna. Same zaś ubezpieczenia powinniśmy jednak widzieć szeroko, a więc jako narzędzia zarządzania całością ekspozycji rolników na ryzyka </w:t>
      </w:r>
      <w:r w:rsidRPr="008D5B00">
        <w:t>gospodarcze, życiowe i społeczne.</w:t>
      </w:r>
    </w:p>
    <w:p w14:paraId="315230AF" w14:textId="78D81766" w:rsidR="007660A8" w:rsidRDefault="007660A8" w:rsidP="007660A8">
      <w:pPr>
        <w:ind w:firstLine="708"/>
        <w:jc w:val="both"/>
        <w:rPr>
          <w:rFonts w:ascii="Times New Roman" w:hAnsi="Times New Roman" w:cs="Times New Roman"/>
          <w:sz w:val="28"/>
          <w:szCs w:val="28"/>
        </w:rPr>
      </w:pPr>
      <w:r>
        <w:rPr>
          <w:rFonts w:ascii="Times New Roman" w:hAnsi="Times New Roman" w:cs="Times New Roman"/>
          <w:sz w:val="28"/>
          <w:szCs w:val="28"/>
        </w:rPr>
        <w:t>Subsydiowanie ubezpieczeń rolnych powinno być również analizowane pod kątem wpływu tej formy interwencji publicznej na efektywność techniczną gospodarstw rolniczych. Jednymi z prekursorów tego kierunku badań bez wątpienia byli Horo</w:t>
      </w:r>
      <w:r w:rsidR="00160606">
        <w:rPr>
          <w:rFonts w:ascii="Times New Roman" w:hAnsi="Times New Roman" w:cs="Times New Roman"/>
          <w:sz w:val="28"/>
          <w:szCs w:val="28"/>
        </w:rPr>
        <w:t>v</w:t>
      </w:r>
      <w:r>
        <w:rPr>
          <w:rFonts w:ascii="Times New Roman" w:hAnsi="Times New Roman" w:cs="Times New Roman"/>
          <w:sz w:val="28"/>
          <w:szCs w:val="28"/>
        </w:rPr>
        <w:t xml:space="preserve">itz i Lichtenberg (1993), którzy ustalili, że ubezpieczenia upraw mogą oddziaływać na ilość i jakość angażowanych w produkcji nakładów i czynników. Oni też zwrócili uwagę na to, że odpowiedzialny za to może być hazard moralny/pokusa nadużycia, który może prowadzić do bardziej ryzykownych zachowań rolników ubezpieczonych niż nieubezpieczonych. Do tego może się dołączyć to, że producenci ubezpieczeni mogą mniejsze znaczenie przywiązywać do specjalizowania swojej działalności, co może już samo redukować efektywność techniczną (Kirkley i in., 1998). Na deformacje behawioralne powodowane przez hazard moralny wskazują również Wu i in. (2020) oraz Yu i Summer (2018). Z kolei Skevas i Lansink (2014) twierdzą, że jego negatywny wpływ na </w:t>
      </w:r>
      <w:r>
        <w:rPr>
          <w:rFonts w:ascii="Times New Roman" w:hAnsi="Times New Roman" w:cs="Times New Roman"/>
          <w:sz w:val="28"/>
          <w:szCs w:val="28"/>
        </w:rPr>
        <w:lastRenderedPageBreak/>
        <w:t>efektywność techniczną może pochodzić z nieoptymalnego stosowania chemicznych środków ochrony roślin.</w:t>
      </w:r>
    </w:p>
    <w:p w14:paraId="39227EEB" w14:textId="3CCD2847" w:rsidR="007660A8" w:rsidRDefault="007660A8" w:rsidP="007660A8">
      <w:pPr>
        <w:ind w:firstLine="708"/>
        <w:jc w:val="both"/>
        <w:rPr>
          <w:rFonts w:ascii="Times New Roman" w:hAnsi="Times New Roman" w:cs="Times New Roman"/>
          <w:sz w:val="28"/>
          <w:szCs w:val="28"/>
        </w:rPr>
      </w:pPr>
      <w:r>
        <w:rPr>
          <w:rFonts w:ascii="Times New Roman" w:hAnsi="Times New Roman" w:cs="Times New Roman"/>
          <w:sz w:val="28"/>
          <w:szCs w:val="28"/>
        </w:rPr>
        <w:t>Dotychczasowe wyniki analiz empirycznych dotyczących zależności między subsydiami ubezpieczeniowymi a efektywnością techniczną produkcji gospodarstw nie są rozstrzygające. Część badaczy uzyskała wpływ ujemny (Fadhliami i in., 2018; Wu i in., 2020). Jednak agroekonomiści węgierscy otrzymali oddziaływanie dodatnie (Zubor-Nem</w:t>
      </w:r>
      <w:r w:rsidR="002B4DAA">
        <w:rPr>
          <w:rFonts w:ascii="Times New Roman" w:hAnsi="Times New Roman" w:cs="Times New Roman"/>
          <w:sz w:val="28"/>
          <w:szCs w:val="28"/>
        </w:rPr>
        <w:t>es</w:t>
      </w:r>
      <w:r>
        <w:rPr>
          <w:rFonts w:ascii="Times New Roman" w:hAnsi="Times New Roman" w:cs="Times New Roman"/>
          <w:sz w:val="28"/>
          <w:szCs w:val="28"/>
        </w:rPr>
        <w:t xml:space="preserve"> i in., 2018). Wskazywano ponadto, że zależności te poza hazardem moralnym determinowane są również negatywną selekcją, a więc znanym następstwem asymetrii informacji i złożonością mechanizmów z obszaru teorii agencji regulujących relacje między asekuratorami a ubezpieczonymi rolnikami.</w:t>
      </w:r>
    </w:p>
    <w:p w14:paraId="7B6BD2F0" w14:textId="77777777" w:rsidR="007660A8" w:rsidRDefault="007660A8" w:rsidP="007660A8">
      <w:pPr>
        <w:ind w:firstLine="708"/>
        <w:jc w:val="both"/>
        <w:rPr>
          <w:rFonts w:ascii="Times New Roman" w:hAnsi="Times New Roman" w:cs="Times New Roman"/>
          <w:sz w:val="28"/>
          <w:szCs w:val="28"/>
        </w:rPr>
      </w:pPr>
      <w:r>
        <w:rPr>
          <w:rFonts w:ascii="Times New Roman" w:hAnsi="Times New Roman" w:cs="Times New Roman"/>
          <w:sz w:val="28"/>
          <w:szCs w:val="28"/>
        </w:rPr>
        <w:t>W 2023 roku ukazały się badania agroekonomistów chilijskich i peruwiańskich dotyczące wpływu subsydiowanych tradycyjnych ubezpieczeń uprawy ryżu w Ekwadorze (Castro i in., 2023). Materiał źródłowy pochodził z 376 gospodarstw oraz zdjęć satelitarnych i odnosił się do 2019 roku. Do oszacowania efektywności technicznej zastosowano metodę DEA, gdyż nie wymaga ona dodatkowych dosyć rygorystycznych założeń i nadaje się do sytuacji, gdy nie znamy procesu generowania danych oraz dominujących technologii. Model zorientowany był na nakłady, produkcję stanowił zbiór ryżu, a wektor nakładów składał się z: nasion, kosztów pracy i zużycia nawozów azotowych. Główną natomiast wadą tego nieparametrycznego podejścia jest brak możliwości przeprowadzenia bezpośredniego wnioskowania statystycznego. By poradzić sobie z tym ostatnim problemem, Castro i in. zastosowali podwójną procedurę bootstrappingową Simara i Wilsona z 2007 roku. Dwa wnioski z pracy Castro i in. zasługują na podkreślenie:</w:t>
      </w:r>
    </w:p>
    <w:p w14:paraId="72882BA8" w14:textId="77777777" w:rsidR="007660A8" w:rsidRDefault="007660A8" w:rsidP="001D0854">
      <w:pPr>
        <w:pStyle w:val="Akapitzlist"/>
        <w:numPr>
          <w:ilvl w:val="0"/>
          <w:numId w:val="18"/>
        </w:numPr>
        <w:ind w:left="567" w:hanging="567"/>
        <w:jc w:val="both"/>
        <w:rPr>
          <w:rFonts w:ascii="Times New Roman" w:hAnsi="Times New Roman" w:cs="Times New Roman"/>
          <w:sz w:val="28"/>
          <w:szCs w:val="28"/>
        </w:rPr>
      </w:pPr>
      <w:r>
        <w:rPr>
          <w:rFonts w:ascii="Times New Roman" w:hAnsi="Times New Roman" w:cs="Times New Roman"/>
          <w:sz w:val="28"/>
          <w:szCs w:val="28"/>
        </w:rPr>
        <w:t>Gospodarstwa nieubezpieczone uzyskiwały wyraźniejszą wyższą efektywność techniczną niż korzystające z dotowanych ubezpieczeń, a przy tym różnica ta była statystycznie istotna.</w:t>
      </w:r>
    </w:p>
    <w:p w14:paraId="6CFFD094" w14:textId="77777777" w:rsidR="007660A8" w:rsidRDefault="007660A8" w:rsidP="001D0854">
      <w:pPr>
        <w:pStyle w:val="Akapitzlist"/>
        <w:numPr>
          <w:ilvl w:val="0"/>
          <w:numId w:val="18"/>
        </w:numPr>
        <w:ind w:left="567" w:hanging="567"/>
        <w:jc w:val="both"/>
        <w:rPr>
          <w:rFonts w:ascii="Times New Roman" w:hAnsi="Times New Roman" w:cs="Times New Roman"/>
          <w:sz w:val="28"/>
          <w:szCs w:val="28"/>
        </w:rPr>
      </w:pPr>
      <w:r>
        <w:rPr>
          <w:rFonts w:ascii="Times New Roman" w:hAnsi="Times New Roman" w:cs="Times New Roman"/>
          <w:sz w:val="28"/>
          <w:szCs w:val="28"/>
        </w:rPr>
        <w:t>We wszystkich czterech modelach regresji subsydiowanie ubezpieczeń redukowało efektywność techniczną, a wszystkie cząstkowe współczynniki regresji były statystycznie istotne.</w:t>
      </w:r>
    </w:p>
    <w:p w14:paraId="2CF1A40B" w14:textId="77777777" w:rsidR="007660A8" w:rsidRDefault="007660A8" w:rsidP="007660A8">
      <w:pPr>
        <w:pStyle w:val="Akapitzlist"/>
        <w:ind w:left="0" w:firstLine="567"/>
        <w:jc w:val="both"/>
        <w:rPr>
          <w:rFonts w:ascii="Times New Roman" w:hAnsi="Times New Roman" w:cs="Times New Roman"/>
          <w:sz w:val="28"/>
          <w:szCs w:val="28"/>
        </w:rPr>
      </w:pPr>
      <w:r>
        <w:rPr>
          <w:rFonts w:ascii="Times New Roman" w:hAnsi="Times New Roman" w:cs="Times New Roman"/>
          <w:sz w:val="28"/>
          <w:szCs w:val="28"/>
        </w:rPr>
        <w:t xml:space="preserve">Być może ubezpieczenia indeksowe, jako produkty praktycznie wolne od hazardu moralnego i negatywnej selekcji, będą mniej negatywnie oddziaływały na efektywność techniczną niż ubezpieczenia tradycyjne. Wyniki badań są tu dość obiecujące. Cheng (2014) ustalił, że indeksy mogą zachęcać do zaciągania kredytów inwestycyjnych. Cole i in. (2013) otrzymali, że rolnicy chcący nabyć indeksy już wcześniej do struktury zasiewów wprowadzali więcej roślin </w:t>
      </w:r>
      <w:r>
        <w:rPr>
          <w:rFonts w:ascii="Times New Roman" w:hAnsi="Times New Roman" w:cs="Times New Roman"/>
          <w:sz w:val="28"/>
          <w:szCs w:val="28"/>
        </w:rPr>
        <w:lastRenderedPageBreak/>
        <w:t>ryzykowniejszych, ale nie stosowali więcej nakładów obrotowych. Jensen i in. (2014) uzyskali, że indeksy w produkcji zwierzęcej mogą sprzyjać staraniom o utrzymanie zwierząt w dobrej kondycji zdrowotnej. Marr i in. (2010) udokumentowali jednak różnokierunkowe wpływy indeksów na majątek, dochody i płynność gospodarstw rolniczych.</w:t>
      </w:r>
    </w:p>
    <w:p w14:paraId="672C495B" w14:textId="77777777" w:rsidR="0076729F" w:rsidRDefault="0076729F" w:rsidP="0076729F">
      <w:pPr>
        <w:tabs>
          <w:tab w:val="left" w:pos="709"/>
        </w:tabs>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Badania nad skutecznością i efektywnością ubezpieczeń rolnych, w tym także ich subsydiowania, zaczęły się w latach 90. dwudziestego wieku. Jednym z ważniejszych podejść metodologicznych było wykorzystanie w nich teorii użyteczności oczekiwanej i symulacji Monte Carlo do pomiaru zmian dobrobytu rolników (Chen i in., 2007, Wang i in., 1998). Jego istotę bardzo przejrzyście przedstawili Wang i in. (2015). Składało się ono z czterech poniższych faz:</w:t>
      </w:r>
    </w:p>
    <w:p w14:paraId="29071B86" w14:textId="77777777" w:rsidR="0076729F" w:rsidRDefault="0076729F" w:rsidP="001D0854">
      <w:pPr>
        <w:pStyle w:val="Akapitzlist"/>
        <w:numPr>
          <w:ilvl w:val="0"/>
          <w:numId w:val="19"/>
        </w:numPr>
        <w:tabs>
          <w:tab w:val="left" w:pos="426"/>
        </w:tabs>
        <w:spacing w:line="264" w:lineRule="auto"/>
        <w:ind w:left="426" w:hanging="426"/>
        <w:jc w:val="both"/>
        <w:rPr>
          <w:rFonts w:ascii="Times New Roman" w:hAnsi="Times New Roman" w:cs="Times New Roman"/>
          <w:sz w:val="28"/>
          <w:szCs w:val="28"/>
        </w:rPr>
      </w:pPr>
      <w:r>
        <w:rPr>
          <w:rFonts w:ascii="Times New Roman" w:hAnsi="Times New Roman" w:cs="Times New Roman"/>
          <w:sz w:val="28"/>
          <w:szCs w:val="28"/>
        </w:rPr>
        <w:t>Oszacowania dobrobytu rolników za pomocą potęgowej funkcji użyteczności oczekiwanej i ekwiwalentu pewności.</w:t>
      </w:r>
    </w:p>
    <w:p w14:paraId="10B7BA00" w14:textId="77777777" w:rsidR="0076729F" w:rsidRDefault="0076729F" w:rsidP="001D0854">
      <w:pPr>
        <w:pStyle w:val="Akapitzlist"/>
        <w:numPr>
          <w:ilvl w:val="0"/>
          <w:numId w:val="19"/>
        </w:numPr>
        <w:tabs>
          <w:tab w:val="left" w:pos="426"/>
        </w:tabs>
        <w:spacing w:line="264" w:lineRule="auto"/>
        <w:ind w:left="426" w:hanging="426"/>
        <w:jc w:val="both"/>
        <w:rPr>
          <w:rFonts w:ascii="Times New Roman" w:hAnsi="Times New Roman" w:cs="Times New Roman"/>
          <w:sz w:val="28"/>
          <w:szCs w:val="28"/>
        </w:rPr>
      </w:pPr>
      <w:r>
        <w:rPr>
          <w:rFonts w:ascii="Times New Roman" w:hAnsi="Times New Roman" w:cs="Times New Roman"/>
          <w:sz w:val="28"/>
          <w:szCs w:val="28"/>
        </w:rPr>
        <w:t>Zdefiniowania reprezentatywnych rolników/gospodarstw z wykorzystaniem hierarchicznej analizy klastrowej.</w:t>
      </w:r>
    </w:p>
    <w:p w14:paraId="73674F10" w14:textId="77777777" w:rsidR="0076729F" w:rsidRDefault="0076729F" w:rsidP="001D0854">
      <w:pPr>
        <w:pStyle w:val="Akapitzlist"/>
        <w:numPr>
          <w:ilvl w:val="0"/>
          <w:numId w:val="19"/>
        </w:numPr>
        <w:tabs>
          <w:tab w:val="left" w:pos="426"/>
        </w:tabs>
        <w:spacing w:line="264" w:lineRule="auto"/>
        <w:ind w:left="426" w:hanging="426"/>
        <w:jc w:val="both"/>
        <w:rPr>
          <w:rFonts w:ascii="Times New Roman" w:hAnsi="Times New Roman" w:cs="Times New Roman"/>
          <w:sz w:val="28"/>
          <w:szCs w:val="28"/>
        </w:rPr>
      </w:pPr>
      <w:r>
        <w:rPr>
          <w:rFonts w:ascii="Times New Roman" w:hAnsi="Times New Roman" w:cs="Times New Roman"/>
          <w:sz w:val="28"/>
          <w:szCs w:val="28"/>
        </w:rPr>
        <w:t>Kalibracji indywidualnej ekspozycji na ryzyko rolników uczestniczących w badaniu. Wymagało to usunięcia trendów z szeregów czasowych (tzw. detrending) i zdeflowania wielkości pieniężnych.</w:t>
      </w:r>
    </w:p>
    <w:p w14:paraId="5D511A70" w14:textId="77777777" w:rsidR="0076729F" w:rsidRDefault="0076729F" w:rsidP="001D0854">
      <w:pPr>
        <w:pStyle w:val="Akapitzlist"/>
        <w:numPr>
          <w:ilvl w:val="0"/>
          <w:numId w:val="19"/>
        </w:numPr>
        <w:tabs>
          <w:tab w:val="left" w:pos="426"/>
        </w:tabs>
        <w:spacing w:line="264" w:lineRule="auto"/>
        <w:ind w:left="426" w:hanging="426"/>
        <w:jc w:val="both"/>
        <w:rPr>
          <w:rFonts w:ascii="Times New Roman" w:hAnsi="Times New Roman" w:cs="Times New Roman"/>
          <w:sz w:val="28"/>
          <w:szCs w:val="28"/>
        </w:rPr>
      </w:pPr>
      <w:r>
        <w:rPr>
          <w:rFonts w:ascii="Times New Roman" w:hAnsi="Times New Roman" w:cs="Times New Roman"/>
          <w:sz w:val="28"/>
          <w:szCs w:val="28"/>
        </w:rPr>
        <w:t>Zastosowania 1000 iteracji symulacji Monte Carlo w celu oszacowania zmian dobrobytu reprezentatywnych gospodarstw rolniczych.</w:t>
      </w:r>
    </w:p>
    <w:p w14:paraId="0B701DD2" w14:textId="77777777" w:rsidR="0076729F" w:rsidRDefault="0076729F" w:rsidP="0076729F">
      <w:pPr>
        <w:pStyle w:val="Akapitzlist"/>
        <w:tabs>
          <w:tab w:val="left" w:pos="426"/>
        </w:tabs>
        <w:spacing w:line="264" w:lineRule="auto"/>
        <w:ind w:left="426" w:firstLine="425"/>
        <w:jc w:val="both"/>
        <w:rPr>
          <w:rFonts w:ascii="Times New Roman" w:hAnsi="Times New Roman" w:cs="Times New Roman"/>
          <w:sz w:val="28"/>
          <w:szCs w:val="28"/>
        </w:rPr>
      </w:pPr>
      <w:r>
        <w:rPr>
          <w:rFonts w:ascii="Times New Roman" w:hAnsi="Times New Roman" w:cs="Times New Roman"/>
          <w:sz w:val="28"/>
          <w:szCs w:val="28"/>
        </w:rPr>
        <w:t>Próba badawcza obejmowała 574 gospodarstwa z pięciu chińskich prowincji. Analizowano różne typy kontraktów ubezpieczenia upraw i schematy ich subsydiowania. Okazało się m.in., że stopa subsydiowania składek ubezpieczeniowych musiała przekraczać co najmniej 50%, żeby rolnicy zadeklarowali gotowość uczestniczenia w dedykowanym im programie rządowym. Subsydium do składek można by jednak obniżyć bez uszczerbku dla dobrobytu rolników, gdyby władze dopuściły wzrost sum ubezpieczeniowych.</w:t>
      </w:r>
    </w:p>
    <w:p w14:paraId="015EBB32" w14:textId="77777777" w:rsidR="002F41C0" w:rsidRPr="0085305D" w:rsidRDefault="002F41C0" w:rsidP="002F41C0">
      <w:pPr>
        <w:spacing w:after="0" w:line="264" w:lineRule="auto"/>
        <w:ind w:firstLine="709"/>
        <w:jc w:val="both"/>
        <w:rPr>
          <w:rFonts w:ascii="Times New Roman" w:eastAsia="Times New Roman" w:hAnsi="Times New Roman" w:cs="Times New Roman"/>
          <w:kern w:val="0"/>
          <w:sz w:val="28"/>
          <w14:ligatures w14:val="none"/>
        </w:rPr>
      </w:pPr>
      <w:r w:rsidRPr="0085305D">
        <w:rPr>
          <w:rFonts w:ascii="Times New Roman" w:eastAsia="Times New Roman" w:hAnsi="Times New Roman" w:cs="Times New Roman"/>
          <w:kern w:val="0"/>
          <w:sz w:val="28"/>
          <w14:ligatures w14:val="none"/>
        </w:rPr>
        <w:t>Do konwencji Mensaha i in. (2023), badania popytu ubezpieczeniowego rolników nawiązali pośrednio także Michels, Wever i Muβhoff, a więc badacze z Niemiec, których interesował problem szerszego upowszechnienia subsydiowanych ubezpieczeń od wielu ryzyk oraz indeksowych</w:t>
      </w:r>
      <w:r>
        <w:rPr>
          <w:rFonts w:ascii="Times New Roman" w:eastAsia="Times New Roman" w:hAnsi="Times New Roman" w:cs="Times New Roman"/>
          <w:kern w:val="0"/>
          <w:sz w:val="28"/>
          <w14:ligatures w14:val="none"/>
        </w:rPr>
        <w:t xml:space="preserve"> (Michels i in., 2024)</w:t>
      </w:r>
      <w:r w:rsidRPr="0085305D">
        <w:rPr>
          <w:rFonts w:ascii="Times New Roman" w:eastAsia="Times New Roman" w:hAnsi="Times New Roman" w:cs="Times New Roman"/>
          <w:kern w:val="0"/>
          <w:sz w:val="28"/>
          <w14:ligatures w14:val="none"/>
        </w:rPr>
        <w:t xml:space="preserve">. Na samym wstępie trzeba zaznaczyć, że w RFN tylko w Bawarii dostępne są subsydiowane ubezpieczenia pakietowe, do których ceny rząd tego kraju związkowego dopłaca jedynie 50%. Saksonia z kolei rozważa ich wprowadzenie, a analiza ex-ante tego instrumentu była przedmiotem badań Michelsa i in., bazujących na opiniach 228 rolników zebranych podczas sondażu internetowego przeprowadzonego w miesiącach  luty-maj 2022 roku. W Niemczech ubezpieczyciele oferują </w:t>
      </w:r>
      <w:r w:rsidRPr="0085305D">
        <w:rPr>
          <w:rFonts w:ascii="Times New Roman" w:eastAsia="Times New Roman" w:hAnsi="Times New Roman" w:cs="Times New Roman"/>
          <w:kern w:val="0"/>
          <w:sz w:val="28"/>
          <w14:ligatures w14:val="none"/>
        </w:rPr>
        <w:lastRenderedPageBreak/>
        <w:t>rolnikom również indeksy pogodowe, ale popyt na nie ze strony rolników jest bardzo mały.</w:t>
      </w:r>
    </w:p>
    <w:p w14:paraId="2A402570" w14:textId="77777777" w:rsidR="002F41C0" w:rsidRPr="0085305D" w:rsidRDefault="002F41C0" w:rsidP="002F41C0">
      <w:pPr>
        <w:spacing w:after="0" w:line="264" w:lineRule="auto"/>
        <w:ind w:firstLine="709"/>
        <w:jc w:val="both"/>
        <w:rPr>
          <w:rFonts w:ascii="Times New Roman" w:eastAsia="Times New Roman" w:hAnsi="Times New Roman" w:cs="Times New Roman"/>
          <w:kern w:val="0"/>
          <w:sz w:val="28"/>
          <w14:ligatures w14:val="none"/>
        </w:rPr>
      </w:pPr>
      <w:r w:rsidRPr="0085305D">
        <w:rPr>
          <w:rFonts w:ascii="Times New Roman" w:eastAsia="Times New Roman" w:hAnsi="Times New Roman" w:cs="Times New Roman"/>
          <w:kern w:val="0"/>
          <w:sz w:val="28"/>
          <w14:ligatures w14:val="none"/>
        </w:rPr>
        <w:t>Praca Michelsa i in. osadzona jest w coraz powszechniej stosowanej typologii gospodarstw rolniczych, która ma odzwierciedlić ich duże zróżnicowanie, a więc mieści się w teorii taksonomii, czyli znajdywaniem w nim podobieństw. Najnowsze propozycje typologii koncentrują się wokół charakterystyk społeczno-środowiskowych i behawioralnych rolników oraz wyróżników techniczno-produkcyjnych gospodarstw. Dzięki temu sami rolnicy, badacze i politycy rolni mogą lepiej zrozumieć zachowania się producentów rolnych, a w ślad za tym racjonalniej projektować i adresować instrumenty polityczne, bazując na solidnych dowodach z analizy ex-ante.</w:t>
      </w:r>
    </w:p>
    <w:p w14:paraId="79E8FCF9" w14:textId="77777777" w:rsidR="002F41C0" w:rsidRPr="0085305D" w:rsidRDefault="002F41C0" w:rsidP="002F41C0">
      <w:pPr>
        <w:spacing w:after="0" w:line="264" w:lineRule="auto"/>
        <w:ind w:firstLine="709"/>
        <w:jc w:val="both"/>
        <w:rPr>
          <w:rFonts w:ascii="Times New Roman" w:eastAsia="Times New Roman" w:hAnsi="Times New Roman" w:cs="Times New Roman"/>
          <w:kern w:val="0"/>
          <w:sz w:val="28"/>
          <w14:ligatures w14:val="none"/>
        </w:rPr>
      </w:pPr>
      <w:r w:rsidRPr="0085305D">
        <w:rPr>
          <w:rFonts w:ascii="Times New Roman" w:eastAsia="Times New Roman" w:hAnsi="Times New Roman" w:cs="Times New Roman"/>
          <w:kern w:val="0"/>
          <w:sz w:val="28"/>
          <w14:ligatures w14:val="none"/>
        </w:rPr>
        <w:t>Punktem wyjścia typologii gospodarstw u Michelsa i in. było skonstruowanie czterech poniższych bloków opinii badanych rolników co do ubezpieczeń pakietowych i ich subsydiowania:</w:t>
      </w:r>
    </w:p>
    <w:p w14:paraId="7A3DC624" w14:textId="77777777" w:rsidR="002F41C0" w:rsidRPr="00362E52" w:rsidRDefault="002F41C0" w:rsidP="00235A0B">
      <w:pPr>
        <w:pStyle w:val="Akapitzlist"/>
        <w:numPr>
          <w:ilvl w:val="0"/>
          <w:numId w:val="21"/>
        </w:numPr>
        <w:tabs>
          <w:tab w:val="num" w:pos="284"/>
        </w:tabs>
        <w:spacing w:after="0" w:line="264" w:lineRule="auto"/>
        <w:ind w:left="426" w:hanging="426"/>
        <w:jc w:val="both"/>
        <w:rPr>
          <w:rFonts w:ascii="Times New Roman" w:eastAsia="Times New Roman" w:hAnsi="Times New Roman" w:cs="Times New Roman"/>
          <w:bCs/>
          <w:kern w:val="0"/>
          <w:sz w:val="28"/>
          <w:lang w:eastAsia="pl-PL"/>
          <w14:ligatures w14:val="none"/>
        </w:rPr>
      </w:pPr>
      <w:r w:rsidRPr="00362E52">
        <w:rPr>
          <w:rFonts w:ascii="Times New Roman" w:eastAsia="Times New Roman" w:hAnsi="Times New Roman" w:cs="Times New Roman"/>
          <w:bCs/>
          <w:kern w:val="0"/>
          <w:sz w:val="28"/>
          <w:lang w:eastAsia="pl-PL"/>
          <w14:ligatures w14:val="none"/>
        </w:rPr>
        <w:t>Satysfakcja rolników z obecnego zarządzania ryzykiem.</w:t>
      </w:r>
    </w:p>
    <w:p w14:paraId="2EE7480B" w14:textId="77777777" w:rsidR="002F41C0" w:rsidRPr="00362E52" w:rsidRDefault="002F41C0" w:rsidP="00235A0B">
      <w:pPr>
        <w:pStyle w:val="Akapitzlist"/>
        <w:numPr>
          <w:ilvl w:val="0"/>
          <w:numId w:val="21"/>
        </w:numPr>
        <w:tabs>
          <w:tab w:val="num" w:pos="284"/>
        </w:tabs>
        <w:spacing w:after="0" w:line="264" w:lineRule="auto"/>
        <w:ind w:left="426" w:hanging="426"/>
        <w:jc w:val="both"/>
        <w:rPr>
          <w:rFonts w:ascii="Times New Roman" w:eastAsia="Times New Roman" w:hAnsi="Times New Roman" w:cs="Times New Roman"/>
          <w:bCs/>
          <w:kern w:val="0"/>
          <w:sz w:val="28"/>
          <w:lang w:eastAsia="pl-PL"/>
          <w14:ligatures w14:val="none"/>
        </w:rPr>
      </w:pPr>
      <w:r w:rsidRPr="00362E52">
        <w:rPr>
          <w:rFonts w:ascii="Times New Roman" w:eastAsia="Times New Roman" w:hAnsi="Times New Roman" w:cs="Times New Roman"/>
          <w:bCs/>
          <w:kern w:val="0"/>
          <w:sz w:val="28"/>
          <w:lang w:eastAsia="pl-PL"/>
          <w14:ligatures w14:val="none"/>
        </w:rPr>
        <w:t>Ich zadowolenie z dostępnych rynkowych instrumentów zarządzania ryzykiem.</w:t>
      </w:r>
    </w:p>
    <w:p w14:paraId="79C3964C" w14:textId="77777777" w:rsidR="002F41C0" w:rsidRPr="00362E52" w:rsidRDefault="002F41C0" w:rsidP="00235A0B">
      <w:pPr>
        <w:pStyle w:val="Akapitzlist"/>
        <w:numPr>
          <w:ilvl w:val="0"/>
          <w:numId w:val="21"/>
        </w:numPr>
        <w:tabs>
          <w:tab w:val="num" w:pos="284"/>
        </w:tabs>
        <w:spacing w:after="0" w:line="264" w:lineRule="auto"/>
        <w:ind w:left="426" w:hanging="426"/>
        <w:jc w:val="both"/>
        <w:rPr>
          <w:rFonts w:ascii="Times New Roman" w:eastAsia="Times New Roman" w:hAnsi="Times New Roman" w:cs="Times New Roman"/>
          <w:bCs/>
          <w:kern w:val="0"/>
          <w:sz w:val="28"/>
          <w:lang w:eastAsia="pl-PL"/>
          <w14:ligatures w14:val="none"/>
        </w:rPr>
      </w:pPr>
      <w:r w:rsidRPr="00362E52">
        <w:rPr>
          <w:rFonts w:ascii="Times New Roman" w:eastAsia="Times New Roman" w:hAnsi="Times New Roman" w:cs="Times New Roman"/>
          <w:bCs/>
          <w:kern w:val="0"/>
          <w:sz w:val="28"/>
          <w:lang w:eastAsia="pl-PL"/>
          <w14:ligatures w14:val="none"/>
        </w:rPr>
        <w:t>Postrzeganie przez producentów rolnych ubezpieczeń pakietowych.</w:t>
      </w:r>
    </w:p>
    <w:p w14:paraId="5F69ECAD" w14:textId="77777777" w:rsidR="002F41C0" w:rsidRPr="00362E52" w:rsidRDefault="002F41C0" w:rsidP="00235A0B">
      <w:pPr>
        <w:pStyle w:val="Akapitzlist"/>
        <w:numPr>
          <w:ilvl w:val="0"/>
          <w:numId w:val="21"/>
        </w:numPr>
        <w:tabs>
          <w:tab w:val="num" w:pos="284"/>
        </w:tabs>
        <w:spacing w:after="0" w:line="264" w:lineRule="auto"/>
        <w:ind w:left="426" w:hanging="426"/>
        <w:jc w:val="both"/>
        <w:rPr>
          <w:rFonts w:ascii="Times New Roman" w:eastAsia="Times New Roman" w:hAnsi="Times New Roman" w:cs="Times New Roman"/>
          <w:bCs/>
          <w:kern w:val="0"/>
          <w:sz w:val="28"/>
          <w:lang w:eastAsia="pl-PL"/>
          <w14:ligatures w14:val="none"/>
        </w:rPr>
      </w:pPr>
      <w:r w:rsidRPr="00362E52">
        <w:rPr>
          <w:rFonts w:ascii="Times New Roman" w:eastAsia="Times New Roman" w:hAnsi="Times New Roman" w:cs="Times New Roman"/>
          <w:bCs/>
          <w:kern w:val="0"/>
          <w:sz w:val="28"/>
          <w:lang w:eastAsia="pl-PL"/>
          <w14:ligatures w14:val="none"/>
        </w:rPr>
        <w:t>Nastawienie rolników do subsydiowania ubezpieczeń rolnych w ogóle.</w:t>
      </w:r>
    </w:p>
    <w:p w14:paraId="7DA9877B" w14:textId="77777777" w:rsidR="002F41C0" w:rsidRPr="0085305D" w:rsidRDefault="002F41C0" w:rsidP="002F41C0">
      <w:pPr>
        <w:spacing w:after="0" w:line="264" w:lineRule="auto"/>
        <w:jc w:val="both"/>
        <w:rPr>
          <w:rFonts w:ascii="Times New Roman" w:eastAsia="Times New Roman" w:hAnsi="Times New Roman" w:cs="Times New Roman"/>
          <w:bCs/>
          <w:kern w:val="0"/>
          <w:sz w:val="28"/>
          <w:lang w:eastAsia="pl-PL"/>
          <w14:ligatures w14:val="none"/>
        </w:rPr>
      </w:pPr>
      <w:r w:rsidRPr="0085305D">
        <w:rPr>
          <w:rFonts w:ascii="Times New Roman" w:eastAsia="Times New Roman" w:hAnsi="Times New Roman" w:cs="Times New Roman"/>
          <w:bCs/>
          <w:kern w:val="0"/>
          <w:sz w:val="28"/>
          <w:lang w:eastAsia="pl-PL"/>
          <w14:ligatures w14:val="none"/>
        </w:rPr>
        <w:t>W każdym z bloków proszono rolników o ich ustosunkowanie się do pewnych tez poprzez zaznaczenie właściwych wskazań w pięciostopniowej skali Likerta.</w:t>
      </w:r>
    </w:p>
    <w:p w14:paraId="6BBF6355" w14:textId="77777777" w:rsidR="002F41C0" w:rsidRPr="0085305D" w:rsidRDefault="002F41C0" w:rsidP="002F41C0">
      <w:pPr>
        <w:spacing w:after="0" w:line="264" w:lineRule="auto"/>
        <w:ind w:firstLine="709"/>
        <w:jc w:val="both"/>
        <w:rPr>
          <w:rFonts w:ascii="Times New Roman" w:eastAsia="Times New Roman" w:hAnsi="Times New Roman" w:cs="Times New Roman"/>
          <w:kern w:val="0"/>
          <w:sz w:val="28"/>
          <w:lang w:eastAsia="pl-PL"/>
          <w14:ligatures w14:val="none"/>
        </w:rPr>
      </w:pPr>
      <w:r w:rsidRPr="0085305D">
        <w:rPr>
          <w:rFonts w:ascii="Times New Roman" w:eastAsia="Times New Roman" w:hAnsi="Times New Roman" w:cs="Times New Roman"/>
          <w:kern w:val="0"/>
          <w:sz w:val="28"/>
          <w:lang w:eastAsia="pl-PL"/>
          <w14:ligatures w14:val="none"/>
        </w:rPr>
        <w:t>Fazą drugą było wyznaczenie czterech jednorodnych grup (klastrów) producentów. Były to:</w:t>
      </w:r>
    </w:p>
    <w:p w14:paraId="28529237" w14:textId="77777777" w:rsidR="002F41C0" w:rsidRPr="0085305D" w:rsidRDefault="002F41C0" w:rsidP="001D0854">
      <w:pPr>
        <w:numPr>
          <w:ilvl w:val="0"/>
          <w:numId w:val="20"/>
        </w:numPr>
        <w:spacing w:after="0" w:line="264" w:lineRule="auto"/>
        <w:ind w:left="567" w:hanging="567"/>
        <w:jc w:val="both"/>
        <w:rPr>
          <w:rFonts w:ascii="Times New Roman" w:eastAsia="Times New Roman" w:hAnsi="Times New Roman" w:cs="Times New Roman"/>
          <w:kern w:val="0"/>
          <w:sz w:val="28"/>
          <w:lang w:eastAsia="pl-PL"/>
          <w14:ligatures w14:val="none"/>
        </w:rPr>
      </w:pPr>
      <w:r w:rsidRPr="0085305D">
        <w:rPr>
          <w:rFonts w:ascii="Times New Roman" w:eastAsia="Times New Roman" w:hAnsi="Times New Roman" w:cs="Times New Roman"/>
          <w:kern w:val="0"/>
          <w:sz w:val="28"/>
          <w:lang w:eastAsia="pl-PL"/>
          <w14:ligatures w14:val="none"/>
        </w:rPr>
        <w:t>szukanie tańszych instrumentów zarządzania ryzykiem, w których nie ma jednak interwencji rządowych. Zbiorowość ta liczyła 32 obiekty.</w:t>
      </w:r>
    </w:p>
    <w:p w14:paraId="02C015D6" w14:textId="77777777" w:rsidR="002F41C0" w:rsidRPr="0085305D" w:rsidRDefault="002F41C0" w:rsidP="001D0854">
      <w:pPr>
        <w:numPr>
          <w:ilvl w:val="0"/>
          <w:numId w:val="20"/>
        </w:numPr>
        <w:spacing w:after="0" w:line="264" w:lineRule="auto"/>
        <w:ind w:left="567" w:hanging="567"/>
        <w:jc w:val="both"/>
        <w:rPr>
          <w:rFonts w:ascii="Times New Roman" w:eastAsia="Times New Roman" w:hAnsi="Times New Roman" w:cs="Times New Roman"/>
          <w:kern w:val="0"/>
          <w:sz w:val="28"/>
          <w:lang w:eastAsia="pl-PL"/>
          <w14:ligatures w14:val="none"/>
        </w:rPr>
      </w:pPr>
      <w:r w:rsidRPr="0085305D">
        <w:rPr>
          <w:rFonts w:ascii="Times New Roman" w:eastAsia="Times New Roman" w:hAnsi="Times New Roman" w:cs="Times New Roman"/>
          <w:kern w:val="0"/>
          <w:sz w:val="28"/>
          <w:lang w:eastAsia="pl-PL"/>
          <w14:ligatures w14:val="none"/>
        </w:rPr>
        <w:t>76 rolników wyraziło gotowość przejścia na ubezpieczenia pakietowe.</w:t>
      </w:r>
    </w:p>
    <w:p w14:paraId="1E125BA8" w14:textId="77777777" w:rsidR="002F41C0" w:rsidRPr="0085305D" w:rsidRDefault="002F41C0" w:rsidP="001D0854">
      <w:pPr>
        <w:numPr>
          <w:ilvl w:val="0"/>
          <w:numId w:val="20"/>
        </w:numPr>
        <w:spacing w:after="0" w:line="264" w:lineRule="auto"/>
        <w:ind w:left="567" w:hanging="567"/>
        <w:jc w:val="both"/>
        <w:rPr>
          <w:rFonts w:ascii="Times New Roman" w:eastAsia="Times New Roman" w:hAnsi="Times New Roman" w:cs="Times New Roman"/>
          <w:kern w:val="0"/>
          <w:sz w:val="28"/>
          <w:lang w:eastAsia="pl-PL"/>
          <w14:ligatures w14:val="none"/>
        </w:rPr>
      </w:pPr>
      <w:r w:rsidRPr="0085305D">
        <w:rPr>
          <w:rFonts w:ascii="Times New Roman" w:eastAsia="Times New Roman" w:hAnsi="Times New Roman" w:cs="Times New Roman"/>
          <w:kern w:val="0"/>
          <w:sz w:val="28"/>
          <w:lang w:eastAsia="pl-PL"/>
          <w14:ligatures w14:val="none"/>
        </w:rPr>
        <w:t>zwolennicy angażowania się rządu w zarządzanie ryzykiem (70 jednostek).</w:t>
      </w:r>
    </w:p>
    <w:p w14:paraId="4152F641" w14:textId="77777777" w:rsidR="002F41C0" w:rsidRPr="0085305D" w:rsidRDefault="002F41C0" w:rsidP="001D0854">
      <w:pPr>
        <w:numPr>
          <w:ilvl w:val="0"/>
          <w:numId w:val="20"/>
        </w:numPr>
        <w:spacing w:after="0" w:line="264" w:lineRule="auto"/>
        <w:ind w:left="567" w:hanging="567"/>
        <w:jc w:val="both"/>
        <w:rPr>
          <w:rFonts w:ascii="Times New Roman" w:eastAsia="Times New Roman" w:hAnsi="Times New Roman" w:cs="Times New Roman"/>
          <w:kern w:val="0"/>
          <w:sz w:val="28"/>
          <w:lang w:eastAsia="pl-PL"/>
          <w14:ligatures w14:val="none"/>
        </w:rPr>
      </w:pPr>
      <w:r w:rsidRPr="0085305D">
        <w:rPr>
          <w:rFonts w:ascii="Times New Roman" w:eastAsia="Times New Roman" w:hAnsi="Times New Roman" w:cs="Times New Roman"/>
          <w:kern w:val="0"/>
          <w:sz w:val="28"/>
          <w:lang w:eastAsia="pl-PL"/>
          <w14:ligatures w14:val="none"/>
        </w:rPr>
        <w:t>„zadowoleni z obecnej oferty rynkowej” (50 gospodarstw).</w:t>
      </w:r>
    </w:p>
    <w:p w14:paraId="26BDEB44" w14:textId="77777777" w:rsidR="002F41C0" w:rsidRPr="0085305D" w:rsidRDefault="002F41C0" w:rsidP="002F41C0">
      <w:pPr>
        <w:spacing w:after="0" w:line="264" w:lineRule="auto"/>
        <w:ind w:firstLine="709"/>
        <w:jc w:val="both"/>
        <w:rPr>
          <w:rFonts w:ascii="Times New Roman" w:eastAsia="Times New Roman" w:hAnsi="Times New Roman" w:cs="Times New Roman"/>
          <w:kern w:val="0"/>
          <w:sz w:val="28"/>
          <w:lang w:eastAsia="pl-PL"/>
          <w14:ligatures w14:val="none"/>
        </w:rPr>
      </w:pPr>
    </w:p>
    <w:p w14:paraId="5EF74666" w14:textId="77777777" w:rsidR="002F41C0" w:rsidRPr="0085305D" w:rsidRDefault="002F41C0" w:rsidP="002F41C0">
      <w:pPr>
        <w:spacing w:after="0" w:line="264" w:lineRule="auto"/>
        <w:ind w:firstLine="709"/>
        <w:jc w:val="both"/>
        <w:rPr>
          <w:rFonts w:ascii="Times New Roman" w:eastAsia="Times New Roman" w:hAnsi="Times New Roman" w:cs="Times New Roman"/>
          <w:kern w:val="0"/>
          <w:sz w:val="28"/>
          <w:lang w:eastAsia="pl-PL"/>
          <w14:ligatures w14:val="none"/>
        </w:rPr>
      </w:pPr>
      <w:r w:rsidRPr="0085305D">
        <w:rPr>
          <w:rFonts w:ascii="Times New Roman" w:eastAsia="Times New Roman" w:hAnsi="Times New Roman" w:cs="Times New Roman"/>
          <w:kern w:val="0"/>
          <w:sz w:val="28"/>
          <w:lang w:eastAsia="pl-PL"/>
          <w14:ligatures w14:val="none"/>
        </w:rPr>
        <w:t>Integralnym składnikiem analizy Michelsa i in. było ustosunkowanie się rolników do kwestii oszacowania tzw. gotowości do zapłacenia za ubezpieczenia pakietowe i indeksowe (</w:t>
      </w:r>
      <w:r w:rsidRPr="0085305D">
        <w:rPr>
          <w:rFonts w:ascii="Times New Roman" w:eastAsia="Times New Roman" w:hAnsi="Times New Roman" w:cs="Times New Roman"/>
          <w:i/>
          <w:iCs/>
          <w:kern w:val="0"/>
          <w:sz w:val="28"/>
          <w:lang w:eastAsia="pl-PL"/>
          <w14:ligatures w14:val="none"/>
        </w:rPr>
        <w:t>willingness to pay</w:t>
      </w:r>
      <w:r w:rsidRPr="0085305D">
        <w:rPr>
          <w:rFonts w:ascii="Times New Roman" w:eastAsia="Times New Roman" w:hAnsi="Times New Roman" w:cs="Times New Roman"/>
          <w:kern w:val="0"/>
          <w:sz w:val="28"/>
          <w:lang w:eastAsia="pl-PL"/>
          <w14:ligatures w14:val="none"/>
        </w:rPr>
        <w:t xml:space="preserve">, WTP). Ogólnie jest to maksymalna kwota, którą rolnicy są gotowi zapłacić asekuratorom za przejęcie ryzyka. W komentowanym badaniu przyjęto, że WTP będzie mierzona procentem wartości produkcji rolniczej na 1 ha użytków rolnych. W przypadku ubezpieczeń pakietowych wskaźnik ten wyniósł średnio 2,60% (bez subsydiów) i 1,58% (z subsydiami). Bardzo podobnie wypadł szacunek dla indeksów (2,52 i 1,60%). Tymczasem specjaliści przyjmują, że WTP bez subsydiów dla obydwu produktów powinna mieścić się w przedziale 5,5-6%. Ta różnica świadczy o bardzo dużej rozbieżności oczekiwań rolników i asekuratorów, tj. niedopasowaniu popytu i </w:t>
      </w:r>
      <w:r w:rsidRPr="0085305D">
        <w:rPr>
          <w:rFonts w:ascii="Times New Roman" w:eastAsia="Times New Roman" w:hAnsi="Times New Roman" w:cs="Times New Roman"/>
          <w:kern w:val="0"/>
          <w:sz w:val="28"/>
          <w:lang w:eastAsia="pl-PL"/>
          <w14:ligatures w14:val="none"/>
        </w:rPr>
        <w:lastRenderedPageBreak/>
        <w:t xml:space="preserve">podaży. Ubezpieczyciele powinni zatem bardzo starannie to przemyśleć i spróbować obniżyć koszty ubezpieczeń oraz poprawić komunikację z rolnikami, uczciwie i starannie próbując ich przekonać co do pożytków z nabycia ochrony. </w:t>
      </w:r>
    </w:p>
    <w:p w14:paraId="4F54A7D2" w14:textId="77777777" w:rsidR="002F41C0" w:rsidRPr="0085305D" w:rsidRDefault="002F41C0" w:rsidP="002F41C0">
      <w:pPr>
        <w:spacing w:after="0" w:line="264" w:lineRule="auto"/>
        <w:ind w:firstLine="709"/>
        <w:jc w:val="both"/>
        <w:rPr>
          <w:rFonts w:ascii="Times New Roman" w:eastAsia="Times New Roman" w:hAnsi="Times New Roman" w:cs="Times New Roman"/>
          <w:kern w:val="0"/>
          <w:sz w:val="28"/>
          <w:lang w:eastAsia="pl-PL"/>
          <w14:ligatures w14:val="none"/>
        </w:rPr>
      </w:pPr>
      <w:r w:rsidRPr="0085305D">
        <w:rPr>
          <w:rFonts w:ascii="Times New Roman" w:eastAsia="Times New Roman" w:hAnsi="Times New Roman" w:cs="Times New Roman"/>
          <w:kern w:val="0"/>
          <w:sz w:val="28"/>
          <w:lang w:eastAsia="pl-PL"/>
          <w14:ligatures w14:val="none"/>
        </w:rPr>
        <w:t>Z całości analizy Michelsa i in. wynika, że odpowiednia typologia ex-ante gospodarstw rolniczych powinna być kluczowym założeniem konstruowania badań ekonomiczno-finansowych i projektowania oraz ewaluacji całego instrumentarium polityki rolnej. Producenci rolni to przecież bardzo zróżnicowana zbiorowość,  wymagająca bardzo zniuansowanego traktowania, żeby polityka rolna była bardziej skuteczna i efektywna. Drugi wniosek to ten, że często lepszym rozwiązaniem niż subsydiowanie ubezpieczeń rolnych mogą być inwestycje w badania, doradztwo i edukację rolniczą. Ankietowani rolnicy bardzo niechętnie byli natomiast skłonni zrezygnować z części dopłat bezpośrednich, by uzyskane w ten sposób fundusze przeznaczyć na subsydiowanie ubezpieczeń.</w:t>
      </w:r>
    </w:p>
    <w:p w14:paraId="4333B276" w14:textId="77777777" w:rsidR="007660A8" w:rsidRDefault="007660A8" w:rsidP="007660A8">
      <w:pPr>
        <w:ind w:firstLine="708"/>
      </w:pPr>
    </w:p>
    <w:p w14:paraId="032604B6" w14:textId="72DB2B8B" w:rsidR="00132C4F" w:rsidRDefault="000F61BA" w:rsidP="001D0854">
      <w:pPr>
        <w:pStyle w:val="Akapitzlist"/>
        <w:numPr>
          <w:ilvl w:val="0"/>
          <w:numId w:val="22"/>
        </w:numPr>
        <w:ind w:left="567" w:hanging="567"/>
        <w:rPr>
          <w:rFonts w:ascii="Times New Roman" w:hAnsi="Times New Roman" w:cs="Times New Roman"/>
          <w:b/>
          <w:bCs/>
          <w:sz w:val="28"/>
          <w:szCs w:val="28"/>
        </w:rPr>
      </w:pPr>
      <w:r w:rsidRPr="000F61BA">
        <w:rPr>
          <w:rFonts w:ascii="Times New Roman" w:hAnsi="Times New Roman" w:cs="Times New Roman"/>
          <w:b/>
          <w:bCs/>
          <w:sz w:val="28"/>
          <w:szCs w:val="28"/>
        </w:rPr>
        <w:t>Przyczynowość i wnioskowanie przyczynowe oraz kontrfaktyczność</w:t>
      </w:r>
    </w:p>
    <w:p w14:paraId="1780DD30" w14:textId="77777777" w:rsidR="000F61BA" w:rsidRDefault="000F61BA" w:rsidP="000F61BA">
      <w:pPr>
        <w:spacing w:line="264" w:lineRule="auto"/>
        <w:ind w:firstLine="708"/>
        <w:jc w:val="both"/>
        <w:rPr>
          <w:rFonts w:ascii="Times New Roman" w:hAnsi="Times New Roman" w:cs="Times New Roman"/>
          <w:sz w:val="28"/>
          <w:szCs w:val="28"/>
        </w:rPr>
      </w:pPr>
      <w:r>
        <w:rPr>
          <w:rFonts w:ascii="Times New Roman" w:hAnsi="Times New Roman" w:cs="Times New Roman"/>
          <w:sz w:val="28"/>
          <w:szCs w:val="28"/>
        </w:rPr>
        <w:t>W ujęciu najbardziej ogólnym przez przyczynowość (</w:t>
      </w:r>
      <w:r w:rsidRPr="003421B3">
        <w:rPr>
          <w:rFonts w:ascii="Times New Roman" w:hAnsi="Times New Roman" w:cs="Times New Roman"/>
          <w:i/>
          <w:iCs/>
          <w:sz w:val="28"/>
          <w:szCs w:val="28"/>
        </w:rPr>
        <w:t>a causality</w:t>
      </w:r>
      <w:r>
        <w:rPr>
          <w:rFonts w:ascii="Times New Roman" w:hAnsi="Times New Roman" w:cs="Times New Roman"/>
          <w:sz w:val="28"/>
          <w:szCs w:val="28"/>
        </w:rPr>
        <w:t xml:space="preserve">) rozumie się wpływ jednego zdarzenia, procesu, stanu lub obiektu, czyli przyczyny, na wyniki innego zdarzenia, procesu, stanu lub obiektu, łącznie nazywanego efektem (Cheng, 1997). Bardzo często jednak określony rezultat jest skutkiem oddziaływania wielu przyczyn, które zbiorczo określa się wówczas czynnikami przyczynowości, i lokalizuje się je w przeszłości. Jednakże rezultat/efekt może być czynnikiem przyczynowości dla efektów spodziewanych do uzyskania dopiero w przyszłości. W tych warunkach przyczynowość może być postrzegana jako kategoria metafizyczna, wcześniejsza od czasu i przestrzeni. To abstrakcyjne pojęcie używane bywa także do oceny postępów w określonej formie aktywności ludzkiej, a więc i w sensie pomiaru efektywności oraz skuteczności i czynnika pośredniczącego między nimi, co jednakże wymaga wyobraźni i intuicji, by zrozumieć te funkcje. To bardzo ważne, gdyż przyczynowość jest ważną kategorią w opisie logiki i struktury języków zwykłego i naukowego. W tym ostatnim powszechnie odwołujemy się do filozofii Arystotelesa oraz Hume’a i Kanta. Ten pierwszy przez przyczynę rozumiał objaśnianie lub odpowiedź na pytanie „dlaczego” (Lewis, 1973). Tych odpowiedzi może być cztery: materialne, formalne, dotyczące efektywności i przyczyn pierwotnych. Dalej „przyczyna” u Arystotelesa utożsamiana jest ze współczesnym </w:t>
      </w:r>
      <w:r w:rsidRPr="00BB41B9">
        <w:rPr>
          <w:rFonts w:ascii="Times New Roman" w:hAnsi="Times New Roman" w:cs="Times New Roman"/>
          <w:i/>
          <w:iCs/>
          <w:sz w:val="28"/>
          <w:szCs w:val="28"/>
        </w:rPr>
        <w:t>explanans</w:t>
      </w:r>
      <w:r>
        <w:rPr>
          <w:rFonts w:ascii="Times New Roman" w:hAnsi="Times New Roman" w:cs="Times New Roman"/>
          <w:sz w:val="28"/>
          <w:szCs w:val="28"/>
        </w:rPr>
        <w:t xml:space="preserve">, tj. tym, co wyjaśnia, a więc ze zmienną niezależną, która powiązana jest z </w:t>
      </w:r>
      <w:r w:rsidRPr="00BB41B9">
        <w:rPr>
          <w:rFonts w:ascii="Times New Roman" w:hAnsi="Times New Roman" w:cs="Times New Roman"/>
          <w:i/>
          <w:iCs/>
          <w:sz w:val="28"/>
          <w:szCs w:val="28"/>
        </w:rPr>
        <w:t>explandum</w:t>
      </w:r>
      <w:r>
        <w:rPr>
          <w:rFonts w:ascii="Times New Roman" w:hAnsi="Times New Roman" w:cs="Times New Roman"/>
          <w:sz w:val="28"/>
          <w:szCs w:val="28"/>
        </w:rPr>
        <w:t xml:space="preserve">, czyli tym, co jest wyjaśniane albo zmienną zależną. Z kolei Hume uważał, że czyste przyczyny/powody nie mogą udowadniać istnienia rzeczywistej przyczynowości. W zamian proponował odwoływać się do zwyczajów i nawyków mentalnych oraz do obserwacji, iż cała </w:t>
      </w:r>
      <w:r>
        <w:rPr>
          <w:rFonts w:ascii="Times New Roman" w:hAnsi="Times New Roman" w:cs="Times New Roman"/>
          <w:sz w:val="28"/>
          <w:szCs w:val="28"/>
        </w:rPr>
        <w:lastRenderedPageBreak/>
        <w:t>ludzka wiedza ma wynikać z doświadczenia. Wreszcie Kant problem przyczynowości i skutków lokował w ww. metafizyce, traktując tą pierwszą jednak priorytetowo. Z drugiej zaś strony w swoich rozważaniach uwzględniał jeszcze czas i przestrzeń, kategorie niezbędne mu do zajmowania się postępem i ewolucją świata. Oczywiście, z dzisiejszej perspektywy jego wywody wydają się w sumie dosyć naiwne, jeśli uwzględni się dorobek współczesnej fizyki.</w:t>
      </w:r>
    </w:p>
    <w:p w14:paraId="45B2461D" w14:textId="77777777" w:rsidR="000F61BA" w:rsidRDefault="000F61BA" w:rsidP="000F61BA">
      <w:pPr>
        <w:spacing w:line="264" w:lineRule="auto"/>
        <w:ind w:firstLine="708"/>
        <w:jc w:val="both"/>
        <w:rPr>
          <w:rFonts w:ascii="Times New Roman" w:hAnsi="Times New Roman" w:cs="Times New Roman"/>
          <w:sz w:val="28"/>
          <w:szCs w:val="28"/>
        </w:rPr>
      </w:pPr>
      <w:r>
        <w:rPr>
          <w:rFonts w:ascii="Times New Roman" w:hAnsi="Times New Roman" w:cs="Times New Roman"/>
          <w:sz w:val="28"/>
          <w:szCs w:val="28"/>
        </w:rPr>
        <w:t>Przyczynowość jest ważną cechą klasycznego liberalizmu i odzwierciedla w nim znaczenie poznania naukowego, które wywodzi się w prostej linii od Kartezjusza i Bacona (Fukuyama, 2024). Ten pierwszy zaproponował warunki niezbędne do rozumienia otaczającej nas rzeczywistości. Z kolei Bacon stworzył podstawy obserwacji empirycznej i metody eksperymentalnej, które łącznie miały ułatwiać identyfikację związków przyczynowo-skutkowych. Niestety, wraz z degenerowaniem się klasycznego liberalizmu w kierunku ekonomicznego neoliberalizmu pojawił się populizm prawicowy i lewicowy, które m.in. negowały zasadność stosowania metody naukowej. W tym kontekście dla populistów zajmowanie się przyczynowością nie ma większego sensu, bo dla nich w zupełności wystarczą absurdalne teorie spiskowe.</w:t>
      </w:r>
    </w:p>
    <w:p w14:paraId="6338B1E8" w14:textId="77777777" w:rsidR="000F61BA" w:rsidRDefault="000F61BA" w:rsidP="000F61BA">
      <w:pPr>
        <w:spacing w:line="264" w:lineRule="auto"/>
        <w:ind w:firstLine="708"/>
        <w:jc w:val="both"/>
        <w:rPr>
          <w:rFonts w:ascii="Times New Roman" w:hAnsi="Times New Roman" w:cs="Times New Roman"/>
          <w:sz w:val="28"/>
          <w:szCs w:val="28"/>
        </w:rPr>
      </w:pPr>
      <w:bookmarkStart w:id="12" w:name="_Hlk173843613"/>
      <w:r>
        <w:rPr>
          <w:rFonts w:ascii="Times New Roman" w:hAnsi="Times New Roman" w:cs="Times New Roman"/>
          <w:sz w:val="28"/>
          <w:szCs w:val="28"/>
        </w:rPr>
        <w:t>Przyczyny niekiedy bywają dzielone na: konieczne i wystarczające (Menzies i Price 1993).</w:t>
      </w:r>
      <w:bookmarkEnd w:id="12"/>
      <w:r>
        <w:rPr>
          <w:rFonts w:ascii="Times New Roman" w:hAnsi="Times New Roman" w:cs="Times New Roman"/>
          <w:sz w:val="28"/>
          <w:szCs w:val="28"/>
        </w:rPr>
        <w:t xml:space="preserve"> Obok nich występuje jednak przyczynowość, nazywana „</w:t>
      </w:r>
      <w:r w:rsidRPr="00492D11">
        <w:rPr>
          <w:rFonts w:ascii="Times New Roman" w:hAnsi="Times New Roman" w:cs="Times New Roman"/>
          <w:i/>
          <w:iCs/>
          <w:sz w:val="28"/>
          <w:szCs w:val="28"/>
        </w:rPr>
        <w:t>contributory cause</w:t>
      </w:r>
      <w:r>
        <w:rPr>
          <w:rFonts w:ascii="Times New Roman" w:hAnsi="Times New Roman" w:cs="Times New Roman"/>
          <w:sz w:val="28"/>
          <w:szCs w:val="28"/>
        </w:rPr>
        <w:t>”, która nie wynika ani z konieczności, ani wystarczalności. Formalnie przypadki te można zapisać następująco:</w:t>
      </w:r>
    </w:p>
    <w:p w14:paraId="110DF64A" w14:textId="77777777" w:rsidR="000F61BA" w:rsidRDefault="000F61BA" w:rsidP="001D0854">
      <w:pPr>
        <w:pStyle w:val="Akapitzlist"/>
        <w:numPr>
          <w:ilvl w:val="0"/>
          <w:numId w:val="23"/>
        </w:numPr>
        <w:spacing w:line="264" w:lineRule="auto"/>
        <w:ind w:left="567" w:hanging="567"/>
        <w:jc w:val="both"/>
        <w:rPr>
          <w:rFonts w:ascii="Times New Roman" w:hAnsi="Times New Roman" w:cs="Times New Roman"/>
          <w:sz w:val="28"/>
          <w:szCs w:val="28"/>
        </w:rPr>
      </w:pPr>
      <w:r>
        <w:rPr>
          <w:rFonts w:ascii="Times New Roman" w:hAnsi="Times New Roman" w:cs="Times New Roman"/>
          <w:sz w:val="28"/>
          <w:szCs w:val="28"/>
        </w:rPr>
        <w:t>Przyczyny konieczne: jeśli x jest taką przyczyną dla y, to oznacza, że x pojawia się wcześniej niż y. Nie wynika z tego natomiast, że y na pewno się pojawi.</w:t>
      </w:r>
    </w:p>
    <w:p w14:paraId="5FAE22AA" w14:textId="77777777" w:rsidR="000F61BA" w:rsidRDefault="000F61BA" w:rsidP="001D0854">
      <w:pPr>
        <w:pStyle w:val="Akapitzlist"/>
        <w:numPr>
          <w:ilvl w:val="0"/>
          <w:numId w:val="23"/>
        </w:numPr>
        <w:spacing w:line="264" w:lineRule="auto"/>
        <w:ind w:left="567" w:hanging="567"/>
        <w:jc w:val="both"/>
        <w:rPr>
          <w:rFonts w:ascii="Times New Roman" w:hAnsi="Times New Roman" w:cs="Times New Roman"/>
          <w:sz w:val="28"/>
          <w:szCs w:val="28"/>
        </w:rPr>
      </w:pPr>
      <w:r>
        <w:rPr>
          <w:rFonts w:ascii="Times New Roman" w:hAnsi="Times New Roman" w:cs="Times New Roman"/>
          <w:sz w:val="28"/>
          <w:szCs w:val="28"/>
        </w:rPr>
        <w:t>Przyczyny wystarczające: Jeśli x jest wystarczającą przyczyną y, wtedy obecność x prowadzi koniecznie do występowania y.</w:t>
      </w:r>
    </w:p>
    <w:p w14:paraId="3674ACEC" w14:textId="77777777" w:rsidR="000F61BA" w:rsidRDefault="000F61BA" w:rsidP="001D0854">
      <w:pPr>
        <w:pStyle w:val="Akapitzlist"/>
        <w:numPr>
          <w:ilvl w:val="0"/>
          <w:numId w:val="23"/>
        </w:numPr>
        <w:spacing w:line="264" w:lineRule="auto"/>
        <w:ind w:left="567" w:hanging="567"/>
        <w:jc w:val="both"/>
        <w:rPr>
          <w:rFonts w:ascii="Times New Roman" w:hAnsi="Times New Roman" w:cs="Times New Roman"/>
          <w:sz w:val="28"/>
          <w:szCs w:val="28"/>
        </w:rPr>
      </w:pPr>
      <w:r>
        <w:rPr>
          <w:rFonts w:ascii="Times New Roman" w:hAnsi="Times New Roman" w:cs="Times New Roman"/>
          <w:sz w:val="28"/>
          <w:szCs w:val="28"/>
        </w:rPr>
        <w:t>Przyczyny dodatkowe: dla pojedynczego skutku przyczyna dodatkowa jest tylko jedną z kilku przyczyn. Oznacza to, że ta konkretna przyczyna nie zawsze jest konieczna ani wystarczająca (Simon i Rescher, 1966). Dla porządku trzeba jeszcze dodać, że istnieją także przyczyny wątpliwe, nazywane także błędami logicznymi przyczynowości (</w:t>
      </w:r>
      <w:r w:rsidRPr="00800C76">
        <w:rPr>
          <w:rFonts w:ascii="Times New Roman" w:hAnsi="Times New Roman" w:cs="Times New Roman"/>
          <w:i/>
          <w:iCs/>
          <w:sz w:val="28"/>
          <w:szCs w:val="28"/>
        </w:rPr>
        <w:t>a cause fallacies</w:t>
      </w:r>
      <w:r>
        <w:rPr>
          <w:rFonts w:ascii="Times New Roman" w:hAnsi="Times New Roman" w:cs="Times New Roman"/>
          <w:sz w:val="28"/>
          <w:szCs w:val="28"/>
        </w:rPr>
        <w:t>), a więc sytuacje, w których przyczyny błędnie zidentyfikowano.</w:t>
      </w:r>
    </w:p>
    <w:p w14:paraId="351AB96B" w14:textId="77777777" w:rsidR="000F61BA" w:rsidRDefault="000F61BA" w:rsidP="000F61BA">
      <w:pPr>
        <w:pStyle w:val="Akapitzlist"/>
        <w:spacing w:line="264" w:lineRule="auto"/>
        <w:ind w:left="142" w:firstLine="425"/>
        <w:jc w:val="both"/>
        <w:rPr>
          <w:rFonts w:ascii="Times New Roman" w:hAnsi="Times New Roman" w:cs="Times New Roman"/>
          <w:sz w:val="28"/>
          <w:szCs w:val="28"/>
        </w:rPr>
      </w:pPr>
      <w:r>
        <w:rPr>
          <w:rFonts w:ascii="Times New Roman" w:hAnsi="Times New Roman" w:cs="Times New Roman"/>
          <w:sz w:val="28"/>
          <w:szCs w:val="28"/>
        </w:rPr>
        <w:t>Z przyczynowością łączy się pojęcie warunkowości (</w:t>
      </w:r>
      <w:r w:rsidRPr="00800C76">
        <w:rPr>
          <w:rFonts w:ascii="Times New Roman" w:hAnsi="Times New Roman" w:cs="Times New Roman"/>
          <w:i/>
          <w:iCs/>
          <w:sz w:val="28"/>
          <w:szCs w:val="28"/>
        </w:rPr>
        <w:t>a conditionals</w:t>
      </w:r>
      <w:r>
        <w:rPr>
          <w:rFonts w:ascii="Times New Roman" w:hAnsi="Times New Roman" w:cs="Times New Roman"/>
          <w:sz w:val="28"/>
          <w:szCs w:val="28"/>
        </w:rPr>
        <w:t xml:space="preserve">). Nie można jednakże tych kategorii uważać za tożsame. Orzekania o przyczynowości wymaga stosowania w zdaniach poprzedników lub następników we właściwym wpływie czasu (Rubin, 1978). Warunkowość natomiast nie wymaga takiego porządku czasowego. Szczególnym przypadkiem warunkowości, bardzo ważnym w </w:t>
      </w:r>
      <w:r w:rsidRPr="00415632">
        <w:rPr>
          <w:rFonts w:ascii="Times New Roman" w:hAnsi="Times New Roman" w:cs="Times New Roman"/>
          <w:i/>
          <w:iCs/>
          <w:sz w:val="28"/>
          <w:szCs w:val="28"/>
        </w:rPr>
        <w:t>an impact evaluation</w:t>
      </w:r>
      <w:r>
        <w:rPr>
          <w:rFonts w:ascii="Times New Roman" w:hAnsi="Times New Roman" w:cs="Times New Roman"/>
          <w:sz w:val="28"/>
          <w:szCs w:val="28"/>
        </w:rPr>
        <w:t>, jest warunek kontrfaktyczności (</w:t>
      </w:r>
      <w:r w:rsidRPr="00585400">
        <w:rPr>
          <w:rFonts w:ascii="Times New Roman" w:hAnsi="Times New Roman" w:cs="Times New Roman"/>
          <w:i/>
          <w:iCs/>
          <w:sz w:val="28"/>
          <w:szCs w:val="28"/>
        </w:rPr>
        <w:t xml:space="preserve">the counterfactual </w:t>
      </w:r>
      <w:r w:rsidRPr="00585400">
        <w:rPr>
          <w:rFonts w:ascii="Times New Roman" w:hAnsi="Times New Roman" w:cs="Times New Roman"/>
          <w:i/>
          <w:iCs/>
          <w:sz w:val="28"/>
          <w:szCs w:val="28"/>
        </w:rPr>
        <w:lastRenderedPageBreak/>
        <w:t>conditional</w:t>
      </w:r>
      <w:r>
        <w:rPr>
          <w:rFonts w:ascii="Times New Roman" w:hAnsi="Times New Roman" w:cs="Times New Roman"/>
          <w:sz w:val="28"/>
          <w:szCs w:val="28"/>
        </w:rPr>
        <w:t>) (Imbens i Rubin, 2015). Znajduje się on na najwyższym poziomie struktury logicznej relacji przyczynowej, w której jeśli coś nie istnieje, to nigdy nie istnieje też coś inne. Warunek ten wprawdzie przypisywany jest Hume’owi, ale w XX wieku zaczął występować już jako „</w:t>
      </w:r>
      <w:r w:rsidRPr="00107DCA">
        <w:rPr>
          <w:rFonts w:ascii="Times New Roman" w:hAnsi="Times New Roman" w:cs="Times New Roman"/>
          <w:i/>
          <w:iCs/>
          <w:sz w:val="28"/>
          <w:szCs w:val="28"/>
        </w:rPr>
        <w:t>a causal dependence</w:t>
      </w:r>
      <w:r>
        <w:rPr>
          <w:rFonts w:ascii="Times New Roman" w:hAnsi="Times New Roman" w:cs="Times New Roman"/>
          <w:sz w:val="28"/>
          <w:szCs w:val="28"/>
        </w:rPr>
        <w:t>” (Maziarz, 2020). Jego istotę wyjaśnia następująca konstrukcja: zdarzenie E przyczynowo zależne jest od C, wtedy i tylko wtedy: 1) gdy wystąpiło zdarzenie C, to wówczas mogłoby się pojawić E, i 2) jeśli C się nie zdarzyło, to nie może pojawić się E.</w:t>
      </w:r>
    </w:p>
    <w:p w14:paraId="5D4815FC" w14:textId="77777777" w:rsidR="000F61BA" w:rsidRDefault="000F61BA" w:rsidP="000F61BA">
      <w:pPr>
        <w:pStyle w:val="Akapitzlist"/>
        <w:spacing w:line="264" w:lineRule="auto"/>
        <w:ind w:left="142" w:firstLine="425"/>
        <w:jc w:val="both"/>
        <w:rPr>
          <w:rFonts w:ascii="Times New Roman" w:hAnsi="Times New Roman" w:cs="Times New Roman"/>
          <w:sz w:val="28"/>
          <w:szCs w:val="28"/>
        </w:rPr>
      </w:pPr>
      <w:r>
        <w:rPr>
          <w:rFonts w:ascii="Times New Roman" w:hAnsi="Times New Roman" w:cs="Times New Roman"/>
          <w:sz w:val="28"/>
          <w:szCs w:val="28"/>
        </w:rPr>
        <w:t>Przyczynowość może być teraz analizowana w konwencji „</w:t>
      </w:r>
      <w:r w:rsidRPr="00DE2D3D">
        <w:rPr>
          <w:rFonts w:ascii="Times New Roman" w:hAnsi="Times New Roman" w:cs="Times New Roman"/>
          <w:i/>
          <w:iCs/>
          <w:sz w:val="28"/>
          <w:szCs w:val="28"/>
        </w:rPr>
        <w:t>a counterfactual dependence</w:t>
      </w:r>
      <w:r>
        <w:rPr>
          <w:rFonts w:ascii="Times New Roman" w:hAnsi="Times New Roman" w:cs="Times New Roman"/>
          <w:sz w:val="28"/>
          <w:szCs w:val="28"/>
        </w:rPr>
        <w:t>”. Zgodnie z tym, C jest przyczyną E wtedy i tylko wtedy, gdy istnieje sekwencja zdarzeń C, D</w:t>
      </w:r>
      <w:r w:rsidRPr="00713F9B">
        <w:rPr>
          <w:rFonts w:ascii="Times New Roman" w:hAnsi="Times New Roman" w:cs="Times New Roman"/>
          <w:sz w:val="28"/>
          <w:szCs w:val="28"/>
          <w:vertAlign w:val="subscript"/>
        </w:rPr>
        <w:t>1</w:t>
      </w:r>
      <w:r>
        <w:rPr>
          <w:rFonts w:ascii="Times New Roman" w:hAnsi="Times New Roman" w:cs="Times New Roman"/>
          <w:sz w:val="28"/>
          <w:szCs w:val="28"/>
        </w:rPr>
        <w:t>, D</w:t>
      </w:r>
      <w:r w:rsidRPr="00713F9B">
        <w:rPr>
          <w:rFonts w:ascii="Times New Roman" w:hAnsi="Times New Roman" w:cs="Times New Roman"/>
          <w:sz w:val="28"/>
          <w:szCs w:val="28"/>
          <w:vertAlign w:val="subscript"/>
        </w:rPr>
        <w:t>2</w:t>
      </w:r>
      <w:r>
        <w:rPr>
          <w:rFonts w:ascii="Times New Roman" w:hAnsi="Times New Roman" w:cs="Times New Roman"/>
          <w:sz w:val="28"/>
          <w:szCs w:val="28"/>
        </w:rPr>
        <w:t>, …, D</w:t>
      </w:r>
      <w:r w:rsidRPr="00713F9B">
        <w:rPr>
          <w:rFonts w:ascii="Times New Roman" w:hAnsi="Times New Roman" w:cs="Times New Roman"/>
          <w:sz w:val="28"/>
          <w:szCs w:val="28"/>
          <w:vertAlign w:val="subscript"/>
        </w:rPr>
        <w:t>K</w:t>
      </w:r>
      <w:r>
        <w:rPr>
          <w:rFonts w:ascii="Times New Roman" w:hAnsi="Times New Roman" w:cs="Times New Roman"/>
          <w:sz w:val="28"/>
          <w:szCs w:val="28"/>
        </w:rPr>
        <w:t xml:space="preserve"> taka, że każde w niej zdarzenie zależy kontrfaktycznie od poprzedniego. Taki łańcuch zależności przyczynowych nazywany jest mechanizmem. Jest to kluczowa kategoria występująca w teoriach programu w ewaluacjach bazujących na podstawach naukowych.</w:t>
      </w:r>
    </w:p>
    <w:p w14:paraId="318055C4" w14:textId="77777777" w:rsidR="000F61BA" w:rsidRDefault="000F61BA" w:rsidP="000F61BA">
      <w:pPr>
        <w:pStyle w:val="Akapitzlist"/>
        <w:spacing w:line="264" w:lineRule="auto"/>
        <w:ind w:left="142" w:firstLine="425"/>
        <w:jc w:val="both"/>
        <w:rPr>
          <w:rFonts w:ascii="Times New Roman" w:hAnsi="Times New Roman" w:cs="Times New Roman"/>
          <w:sz w:val="28"/>
          <w:szCs w:val="28"/>
        </w:rPr>
      </w:pPr>
      <w:r>
        <w:rPr>
          <w:rFonts w:ascii="Times New Roman" w:hAnsi="Times New Roman" w:cs="Times New Roman"/>
          <w:sz w:val="28"/>
          <w:szCs w:val="28"/>
        </w:rPr>
        <w:t xml:space="preserve">Rozróżnia się jeszcze przyczynowość w sensie deterministycznym i probabilistycznym (Herman i Robins, 2023). Ta pierwsza to prosta relacja: jeśli zdarzenie A jest przyczyną zdarzenia B, to A zawsze musi poprzedzać B. Problem polega tu na tym, że następstwo w czasie A i B nie musi oznaczać jednak automatycznie istnienia przyczynowości. Stąd pojawił się drugi typ przyczynowości. Formalnie mamy taki oto zapis: </w:t>
      </w:r>
      <w:r w:rsidRPr="00D66368">
        <w:rPr>
          <w:rFonts w:ascii="Times New Roman" w:hAnsi="Times New Roman" w:cs="Times New Roman"/>
          <w:position w:val="-14"/>
          <w:sz w:val="28"/>
          <w:szCs w:val="28"/>
        </w:rPr>
        <w:object w:dxaOrig="1719" w:dyaOrig="400" w14:anchorId="5A455120">
          <v:shape id="_x0000_i1087" type="#_x0000_t75" style="width:86.5pt;height:22pt" o:ole="">
            <v:imagedata r:id="rId135" o:title=""/>
          </v:shape>
          <o:OLEObject Type="Embed" ProgID="Equation.DSMT4" ShapeID="_x0000_i1087" DrawAspect="Content" ObjectID="_1799840658" r:id="rId136"/>
        </w:object>
      </w:r>
      <w:r>
        <w:rPr>
          <w:rFonts w:ascii="Times New Roman" w:hAnsi="Times New Roman" w:cs="Times New Roman"/>
          <w:sz w:val="28"/>
          <w:szCs w:val="28"/>
        </w:rPr>
        <w:t>, gdzie wyrażenie pierwsze jest prawdopodobieństwem bezwarunkowym, tj. bez znajomości stanu zdarzenia A. Ta ogólność przyczynowości drugiego typu jest niezbyt dobrze dopasowana do ludzkiej intuicji rozumienia przyczyny i skutku. Dlatego postuluje się jej doprecyzowanie przez podanie relacji czasowej między A i B oraz mechanizmu, który rządzi tymi zależnościami. Tu znów mamy nawiązanie do teorii programu w naukowej ewaluacji.</w:t>
      </w:r>
    </w:p>
    <w:p w14:paraId="2367054A" w14:textId="77777777" w:rsidR="000F61BA" w:rsidRDefault="000F61BA" w:rsidP="000F61BA">
      <w:pPr>
        <w:pStyle w:val="Akapitzlist"/>
        <w:spacing w:line="264" w:lineRule="auto"/>
        <w:ind w:left="142" w:firstLine="425"/>
        <w:jc w:val="both"/>
        <w:rPr>
          <w:rFonts w:ascii="Times New Roman" w:hAnsi="Times New Roman" w:cs="Times New Roman"/>
          <w:sz w:val="28"/>
          <w:szCs w:val="28"/>
        </w:rPr>
      </w:pPr>
      <w:r>
        <w:rPr>
          <w:rFonts w:ascii="Times New Roman" w:hAnsi="Times New Roman" w:cs="Times New Roman"/>
          <w:sz w:val="28"/>
          <w:szCs w:val="28"/>
        </w:rPr>
        <w:t>W teorii programu obok jej składowej w postaci teorii zmiany często pojawia się też teoria działania. Z tą drugą łączą się rachunki/kalkulacje przyczynowe (</w:t>
      </w:r>
      <w:r w:rsidRPr="0094727E">
        <w:rPr>
          <w:rFonts w:ascii="Times New Roman" w:hAnsi="Times New Roman" w:cs="Times New Roman"/>
          <w:i/>
          <w:iCs/>
          <w:sz w:val="28"/>
          <w:szCs w:val="28"/>
        </w:rPr>
        <w:t>a causal calculus</w:t>
      </w:r>
      <w:r>
        <w:rPr>
          <w:rFonts w:ascii="Times New Roman" w:hAnsi="Times New Roman" w:cs="Times New Roman"/>
          <w:sz w:val="28"/>
          <w:szCs w:val="28"/>
        </w:rPr>
        <w:t>), nazywane także „</w:t>
      </w:r>
      <w:r w:rsidRPr="0094727E">
        <w:rPr>
          <w:rFonts w:ascii="Times New Roman" w:hAnsi="Times New Roman" w:cs="Times New Roman"/>
          <w:i/>
          <w:iCs/>
          <w:sz w:val="28"/>
          <w:szCs w:val="28"/>
        </w:rPr>
        <w:t>do-calculus</w:t>
      </w:r>
      <w:r>
        <w:rPr>
          <w:rFonts w:ascii="Times New Roman" w:hAnsi="Times New Roman" w:cs="Times New Roman"/>
          <w:sz w:val="28"/>
          <w:szCs w:val="28"/>
        </w:rPr>
        <w:t>”. Ich zrozumienie wymaga odwoływania się równocześnie do już ww. prawdopodobieństw warunkowych oraz prawdopodobieństw interwencyjnych (</w:t>
      </w:r>
      <w:r w:rsidRPr="0094727E">
        <w:rPr>
          <w:rFonts w:ascii="Times New Roman" w:hAnsi="Times New Roman" w:cs="Times New Roman"/>
          <w:i/>
          <w:iCs/>
          <w:sz w:val="28"/>
          <w:szCs w:val="28"/>
        </w:rPr>
        <w:t xml:space="preserve">an </w:t>
      </w:r>
      <w:r>
        <w:rPr>
          <w:rFonts w:ascii="Times New Roman" w:hAnsi="Times New Roman" w:cs="Times New Roman"/>
          <w:i/>
          <w:iCs/>
          <w:sz w:val="28"/>
          <w:szCs w:val="28"/>
        </w:rPr>
        <w:t>interventional</w:t>
      </w:r>
      <w:r w:rsidRPr="0094727E">
        <w:rPr>
          <w:rFonts w:ascii="Times New Roman" w:hAnsi="Times New Roman" w:cs="Times New Roman"/>
          <w:i/>
          <w:iCs/>
          <w:sz w:val="28"/>
          <w:szCs w:val="28"/>
        </w:rPr>
        <w:t xml:space="preserve"> probabilities</w:t>
      </w:r>
      <w:r>
        <w:rPr>
          <w:rFonts w:ascii="Times New Roman" w:hAnsi="Times New Roman" w:cs="Times New Roman"/>
          <w:sz w:val="28"/>
          <w:szCs w:val="28"/>
        </w:rPr>
        <w:t xml:space="preserve">). Te ostatnie można zapisywać przykładowo jak: P (cancer do (smoking). Należy je natomiast interpretować następująco: jest to prawdopodobieństwo wykrycia u jakiejś osoby raka płuca, gdy była ona w przeszłości zmuszona do palenia przez eksperymentatora. Sytuacja ta jest możliwa przede wszystkim w randomizowanych kontrolowanych eksperymentach/interwencjach. Co istotne to to, że drugi typ prawdopodobieństw można wyprowadzić z prawdopodobieństw warunkowych w sieciach Baysowskich ze zmiennymi niemierzonymi. Kolejna bardzo ważna rzecz w kontekście </w:t>
      </w:r>
      <w:r w:rsidRPr="00161EE9">
        <w:rPr>
          <w:rFonts w:ascii="Times New Roman" w:hAnsi="Times New Roman" w:cs="Times New Roman"/>
          <w:i/>
          <w:iCs/>
          <w:sz w:val="28"/>
          <w:szCs w:val="28"/>
        </w:rPr>
        <w:t>an impact evaluation</w:t>
      </w:r>
      <w:r>
        <w:rPr>
          <w:rFonts w:ascii="Times New Roman" w:hAnsi="Times New Roman" w:cs="Times New Roman"/>
          <w:sz w:val="28"/>
          <w:szCs w:val="28"/>
        </w:rPr>
        <w:t xml:space="preserve"> to istnienie zmiennych zakłócających, </w:t>
      </w:r>
      <w:r w:rsidRPr="00E46AC9">
        <w:rPr>
          <w:rFonts w:ascii="Times New Roman" w:hAnsi="Times New Roman" w:cs="Times New Roman"/>
          <w:i/>
          <w:iCs/>
          <w:sz w:val="28"/>
          <w:szCs w:val="28"/>
        </w:rPr>
        <w:t>the confounding variables</w:t>
      </w:r>
      <w:r>
        <w:rPr>
          <w:rFonts w:ascii="Times New Roman" w:hAnsi="Times New Roman" w:cs="Times New Roman"/>
          <w:sz w:val="28"/>
          <w:szCs w:val="28"/>
        </w:rPr>
        <w:t xml:space="preserve">, tj. takich, które po pewnych przekształceniach mogą </w:t>
      </w:r>
      <w:r>
        <w:rPr>
          <w:rFonts w:ascii="Times New Roman" w:hAnsi="Times New Roman" w:cs="Times New Roman"/>
          <w:sz w:val="28"/>
          <w:szCs w:val="28"/>
        </w:rPr>
        <w:lastRenderedPageBreak/>
        <w:t>dawać poprawny efekt przyczynowy między zmiennymi interesującymi ewaluatora. Od razu trzeba dodać, że w ewaluacji wpływu operuje się też pojęciem „</w:t>
      </w:r>
      <w:r w:rsidRPr="00CE5AAF">
        <w:rPr>
          <w:rFonts w:ascii="Times New Roman" w:hAnsi="Times New Roman" w:cs="Times New Roman"/>
          <w:i/>
          <w:iCs/>
          <w:sz w:val="28"/>
          <w:szCs w:val="28"/>
        </w:rPr>
        <w:t>unconfounding</w:t>
      </w:r>
      <w:r>
        <w:rPr>
          <w:rFonts w:ascii="Times New Roman" w:hAnsi="Times New Roman" w:cs="Times New Roman"/>
          <w:sz w:val="28"/>
          <w:szCs w:val="28"/>
        </w:rPr>
        <w:t>”, oznaczającym statystyczną niezależność zmiennych. Pojawia się ono w kontekście konstruowania zbioru zmiennych X w PSM. Do problemów powyższych powróci się jeszcze w dalszej części tego rozdziału.</w:t>
      </w:r>
    </w:p>
    <w:p w14:paraId="4242AD7E" w14:textId="77777777" w:rsidR="000F61BA" w:rsidRDefault="000F61BA" w:rsidP="000F61BA">
      <w:pPr>
        <w:pStyle w:val="Akapitzlist"/>
        <w:spacing w:line="264" w:lineRule="auto"/>
        <w:ind w:left="142" w:firstLine="425"/>
        <w:jc w:val="both"/>
        <w:rPr>
          <w:rFonts w:ascii="Times New Roman" w:hAnsi="Times New Roman" w:cs="Times New Roman"/>
          <w:sz w:val="28"/>
          <w:szCs w:val="28"/>
        </w:rPr>
      </w:pPr>
      <w:r>
        <w:rPr>
          <w:rFonts w:ascii="Times New Roman" w:hAnsi="Times New Roman" w:cs="Times New Roman"/>
          <w:sz w:val="28"/>
          <w:szCs w:val="28"/>
        </w:rPr>
        <w:t>W statystyce i ekonomii przyczynowość w pierwszym rzędzie pojawia się w różnych typach w regresji (Glewwe i Todd, 2022). Często zmienne niezależne ze zbioru X nazywa się w nich po prostu zmiennymi przyczynowymi, a błąd modeli jest kombinacją ich łącznego oddziaływania oraz opuszczenia innych, ważnych zmiennych tego typu. Następnie formułuje się odpowiednie hipotezy, by ustalić, czy mamy do czynienia z efektami przyczynowymi. Niestety, często może występować przyczynowość odwrotna. Opuszczenie niektórych ważnych zmiennych albo dodanie niepotrzebnie innych, czynniki nieobserwowalne najczęściej skutkują endogenicznością. Mylenie zaś korelacji i koincydencji z przyczynowością łącznie prowadzą do tego, że trudno uznać regresje za logiczne struktury przyczynowe. Stąd też wielu ekonomistów, szczególnie mikroekonomistów, preferuje matematyczne (aksjomatyczne) modele, które mają odzwierciedlać mechanizmy przyczynowe. Bardzo często są to jednak konstrukcje uproszczone i wyidealizowane, rzadko wytrzymujące konfrontację z rzeczywistością. Można je próbować łączyć z narzędziami empirycznymi typu symulacje historyczne i stochastyczne oraz bootstraping. Spora część ekonometryków i statystyków oraz epidemiologów opowiada się jednak za szerszym korzystaniem z modeli równań strukturalnych (</w:t>
      </w:r>
      <w:r w:rsidRPr="003B4905">
        <w:rPr>
          <w:rFonts w:ascii="Times New Roman" w:hAnsi="Times New Roman" w:cs="Times New Roman"/>
          <w:i/>
          <w:iCs/>
          <w:sz w:val="28"/>
          <w:szCs w:val="28"/>
        </w:rPr>
        <w:t>the structural equation models</w:t>
      </w:r>
      <w:r>
        <w:rPr>
          <w:rFonts w:ascii="Times New Roman" w:hAnsi="Times New Roman" w:cs="Times New Roman"/>
          <w:sz w:val="28"/>
          <w:szCs w:val="28"/>
        </w:rPr>
        <w:t>, SEM).</w:t>
      </w:r>
    </w:p>
    <w:p w14:paraId="13068ACD" w14:textId="77777777" w:rsidR="000F61BA" w:rsidRDefault="000F61BA" w:rsidP="000F61BA">
      <w:pPr>
        <w:pStyle w:val="Akapitzlist"/>
        <w:spacing w:line="264" w:lineRule="auto"/>
        <w:ind w:left="142" w:firstLine="425"/>
        <w:jc w:val="both"/>
        <w:rPr>
          <w:rFonts w:ascii="Times New Roman" w:hAnsi="Times New Roman" w:cs="Times New Roman"/>
          <w:sz w:val="28"/>
          <w:szCs w:val="28"/>
        </w:rPr>
      </w:pPr>
      <w:r>
        <w:rPr>
          <w:rFonts w:ascii="Times New Roman" w:hAnsi="Times New Roman" w:cs="Times New Roman"/>
          <w:sz w:val="28"/>
          <w:szCs w:val="28"/>
        </w:rPr>
        <w:t>SEM zaczęły się wyodrębniać z rachunku regresji i korelacji już na początku trzeciej dekady ub. wieku, kiedy to S. Wright opublikował artykuł pt. Correlation and Causation, w którym zaproponował zestaw równań, przypominających bardzo konwencję regresji, a w których starał się ustalić efekty bezpośrednie i pośrednie mechanizmów fizycznych i psychologicznych (Pearl, 2009). Równania te estymował za pomocą pojedynczej metody najmniejszych kwadratów. Jednak dopiero O.D. Duncan w swojej książce z 1975 r. wyłożył w miarę dojrzałe ujęcie SEM w naukach społecznych (Pearl, 2009). Trzecią ważną osobą w rozwoju SEM jest L. Hayduk (1987), który zastosował w tym narzędziu koncepcję zmiennych ukrytych (</w:t>
      </w:r>
      <w:r w:rsidRPr="006E451F">
        <w:rPr>
          <w:rFonts w:ascii="Times New Roman" w:hAnsi="Times New Roman" w:cs="Times New Roman"/>
          <w:i/>
          <w:iCs/>
          <w:sz w:val="28"/>
          <w:szCs w:val="28"/>
        </w:rPr>
        <w:t>a latent variables</w:t>
      </w:r>
      <w:r>
        <w:rPr>
          <w:rFonts w:ascii="Times New Roman" w:hAnsi="Times New Roman" w:cs="Times New Roman"/>
          <w:sz w:val="28"/>
          <w:szCs w:val="28"/>
        </w:rPr>
        <w:t>); uważa się, że one istnieją, ale nie można ich bezpośrednio obserwować.</w:t>
      </w:r>
    </w:p>
    <w:p w14:paraId="7D078DA5" w14:textId="77777777" w:rsidR="000F61BA" w:rsidRDefault="000F61BA" w:rsidP="000F61BA">
      <w:pPr>
        <w:pStyle w:val="Akapitzlist"/>
        <w:spacing w:line="264" w:lineRule="auto"/>
        <w:ind w:left="142" w:firstLine="425"/>
        <w:jc w:val="both"/>
        <w:rPr>
          <w:rFonts w:ascii="Times New Roman" w:hAnsi="Times New Roman" w:cs="Times New Roman"/>
          <w:sz w:val="28"/>
          <w:szCs w:val="28"/>
        </w:rPr>
      </w:pPr>
      <w:r>
        <w:rPr>
          <w:rFonts w:ascii="Times New Roman" w:hAnsi="Times New Roman" w:cs="Times New Roman"/>
          <w:sz w:val="28"/>
          <w:szCs w:val="28"/>
        </w:rPr>
        <w:t xml:space="preserve">Każdy model SEM stara się powiązać przyczynowo dwa swoje elementy składowe, tj. zmienne ukryte i obserwowane, za pomocą równań. W ten sposób powstaje mniej lub bardziej złożona struktura przyczynowa, którą należy opisać za pomocą określonych hipotez (Kline, 2016). W ujęciu bardziej technicznym do tego celu stosuje się: konfirmacyjną analizę czynnikową; analizę ścieżkową; </w:t>
      </w:r>
      <w:r>
        <w:rPr>
          <w:rFonts w:ascii="Times New Roman" w:hAnsi="Times New Roman" w:cs="Times New Roman"/>
          <w:sz w:val="28"/>
          <w:szCs w:val="28"/>
        </w:rPr>
        <w:lastRenderedPageBreak/>
        <w:t>modelowanie wielogrupowe; modelowanie długookresowe; modelowanie ukrytego wzrostu i modelowanie wielopoziomowe lub hierarchiczne (Kline, 2016). Do estymacji modelu najczęściej używa się: metodę największej wiarygodności z pełną informacją; zwykłą metodę najmniejszych kwadratów; podwójną metodę najmniejszych kwadratów (Kline, 2016). Podobieństwo tych narzędzi do stosowanych w regresji jest uderzające, ale w świetle tego, co powyżej napisano, nie może w ogóle zaskakiwać.</w:t>
      </w:r>
    </w:p>
    <w:p w14:paraId="25D1F578" w14:textId="77777777" w:rsidR="000F61BA" w:rsidRDefault="000F61BA" w:rsidP="000F61BA">
      <w:pPr>
        <w:pStyle w:val="Akapitzlist"/>
        <w:spacing w:line="264" w:lineRule="auto"/>
        <w:ind w:left="142" w:firstLine="425"/>
        <w:jc w:val="both"/>
        <w:rPr>
          <w:rFonts w:ascii="Times New Roman" w:hAnsi="Times New Roman" w:cs="Times New Roman"/>
          <w:sz w:val="28"/>
          <w:szCs w:val="28"/>
        </w:rPr>
      </w:pPr>
      <w:r>
        <w:rPr>
          <w:rFonts w:ascii="Times New Roman" w:hAnsi="Times New Roman" w:cs="Times New Roman"/>
          <w:sz w:val="28"/>
          <w:szCs w:val="28"/>
        </w:rPr>
        <w:t>Podstawową zaletą SEM jest równoczesność prowadzenia całej procedury i głębokie wykorzystanie zgromadzonych informacji. W konsekwencji oszacowania całego systemu są precyzyjniejsze, niż gdyby prowadzono je w ramach osobnych modeli. J. Pearl rozszerzył przy tym klasyczny SEM, dodając do konwencji liniowej modele nieparametryczne oraz wprowadził kontrfaktyczność w struktury przyczynowości (Pearl, 2009). To ostanie novum jest szczególnie cenne dla ewaluacji wpływu, gdyż pozwala wyizolować efekty bezpośrednie i pośrednie oraz mechanizmy.</w:t>
      </w:r>
    </w:p>
    <w:p w14:paraId="02C2C042" w14:textId="77777777" w:rsidR="000F61BA" w:rsidRDefault="000F61BA" w:rsidP="000F61BA">
      <w:pPr>
        <w:tabs>
          <w:tab w:val="left" w:pos="1025"/>
        </w:tabs>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Socjologowie początkowo dla SEM używali określenia „</w:t>
      </w:r>
      <w:r w:rsidRPr="003B2D10">
        <w:rPr>
          <w:rFonts w:ascii="Times New Roman" w:hAnsi="Times New Roman" w:cs="Times New Roman"/>
          <w:i/>
          <w:iCs/>
          <w:sz w:val="28"/>
          <w:szCs w:val="28"/>
        </w:rPr>
        <w:t>a causal model</w:t>
      </w:r>
      <w:r>
        <w:rPr>
          <w:rFonts w:ascii="Times New Roman" w:hAnsi="Times New Roman" w:cs="Times New Roman"/>
          <w:sz w:val="28"/>
          <w:szCs w:val="28"/>
        </w:rPr>
        <w:t>”. Z czasem jednak odeszli od niego, gdyż część z nich, o orientacji bardziej praktycznej zaczęła w ogóle odrzucać jakąkolwiek przyczynowość. Ekonomiści natomiast szybciej zaczęli akceptować ww. nazwę, bo bardziej preferowali wszelkie ujęcia formalne, chociaż także i oni nie zawsze widzieli w SEM odwzorowania przyczynowe (Pearl i in.,  2016).</w:t>
      </w:r>
    </w:p>
    <w:p w14:paraId="04565848" w14:textId="77777777" w:rsidR="000F61BA" w:rsidRDefault="000F61BA" w:rsidP="000F61BA">
      <w:pPr>
        <w:pStyle w:val="Akapitzlist"/>
        <w:spacing w:line="264" w:lineRule="auto"/>
        <w:ind w:left="142" w:firstLine="425"/>
        <w:jc w:val="both"/>
        <w:rPr>
          <w:rFonts w:ascii="Times New Roman" w:hAnsi="Times New Roman" w:cs="Times New Roman"/>
          <w:sz w:val="28"/>
          <w:szCs w:val="28"/>
        </w:rPr>
      </w:pPr>
      <w:r>
        <w:rPr>
          <w:rFonts w:ascii="Times New Roman" w:hAnsi="Times New Roman" w:cs="Times New Roman"/>
          <w:sz w:val="28"/>
          <w:szCs w:val="28"/>
        </w:rPr>
        <w:t>Recz jasna, SEM są też krytykowane i wciąż wzbudzają kontrowersje (Bollen i Pearl, 2013). Po pierwsze, odwzorowanie rzeczywistych zależności w danych obserwacyjnych może być nieprecyzyjne, ale przecież z tym samym problemem mamy do czynienia również w recesji. Po drugie, istnieje napięcie między dążeniem do powiększania prób badawczych, żeby uzyskać nieobciążone oszacowania, a ryzykiem uzyskania modeli błędnie wyspecyfikowanych. Po trzecie, badacze różnią się preferencjami co do liczby zmiennych obserwowanych używanych dla skonstruowania zmiennych ukrytych. Dzielenie natomiast dużych prób na podgrupy może skutkować utratą homogeniczności struktur przyczynowości. Po czwarte, zwolennicy analizy czynnikowej często nie zgadzają się z badaczami preferującymi tradycję analizy ścieżkowej. Po piąte, SEM, podobnie jak regresja, nie są wolne od problemu endogeniczności.</w:t>
      </w:r>
    </w:p>
    <w:p w14:paraId="7F856D63" w14:textId="26D28EDC" w:rsidR="000F61BA" w:rsidRDefault="000F61BA" w:rsidP="000F61BA">
      <w:pPr>
        <w:pStyle w:val="Akapitzlist"/>
        <w:spacing w:line="264" w:lineRule="auto"/>
        <w:ind w:left="142" w:firstLine="425"/>
        <w:jc w:val="both"/>
        <w:rPr>
          <w:rFonts w:ascii="Times New Roman" w:hAnsi="Times New Roman" w:cs="Times New Roman"/>
          <w:sz w:val="28"/>
          <w:szCs w:val="28"/>
        </w:rPr>
      </w:pPr>
      <w:r>
        <w:rPr>
          <w:rFonts w:ascii="Times New Roman" w:hAnsi="Times New Roman" w:cs="Times New Roman"/>
          <w:sz w:val="28"/>
          <w:szCs w:val="28"/>
        </w:rPr>
        <w:t>W ewaluacji wpływu obok techniki zmiennych instrumentalnych coraz częściej spotyka się funkcję kontroli (Gleww</w:t>
      </w:r>
      <w:r w:rsidR="00D13DC3">
        <w:rPr>
          <w:rFonts w:ascii="Times New Roman" w:hAnsi="Times New Roman" w:cs="Times New Roman"/>
          <w:sz w:val="28"/>
          <w:szCs w:val="28"/>
        </w:rPr>
        <w:t>e</w:t>
      </w:r>
      <w:r>
        <w:rPr>
          <w:rFonts w:ascii="Times New Roman" w:hAnsi="Times New Roman" w:cs="Times New Roman"/>
          <w:sz w:val="28"/>
          <w:szCs w:val="28"/>
        </w:rPr>
        <w:t xml:space="preserve"> i Todd, 2022). Ta ostania posługuje się pojęciem </w:t>
      </w:r>
      <w:r w:rsidRPr="00250BCF">
        <w:rPr>
          <w:rFonts w:ascii="Times New Roman" w:hAnsi="Times New Roman" w:cs="Times New Roman"/>
          <w:i/>
          <w:iCs/>
          <w:sz w:val="28"/>
          <w:szCs w:val="28"/>
        </w:rPr>
        <w:t>a causal system</w:t>
      </w:r>
      <w:r>
        <w:rPr>
          <w:rFonts w:ascii="Times New Roman" w:hAnsi="Times New Roman" w:cs="Times New Roman"/>
          <w:sz w:val="28"/>
          <w:szCs w:val="28"/>
        </w:rPr>
        <w:t>, które wywodzi się z nieantycypatywnych systemów fizycznych (Karini i Hamilton, 2011). Jest to taki system, którego wyjście y(t</w:t>
      </w:r>
      <w:r w:rsidRPr="00AB6F2B">
        <w:rPr>
          <w:rFonts w:ascii="Times New Roman" w:hAnsi="Times New Roman" w:cs="Times New Roman"/>
          <w:sz w:val="28"/>
          <w:szCs w:val="28"/>
          <w:vertAlign w:val="subscript"/>
        </w:rPr>
        <w:t>0</w:t>
      </w:r>
      <w:r>
        <w:rPr>
          <w:rFonts w:ascii="Times New Roman" w:hAnsi="Times New Roman" w:cs="Times New Roman"/>
          <w:sz w:val="28"/>
          <w:szCs w:val="28"/>
        </w:rPr>
        <w:t>) zależy tylko od wejścia przeszłego lub aktualnego, ale nie od przyszłości:</w:t>
      </w:r>
    </w:p>
    <w:p w14:paraId="3CC27EBE" w14:textId="77777777" w:rsidR="000F61BA" w:rsidRDefault="000F61BA" w:rsidP="000F61BA">
      <w:pPr>
        <w:tabs>
          <w:tab w:val="left" w:pos="2995"/>
        </w:tabs>
      </w:pPr>
      <w:r>
        <w:lastRenderedPageBreak/>
        <w:tab/>
      </w:r>
      <w:r w:rsidRPr="007A7755">
        <w:rPr>
          <w:position w:val="-14"/>
        </w:rPr>
        <w:object w:dxaOrig="2260" w:dyaOrig="400" w14:anchorId="30462EDD">
          <v:shape id="_x0000_i1088" type="#_x0000_t75" style="width:115pt;height:22pt" o:ole="">
            <v:imagedata r:id="rId137" o:title=""/>
          </v:shape>
          <o:OLEObject Type="Embed" ProgID="Equation.DSMT4" ShapeID="_x0000_i1088" DrawAspect="Content" ObjectID="_1799840659" r:id="rId138"/>
        </w:object>
      </w:r>
      <w:r>
        <w:t>.</w:t>
      </w:r>
    </w:p>
    <w:p w14:paraId="0C851F76" w14:textId="77777777" w:rsidR="000F61BA" w:rsidRDefault="000F61BA" w:rsidP="000F61BA">
      <w:pPr>
        <w:tabs>
          <w:tab w:val="left" w:pos="1025"/>
        </w:tabs>
        <w:spacing w:line="264" w:lineRule="auto"/>
        <w:jc w:val="both"/>
        <w:rPr>
          <w:rFonts w:ascii="Times New Roman" w:hAnsi="Times New Roman" w:cs="Times New Roman"/>
          <w:sz w:val="28"/>
          <w:szCs w:val="28"/>
        </w:rPr>
      </w:pPr>
      <w:r w:rsidRPr="00E5627C">
        <w:rPr>
          <w:rFonts w:ascii="Times New Roman" w:hAnsi="Times New Roman" w:cs="Times New Roman"/>
          <w:sz w:val="28"/>
          <w:szCs w:val="28"/>
        </w:rPr>
        <w:t>Jeśli natomiast wyjcie systemu zależy również od jego przyszłych wejść</w:t>
      </w:r>
      <w:r>
        <w:rPr>
          <w:rFonts w:ascii="Times New Roman" w:hAnsi="Times New Roman" w:cs="Times New Roman"/>
          <w:sz w:val="28"/>
          <w:szCs w:val="28"/>
        </w:rPr>
        <w:t>, mamy do czynienia z systemem nieprzyczynowym (</w:t>
      </w:r>
      <w:r w:rsidRPr="00E5627C">
        <w:rPr>
          <w:rFonts w:ascii="Times New Roman" w:hAnsi="Times New Roman" w:cs="Times New Roman"/>
          <w:i/>
          <w:iCs/>
          <w:sz w:val="28"/>
          <w:szCs w:val="28"/>
        </w:rPr>
        <w:t>a non-causal</w:t>
      </w:r>
      <w:r>
        <w:rPr>
          <w:rFonts w:ascii="Times New Roman" w:hAnsi="Times New Roman" w:cs="Times New Roman"/>
          <w:sz w:val="28"/>
          <w:szCs w:val="28"/>
        </w:rPr>
        <w:t xml:space="preserve"> lub </w:t>
      </w:r>
      <w:r w:rsidRPr="00E5627C">
        <w:rPr>
          <w:rFonts w:ascii="Times New Roman" w:hAnsi="Times New Roman" w:cs="Times New Roman"/>
          <w:i/>
          <w:iCs/>
          <w:sz w:val="28"/>
          <w:szCs w:val="28"/>
        </w:rPr>
        <w:t>an causal system</w:t>
      </w:r>
      <w:r>
        <w:rPr>
          <w:rFonts w:ascii="Times New Roman" w:hAnsi="Times New Roman" w:cs="Times New Roman"/>
          <w:sz w:val="28"/>
          <w:szCs w:val="28"/>
        </w:rPr>
        <w:t>). W przypadku gdy system zależy natomiast tylko od przyszłości, pojawia się antyprzyczynowy system (</w:t>
      </w:r>
      <w:r w:rsidRPr="005E2FD5">
        <w:rPr>
          <w:rFonts w:ascii="Times New Roman" w:hAnsi="Times New Roman" w:cs="Times New Roman"/>
          <w:i/>
          <w:iCs/>
          <w:sz w:val="28"/>
          <w:szCs w:val="28"/>
        </w:rPr>
        <w:t>an anticausal system</w:t>
      </w:r>
      <w:r>
        <w:rPr>
          <w:rFonts w:ascii="Times New Roman" w:hAnsi="Times New Roman" w:cs="Times New Roman"/>
          <w:sz w:val="28"/>
          <w:szCs w:val="28"/>
        </w:rPr>
        <w:t>). Generalnie fizyka przyjmuje, że rzeczywistość funkcjonuje jako system przyczynowy ale w rozważaniach bardziej zaawansowanych przyczynowość definiuje się w niej, w powiązaniu z ogólną i szczególną teorią względności. I tu pojawia się bardzo ciekawy problem, a mianowicie, czy istnieje problem nadświetlności i związane z nim tachiony, tj. cząstki, które poruszają się z prędkością większą niż światło. Gdyby tak było, to mielibyśmy do czynienia z paradoksem przyczynowości, tzn. można by się cofać w przeszłość i ingerować w nią. Ostatnio grupa polskich fizyków udowodniła, ale w sensie czysto matematycznym, że nadświetlność można włączyć w teorię Einsteina (Cieśliński, 2024). Wciąż czekamy natomiast na empiryczne wykrycie tachionow i pełniejsze wyjaśnienie indeterminizmu losowości.</w:t>
      </w:r>
    </w:p>
    <w:p w14:paraId="6A149C93" w14:textId="77777777" w:rsidR="000F61BA" w:rsidRDefault="000F61BA" w:rsidP="000F61BA">
      <w:pPr>
        <w:tabs>
          <w:tab w:val="left" w:pos="1025"/>
        </w:tabs>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Model przyczynowy, nazywamy także </w:t>
      </w:r>
      <w:r w:rsidRPr="003B2D10">
        <w:rPr>
          <w:rFonts w:ascii="Times New Roman" w:hAnsi="Times New Roman" w:cs="Times New Roman"/>
          <w:i/>
          <w:iCs/>
          <w:sz w:val="28"/>
          <w:szCs w:val="28"/>
        </w:rPr>
        <w:t>a structural causal model</w:t>
      </w:r>
      <w:r>
        <w:rPr>
          <w:rFonts w:ascii="Times New Roman" w:hAnsi="Times New Roman" w:cs="Times New Roman"/>
          <w:sz w:val="28"/>
          <w:szCs w:val="28"/>
        </w:rPr>
        <w:t xml:space="preserve"> (SCM), to konstrukcja matematyczna odzwierciedlająca relacje przyczynowe w systemie lub populacji (Pearl i in., 2016). Jego celem jest ułatwienie wnioskowania w oparciu o zebrany materiał statystyczny, co jest użyteczne w momencie rozstrzygania o zewnętrznej walidacji otrzymanych wyników ewaluacyjnych, czyli możliwości ich uogólnienia na inne systemy i populacje. Jest ona ważna w momencie identyfikowania epistemologii przyczynowości, relacji między nią a prawdopodobieństwem oraz objaśniania istoty </w:t>
      </w:r>
      <w:r w:rsidRPr="00C7761A">
        <w:rPr>
          <w:rFonts w:ascii="Times New Roman" w:hAnsi="Times New Roman" w:cs="Times New Roman"/>
          <w:i/>
          <w:iCs/>
          <w:sz w:val="28"/>
          <w:szCs w:val="28"/>
        </w:rPr>
        <w:t>the counter factuals</w:t>
      </w:r>
      <w:r>
        <w:rPr>
          <w:rFonts w:ascii="Times New Roman" w:hAnsi="Times New Roman" w:cs="Times New Roman"/>
          <w:sz w:val="28"/>
          <w:szCs w:val="28"/>
        </w:rPr>
        <w:t>. SCM odgrywają ważną rolę również w teorii podejmowania decyzji.</w:t>
      </w:r>
    </w:p>
    <w:p w14:paraId="33C7A1C6" w14:textId="77777777" w:rsidR="000F61BA" w:rsidRDefault="000F61BA" w:rsidP="000F61BA">
      <w:pPr>
        <w:tabs>
          <w:tab w:val="left" w:pos="1025"/>
        </w:tabs>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W sensie najbardziej ogólnym SCM jest trójką uporządkowaną (U,V, E), gdzie U oznacza zbiór zmiennych egzogenicznych, V jest zbiorem zmiennych endogenicznych, a E to zbiór równań strukturalnych łączących zmienne U i V (Pearl, 2009). Według Pearla (2009) SCM może być rozpatrywany na trzech poziomach, co autor ten określił jako „</w:t>
      </w:r>
      <w:r w:rsidRPr="00924CDA">
        <w:rPr>
          <w:rFonts w:ascii="Times New Roman" w:hAnsi="Times New Roman" w:cs="Times New Roman"/>
          <w:i/>
          <w:iCs/>
          <w:sz w:val="28"/>
          <w:szCs w:val="28"/>
        </w:rPr>
        <w:t>the ladder of causation</w:t>
      </w:r>
      <w:r>
        <w:rPr>
          <w:rFonts w:ascii="Times New Roman" w:hAnsi="Times New Roman" w:cs="Times New Roman"/>
          <w:sz w:val="28"/>
          <w:szCs w:val="28"/>
        </w:rPr>
        <w:t>”:</w:t>
      </w:r>
    </w:p>
    <w:p w14:paraId="0C95F1C3" w14:textId="77777777" w:rsidR="000F61BA" w:rsidRDefault="000F61BA" w:rsidP="001D0854">
      <w:pPr>
        <w:pStyle w:val="Akapitzlist"/>
        <w:numPr>
          <w:ilvl w:val="0"/>
          <w:numId w:val="24"/>
        </w:numPr>
        <w:tabs>
          <w:tab w:val="left" w:pos="1025"/>
        </w:tabs>
        <w:spacing w:line="264" w:lineRule="auto"/>
        <w:ind w:left="426" w:hanging="426"/>
        <w:jc w:val="both"/>
        <w:rPr>
          <w:rFonts w:ascii="Times New Roman" w:hAnsi="Times New Roman" w:cs="Times New Roman"/>
          <w:sz w:val="28"/>
          <w:szCs w:val="28"/>
        </w:rPr>
      </w:pPr>
      <w:r>
        <w:rPr>
          <w:rFonts w:ascii="Times New Roman" w:hAnsi="Times New Roman" w:cs="Times New Roman"/>
          <w:sz w:val="28"/>
          <w:szCs w:val="28"/>
        </w:rPr>
        <w:t>Związków (</w:t>
      </w:r>
      <w:r w:rsidRPr="002B085C">
        <w:rPr>
          <w:rFonts w:ascii="Times New Roman" w:hAnsi="Times New Roman" w:cs="Times New Roman"/>
          <w:i/>
          <w:iCs/>
          <w:sz w:val="28"/>
          <w:szCs w:val="28"/>
        </w:rPr>
        <w:t>assotiations</w:t>
      </w:r>
      <w:r>
        <w:rPr>
          <w:rFonts w:ascii="Times New Roman" w:hAnsi="Times New Roman" w:cs="Times New Roman"/>
          <w:sz w:val="28"/>
          <w:szCs w:val="28"/>
        </w:rPr>
        <w:t xml:space="preserve">). Dowolny obiekt jest powiązany z innym, jeśli możemy obserwować, jak prawdopodobne zmiany pierwszego wpłyną na prawdopodobne zachowania drugiego. Innymi słowy, staramy się tu ustalić korelacje między zmiennymi egzo- i endogenicznymi. Co ważne, asocjacje nie mają implikacji przyczynowych, bo zależności mogą być jednokierunkowe, ale i dwustronne albo oddziaływują jakieś inne jeszcze czynniki. Początkowo statystycy przyczynowość ujmowali w kategoriach czystych </w:t>
      </w:r>
      <w:r>
        <w:rPr>
          <w:rFonts w:ascii="Times New Roman" w:hAnsi="Times New Roman" w:cs="Times New Roman"/>
          <w:sz w:val="28"/>
          <w:szCs w:val="28"/>
        </w:rPr>
        <w:lastRenderedPageBreak/>
        <w:t>prawdopodobieństw. Zgodnie z tym zdarzenie X jest przyczyną zdarzenia Y, jeśli zwiększa prawdopodobieństwo jego wystąpienia:</w:t>
      </w:r>
    </w:p>
    <w:p w14:paraId="6F688E98" w14:textId="77777777" w:rsidR="000F61BA" w:rsidRDefault="000F61BA" w:rsidP="000F61BA">
      <w:pPr>
        <w:pStyle w:val="Akapitzlist"/>
        <w:tabs>
          <w:tab w:val="left" w:pos="1025"/>
        </w:tabs>
        <w:spacing w:line="264" w:lineRule="auto"/>
        <w:ind w:left="426"/>
        <w:jc w:val="both"/>
        <w:rPr>
          <w:rFonts w:ascii="Times New Roman" w:hAnsi="Times New Roman" w:cs="Times New Roman"/>
          <w:sz w:val="28"/>
          <w:szCs w:val="28"/>
        </w:rPr>
      </w:pPr>
    </w:p>
    <w:p w14:paraId="1933455F" w14:textId="77777777" w:rsidR="000F61BA" w:rsidRDefault="000F61BA" w:rsidP="000F61BA">
      <w:pPr>
        <w:pStyle w:val="Akapitzlist"/>
        <w:tabs>
          <w:tab w:val="left" w:pos="1025"/>
        </w:tabs>
        <w:spacing w:line="264" w:lineRule="auto"/>
        <w:ind w:left="426"/>
        <w:jc w:val="center"/>
        <w:rPr>
          <w:rFonts w:ascii="Times New Roman" w:hAnsi="Times New Roman" w:cs="Times New Roman"/>
          <w:sz w:val="28"/>
          <w:szCs w:val="28"/>
        </w:rPr>
      </w:pPr>
      <w:r w:rsidRPr="0079340A">
        <w:rPr>
          <w:rFonts w:ascii="Times New Roman" w:hAnsi="Times New Roman" w:cs="Times New Roman"/>
          <w:position w:val="-16"/>
          <w:sz w:val="28"/>
          <w:szCs w:val="28"/>
        </w:rPr>
        <w:object w:dxaOrig="1640" w:dyaOrig="440" w14:anchorId="0F809FE4">
          <v:shape id="_x0000_i1089" type="#_x0000_t75" style="width:79.5pt;height:22pt" o:ole="">
            <v:imagedata r:id="rId139" o:title=""/>
          </v:shape>
          <o:OLEObject Type="Embed" ProgID="Equation.DSMT4" ShapeID="_x0000_i1089" DrawAspect="Content" ObjectID="_1799840660" r:id="rId140"/>
        </w:object>
      </w:r>
      <w:r>
        <w:rPr>
          <w:rFonts w:ascii="Times New Roman" w:hAnsi="Times New Roman" w:cs="Times New Roman"/>
          <w:sz w:val="28"/>
          <w:szCs w:val="28"/>
        </w:rPr>
        <w:t>.</w:t>
      </w:r>
    </w:p>
    <w:p w14:paraId="5EF91391" w14:textId="77777777" w:rsidR="000F61BA" w:rsidRDefault="000F61BA" w:rsidP="000F61BA">
      <w:pPr>
        <w:spacing w:line="264" w:lineRule="auto"/>
        <w:jc w:val="both"/>
        <w:rPr>
          <w:rFonts w:ascii="Times New Roman" w:hAnsi="Times New Roman" w:cs="Times New Roman"/>
          <w:sz w:val="28"/>
          <w:szCs w:val="28"/>
        </w:rPr>
      </w:pPr>
      <w:r w:rsidRPr="00162E5D">
        <w:rPr>
          <w:rFonts w:ascii="Times New Roman" w:hAnsi="Times New Roman" w:cs="Times New Roman"/>
          <w:sz w:val="28"/>
          <w:szCs w:val="28"/>
        </w:rPr>
        <w:t xml:space="preserve">Jest to </w:t>
      </w:r>
      <w:r>
        <w:rPr>
          <w:rFonts w:ascii="Times New Roman" w:hAnsi="Times New Roman" w:cs="Times New Roman"/>
          <w:sz w:val="28"/>
          <w:szCs w:val="28"/>
        </w:rPr>
        <w:t>formalizacja nieadekwatna, gdyż istnieją jeszcze inne relacje wpływające tak na X, jak i Y. Stąd później zaczęto posługiwać się szerszym wyrażeniem:</w:t>
      </w:r>
    </w:p>
    <w:p w14:paraId="14709B83" w14:textId="77777777" w:rsidR="000F61BA" w:rsidRDefault="000F61BA" w:rsidP="000F61BA">
      <w:pPr>
        <w:tabs>
          <w:tab w:val="left" w:pos="3767"/>
        </w:tabs>
        <w:spacing w:line="264" w:lineRule="auto"/>
        <w:jc w:val="center"/>
        <w:rPr>
          <w:rFonts w:ascii="Times New Roman" w:hAnsi="Times New Roman" w:cs="Times New Roman"/>
          <w:sz w:val="28"/>
          <w:szCs w:val="28"/>
        </w:rPr>
      </w:pPr>
      <w:r w:rsidRPr="0079340A">
        <w:rPr>
          <w:rFonts w:ascii="Times New Roman" w:hAnsi="Times New Roman" w:cs="Times New Roman"/>
          <w:position w:val="-16"/>
          <w:sz w:val="28"/>
          <w:szCs w:val="28"/>
        </w:rPr>
        <w:object w:dxaOrig="3040" w:dyaOrig="440" w14:anchorId="5482ABDE">
          <v:shape id="_x0000_i1090" type="#_x0000_t75" style="width:151.5pt;height:22pt" o:ole="">
            <v:imagedata r:id="rId141" o:title=""/>
          </v:shape>
          <o:OLEObject Type="Embed" ProgID="Equation.DSMT4" ShapeID="_x0000_i1090" DrawAspect="Content" ObjectID="_1799840661" r:id="rId142"/>
        </w:object>
      </w:r>
    </w:p>
    <w:p w14:paraId="3F0AB167" w14:textId="77777777" w:rsidR="000F61BA" w:rsidRDefault="000F61BA" w:rsidP="000F61BA">
      <w:pPr>
        <w:spacing w:line="264" w:lineRule="auto"/>
        <w:jc w:val="both"/>
        <w:rPr>
          <w:rFonts w:ascii="Times New Roman" w:hAnsi="Times New Roman" w:cs="Times New Roman"/>
          <w:sz w:val="28"/>
          <w:szCs w:val="28"/>
        </w:rPr>
      </w:pPr>
      <w:r>
        <w:rPr>
          <w:rFonts w:ascii="Times New Roman" w:hAnsi="Times New Roman" w:cs="Times New Roman"/>
          <w:sz w:val="28"/>
          <w:szCs w:val="28"/>
        </w:rPr>
        <w:t>gdzie: K – oznacza inne zmienne, a k jest ich kontekstową konkretyzacją. Tu z kolei pojawia się nowy problem: nieokreśloność procedur tworzenia zbioru K, jeśli chcemy zachować prawdopodobieństwo jako jedyne kryterium przyczynowości. Odpowiedzią na to stały się przyczynowość Grangera i metody testowania hipotez statystycznych.</w:t>
      </w:r>
    </w:p>
    <w:p w14:paraId="18449AD5" w14:textId="77777777" w:rsidR="000F61BA" w:rsidRDefault="000F61BA" w:rsidP="001D0854">
      <w:pPr>
        <w:pStyle w:val="Akapitzlist"/>
        <w:numPr>
          <w:ilvl w:val="0"/>
          <w:numId w:val="24"/>
        </w:numPr>
        <w:spacing w:line="264" w:lineRule="auto"/>
        <w:ind w:left="426" w:hanging="426"/>
        <w:jc w:val="both"/>
        <w:rPr>
          <w:rFonts w:ascii="Times New Roman" w:hAnsi="Times New Roman" w:cs="Times New Roman"/>
          <w:sz w:val="28"/>
          <w:szCs w:val="28"/>
        </w:rPr>
      </w:pPr>
      <w:r w:rsidRPr="00722B13">
        <w:rPr>
          <w:rFonts w:ascii="Times New Roman" w:hAnsi="Times New Roman" w:cs="Times New Roman"/>
          <w:sz w:val="28"/>
          <w:szCs w:val="28"/>
        </w:rPr>
        <w:t>Interwencji (</w:t>
      </w:r>
      <w:r w:rsidRPr="00722B13">
        <w:rPr>
          <w:rFonts w:ascii="Times New Roman" w:hAnsi="Times New Roman" w:cs="Times New Roman"/>
          <w:i/>
          <w:iCs/>
          <w:sz w:val="28"/>
          <w:szCs w:val="28"/>
        </w:rPr>
        <w:t>interventions or doing</w:t>
      </w:r>
      <w:r w:rsidRPr="00722B13">
        <w:rPr>
          <w:rFonts w:ascii="Times New Roman" w:hAnsi="Times New Roman" w:cs="Times New Roman"/>
          <w:sz w:val="28"/>
          <w:szCs w:val="28"/>
        </w:rPr>
        <w:t xml:space="preserve">). </w:t>
      </w:r>
      <w:r w:rsidRPr="00FA7703">
        <w:rPr>
          <w:rFonts w:ascii="Times New Roman" w:hAnsi="Times New Roman" w:cs="Times New Roman"/>
          <w:sz w:val="28"/>
          <w:szCs w:val="28"/>
        </w:rPr>
        <w:t>Tu zakłada się istnienie specyficznej p</w:t>
      </w:r>
      <w:r>
        <w:rPr>
          <w:rFonts w:ascii="Times New Roman" w:hAnsi="Times New Roman" w:cs="Times New Roman"/>
          <w:sz w:val="28"/>
          <w:szCs w:val="28"/>
        </w:rPr>
        <w:t>rzyczynowości, tj. rozmyślne działanie ma przynieść określony rezultat. To implikuje pojawienie się eksperymentatora, który podejmuje działania wyrażane za pomocą angielskiego operatora „do”. Co istotne, interwencja powinna być dokonana na minimalnym poziomie (tzw. „</w:t>
      </w:r>
      <w:r w:rsidRPr="0023506E">
        <w:rPr>
          <w:rFonts w:ascii="Times New Roman" w:hAnsi="Times New Roman" w:cs="Times New Roman"/>
          <w:i/>
          <w:iCs/>
          <w:sz w:val="28"/>
          <w:szCs w:val="28"/>
        </w:rPr>
        <w:t>a mini-surgery</w:t>
      </w:r>
      <w:r>
        <w:rPr>
          <w:rFonts w:ascii="Times New Roman" w:hAnsi="Times New Roman" w:cs="Times New Roman"/>
          <w:sz w:val="28"/>
          <w:szCs w:val="28"/>
        </w:rPr>
        <w:t>”). Niestety, przyczynowości nie da się ustalić w oparciu o analizę przeszłości, bo zmiana może wynikać także z innych powodów i mechanizmów niż przyjęte przez eksperymentatora.</w:t>
      </w:r>
    </w:p>
    <w:p w14:paraId="1AF48BC3" w14:textId="77777777" w:rsidR="000F61BA" w:rsidRDefault="000F61BA" w:rsidP="001D0854">
      <w:pPr>
        <w:pStyle w:val="Akapitzlist"/>
        <w:numPr>
          <w:ilvl w:val="0"/>
          <w:numId w:val="24"/>
        </w:numPr>
        <w:spacing w:line="264" w:lineRule="auto"/>
        <w:ind w:left="426" w:hanging="426"/>
        <w:jc w:val="both"/>
        <w:rPr>
          <w:rFonts w:ascii="Times New Roman" w:hAnsi="Times New Roman" w:cs="Times New Roman"/>
          <w:sz w:val="28"/>
          <w:szCs w:val="28"/>
        </w:rPr>
      </w:pPr>
      <w:r>
        <w:rPr>
          <w:rFonts w:ascii="Times New Roman" w:hAnsi="Times New Roman" w:cs="Times New Roman"/>
          <w:sz w:val="28"/>
          <w:szCs w:val="28"/>
        </w:rPr>
        <w:t>Kontrfaktyczności (</w:t>
      </w:r>
      <w:r w:rsidRPr="00CC2E7F">
        <w:rPr>
          <w:rFonts w:ascii="Times New Roman" w:hAnsi="Times New Roman" w:cs="Times New Roman"/>
          <w:i/>
          <w:iCs/>
          <w:sz w:val="28"/>
          <w:szCs w:val="28"/>
        </w:rPr>
        <w:t>counterfactuals</w:t>
      </w:r>
      <w:r>
        <w:rPr>
          <w:rFonts w:ascii="Times New Roman" w:hAnsi="Times New Roman" w:cs="Times New Roman"/>
          <w:sz w:val="28"/>
          <w:szCs w:val="28"/>
        </w:rPr>
        <w:t>). To zbiór alternatywnych wersji przeszłych zdarzeń oraz sytuacji, które powodują, że ten sam wynik uzyskano przy różnych założeniach wyjściowych. Inaczej rzecz ujmując, dlaczego specyficzne działania owocują specyficznymi skutkami, albo dlaczego te ostatnie się pojawiły mimo braku działań? Ten najwyższy szczebel w drabinie Pearlego ma fundamentalne znaczenie dla konstruowania teorii, w tym teorii programów w ewaluacji. Przyjmuje się tu wprost istnienie przyczynowości i pozwala projektować interwencje, których efekty da się przewidywać.</w:t>
      </w:r>
    </w:p>
    <w:p w14:paraId="32A27C07" w14:textId="77777777" w:rsidR="000F61BA" w:rsidRDefault="000F61BA" w:rsidP="000F61BA">
      <w:pPr>
        <w:pStyle w:val="Akapitzlist"/>
        <w:spacing w:line="264" w:lineRule="auto"/>
        <w:ind w:left="0" w:firstLine="567"/>
        <w:jc w:val="both"/>
        <w:rPr>
          <w:rFonts w:ascii="Times New Roman" w:hAnsi="Times New Roman" w:cs="Times New Roman"/>
          <w:sz w:val="28"/>
          <w:szCs w:val="28"/>
        </w:rPr>
      </w:pPr>
      <w:r>
        <w:rPr>
          <w:rFonts w:ascii="Times New Roman" w:hAnsi="Times New Roman" w:cs="Times New Roman"/>
          <w:sz w:val="28"/>
          <w:szCs w:val="28"/>
        </w:rPr>
        <w:t>Ch. Hitchcock (2018) rozbudował trzyszczeblową drabinę Pearlego. Przybliżmy ją, gdyż jest ona ważna dla ewaluacji wpływu. W ramach asocjacji wyróżnia się warunki niezależności (</w:t>
      </w:r>
      <w:r w:rsidRPr="00A30082">
        <w:rPr>
          <w:rFonts w:ascii="Times New Roman" w:hAnsi="Times New Roman" w:cs="Times New Roman"/>
          <w:i/>
          <w:iCs/>
          <w:sz w:val="28"/>
          <w:szCs w:val="28"/>
        </w:rPr>
        <w:t>independence conditions</w:t>
      </w:r>
      <w:r>
        <w:rPr>
          <w:rFonts w:ascii="Times New Roman" w:hAnsi="Times New Roman" w:cs="Times New Roman"/>
          <w:sz w:val="28"/>
          <w:szCs w:val="28"/>
        </w:rPr>
        <w:t>). To reguły decydowania – czy dwie zmienne są wzajemnie niezależne. Ma to miejsce wtedy, gdy jedna z nich nie wpływa bezpośrednio na drugą. W modelach wieloprzyczynowych mogą występować wspólnie takie warunki, ale mają one różne znaczenia i mogą być falsyfikowane na podstawie danych obserwacyjnych. Z drugiej natomiast strony dane nie mogą rozstrzygać o poprawności któregoś z modeli. Warunkowość jest z kolei podstawą do prowadzenia hipotetycznych eksperymentów.</w:t>
      </w:r>
    </w:p>
    <w:p w14:paraId="1E7CD743" w14:textId="77777777" w:rsidR="000F61BA" w:rsidRDefault="000F61BA" w:rsidP="000F61BA">
      <w:pPr>
        <w:pStyle w:val="Akapitzlist"/>
        <w:spacing w:line="264"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Asocjacje opisywane są ponadto za pomocą counfounders, czyli czynników zakłócających, i deconfounders tj. algorytmów uczenia maszynowego i weryfikowania zdolności predykcyjnych modeli w celu dokonywania wnioskowania przyczynowego. Formalnie zmienna Z jest confounderem, jeśli Y jest z nią związana ścieżką nieprzechodzącą przez X:</w:t>
      </w:r>
    </w:p>
    <w:p w14:paraId="566D7966" w14:textId="77777777" w:rsidR="000F61BA" w:rsidRDefault="000F61BA" w:rsidP="000F61BA">
      <w:pPr>
        <w:spacing w:line="264" w:lineRule="auto"/>
        <w:jc w:val="center"/>
        <w:rPr>
          <w:rFonts w:ascii="Times New Roman" w:hAnsi="Times New Roman" w:cs="Times New Roman"/>
          <w:sz w:val="28"/>
          <w:szCs w:val="28"/>
        </w:rPr>
      </w:pPr>
      <w:r w:rsidRPr="00EF4214">
        <w:rPr>
          <w:rFonts w:ascii="Times New Roman" w:hAnsi="Times New Roman" w:cs="Times New Roman"/>
          <w:position w:val="-18"/>
          <w:sz w:val="28"/>
          <w:szCs w:val="28"/>
        </w:rPr>
        <w:object w:dxaOrig="2280" w:dyaOrig="480" w14:anchorId="34084CC6">
          <v:shape id="_x0000_i1091" type="#_x0000_t75" style="width:115.5pt;height:22pt" o:ole="">
            <v:imagedata r:id="rId143" o:title=""/>
          </v:shape>
          <o:OLEObject Type="Embed" ProgID="Equation.DSMT4" ShapeID="_x0000_i1091" DrawAspect="Content" ObjectID="_1799840662" r:id="rId144"/>
        </w:object>
      </w:r>
      <w:r>
        <w:rPr>
          <w:rFonts w:ascii="Times New Roman" w:hAnsi="Times New Roman" w:cs="Times New Roman"/>
          <w:sz w:val="28"/>
          <w:szCs w:val="28"/>
        </w:rPr>
        <w:t>,</w:t>
      </w:r>
    </w:p>
    <w:p w14:paraId="40D71E1D" w14:textId="77777777" w:rsidR="000F61BA" w:rsidRDefault="000F61BA" w:rsidP="000F61BA">
      <w:pPr>
        <w:tabs>
          <w:tab w:val="left" w:pos="1106"/>
        </w:tabs>
        <w:spacing w:line="264" w:lineRule="auto"/>
        <w:rPr>
          <w:rFonts w:ascii="Times New Roman" w:hAnsi="Times New Roman" w:cs="Times New Roman"/>
          <w:sz w:val="28"/>
          <w:szCs w:val="28"/>
        </w:rPr>
      </w:pPr>
      <w:r>
        <w:rPr>
          <w:rFonts w:ascii="Times New Roman" w:hAnsi="Times New Roman" w:cs="Times New Roman"/>
          <w:sz w:val="28"/>
          <w:szCs w:val="28"/>
        </w:rPr>
        <w:t>a</w:t>
      </w:r>
      <w:r w:rsidRPr="00C05BAB">
        <w:rPr>
          <w:rFonts w:ascii="Times New Roman" w:hAnsi="Times New Roman" w:cs="Times New Roman"/>
          <w:sz w:val="28"/>
          <w:szCs w:val="28"/>
        </w:rPr>
        <w:t xml:space="preserve"> więc zmienna X i Y zostały zakłócone</w:t>
      </w:r>
      <w:r>
        <w:rPr>
          <w:rFonts w:ascii="Times New Roman" w:hAnsi="Times New Roman" w:cs="Times New Roman"/>
          <w:sz w:val="28"/>
          <w:szCs w:val="28"/>
        </w:rPr>
        <w:t>.</w:t>
      </w:r>
    </w:p>
    <w:p w14:paraId="17AB1322" w14:textId="77777777" w:rsidR="000F61BA" w:rsidRDefault="000F61BA" w:rsidP="000F61BA">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W modelu przyczynowym opisującym wpływ X na Y wszystkie zmienne zakłócające muszą być wskazane, co określa się jako deconfounding. Do tego celu stosuje się dwa typy dostosowań (adjustments): backdoor i frontdoor. Pierwsze definiuje się następująco: dla uporządkowanej pary (X,Y)  zbiór zmiennych Z spełnia warunek the backdoor criterion, jeśli: (1) nie istnieje żadna Z, która jest poprzednikiem X i (2) wszystkie ścieżki biegnące od X do Y są zablokowane przez zbiór Z. W przypadku frontdoor adjustment mamy taką oto definicję: dostosowanie to jest bezpośrednią ścieżką przyczynową dla wszystkich </w:t>
      </w:r>
      <w:r w:rsidRPr="000C45D2">
        <w:rPr>
          <w:rFonts w:ascii="Times New Roman" w:hAnsi="Times New Roman" w:cs="Times New Roman"/>
          <w:position w:val="-4"/>
          <w:sz w:val="28"/>
          <w:szCs w:val="28"/>
        </w:rPr>
        <w:object w:dxaOrig="580" w:dyaOrig="260" w14:anchorId="3D761BB3">
          <v:shape id="_x0000_i1092" type="#_x0000_t75" style="width:29pt;height:14.5pt" o:ole="">
            <v:imagedata r:id="rId145" o:title=""/>
          </v:shape>
          <o:OLEObject Type="Embed" ProgID="Equation.DSMT4" ShapeID="_x0000_i1092" DrawAspect="Content" ObjectID="_1799840663" r:id="rId146"/>
        </w:object>
      </w:r>
      <w:r>
        <w:rPr>
          <w:rFonts w:ascii="Times New Roman" w:hAnsi="Times New Roman" w:cs="Times New Roman"/>
          <w:sz w:val="28"/>
          <w:szCs w:val="28"/>
        </w:rPr>
        <w:t>, dla których Z przeciera wszystkie ścieżki skierowane od X do Y, przy czym nie istnieją niezablokowane ścieżki od Z do Y, a wszystkie ścieżki backdoor od Z do Y są zablokowane przez X.</w:t>
      </w:r>
    </w:p>
    <w:p w14:paraId="1909B59A" w14:textId="77777777" w:rsidR="000F61BA" w:rsidRDefault="000F61BA" w:rsidP="000F61BA">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Interwencje/eksperymenty składają się z pytań (queries) oraz ww. operatorów do (do calculus). Te pierwsze polegają na przyjęciu stałej wartości dla wybranej zmiennej i obserwowaniu skutków takiej decyzji. Fakt ten odzwierciadla operator </w:t>
      </w:r>
      <w:r w:rsidRPr="008A109B">
        <w:rPr>
          <w:rFonts w:ascii="Times New Roman" w:hAnsi="Times New Roman" w:cs="Times New Roman"/>
          <w:i/>
          <w:iCs/>
          <w:sz w:val="28"/>
          <w:szCs w:val="28"/>
        </w:rPr>
        <w:t>do</w:t>
      </w:r>
      <w:r>
        <w:rPr>
          <w:rFonts w:ascii="Times New Roman" w:hAnsi="Times New Roman" w:cs="Times New Roman"/>
          <w:sz w:val="28"/>
          <w:szCs w:val="28"/>
        </w:rPr>
        <w:t xml:space="preserve">, który ma informować explicite o powyższej modyfikacji. W bardziej złożonych modelach operator </w:t>
      </w:r>
      <w:r w:rsidRPr="008A109B">
        <w:rPr>
          <w:rFonts w:ascii="Times New Roman" w:hAnsi="Times New Roman" w:cs="Times New Roman"/>
          <w:i/>
          <w:iCs/>
          <w:sz w:val="28"/>
          <w:szCs w:val="28"/>
        </w:rPr>
        <w:t>do</w:t>
      </w:r>
      <w:r>
        <w:rPr>
          <w:rFonts w:ascii="Times New Roman" w:hAnsi="Times New Roman" w:cs="Times New Roman"/>
          <w:sz w:val="28"/>
          <w:szCs w:val="28"/>
        </w:rPr>
        <w:t xml:space="preserve"> może odnosić się do wielu zmiennych. Do calculus to zbiory manipulacji, które służą do tego, żeby transformować wyrażenia zawierające operator </w:t>
      </w:r>
      <w:r w:rsidRPr="008A109B">
        <w:rPr>
          <w:rFonts w:ascii="Times New Roman" w:hAnsi="Times New Roman" w:cs="Times New Roman"/>
          <w:i/>
          <w:iCs/>
          <w:sz w:val="28"/>
          <w:szCs w:val="28"/>
        </w:rPr>
        <w:t>do</w:t>
      </w:r>
      <w:r>
        <w:rPr>
          <w:rFonts w:ascii="Times New Roman" w:hAnsi="Times New Roman" w:cs="Times New Roman"/>
          <w:sz w:val="28"/>
          <w:szCs w:val="28"/>
        </w:rPr>
        <w:t xml:space="preserve"> w wyrażenia bez niego. Można tego dokonywać na podstawie danych obserwacyjnych, wykorzystując trzy reguły transformowania prawdopodobieństw warunkowych:</w:t>
      </w:r>
    </w:p>
    <w:p w14:paraId="24889BE8" w14:textId="77777777" w:rsidR="000F61BA" w:rsidRPr="0024713D" w:rsidRDefault="000F61BA" w:rsidP="001D0854">
      <w:pPr>
        <w:pStyle w:val="Akapitzlist"/>
        <w:numPr>
          <w:ilvl w:val="0"/>
          <w:numId w:val="25"/>
        </w:numPr>
        <w:spacing w:line="264" w:lineRule="auto"/>
        <w:ind w:left="567" w:hanging="567"/>
        <w:jc w:val="both"/>
        <w:rPr>
          <w:rFonts w:ascii="Times New Roman" w:hAnsi="Times New Roman" w:cs="Times New Roman"/>
          <w:sz w:val="28"/>
          <w:szCs w:val="28"/>
        </w:rPr>
      </w:pPr>
      <w:r>
        <w:rPr>
          <w:rFonts w:ascii="Times New Roman" w:hAnsi="Times New Roman" w:cs="Times New Roman"/>
          <w:sz w:val="28"/>
          <w:szCs w:val="28"/>
        </w:rPr>
        <w:t>reguła 1 pozwala dodawać i usuwać niektóre obserwacje:</w:t>
      </w:r>
    </w:p>
    <w:p w14:paraId="27D1C749" w14:textId="77777777" w:rsidR="000F61BA" w:rsidRDefault="000F61BA" w:rsidP="000F61BA">
      <w:pPr>
        <w:tabs>
          <w:tab w:val="left" w:pos="2129"/>
        </w:tabs>
        <w:jc w:val="center"/>
      </w:pPr>
      <w:r w:rsidRPr="0024713D">
        <w:rPr>
          <w:position w:val="-18"/>
        </w:rPr>
        <w:object w:dxaOrig="3680" w:dyaOrig="480" w14:anchorId="77117EB6">
          <v:shape id="_x0000_i1093" type="#_x0000_t75" style="width:187pt;height:22pt" o:ole="">
            <v:imagedata r:id="rId147" o:title=""/>
          </v:shape>
          <o:OLEObject Type="Embed" ProgID="Equation.DSMT4" ShapeID="_x0000_i1093" DrawAspect="Content" ObjectID="_1799840664" r:id="rId148"/>
        </w:object>
      </w:r>
      <w:r>
        <w:t>.</w:t>
      </w:r>
    </w:p>
    <w:p w14:paraId="35D6F13E" w14:textId="77777777" w:rsidR="000F61BA" w:rsidRDefault="000F61BA" w:rsidP="000F61BA">
      <w:pPr>
        <w:jc w:val="both"/>
        <w:rPr>
          <w:rFonts w:ascii="Times New Roman" w:hAnsi="Times New Roman" w:cs="Times New Roman"/>
          <w:sz w:val="28"/>
          <w:szCs w:val="28"/>
        </w:rPr>
      </w:pPr>
      <w:r w:rsidRPr="0024713D">
        <w:rPr>
          <w:rFonts w:ascii="Times New Roman" w:hAnsi="Times New Roman" w:cs="Times New Roman"/>
          <w:sz w:val="28"/>
          <w:szCs w:val="28"/>
        </w:rPr>
        <w:t>Tu</w:t>
      </w:r>
      <w:r>
        <w:rPr>
          <w:rFonts w:ascii="Times New Roman" w:hAnsi="Times New Roman" w:cs="Times New Roman"/>
          <w:sz w:val="28"/>
          <w:szCs w:val="28"/>
        </w:rPr>
        <w:t xml:space="preserve"> zbiór zmiennych Z blokuje wszystkie ścieżki od W do Z, a wszystkie strzałki skierowane do X są usunięte.</w:t>
      </w:r>
    </w:p>
    <w:p w14:paraId="11F1BA6F" w14:textId="77777777" w:rsidR="000F61BA" w:rsidRDefault="000F61BA" w:rsidP="001D0854">
      <w:pPr>
        <w:pStyle w:val="Akapitzlist"/>
        <w:numPr>
          <w:ilvl w:val="0"/>
          <w:numId w:val="25"/>
        </w:numPr>
        <w:ind w:left="567" w:hanging="567"/>
        <w:jc w:val="both"/>
        <w:rPr>
          <w:rFonts w:ascii="Times New Roman" w:hAnsi="Times New Roman" w:cs="Times New Roman"/>
          <w:sz w:val="28"/>
          <w:szCs w:val="28"/>
        </w:rPr>
      </w:pPr>
      <w:r>
        <w:rPr>
          <w:rFonts w:ascii="Times New Roman" w:hAnsi="Times New Roman" w:cs="Times New Roman"/>
          <w:sz w:val="28"/>
          <w:szCs w:val="28"/>
        </w:rPr>
        <w:t>reguła 2 umożliwia zastępowanie interwencji obserwacjami i na odwrót:</w:t>
      </w:r>
    </w:p>
    <w:p w14:paraId="0189DED0" w14:textId="77777777" w:rsidR="000F61BA" w:rsidRDefault="000F61BA" w:rsidP="000F61BA">
      <w:pPr>
        <w:tabs>
          <w:tab w:val="left" w:pos="3118"/>
        </w:tabs>
        <w:rPr>
          <w:rFonts w:ascii="Times New Roman" w:hAnsi="Times New Roman" w:cs="Times New Roman"/>
          <w:sz w:val="28"/>
          <w:szCs w:val="28"/>
        </w:rPr>
      </w:pPr>
      <w:r>
        <w:rPr>
          <w:rFonts w:ascii="Times New Roman" w:hAnsi="Times New Roman" w:cs="Times New Roman"/>
          <w:sz w:val="28"/>
          <w:szCs w:val="28"/>
        </w:rPr>
        <w:tab/>
      </w:r>
      <w:r w:rsidRPr="0024713D">
        <w:rPr>
          <w:rFonts w:ascii="Times New Roman" w:hAnsi="Times New Roman" w:cs="Times New Roman"/>
          <w:position w:val="-18"/>
          <w:sz w:val="28"/>
          <w:szCs w:val="28"/>
        </w:rPr>
        <w:object w:dxaOrig="2900" w:dyaOrig="480" w14:anchorId="75370067">
          <v:shape id="_x0000_i1094" type="#_x0000_t75" style="width:2in;height:22pt" o:ole="">
            <v:imagedata r:id="rId149" o:title=""/>
          </v:shape>
          <o:OLEObject Type="Embed" ProgID="Equation.DSMT4" ShapeID="_x0000_i1094" DrawAspect="Content" ObjectID="_1799840665" r:id="rId150"/>
        </w:object>
      </w:r>
      <w:r>
        <w:rPr>
          <w:rFonts w:ascii="Times New Roman" w:hAnsi="Times New Roman" w:cs="Times New Roman"/>
          <w:sz w:val="28"/>
          <w:szCs w:val="28"/>
        </w:rPr>
        <w:t>,</w:t>
      </w:r>
    </w:p>
    <w:p w14:paraId="213584AA" w14:textId="77777777" w:rsidR="000F61BA" w:rsidRDefault="000F61BA" w:rsidP="000F61BA">
      <w:pPr>
        <w:jc w:val="both"/>
        <w:rPr>
          <w:rFonts w:ascii="Times New Roman" w:hAnsi="Times New Roman" w:cs="Times New Roman"/>
          <w:sz w:val="28"/>
          <w:szCs w:val="28"/>
        </w:rPr>
      </w:pPr>
      <w:r>
        <w:rPr>
          <w:rFonts w:ascii="Times New Roman" w:hAnsi="Times New Roman" w:cs="Times New Roman"/>
          <w:sz w:val="28"/>
          <w:szCs w:val="28"/>
        </w:rPr>
        <w:lastRenderedPageBreak/>
        <w:t>p</w:t>
      </w:r>
      <w:r w:rsidRPr="0024713D">
        <w:rPr>
          <w:rFonts w:ascii="Times New Roman" w:hAnsi="Times New Roman" w:cs="Times New Roman"/>
          <w:sz w:val="28"/>
          <w:szCs w:val="28"/>
        </w:rPr>
        <w:t>rz</w:t>
      </w:r>
      <w:r>
        <w:rPr>
          <w:rFonts w:ascii="Times New Roman" w:hAnsi="Times New Roman" w:cs="Times New Roman"/>
          <w:sz w:val="28"/>
          <w:szCs w:val="28"/>
        </w:rPr>
        <w:t xml:space="preserve">y czym </w:t>
      </w:r>
      <w:r w:rsidRPr="00323952">
        <w:rPr>
          <w:rFonts w:ascii="Times New Roman" w:hAnsi="Times New Roman" w:cs="Times New Roman"/>
          <w:i/>
          <w:iCs/>
          <w:sz w:val="28"/>
          <w:szCs w:val="28"/>
        </w:rPr>
        <w:t>Z</w:t>
      </w:r>
      <w:r>
        <w:rPr>
          <w:rFonts w:ascii="Times New Roman" w:hAnsi="Times New Roman" w:cs="Times New Roman"/>
          <w:sz w:val="28"/>
          <w:szCs w:val="28"/>
        </w:rPr>
        <w:t xml:space="preserve"> spełnia kryterium </w:t>
      </w:r>
      <w:r w:rsidRPr="00B77973">
        <w:rPr>
          <w:rFonts w:ascii="Times New Roman" w:hAnsi="Times New Roman" w:cs="Times New Roman"/>
          <w:i/>
          <w:iCs/>
          <w:sz w:val="28"/>
          <w:szCs w:val="28"/>
        </w:rPr>
        <w:t>the backdoor adjustment</w:t>
      </w:r>
      <w:r>
        <w:rPr>
          <w:rFonts w:ascii="Times New Roman" w:hAnsi="Times New Roman" w:cs="Times New Roman"/>
          <w:sz w:val="28"/>
          <w:szCs w:val="28"/>
        </w:rPr>
        <w:t>.</w:t>
      </w:r>
    </w:p>
    <w:p w14:paraId="1D2F42F4" w14:textId="77777777" w:rsidR="000F61BA" w:rsidRDefault="000F61BA" w:rsidP="001D0854">
      <w:pPr>
        <w:pStyle w:val="Akapitzlist"/>
        <w:numPr>
          <w:ilvl w:val="0"/>
          <w:numId w:val="25"/>
        </w:numPr>
        <w:ind w:left="567" w:hanging="567"/>
        <w:rPr>
          <w:rFonts w:ascii="Times New Roman" w:hAnsi="Times New Roman" w:cs="Times New Roman"/>
          <w:sz w:val="28"/>
          <w:szCs w:val="28"/>
        </w:rPr>
      </w:pPr>
      <w:r>
        <w:rPr>
          <w:rFonts w:ascii="Times New Roman" w:hAnsi="Times New Roman" w:cs="Times New Roman"/>
          <w:sz w:val="28"/>
          <w:szCs w:val="28"/>
        </w:rPr>
        <w:t>reguła 3 zakłada możliwość dodawania lub usuwania interwencji:</w:t>
      </w:r>
    </w:p>
    <w:p w14:paraId="39285DC6" w14:textId="77777777" w:rsidR="000F61BA" w:rsidRDefault="000F61BA" w:rsidP="000F61BA">
      <w:pPr>
        <w:tabs>
          <w:tab w:val="left" w:pos="3519"/>
        </w:tabs>
      </w:pPr>
      <w:r>
        <w:tab/>
      </w:r>
      <w:r w:rsidRPr="00B77973">
        <w:rPr>
          <w:position w:val="-18"/>
        </w:rPr>
        <w:object w:dxaOrig="2100" w:dyaOrig="480" w14:anchorId="5A176C06">
          <v:shape id="_x0000_i1095" type="#_x0000_t75" style="width:108.5pt;height:22pt" o:ole="">
            <v:imagedata r:id="rId151" o:title=""/>
          </v:shape>
          <o:OLEObject Type="Embed" ProgID="Equation.DSMT4" ShapeID="_x0000_i1095" DrawAspect="Content" ObjectID="_1799840666" r:id="rId152"/>
        </w:object>
      </w:r>
      <w:r>
        <w:t>.</w:t>
      </w:r>
    </w:p>
    <w:p w14:paraId="5CA24FEE" w14:textId="77777777" w:rsidR="000F61BA" w:rsidRDefault="000F61BA" w:rsidP="000F61BA">
      <w:pPr>
        <w:rPr>
          <w:rFonts w:ascii="Times New Roman" w:hAnsi="Times New Roman" w:cs="Times New Roman"/>
          <w:sz w:val="28"/>
          <w:szCs w:val="28"/>
        </w:rPr>
      </w:pPr>
      <w:r w:rsidRPr="00B77973">
        <w:rPr>
          <w:rFonts w:ascii="Times New Roman" w:hAnsi="Times New Roman" w:cs="Times New Roman"/>
          <w:sz w:val="28"/>
          <w:szCs w:val="28"/>
        </w:rPr>
        <w:t xml:space="preserve">Teraz nie ma żadnego powiązania </w:t>
      </w:r>
      <w:r>
        <w:rPr>
          <w:rFonts w:ascii="Times New Roman" w:hAnsi="Times New Roman" w:cs="Times New Roman"/>
          <w:sz w:val="28"/>
          <w:szCs w:val="28"/>
        </w:rPr>
        <w:t>przyczynowego między X i Y.</w:t>
      </w:r>
    </w:p>
    <w:p w14:paraId="59E13B45" w14:textId="77777777" w:rsidR="000F61BA" w:rsidRDefault="000F61BA" w:rsidP="000F61BA">
      <w:pPr>
        <w:ind w:firstLine="708"/>
        <w:jc w:val="both"/>
        <w:rPr>
          <w:rFonts w:ascii="Times New Roman" w:hAnsi="Times New Roman" w:cs="Times New Roman"/>
          <w:sz w:val="28"/>
          <w:szCs w:val="28"/>
        </w:rPr>
      </w:pPr>
      <w:r>
        <w:rPr>
          <w:rFonts w:ascii="Times New Roman" w:hAnsi="Times New Roman" w:cs="Times New Roman"/>
          <w:sz w:val="28"/>
          <w:szCs w:val="28"/>
        </w:rPr>
        <w:t>Kontrfaktyczności dają możliwość identyfikowania rozwiązań niewyprowadzanych wprost z analizowania danych. Stąd występuje tu pojęcie wyniku potencjalnego (</w:t>
      </w:r>
      <w:r w:rsidRPr="008A109B">
        <w:rPr>
          <w:rFonts w:ascii="Times New Roman" w:hAnsi="Times New Roman" w:cs="Times New Roman"/>
          <w:i/>
          <w:iCs/>
          <w:sz w:val="28"/>
          <w:szCs w:val="28"/>
        </w:rPr>
        <w:t>potential outcome</w:t>
      </w:r>
      <w:r>
        <w:rPr>
          <w:rFonts w:ascii="Times New Roman" w:hAnsi="Times New Roman" w:cs="Times New Roman"/>
          <w:sz w:val="28"/>
          <w:szCs w:val="28"/>
        </w:rPr>
        <w:t xml:space="preserve">). Dla zmiennej Y dla wyróżnionej wartości </w:t>
      </w:r>
      <w:r w:rsidRPr="008A109B">
        <w:rPr>
          <w:rFonts w:ascii="Times New Roman" w:hAnsi="Times New Roman" w:cs="Times New Roman"/>
          <w:i/>
          <w:iCs/>
          <w:sz w:val="28"/>
          <w:szCs w:val="28"/>
        </w:rPr>
        <w:t>u</w:t>
      </w:r>
      <w:r>
        <w:rPr>
          <w:rFonts w:ascii="Times New Roman" w:hAnsi="Times New Roman" w:cs="Times New Roman"/>
          <w:sz w:val="28"/>
          <w:szCs w:val="28"/>
        </w:rPr>
        <w:t xml:space="preserve"> wynikiem potencjalnym jest wartość Y dla zmiennej X, która przyjęła wartość x:</w:t>
      </w:r>
    </w:p>
    <w:p w14:paraId="30ABAFCB" w14:textId="77777777" w:rsidR="000F61BA" w:rsidRDefault="000F61BA" w:rsidP="000F61BA">
      <w:pPr>
        <w:jc w:val="center"/>
        <w:rPr>
          <w:rFonts w:ascii="Times New Roman" w:hAnsi="Times New Roman" w:cs="Times New Roman"/>
          <w:sz w:val="28"/>
          <w:szCs w:val="28"/>
        </w:rPr>
      </w:pPr>
      <w:r w:rsidRPr="00391D39">
        <w:rPr>
          <w:rFonts w:ascii="Times New Roman" w:hAnsi="Times New Roman" w:cs="Times New Roman"/>
          <w:position w:val="-14"/>
          <w:sz w:val="28"/>
          <w:szCs w:val="28"/>
        </w:rPr>
        <w:object w:dxaOrig="1980" w:dyaOrig="400" w14:anchorId="4F97FEB7">
          <v:shape id="_x0000_i1096" type="#_x0000_t75" style="width:101pt;height:22pt" o:ole="">
            <v:imagedata r:id="rId153" o:title=""/>
          </v:shape>
          <o:OLEObject Type="Embed" ProgID="Equation.DSMT4" ShapeID="_x0000_i1096" DrawAspect="Content" ObjectID="_1799840667" r:id="rId154"/>
        </w:object>
      </w:r>
      <w:r>
        <w:rPr>
          <w:rFonts w:ascii="Times New Roman" w:hAnsi="Times New Roman" w:cs="Times New Roman"/>
          <w:sz w:val="28"/>
          <w:szCs w:val="28"/>
        </w:rPr>
        <w:t>.</w:t>
      </w:r>
    </w:p>
    <w:p w14:paraId="4583BD89" w14:textId="77777777" w:rsidR="000F61BA" w:rsidRDefault="000F61BA" w:rsidP="000F61BA">
      <w:pPr>
        <w:jc w:val="both"/>
        <w:rPr>
          <w:rFonts w:ascii="Times New Roman" w:hAnsi="Times New Roman" w:cs="Times New Roman"/>
          <w:sz w:val="28"/>
          <w:szCs w:val="28"/>
        </w:rPr>
      </w:pPr>
      <w:r>
        <w:rPr>
          <w:rFonts w:ascii="Times New Roman" w:hAnsi="Times New Roman" w:cs="Times New Roman"/>
          <w:sz w:val="28"/>
          <w:szCs w:val="28"/>
        </w:rPr>
        <w:t>W tradycyjnym podejściu wynik potencjalny jest pochodną danych, a nie modelu. To redukuje go do problemu brakujących danych, co skutkuje niepoprawnymi odpowiedziami nawet w prostych sytuacjach. Na gruncie ewaluacji wpływu wynik powyższy skonkretyzował Rubin (1974, 1976, 1978, 2005).</w:t>
      </w:r>
    </w:p>
    <w:p w14:paraId="6A0B12D9" w14:textId="77777777" w:rsidR="000F61BA" w:rsidRDefault="000F61BA" w:rsidP="000F61BA">
      <w:pPr>
        <w:ind w:firstLine="851"/>
        <w:jc w:val="both"/>
        <w:rPr>
          <w:rFonts w:ascii="Times New Roman" w:hAnsi="Times New Roman" w:cs="Times New Roman"/>
          <w:sz w:val="28"/>
          <w:szCs w:val="28"/>
        </w:rPr>
      </w:pPr>
      <w:r>
        <w:rPr>
          <w:rFonts w:ascii="Times New Roman" w:hAnsi="Times New Roman" w:cs="Times New Roman"/>
          <w:sz w:val="28"/>
          <w:szCs w:val="28"/>
        </w:rPr>
        <w:t>W odniesieniu do wnioskowania przyczynowego wynik potencjalny interpretowany jest raczej w tym sensie niż w ujęciu statystycznym. Wyprowadza się z tego pierwsze prawo takiego wnioskowania</w:t>
      </w:r>
      <w:r w:rsidRPr="00271967">
        <w:rPr>
          <w:rFonts w:ascii="Times New Roman" w:hAnsi="Times New Roman" w:cs="Times New Roman"/>
          <w:position w:val="-14"/>
          <w:sz w:val="28"/>
          <w:szCs w:val="28"/>
        </w:rPr>
        <w:object w:dxaOrig="660" w:dyaOrig="400" w14:anchorId="151398D6">
          <v:shape id="_x0000_i1097" type="#_x0000_t75" style="width:32pt;height:22pt" o:ole="">
            <v:imagedata r:id="rId155" o:title=""/>
          </v:shape>
          <o:OLEObject Type="Embed" ProgID="Equation.DSMT4" ShapeID="_x0000_i1097" DrawAspect="Content" ObjectID="_1799840668" r:id="rId156"/>
        </w:object>
      </w:r>
      <w:r>
        <w:rPr>
          <w:rFonts w:ascii="Times New Roman" w:hAnsi="Times New Roman" w:cs="Times New Roman"/>
          <w:sz w:val="28"/>
          <w:szCs w:val="28"/>
        </w:rPr>
        <w:t>.</w:t>
      </w:r>
    </w:p>
    <w:p w14:paraId="45DF061E" w14:textId="77777777" w:rsidR="000F61BA" w:rsidRDefault="000F61BA" w:rsidP="000F61BA">
      <w:pPr>
        <w:jc w:val="both"/>
        <w:rPr>
          <w:rFonts w:ascii="Times New Roman" w:hAnsi="Times New Roman" w:cs="Times New Roman"/>
          <w:sz w:val="28"/>
          <w:szCs w:val="28"/>
        </w:rPr>
      </w:pPr>
      <w:r>
        <w:rPr>
          <w:rFonts w:ascii="Times New Roman" w:hAnsi="Times New Roman" w:cs="Times New Roman"/>
          <w:sz w:val="28"/>
          <w:szCs w:val="28"/>
        </w:rPr>
        <w:t>Można go zmierzyć przez modyfikację modelu przyczynowego M przez usunięcie strzałek prowadzących do X i wybrania konkretnych wartości x:</w:t>
      </w:r>
    </w:p>
    <w:p w14:paraId="17FA8D55" w14:textId="77777777" w:rsidR="000F61BA" w:rsidRDefault="000F61BA" w:rsidP="000F61BA">
      <w:pPr>
        <w:jc w:val="center"/>
        <w:rPr>
          <w:rFonts w:ascii="Times New Roman" w:hAnsi="Times New Roman" w:cs="Times New Roman"/>
          <w:sz w:val="28"/>
          <w:szCs w:val="28"/>
        </w:rPr>
      </w:pPr>
      <w:r w:rsidRPr="00271967">
        <w:rPr>
          <w:rFonts w:ascii="Times New Roman" w:hAnsi="Times New Roman" w:cs="Times New Roman"/>
          <w:position w:val="-14"/>
          <w:sz w:val="28"/>
          <w:szCs w:val="28"/>
        </w:rPr>
        <w:object w:dxaOrig="1460" w:dyaOrig="400" w14:anchorId="2BDB01DD">
          <v:shape id="_x0000_i1098" type="#_x0000_t75" style="width:1in;height:22pt" o:ole="">
            <v:imagedata r:id="rId157" o:title=""/>
          </v:shape>
          <o:OLEObject Type="Embed" ProgID="Equation.DSMT4" ShapeID="_x0000_i1098" DrawAspect="Content" ObjectID="_1799840669" r:id="rId158"/>
        </w:object>
      </w:r>
      <w:r>
        <w:rPr>
          <w:rFonts w:ascii="Times New Roman" w:hAnsi="Times New Roman" w:cs="Times New Roman"/>
          <w:sz w:val="28"/>
          <w:szCs w:val="28"/>
        </w:rPr>
        <w:t>.</w:t>
      </w:r>
    </w:p>
    <w:p w14:paraId="020CC6F5" w14:textId="77777777" w:rsidR="000F61BA" w:rsidRDefault="000F61BA" w:rsidP="000F61BA">
      <w:pPr>
        <w:tabs>
          <w:tab w:val="left" w:pos="709"/>
        </w:tabs>
        <w:rPr>
          <w:rFonts w:ascii="Times New Roman" w:hAnsi="Times New Roman" w:cs="Times New Roman"/>
          <w:sz w:val="28"/>
          <w:szCs w:val="28"/>
        </w:rPr>
      </w:pPr>
      <w:r>
        <w:rPr>
          <w:rFonts w:ascii="Times New Roman" w:hAnsi="Times New Roman" w:cs="Times New Roman"/>
          <w:sz w:val="28"/>
          <w:szCs w:val="28"/>
        </w:rPr>
        <w:tab/>
        <w:t>W konstruowaniu i analizowaniu SCM wykorzystuje się trzy typy operacji/rozumowania:</w:t>
      </w:r>
    </w:p>
    <w:p w14:paraId="3F3946A6" w14:textId="77777777" w:rsidR="000F61BA" w:rsidRDefault="000F61BA" w:rsidP="001D0854">
      <w:pPr>
        <w:pStyle w:val="Akapitzlist"/>
        <w:numPr>
          <w:ilvl w:val="0"/>
          <w:numId w:val="26"/>
        </w:numPr>
        <w:tabs>
          <w:tab w:val="left" w:pos="709"/>
        </w:tabs>
        <w:ind w:hanging="720"/>
        <w:jc w:val="both"/>
        <w:rPr>
          <w:rFonts w:ascii="Times New Roman" w:hAnsi="Times New Roman" w:cs="Times New Roman"/>
          <w:sz w:val="28"/>
          <w:szCs w:val="28"/>
        </w:rPr>
      </w:pPr>
      <w:r>
        <w:rPr>
          <w:rFonts w:ascii="Times New Roman" w:hAnsi="Times New Roman" w:cs="Times New Roman"/>
          <w:sz w:val="28"/>
          <w:szCs w:val="28"/>
        </w:rPr>
        <w:t>wprowadzania (</w:t>
      </w:r>
      <w:r w:rsidRPr="00175A4A">
        <w:rPr>
          <w:rFonts w:ascii="Times New Roman" w:hAnsi="Times New Roman" w:cs="Times New Roman"/>
          <w:i/>
          <w:iCs/>
          <w:sz w:val="28"/>
          <w:szCs w:val="28"/>
        </w:rPr>
        <w:t>abduct</w:t>
      </w:r>
      <w:r>
        <w:rPr>
          <w:rFonts w:ascii="Times New Roman" w:hAnsi="Times New Roman" w:cs="Times New Roman"/>
          <w:sz w:val="28"/>
          <w:szCs w:val="28"/>
        </w:rPr>
        <w:t xml:space="preserve">) albo wnioskowania logicznego. Na podstawie obserwacji i rachunku zdań badacz stara się znaleźć najprostsze i najbardziej prawdopodobne oszacowanie </w:t>
      </w:r>
      <w:r w:rsidRPr="008A109B">
        <w:rPr>
          <w:rFonts w:ascii="Times New Roman" w:hAnsi="Times New Roman" w:cs="Times New Roman"/>
          <w:i/>
          <w:iCs/>
          <w:sz w:val="28"/>
          <w:szCs w:val="28"/>
        </w:rPr>
        <w:t>u</w:t>
      </w:r>
      <w:r>
        <w:rPr>
          <w:rFonts w:ascii="Times New Roman" w:hAnsi="Times New Roman" w:cs="Times New Roman"/>
          <w:sz w:val="28"/>
          <w:szCs w:val="28"/>
        </w:rPr>
        <w:t xml:space="preserve"> oraz utworzyć zmienne zastępcze (</w:t>
      </w:r>
      <w:r w:rsidRPr="00175A4A">
        <w:rPr>
          <w:rFonts w:ascii="Times New Roman" w:hAnsi="Times New Roman" w:cs="Times New Roman"/>
          <w:i/>
          <w:iCs/>
          <w:sz w:val="28"/>
          <w:szCs w:val="28"/>
        </w:rPr>
        <w:t>proxy</w:t>
      </w:r>
      <w:r>
        <w:rPr>
          <w:rFonts w:ascii="Times New Roman" w:hAnsi="Times New Roman" w:cs="Times New Roman"/>
          <w:sz w:val="28"/>
          <w:szCs w:val="28"/>
        </w:rPr>
        <w:t>) dla zmiennych nieobserwowanych, które umożliwiają odwoływanie się do kontrfaktyczności.</w:t>
      </w:r>
    </w:p>
    <w:p w14:paraId="13581724" w14:textId="77777777" w:rsidR="000F61BA" w:rsidRDefault="000F61BA" w:rsidP="001D0854">
      <w:pPr>
        <w:pStyle w:val="Akapitzlist"/>
        <w:numPr>
          <w:ilvl w:val="0"/>
          <w:numId w:val="26"/>
        </w:numPr>
        <w:tabs>
          <w:tab w:val="left" w:pos="709"/>
        </w:tabs>
        <w:ind w:hanging="720"/>
        <w:jc w:val="both"/>
        <w:rPr>
          <w:rFonts w:ascii="Times New Roman" w:hAnsi="Times New Roman" w:cs="Times New Roman"/>
          <w:sz w:val="28"/>
          <w:szCs w:val="28"/>
        </w:rPr>
      </w:pPr>
      <w:r>
        <w:rPr>
          <w:rFonts w:ascii="Times New Roman" w:hAnsi="Times New Roman" w:cs="Times New Roman"/>
          <w:sz w:val="28"/>
          <w:szCs w:val="28"/>
        </w:rPr>
        <w:t>działanie (</w:t>
      </w:r>
      <w:r w:rsidRPr="00175A4A">
        <w:rPr>
          <w:rFonts w:ascii="Times New Roman" w:hAnsi="Times New Roman" w:cs="Times New Roman"/>
          <w:i/>
          <w:iCs/>
          <w:sz w:val="28"/>
          <w:szCs w:val="28"/>
        </w:rPr>
        <w:t>act</w:t>
      </w:r>
      <w:r>
        <w:rPr>
          <w:rFonts w:ascii="Times New Roman" w:hAnsi="Times New Roman" w:cs="Times New Roman"/>
          <w:sz w:val="28"/>
          <w:szCs w:val="28"/>
        </w:rPr>
        <w:t xml:space="preserve">) to zastosowanie operatora </w:t>
      </w:r>
      <w:r w:rsidRPr="008A109B">
        <w:rPr>
          <w:rFonts w:ascii="Times New Roman" w:hAnsi="Times New Roman" w:cs="Times New Roman"/>
          <w:i/>
          <w:iCs/>
          <w:sz w:val="28"/>
          <w:szCs w:val="28"/>
        </w:rPr>
        <w:t>do</w:t>
      </w:r>
      <w:r>
        <w:rPr>
          <w:rFonts w:ascii="Times New Roman" w:hAnsi="Times New Roman" w:cs="Times New Roman"/>
          <w:sz w:val="28"/>
          <w:szCs w:val="28"/>
        </w:rPr>
        <w:t>.</w:t>
      </w:r>
    </w:p>
    <w:p w14:paraId="357C7979" w14:textId="77777777" w:rsidR="000F61BA" w:rsidRPr="00F8632B" w:rsidRDefault="000F61BA" w:rsidP="001D0854">
      <w:pPr>
        <w:pStyle w:val="Akapitzlist"/>
        <w:numPr>
          <w:ilvl w:val="0"/>
          <w:numId w:val="26"/>
        </w:numPr>
        <w:tabs>
          <w:tab w:val="left" w:pos="709"/>
        </w:tabs>
        <w:ind w:hanging="720"/>
        <w:jc w:val="both"/>
        <w:rPr>
          <w:rFonts w:ascii="Times New Roman" w:hAnsi="Times New Roman" w:cs="Times New Roman"/>
          <w:sz w:val="28"/>
          <w:szCs w:val="28"/>
        </w:rPr>
      </w:pPr>
      <w:r>
        <w:rPr>
          <w:rFonts w:ascii="Times New Roman" w:hAnsi="Times New Roman" w:cs="Times New Roman"/>
          <w:sz w:val="28"/>
          <w:szCs w:val="28"/>
        </w:rPr>
        <w:t>przewidywania (</w:t>
      </w:r>
      <w:r w:rsidRPr="00175A4A">
        <w:rPr>
          <w:rFonts w:ascii="Times New Roman" w:hAnsi="Times New Roman" w:cs="Times New Roman"/>
          <w:i/>
          <w:iCs/>
          <w:sz w:val="28"/>
          <w:szCs w:val="28"/>
        </w:rPr>
        <w:t>predict</w:t>
      </w:r>
      <w:r>
        <w:rPr>
          <w:rFonts w:ascii="Times New Roman" w:hAnsi="Times New Roman" w:cs="Times New Roman"/>
          <w:sz w:val="28"/>
          <w:szCs w:val="28"/>
        </w:rPr>
        <w:t>). Oblicza się tu wartość Y dla zmodyfikowania modelu dokonanego w operacji działania.</w:t>
      </w:r>
    </w:p>
    <w:p w14:paraId="034CF60C" w14:textId="77777777" w:rsidR="000F61BA" w:rsidRDefault="000F61BA" w:rsidP="000F61BA">
      <w:pPr>
        <w:ind w:firstLine="708"/>
        <w:jc w:val="both"/>
        <w:rPr>
          <w:rFonts w:ascii="Times New Roman" w:hAnsi="Times New Roman" w:cs="Times New Roman"/>
          <w:sz w:val="28"/>
          <w:szCs w:val="28"/>
        </w:rPr>
      </w:pPr>
      <w:r>
        <w:rPr>
          <w:rFonts w:ascii="Times New Roman" w:hAnsi="Times New Roman" w:cs="Times New Roman"/>
          <w:sz w:val="28"/>
          <w:szCs w:val="28"/>
        </w:rPr>
        <w:t xml:space="preserve">Z punktu widzenia ewaluacji kapitalne znaczenie ma wykorzystanie kontrfaktyczności do szacowania efektów bezpośrednich i pośrednich programów. W </w:t>
      </w:r>
      <w:r>
        <w:rPr>
          <w:rFonts w:ascii="Times New Roman" w:hAnsi="Times New Roman" w:cs="Times New Roman"/>
          <w:sz w:val="28"/>
          <w:szCs w:val="28"/>
        </w:rPr>
        <w:lastRenderedPageBreak/>
        <w:t>konwencji SCM mówi i pisze się wtedy o pośredniczeniu (</w:t>
      </w:r>
      <w:r w:rsidRPr="00B7207E">
        <w:rPr>
          <w:rFonts w:ascii="Times New Roman" w:hAnsi="Times New Roman" w:cs="Times New Roman"/>
          <w:i/>
          <w:iCs/>
          <w:sz w:val="28"/>
          <w:szCs w:val="28"/>
        </w:rPr>
        <w:t>mediation</w:t>
      </w:r>
      <w:r>
        <w:rPr>
          <w:rFonts w:ascii="Times New Roman" w:hAnsi="Times New Roman" w:cs="Times New Roman"/>
          <w:sz w:val="28"/>
          <w:szCs w:val="28"/>
        </w:rPr>
        <w:t>). Zapiszmy zatem prosty model przyczynowości:</w:t>
      </w:r>
    </w:p>
    <w:p w14:paraId="3A87CABB" w14:textId="77777777" w:rsidR="000F61BA" w:rsidRDefault="000F61BA" w:rsidP="000F61BA">
      <w:pPr>
        <w:ind w:firstLine="708"/>
        <w:jc w:val="center"/>
        <w:rPr>
          <w:rFonts w:ascii="Times New Roman" w:hAnsi="Times New Roman" w:cs="Times New Roman"/>
          <w:sz w:val="28"/>
          <w:szCs w:val="28"/>
        </w:rPr>
      </w:pPr>
      <w:r w:rsidRPr="00A87CC5">
        <w:rPr>
          <w:rFonts w:ascii="Times New Roman" w:hAnsi="Times New Roman" w:cs="Times New Roman"/>
          <w:position w:val="-10"/>
          <w:sz w:val="28"/>
          <w:szCs w:val="28"/>
        </w:rPr>
        <w:object w:dxaOrig="1900" w:dyaOrig="320" w14:anchorId="0BE35700">
          <v:shape id="_x0000_i1099" type="#_x0000_t75" style="width:93.5pt;height:14.5pt" o:ole="">
            <v:imagedata r:id="rId159" o:title=""/>
          </v:shape>
          <o:OLEObject Type="Embed" ProgID="Equation.DSMT4" ShapeID="_x0000_i1099" DrawAspect="Content" ObjectID="_1799840670" r:id="rId160"/>
        </w:object>
      </w:r>
    </w:p>
    <w:p w14:paraId="06792D66" w14:textId="77777777" w:rsidR="000F61BA" w:rsidRDefault="000F61BA" w:rsidP="000F61BA">
      <w:pPr>
        <w:tabs>
          <w:tab w:val="left" w:pos="1075"/>
        </w:tabs>
        <w:jc w:val="both"/>
        <w:rPr>
          <w:rFonts w:ascii="Times New Roman" w:hAnsi="Times New Roman" w:cs="Times New Roman"/>
          <w:sz w:val="28"/>
          <w:szCs w:val="28"/>
        </w:rPr>
      </w:pPr>
      <w:r>
        <w:rPr>
          <w:rFonts w:ascii="Times New Roman" w:hAnsi="Times New Roman" w:cs="Times New Roman"/>
          <w:sz w:val="28"/>
          <w:szCs w:val="28"/>
        </w:rPr>
        <w:t>gdzie: M pośredniczy w oddziaływaniu X na Y, ale równocześnie X pośrednio wpływa też na Y. Stąd M przyjmuje się jako wartość stałą, a zmienia się X.</w:t>
      </w:r>
    </w:p>
    <w:p w14:paraId="71CF54C7" w14:textId="77777777" w:rsidR="000F61BA" w:rsidRDefault="000F61BA" w:rsidP="000F61BA">
      <w:pPr>
        <w:tabs>
          <w:tab w:val="left" w:pos="1075"/>
        </w:tabs>
        <w:ind w:firstLine="709"/>
        <w:jc w:val="both"/>
        <w:rPr>
          <w:rFonts w:ascii="Times New Roman" w:hAnsi="Times New Roman" w:cs="Times New Roman"/>
          <w:sz w:val="28"/>
          <w:szCs w:val="28"/>
        </w:rPr>
      </w:pPr>
      <w:r>
        <w:rPr>
          <w:rFonts w:ascii="Times New Roman" w:hAnsi="Times New Roman" w:cs="Times New Roman"/>
          <w:sz w:val="28"/>
          <w:szCs w:val="28"/>
        </w:rPr>
        <w:t>Chcąc obliczyć kontrolowany bezpośredni efekt (</w:t>
      </w:r>
      <w:r w:rsidRPr="00AE7366">
        <w:rPr>
          <w:rFonts w:ascii="Times New Roman" w:hAnsi="Times New Roman" w:cs="Times New Roman"/>
          <w:i/>
          <w:iCs/>
          <w:sz w:val="28"/>
          <w:szCs w:val="28"/>
        </w:rPr>
        <w:t>the controlled direct effec</w:t>
      </w:r>
      <w:r>
        <w:rPr>
          <w:rFonts w:ascii="Times New Roman" w:hAnsi="Times New Roman" w:cs="Times New Roman"/>
          <w:sz w:val="28"/>
          <w:szCs w:val="28"/>
        </w:rPr>
        <w:t>t, CDE), trzeba wymusić określone wartości dla czynnika pośredniczącego M (do (M = 0)) i losowo przydzielić jednostki do wartości X(do (X = 0), do (X = 1),…), a następnie obserwować zachowanie się Y:</w:t>
      </w:r>
    </w:p>
    <w:p w14:paraId="39F4555F" w14:textId="77777777" w:rsidR="000F61BA" w:rsidRDefault="000F61BA" w:rsidP="000F61BA">
      <w:pPr>
        <w:tabs>
          <w:tab w:val="left" w:pos="1075"/>
        </w:tabs>
        <w:ind w:firstLine="709"/>
        <w:jc w:val="center"/>
        <w:rPr>
          <w:rFonts w:ascii="Times New Roman" w:hAnsi="Times New Roman" w:cs="Times New Roman"/>
          <w:sz w:val="28"/>
          <w:szCs w:val="28"/>
        </w:rPr>
      </w:pPr>
      <w:r w:rsidRPr="00C64BF8">
        <w:rPr>
          <w:rFonts w:ascii="Times New Roman" w:hAnsi="Times New Roman" w:cs="Times New Roman"/>
          <w:position w:val="-42"/>
          <w:sz w:val="28"/>
          <w:szCs w:val="28"/>
        </w:rPr>
        <w:object w:dxaOrig="4360" w:dyaOrig="960" w14:anchorId="2B8D5B11">
          <v:shape id="_x0000_i1100" type="#_x0000_t75" style="width:3in;height:50.5pt" o:ole="">
            <v:imagedata r:id="rId161" o:title=""/>
          </v:shape>
          <o:OLEObject Type="Embed" ProgID="Equation.DSMT4" ShapeID="_x0000_i1100" DrawAspect="Content" ObjectID="_1799840671" r:id="rId162"/>
        </w:object>
      </w:r>
    </w:p>
    <w:p w14:paraId="6D7BF9BF" w14:textId="77777777" w:rsidR="000F61BA" w:rsidRDefault="000F61BA" w:rsidP="000F61BA">
      <w:pPr>
        <w:ind w:firstLine="708"/>
        <w:jc w:val="both"/>
        <w:rPr>
          <w:rFonts w:ascii="Times New Roman" w:hAnsi="Times New Roman" w:cs="Times New Roman"/>
          <w:sz w:val="28"/>
          <w:szCs w:val="28"/>
        </w:rPr>
      </w:pPr>
      <w:r>
        <w:rPr>
          <w:rFonts w:ascii="Times New Roman" w:hAnsi="Times New Roman" w:cs="Times New Roman"/>
          <w:sz w:val="28"/>
          <w:szCs w:val="28"/>
        </w:rPr>
        <w:t>Lepszym rozwiązaniem może być określenie naturalnego efektu bezpośredniego (</w:t>
      </w:r>
      <w:r w:rsidRPr="00C64BF8">
        <w:rPr>
          <w:rFonts w:ascii="Times New Roman" w:hAnsi="Times New Roman" w:cs="Times New Roman"/>
          <w:i/>
          <w:iCs/>
          <w:sz w:val="28"/>
          <w:szCs w:val="28"/>
        </w:rPr>
        <w:t>the natural direct effect</w:t>
      </w:r>
      <w:r>
        <w:rPr>
          <w:rFonts w:ascii="Times New Roman" w:hAnsi="Times New Roman" w:cs="Times New Roman"/>
          <w:sz w:val="28"/>
          <w:szCs w:val="28"/>
        </w:rPr>
        <w:t>, NDE) przez pozostawienie niezmienionych relacji między X i M, a oddziaływanie eksperymentatora na relacje między X i Y:</w:t>
      </w:r>
    </w:p>
    <w:p w14:paraId="4829053B" w14:textId="77777777" w:rsidR="000F61BA" w:rsidRDefault="000F61BA" w:rsidP="000F61BA">
      <w:pPr>
        <w:ind w:firstLine="708"/>
        <w:jc w:val="center"/>
        <w:rPr>
          <w:rFonts w:ascii="Times New Roman" w:hAnsi="Times New Roman" w:cs="Times New Roman"/>
          <w:sz w:val="28"/>
          <w:szCs w:val="28"/>
        </w:rPr>
      </w:pPr>
      <w:r w:rsidRPr="00584E14">
        <w:rPr>
          <w:rFonts w:ascii="Times New Roman" w:hAnsi="Times New Roman" w:cs="Times New Roman"/>
          <w:position w:val="-22"/>
          <w:sz w:val="28"/>
          <w:szCs w:val="28"/>
        </w:rPr>
        <w:object w:dxaOrig="5640" w:dyaOrig="560" w14:anchorId="68EB5A43">
          <v:shape id="_x0000_i1101" type="#_x0000_t75" style="width:281pt;height:29pt" o:ole="">
            <v:imagedata r:id="rId163" o:title=""/>
          </v:shape>
          <o:OLEObject Type="Embed" ProgID="Equation.DSMT4" ShapeID="_x0000_i1101" DrawAspect="Content" ObjectID="_1799840672" r:id="rId164"/>
        </w:object>
      </w:r>
    </w:p>
    <w:p w14:paraId="68BA7130" w14:textId="77777777" w:rsidR="000F61BA" w:rsidRDefault="000F61BA" w:rsidP="000F61BA">
      <w:pPr>
        <w:tabs>
          <w:tab w:val="left" w:pos="978"/>
        </w:tabs>
        <w:jc w:val="both"/>
        <w:rPr>
          <w:rFonts w:ascii="Times New Roman" w:hAnsi="Times New Roman" w:cs="Times New Roman"/>
          <w:sz w:val="28"/>
          <w:szCs w:val="28"/>
        </w:rPr>
      </w:pPr>
      <w:r>
        <w:rPr>
          <w:rFonts w:ascii="Times New Roman" w:hAnsi="Times New Roman" w:cs="Times New Roman"/>
          <w:sz w:val="28"/>
          <w:szCs w:val="28"/>
        </w:rPr>
        <w:tab/>
        <w:t>Pośredni efekt X na Y oznacza przyrost Y dla niezmienionego X i wzrostu M w sytuacji powiększenia się X o jednostkę. Efektu tego nie można w jakikolwiek sposób kontrolować, bo pozostawienie pewnych zmiennych jako równych constans nie wyłącza działania wpływów bezpośrednich. W praktyce najczęściej oblicza się naturalny pośredni efekt (</w:t>
      </w:r>
      <w:r w:rsidRPr="001D3B93">
        <w:rPr>
          <w:rFonts w:ascii="Times New Roman" w:hAnsi="Times New Roman" w:cs="Times New Roman"/>
          <w:i/>
          <w:iCs/>
          <w:sz w:val="28"/>
          <w:szCs w:val="28"/>
        </w:rPr>
        <w:t>the natural indirect effect</w:t>
      </w:r>
      <w:r>
        <w:rPr>
          <w:rFonts w:ascii="Times New Roman" w:hAnsi="Times New Roman" w:cs="Times New Roman"/>
          <w:sz w:val="28"/>
          <w:szCs w:val="28"/>
        </w:rPr>
        <w:t>, NIE):</w:t>
      </w:r>
      <w:r w:rsidRPr="001D3B93">
        <w:rPr>
          <w:rFonts w:ascii="Times New Roman" w:hAnsi="Times New Roman" w:cs="Times New Roman"/>
          <w:position w:val="-44"/>
          <w:sz w:val="28"/>
          <w:szCs w:val="28"/>
        </w:rPr>
        <w:object w:dxaOrig="4640" w:dyaOrig="999" w14:anchorId="27F2BA4C">
          <v:shape id="_x0000_i1102" type="#_x0000_t75" style="width:230.5pt;height:50pt" o:ole="">
            <v:imagedata r:id="rId165" o:title=""/>
          </v:shape>
          <o:OLEObject Type="Embed" ProgID="Equation.DSMT4" ShapeID="_x0000_i1102" DrawAspect="Content" ObjectID="_1799840673" r:id="rId166"/>
        </w:object>
      </w:r>
      <w:r>
        <w:rPr>
          <w:rFonts w:ascii="Times New Roman" w:hAnsi="Times New Roman" w:cs="Times New Roman"/>
          <w:sz w:val="28"/>
          <w:szCs w:val="28"/>
        </w:rPr>
        <w:t xml:space="preserve"> </w:t>
      </w:r>
    </w:p>
    <w:p w14:paraId="53952696" w14:textId="77777777" w:rsidR="000F61BA" w:rsidRDefault="000F61BA" w:rsidP="000F61BA">
      <w:pPr>
        <w:tabs>
          <w:tab w:val="left" w:pos="978"/>
        </w:tabs>
        <w:jc w:val="both"/>
        <w:rPr>
          <w:rFonts w:ascii="Times New Roman" w:hAnsi="Times New Roman" w:cs="Times New Roman"/>
          <w:sz w:val="28"/>
          <w:szCs w:val="28"/>
        </w:rPr>
      </w:pPr>
      <w:r>
        <w:rPr>
          <w:rFonts w:ascii="Times New Roman" w:hAnsi="Times New Roman" w:cs="Times New Roman"/>
          <w:sz w:val="28"/>
          <w:szCs w:val="28"/>
        </w:rPr>
        <w:tab/>
        <w:t>W końcu można zastosować poniższą konwencję, żeby obliczyć efekt całkowity:</w:t>
      </w:r>
    </w:p>
    <w:p w14:paraId="1BF634C4" w14:textId="77777777" w:rsidR="000F61BA" w:rsidRDefault="000F61BA" w:rsidP="000F61BA">
      <w:pPr>
        <w:ind w:firstLine="708"/>
        <w:rPr>
          <w:rFonts w:ascii="Times New Roman" w:hAnsi="Times New Roman" w:cs="Times New Roman"/>
          <w:sz w:val="28"/>
          <w:szCs w:val="28"/>
        </w:rPr>
      </w:pPr>
      <w:r>
        <w:rPr>
          <w:rFonts w:ascii="Times New Roman" w:hAnsi="Times New Roman" w:cs="Times New Roman"/>
          <w:sz w:val="28"/>
          <w:szCs w:val="28"/>
        </w:rPr>
        <w:t xml:space="preserve">Efekt całkowity </w:t>
      </w:r>
      <w:r w:rsidRPr="00BB332B">
        <w:rPr>
          <w:rFonts w:ascii="Times New Roman" w:hAnsi="Times New Roman" w:cs="Times New Roman"/>
          <w:position w:val="-14"/>
          <w:sz w:val="28"/>
          <w:szCs w:val="28"/>
        </w:rPr>
        <w:object w:dxaOrig="6300" w:dyaOrig="400" w14:anchorId="25E1B60D">
          <v:shape id="_x0000_i1103" type="#_x0000_t75" style="width:317pt;height:22pt" o:ole="">
            <v:imagedata r:id="rId167" o:title=""/>
          </v:shape>
          <o:OLEObject Type="Embed" ProgID="Equation.DSMT4" ShapeID="_x0000_i1103" DrawAspect="Content" ObjectID="_1799840674" r:id="rId168"/>
        </w:object>
      </w:r>
    </w:p>
    <w:p w14:paraId="4F5308BC" w14:textId="77777777" w:rsidR="000F61BA" w:rsidRDefault="000F61BA" w:rsidP="000F61BA">
      <w:pPr>
        <w:ind w:firstLine="708"/>
        <w:rPr>
          <w:rFonts w:ascii="Times New Roman" w:hAnsi="Times New Roman" w:cs="Times New Roman"/>
          <w:sz w:val="28"/>
          <w:szCs w:val="28"/>
        </w:rPr>
      </w:pPr>
      <w:r>
        <w:rPr>
          <w:rFonts w:ascii="Times New Roman" w:hAnsi="Times New Roman" w:cs="Times New Roman"/>
          <w:sz w:val="28"/>
          <w:szCs w:val="28"/>
        </w:rPr>
        <w:t>Każdy SCM składa się z następujących elementów:</w:t>
      </w:r>
    </w:p>
    <w:p w14:paraId="3F8303B7" w14:textId="77777777" w:rsidR="000F61BA" w:rsidRDefault="000F61BA" w:rsidP="001D0854">
      <w:pPr>
        <w:pStyle w:val="Akapitzlist"/>
        <w:numPr>
          <w:ilvl w:val="0"/>
          <w:numId w:val="27"/>
        </w:numPr>
        <w:ind w:left="567" w:hanging="567"/>
        <w:jc w:val="both"/>
        <w:rPr>
          <w:rFonts w:ascii="Times New Roman" w:hAnsi="Times New Roman" w:cs="Times New Roman"/>
          <w:sz w:val="28"/>
          <w:szCs w:val="28"/>
        </w:rPr>
      </w:pPr>
      <w:r>
        <w:rPr>
          <w:rFonts w:ascii="Times New Roman" w:hAnsi="Times New Roman" w:cs="Times New Roman"/>
          <w:sz w:val="28"/>
          <w:szCs w:val="28"/>
        </w:rPr>
        <w:t xml:space="preserve">Diagramów i map przyczynowych. To sieci opisujące zależności między zmiennymi za pomocą łuków i węzłów oraz strzałek, grotów, które wprost pokazują kierunki przyczynowości. Z kolei połączenia między węzłami pełnią funkcję ścieżek przyczynowości. W ujęciu szczegółowym mamy tu: </w:t>
      </w:r>
      <w:r>
        <w:rPr>
          <w:rFonts w:ascii="Times New Roman" w:hAnsi="Times New Roman" w:cs="Times New Roman"/>
          <w:sz w:val="28"/>
          <w:szCs w:val="28"/>
        </w:rPr>
        <w:lastRenderedPageBreak/>
        <w:t>pętle przyczynowe, zorientowane grafy acykliczne oraz diagramy Ishikawy (Pearl i in., 2016). Narzędzia te mogą być ukierunkowane zarówno na analizy ilościowe, jak i jakościowe oraz kombinowane. Są one niezbędnym składnikiem w teorii programu oraz teorii zmiany (Davies, 2004).</w:t>
      </w:r>
    </w:p>
    <w:p w14:paraId="20326125" w14:textId="77777777" w:rsidR="000F61BA" w:rsidRDefault="000F61BA" w:rsidP="001D0854">
      <w:pPr>
        <w:pStyle w:val="Akapitzlist"/>
        <w:numPr>
          <w:ilvl w:val="0"/>
          <w:numId w:val="27"/>
        </w:numPr>
        <w:ind w:left="567" w:hanging="567"/>
        <w:jc w:val="both"/>
        <w:rPr>
          <w:rFonts w:ascii="Times New Roman" w:hAnsi="Times New Roman" w:cs="Times New Roman"/>
          <w:sz w:val="28"/>
          <w:szCs w:val="28"/>
        </w:rPr>
      </w:pPr>
      <w:r>
        <w:rPr>
          <w:rFonts w:ascii="Times New Roman" w:hAnsi="Times New Roman" w:cs="Times New Roman"/>
          <w:sz w:val="28"/>
          <w:szCs w:val="28"/>
        </w:rPr>
        <w:t xml:space="preserve">Wzorów skrzyżowań. Wyróżnia się ich trzy typy: (1) łańcuchy. To linie proste ze strzałkami, wskazujące ruch od przyczyny do efektu, np. A→B →C; (2) rozwidlenia w kształcie widelca, żeby poinformować, że jedna przyczyna może owocować wieloma efektami, np. A←B </w:t>
      </w:r>
      <w:bookmarkStart w:id="13" w:name="_Hlk177474017"/>
      <w:r>
        <w:rPr>
          <w:rFonts w:ascii="Times New Roman" w:hAnsi="Times New Roman" w:cs="Times New Roman"/>
          <w:sz w:val="28"/>
          <w:szCs w:val="28"/>
        </w:rPr>
        <w:t>→</w:t>
      </w:r>
      <w:bookmarkEnd w:id="13"/>
      <w:r>
        <w:rPr>
          <w:rFonts w:ascii="Times New Roman" w:hAnsi="Times New Roman" w:cs="Times New Roman"/>
          <w:sz w:val="28"/>
          <w:szCs w:val="28"/>
        </w:rPr>
        <w:t>C; (3) Tzw. zderzaczy (colliders). To sytuacja, w której wiele przyczyn prowadzi do jednego efektu, np. A←B→C→A. Oznacza to również, że dwa efekty mogą mieć wspólną przyczynę.</w:t>
      </w:r>
    </w:p>
    <w:p w14:paraId="47C57DDD" w14:textId="77777777" w:rsidR="000F61BA" w:rsidRDefault="000F61BA" w:rsidP="001D0854">
      <w:pPr>
        <w:pStyle w:val="Akapitzlist"/>
        <w:numPr>
          <w:ilvl w:val="0"/>
          <w:numId w:val="27"/>
        </w:numPr>
        <w:ind w:left="567" w:hanging="567"/>
        <w:jc w:val="both"/>
        <w:rPr>
          <w:rFonts w:ascii="Times New Roman" w:hAnsi="Times New Roman" w:cs="Times New Roman"/>
          <w:sz w:val="28"/>
          <w:szCs w:val="28"/>
        </w:rPr>
      </w:pPr>
      <w:r>
        <w:rPr>
          <w:rFonts w:ascii="Times New Roman" w:hAnsi="Times New Roman" w:cs="Times New Roman"/>
          <w:sz w:val="28"/>
          <w:szCs w:val="28"/>
        </w:rPr>
        <w:t>Węzłów. Wyróżnia się dwa ich rodzaje: confoundery, o których już pisano w tym rozdziale, czyli mechanizmy wpływu na wiele efektów, co prowadzi do dodatniej korelacji między nimi; czynniki pośredniczące (mediators), których zadaniem jest zmienianie oddziaływania innych przyczyn na dany efekt.</w:t>
      </w:r>
    </w:p>
    <w:p w14:paraId="7E7A74AD" w14:textId="77777777" w:rsidR="000F61BA" w:rsidRDefault="000F61BA" w:rsidP="001D0854">
      <w:pPr>
        <w:pStyle w:val="Akapitzlist"/>
        <w:numPr>
          <w:ilvl w:val="0"/>
          <w:numId w:val="27"/>
        </w:numPr>
        <w:ind w:left="567" w:hanging="567"/>
        <w:jc w:val="both"/>
        <w:rPr>
          <w:rFonts w:ascii="Times New Roman" w:hAnsi="Times New Roman" w:cs="Times New Roman"/>
          <w:sz w:val="28"/>
          <w:szCs w:val="28"/>
        </w:rPr>
      </w:pPr>
      <w:r>
        <w:rPr>
          <w:rFonts w:ascii="Times New Roman" w:hAnsi="Times New Roman" w:cs="Times New Roman"/>
          <w:sz w:val="28"/>
          <w:szCs w:val="28"/>
        </w:rPr>
        <w:t>Zmiennych instrumentalnych. Muszą one spełniać następujące warunki:</w:t>
      </w:r>
    </w:p>
    <w:p w14:paraId="3ADB188B" w14:textId="77777777" w:rsidR="000F61BA" w:rsidRDefault="000F61BA" w:rsidP="001D0854">
      <w:pPr>
        <w:pStyle w:val="Akapitzlist"/>
        <w:numPr>
          <w:ilvl w:val="0"/>
          <w:numId w:val="25"/>
        </w:numPr>
        <w:ind w:left="709" w:hanging="567"/>
        <w:jc w:val="both"/>
        <w:rPr>
          <w:rFonts w:ascii="Times New Roman" w:hAnsi="Times New Roman" w:cs="Times New Roman"/>
          <w:sz w:val="28"/>
          <w:szCs w:val="28"/>
        </w:rPr>
      </w:pPr>
      <w:r>
        <w:rPr>
          <w:rFonts w:ascii="Times New Roman" w:hAnsi="Times New Roman" w:cs="Times New Roman"/>
          <w:sz w:val="28"/>
          <w:szCs w:val="28"/>
        </w:rPr>
        <w:t>tworzą ścieżkę do wyniku (są z nim powiązane);</w:t>
      </w:r>
    </w:p>
    <w:p w14:paraId="0249648A" w14:textId="77777777" w:rsidR="000F61BA" w:rsidRDefault="000F61BA" w:rsidP="001D0854">
      <w:pPr>
        <w:pStyle w:val="Akapitzlist"/>
        <w:numPr>
          <w:ilvl w:val="0"/>
          <w:numId w:val="25"/>
        </w:numPr>
        <w:ind w:left="709" w:hanging="567"/>
        <w:jc w:val="both"/>
        <w:rPr>
          <w:rFonts w:ascii="Times New Roman" w:hAnsi="Times New Roman" w:cs="Times New Roman"/>
          <w:sz w:val="28"/>
          <w:szCs w:val="28"/>
        </w:rPr>
      </w:pPr>
      <w:r>
        <w:rPr>
          <w:rFonts w:ascii="Times New Roman" w:hAnsi="Times New Roman" w:cs="Times New Roman"/>
          <w:sz w:val="28"/>
          <w:szCs w:val="28"/>
        </w:rPr>
        <w:t>nie są skorelowane ze zmiennymi przyczynowymi;</w:t>
      </w:r>
    </w:p>
    <w:p w14:paraId="54A2C604" w14:textId="77777777" w:rsidR="000F61BA" w:rsidRDefault="000F61BA" w:rsidP="001D0854">
      <w:pPr>
        <w:pStyle w:val="Akapitzlist"/>
        <w:numPr>
          <w:ilvl w:val="0"/>
          <w:numId w:val="25"/>
        </w:numPr>
        <w:ind w:left="709" w:hanging="567"/>
        <w:jc w:val="both"/>
        <w:rPr>
          <w:rFonts w:ascii="Times New Roman" w:hAnsi="Times New Roman" w:cs="Times New Roman"/>
          <w:sz w:val="28"/>
          <w:szCs w:val="28"/>
        </w:rPr>
      </w:pPr>
      <w:r>
        <w:rPr>
          <w:rFonts w:ascii="Times New Roman" w:hAnsi="Times New Roman" w:cs="Times New Roman"/>
          <w:sz w:val="28"/>
          <w:szCs w:val="28"/>
        </w:rPr>
        <w:t>nie mają jednak bezpośredniego wpływu na wynik.</w:t>
      </w:r>
    </w:p>
    <w:p w14:paraId="03937707" w14:textId="77777777" w:rsidR="000F61BA" w:rsidRDefault="000F61BA" w:rsidP="000F61BA">
      <w:pPr>
        <w:ind w:left="142"/>
        <w:jc w:val="both"/>
        <w:rPr>
          <w:rFonts w:ascii="Times New Roman" w:hAnsi="Times New Roman" w:cs="Times New Roman"/>
          <w:sz w:val="28"/>
          <w:szCs w:val="28"/>
        </w:rPr>
      </w:pPr>
      <w:r>
        <w:rPr>
          <w:rFonts w:ascii="Times New Roman" w:hAnsi="Times New Roman" w:cs="Times New Roman"/>
          <w:sz w:val="28"/>
          <w:szCs w:val="28"/>
        </w:rPr>
        <w:t>Współczynniki regresji mogą odzwierciedlać te zmienne, jeśli nie występują czynniki zakłócające. W poniższym przykładzie:</w:t>
      </w:r>
    </w:p>
    <w:p w14:paraId="4B49FD6B" w14:textId="77777777" w:rsidR="000F61BA" w:rsidRDefault="000F61BA" w:rsidP="000F61BA">
      <w:pPr>
        <w:ind w:left="142"/>
        <w:jc w:val="center"/>
        <w:rPr>
          <w:rFonts w:ascii="Times New Roman" w:hAnsi="Times New Roman" w:cs="Times New Roman"/>
          <w:sz w:val="28"/>
          <w:szCs w:val="28"/>
        </w:rPr>
      </w:pPr>
      <w:r>
        <w:rPr>
          <w:rFonts w:ascii="Times New Roman" w:hAnsi="Times New Roman" w:cs="Times New Roman"/>
          <w:sz w:val="28"/>
          <w:szCs w:val="28"/>
        </w:rPr>
        <w:t>Z→X→Y←U→X</w:t>
      </w:r>
    </w:p>
    <w:p w14:paraId="708BBC59" w14:textId="77777777" w:rsidR="000F61BA" w:rsidRDefault="000F61BA" w:rsidP="000F61BA">
      <w:pPr>
        <w:rPr>
          <w:rFonts w:ascii="Times New Roman" w:hAnsi="Times New Roman" w:cs="Times New Roman"/>
          <w:sz w:val="28"/>
          <w:szCs w:val="28"/>
        </w:rPr>
      </w:pPr>
      <w:r>
        <w:rPr>
          <w:rFonts w:ascii="Times New Roman" w:hAnsi="Times New Roman" w:cs="Times New Roman"/>
          <w:sz w:val="28"/>
          <w:szCs w:val="28"/>
        </w:rPr>
        <w:t>Z jest zmienną instrumentalną, ponieważ znajduje się na ścieżce prowadzącej do wyniku Y i nie jest zakłócona przez np. zmienną U.</w:t>
      </w:r>
    </w:p>
    <w:p w14:paraId="3BC5914D" w14:textId="77777777" w:rsidR="000F61BA" w:rsidRDefault="000F61BA" w:rsidP="001D0854">
      <w:pPr>
        <w:pStyle w:val="Akapitzlist"/>
        <w:numPr>
          <w:ilvl w:val="0"/>
          <w:numId w:val="28"/>
        </w:numPr>
        <w:ind w:left="567" w:hanging="567"/>
        <w:jc w:val="both"/>
        <w:rPr>
          <w:rFonts w:ascii="Times New Roman" w:hAnsi="Times New Roman" w:cs="Times New Roman"/>
          <w:sz w:val="28"/>
          <w:szCs w:val="28"/>
        </w:rPr>
      </w:pPr>
      <w:r>
        <w:rPr>
          <w:rFonts w:ascii="Times New Roman" w:hAnsi="Times New Roman" w:cs="Times New Roman"/>
          <w:sz w:val="28"/>
          <w:szCs w:val="28"/>
        </w:rPr>
        <w:t>Randomizacji Mendlowskiej. Używa się jej do mierzenia wpływu zmienności genowej za pomocą znanej funkcji, żeby przeanalizować efekt przyczynowy modyfikacji ekspozycji na chorobę w oparciu o dane obserwacyjne. Zależności te służą do udzielania odpowiedzi na pytanie, czy regresja może być wykorzystana do ukrycia przyczynowości?</w:t>
      </w:r>
    </w:p>
    <w:p w14:paraId="25641143" w14:textId="77777777" w:rsidR="000F61BA" w:rsidRDefault="000F61BA" w:rsidP="000F61BA">
      <w:pPr>
        <w:pStyle w:val="Akapitzlist"/>
        <w:ind w:left="142" w:firstLine="709"/>
        <w:jc w:val="both"/>
        <w:rPr>
          <w:rFonts w:ascii="Times New Roman" w:hAnsi="Times New Roman" w:cs="Times New Roman"/>
          <w:sz w:val="28"/>
          <w:szCs w:val="28"/>
        </w:rPr>
      </w:pPr>
      <w:r>
        <w:rPr>
          <w:rFonts w:ascii="Times New Roman" w:hAnsi="Times New Roman" w:cs="Times New Roman"/>
          <w:sz w:val="28"/>
          <w:szCs w:val="28"/>
        </w:rPr>
        <w:t>W modelach i systemach przyczynowości badacze muszą zawsze odwoływać się do pojęcia „rozumowanie przyczynowe” (</w:t>
      </w:r>
      <w:r w:rsidRPr="00F80317">
        <w:rPr>
          <w:rFonts w:ascii="Times New Roman" w:hAnsi="Times New Roman" w:cs="Times New Roman"/>
          <w:i/>
          <w:iCs/>
          <w:sz w:val="28"/>
          <w:szCs w:val="28"/>
        </w:rPr>
        <w:t>causal reasoning</w:t>
      </w:r>
      <w:r w:rsidRPr="00E258C5">
        <w:rPr>
          <w:rFonts w:ascii="Times New Roman" w:hAnsi="Times New Roman" w:cs="Times New Roman"/>
          <w:sz w:val="28"/>
          <w:szCs w:val="28"/>
        </w:rPr>
        <w:t>)</w:t>
      </w:r>
      <w:r>
        <w:rPr>
          <w:rFonts w:ascii="Times New Roman" w:hAnsi="Times New Roman" w:cs="Times New Roman"/>
          <w:sz w:val="28"/>
          <w:szCs w:val="28"/>
        </w:rPr>
        <w:t xml:space="preserve">. W skrócie oznacza ono identyfikowanie przyczynowości, tj. relacji między przyczyną a jej skutkiem/skutkami (Rehder, 2013). Relacje te mogą być przy tym ujmowane również jako swoisty transfer siły oraz zmiana w czasie w sensie, iż </w:t>
      </w:r>
      <w:r>
        <w:rPr>
          <w:rFonts w:ascii="Times New Roman" w:hAnsi="Times New Roman" w:cs="Times New Roman"/>
          <w:sz w:val="28"/>
          <w:szCs w:val="28"/>
        </w:rPr>
        <w:lastRenderedPageBreak/>
        <w:t>przyczyna poprzedza wynik (Lagnado i Sloman, 2006). Dla porządku dodajmy, że nie zawsze powyższy transfer ma miejsce, gdy przyczyna ustaje albo działanie o takim charakterze zostaje wycofane (Ahn i in., 1995). Szczególnym przypadkiem w tym kontekście są sytuacje kontrfaktyczne, bardzo częste w zachowaniach ludzi, bo odzwierciedlają przecież dylematy „co mogłoby się wydarzyć”.</w:t>
      </w:r>
    </w:p>
    <w:p w14:paraId="0AF70C76" w14:textId="02F283D8" w:rsidR="000F61BA" w:rsidRDefault="000F61BA" w:rsidP="000F61BA">
      <w:pPr>
        <w:pStyle w:val="Akapitzlist"/>
        <w:ind w:left="142" w:firstLine="709"/>
        <w:jc w:val="both"/>
        <w:rPr>
          <w:rFonts w:ascii="Times New Roman" w:hAnsi="Times New Roman" w:cs="Times New Roman"/>
          <w:sz w:val="28"/>
          <w:szCs w:val="28"/>
        </w:rPr>
      </w:pPr>
      <w:r>
        <w:rPr>
          <w:rFonts w:ascii="Times New Roman" w:hAnsi="Times New Roman" w:cs="Times New Roman"/>
          <w:sz w:val="28"/>
          <w:szCs w:val="28"/>
        </w:rPr>
        <w:t>Najprostsze relacje przyczynowe to wartościowanie, a więc występowanie przyczyny i skutku albo brak obydwu. Możliwe są jednakże ciągłe wartościowania, co wprost prowadzi nas do określonych postaci ciągłych funkcji matematycznych (Ch</w:t>
      </w:r>
      <w:r w:rsidR="005B07F0">
        <w:rPr>
          <w:rFonts w:ascii="Times New Roman" w:hAnsi="Times New Roman" w:cs="Times New Roman"/>
          <w:sz w:val="28"/>
          <w:szCs w:val="28"/>
        </w:rPr>
        <w:t>e</w:t>
      </w:r>
      <w:r>
        <w:rPr>
          <w:rFonts w:ascii="Times New Roman" w:hAnsi="Times New Roman" w:cs="Times New Roman"/>
          <w:sz w:val="28"/>
          <w:szCs w:val="28"/>
        </w:rPr>
        <w:t>ng, 1997). W fizyce i naukach inżynierskich ciągłość ta często nie jest jednak w pełni zachowywana. W przypadku fizyki należy jednak dodatkowo rozróżnić sytuacje deterministyczne, gdzie z przyczyny dosyć precyzyjnie można wnioskować o jej skutku/skutkach, oraz mechanikę kwantową, w której spotkać możemy już wcześniej sygnalizowane w tym rozdziale zjawisko nieokreśloności relacji przyczynowej (Williamson, 2011). Jak już tu wskazywano, zachodzi wtedy konieczność jej uzgodnienia ze szczególną teorią względności Einsteina.</w:t>
      </w:r>
    </w:p>
    <w:p w14:paraId="42A5CB88" w14:textId="77777777" w:rsidR="000F61BA" w:rsidRDefault="000F61BA" w:rsidP="000F61BA">
      <w:pPr>
        <w:pStyle w:val="Akapitzlist"/>
        <w:spacing w:after="0"/>
        <w:ind w:left="142" w:firstLine="709"/>
        <w:jc w:val="both"/>
        <w:rPr>
          <w:rFonts w:ascii="Times New Roman" w:hAnsi="Times New Roman" w:cs="Times New Roman"/>
          <w:sz w:val="28"/>
          <w:szCs w:val="28"/>
        </w:rPr>
      </w:pPr>
      <w:r>
        <w:rPr>
          <w:rFonts w:ascii="Times New Roman" w:hAnsi="Times New Roman" w:cs="Times New Roman"/>
          <w:sz w:val="28"/>
          <w:szCs w:val="28"/>
        </w:rPr>
        <w:t>Rozważanie przyczynowe bardzo często prowadzone jest, szczególnie w nauce, w konwencji probabilistycznej przez zastosowanie wnioskowania statystycznego, a tu ważne jest odróżnienie przyczynowości od korelacji. Dzieje się tak m.in. za sprawą zmiennych/czynników zakłócających oraz zmiennych znajdujących się poza wszelką kontrolą badacza (Cheng i Novicki, 1990). Jasno z tego wynika, że sama analiza materiału statystycznego nie wystarcza do identyfikowania przyczynowości. Trzeba dodatkowo sięgnąć jeszcze po inne narzędzia mieszczące się w metodzie naukowej. Niezbędne jest również uwzględnienie dorobku psychologii i nauk kognitywnych, które ustaliły, iż ludzie bardzo chętnie posługują się wnioskowaniem dwukierunkowym, utożsamiają upływ czasu z możliwością pojawienia się związków przyczynowo-skutkowych, podobnie jak i koincydencją ruchu oraz logiką działań w przestrzeni (Rehder, 2013).</w:t>
      </w:r>
    </w:p>
    <w:p w14:paraId="6D7DF0E0" w14:textId="1257C682" w:rsidR="000F61BA" w:rsidRDefault="000F61BA" w:rsidP="000F61BA">
      <w:pPr>
        <w:pStyle w:val="Akapitzlist"/>
        <w:ind w:left="142" w:firstLine="709"/>
        <w:jc w:val="both"/>
        <w:rPr>
          <w:rFonts w:ascii="Times New Roman" w:hAnsi="Times New Roman" w:cs="Times New Roman"/>
          <w:sz w:val="28"/>
          <w:szCs w:val="28"/>
        </w:rPr>
      </w:pPr>
      <w:r>
        <w:rPr>
          <w:rFonts w:ascii="Times New Roman" w:hAnsi="Times New Roman" w:cs="Times New Roman"/>
          <w:sz w:val="28"/>
          <w:szCs w:val="28"/>
        </w:rPr>
        <w:t>Wiele procesów w ramach rozumowania przyczynowego odbywa się automatycznie, ale z drugiej strony ma też charakter pojmowania ich jako związków. Może się więc zdarzyć tak, że przyczynowość jest w istocie tylko swoistą „kognitywną iluzją” (He</w:t>
      </w:r>
      <w:r w:rsidR="00BA30BB">
        <w:rPr>
          <w:rFonts w:ascii="Times New Roman" w:hAnsi="Times New Roman" w:cs="Times New Roman"/>
          <w:sz w:val="28"/>
          <w:szCs w:val="28"/>
        </w:rPr>
        <w:t>w</w:t>
      </w:r>
      <w:r>
        <w:rPr>
          <w:rFonts w:ascii="Times New Roman" w:hAnsi="Times New Roman" w:cs="Times New Roman"/>
          <w:sz w:val="28"/>
          <w:szCs w:val="28"/>
        </w:rPr>
        <w:t>itson, 2014). Do tego dochodzi też to, że ludzie dopasowują nowe informacje do już posiadanych, co może prowadzić do odwróconego wnioskowania, tj. przyczynę wiążemy z efektem w konwencji a posteriori (Imbens i Rubin, 2015). Same zaś atrybuty przyczynowości wykazują przy tym istotne zróżnicowanie kulturowe.</w:t>
      </w:r>
    </w:p>
    <w:p w14:paraId="138EC4BA" w14:textId="77777777" w:rsidR="000F61BA" w:rsidRDefault="000F61BA" w:rsidP="000F61BA">
      <w:pPr>
        <w:pStyle w:val="Akapitzlist"/>
        <w:ind w:left="567" w:firstLine="284"/>
        <w:jc w:val="both"/>
        <w:rPr>
          <w:rFonts w:ascii="Times New Roman" w:hAnsi="Times New Roman" w:cs="Times New Roman"/>
          <w:sz w:val="28"/>
          <w:szCs w:val="28"/>
        </w:rPr>
      </w:pPr>
      <w:r>
        <w:rPr>
          <w:rFonts w:ascii="Times New Roman" w:hAnsi="Times New Roman" w:cs="Times New Roman"/>
          <w:sz w:val="28"/>
          <w:szCs w:val="28"/>
        </w:rPr>
        <w:lastRenderedPageBreak/>
        <w:t>Najczęściej wyróżnia się cztery poniższe relacje przyczynowości:</w:t>
      </w:r>
    </w:p>
    <w:p w14:paraId="671DD714" w14:textId="77777777" w:rsidR="000F61BA" w:rsidRDefault="000F61BA" w:rsidP="001D0854">
      <w:pPr>
        <w:pStyle w:val="Akapitzlist"/>
        <w:numPr>
          <w:ilvl w:val="0"/>
          <w:numId w:val="29"/>
        </w:numPr>
        <w:ind w:left="426" w:hanging="426"/>
        <w:jc w:val="both"/>
        <w:rPr>
          <w:rFonts w:ascii="Times New Roman" w:hAnsi="Times New Roman" w:cs="Times New Roman"/>
          <w:sz w:val="28"/>
          <w:szCs w:val="28"/>
        </w:rPr>
      </w:pPr>
      <w:r w:rsidRPr="00547D0F">
        <w:rPr>
          <w:rFonts w:ascii="Times New Roman" w:hAnsi="Times New Roman" w:cs="Times New Roman"/>
          <w:sz w:val="28"/>
          <w:szCs w:val="28"/>
        </w:rPr>
        <w:t>Wspólnej przyczyny, tj. jedna przyczyna może przynosić kilka efektów:</w:t>
      </w:r>
      <w:r w:rsidRPr="00547D0F">
        <w:rPr>
          <w:rFonts w:ascii="Times New Roman" w:hAnsi="Times New Roman" w:cs="Times New Roman"/>
          <w:position w:val="-4"/>
          <w:sz w:val="28"/>
          <w:szCs w:val="28"/>
        </w:rPr>
        <w:object w:dxaOrig="180" w:dyaOrig="279" w14:anchorId="5F11CC4A">
          <v:shape id="_x0000_i1104" type="#_x0000_t75" style="width:7.5pt;height:14.5pt" o:ole="">
            <v:imagedata r:id="rId169" o:title=""/>
          </v:shape>
          <o:OLEObject Type="Embed" ProgID="Equation.DSMT4" ShapeID="_x0000_i1104" DrawAspect="Content" ObjectID="_1799840675" r:id="rId170"/>
        </w:object>
      </w:r>
    </w:p>
    <w:p w14:paraId="7ED10D5A" w14:textId="77777777" w:rsidR="000F61BA" w:rsidRPr="001E061E" w:rsidRDefault="000F61BA" w:rsidP="000F61BA">
      <w:pPr>
        <w:pStyle w:val="Akapitzlist"/>
        <w:tabs>
          <w:tab w:val="left" w:pos="2694"/>
        </w:tabs>
        <w:ind w:left="1068" w:hanging="1068"/>
        <w:jc w:val="center"/>
        <w:rPr>
          <w:rFonts w:ascii="Times New Roman" w:hAnsi="Times New Roman" w:cs="Times New Roman"/>
          <w:sz w:val="28"/>
          <w:szCs w:val="28"/>
        </w:rPr>
      </w:pPr>
      <w:r w:rsidRPr="00AF652E">
        <w:rPr>
          <w:noProof/>
        </w:rPr>
        <w:drawing>
          <wp:inline distT="0" distB="0" distL="0" distR="0" wp14:anchorId="259F9BAA" wp14:editId="77239183">
            <wp:extent cx="1483228" cy="1117600"/>
            <wp:effectExtent l="0" t="0" r="0" b="0"/>
            <wp:docPr id="12688173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171">
                      <a:extLst>
                        <a:ext uri="{28A0092B-C50C-407E-A947-70E740481C1C}">
                          <a14:useLocalDpi xmlns:a14="http://schemas.microsoft.com/office/drawing/2010/main" val="0"/>
                        </a:ext>
                      </a:extLst>
                    </a:blip>
                    <a:srcRect r="60801" b="21580"/>
                    <a:stretch/>
                  </pic:blipFill>
                  <pic:spPr bwMode="auto">
                    <a:xfrm>
                      <a:off x="0" y="0"/>
                      <a:ext cx="1501088" cy="1131057"/>
                    </a:xfrm>
                    <a:prstGeom prst="rect">
                      <a:avLst/>
                    </a:prstGeom>
                    <a:noFill/>
                    <a:ln>
                      <a:noFill/>
                    </a:ln>
                    <a:extLst>
                      <a:ext uri="{53640926-AAD7-44D8-BBD7-CCE9431645EC}">
                        <a14:shadowObscured xmlns:a14="http://schemas.microsoft.com/office/drawing/2010/main"/>
                      </a:ext>
                    </a:extLst>
                  </pic:spPr>
                </pic:pic>
              </a:graphicData>
            </a:graphic>
          </wp:inline>
        </w:drawing>
      </w:r>
    </w:p>
    <w:p w14:paraId="34FA35E6" w14:textId="77777777" w:rsidR="000F61BA" w:rsidRDefault="000F61BA" w:rsidP="001D0854">
      <w:pPr>
        <w:pStyle w:val="Akapitzlist"/>
        <w:numPr>
          <w:ilvl w:val="0"/>
          <w:numId w:val="29"/>
        </w:numPr>
        <w:ind w:left="426" w:hanging="426"/>
        <w:rPr>
          <w:rFonts w:ascii="Times New Roman" w:hAnsi="Times New Roman" w:cs="Times New Roman"/>
          <w:sz w:val="28"/>
          <w:szCs w:val="28"/>
        </w:rPr>
      </w:pPr>
      <w:r w:rsidRPr="00AF652E">
        <w:rPr>
          <w:rFonts w:ascii="Times New Roman" w:hAnsi="Times New Roman" w:cs="Times New Roman"/>
          <w:sz w:val="28"/>
          <w:szCs w:val="28"/>
        </w:rPr>
        <w:t>W</w:t>
      </w:r>
      <w:r>
        <w:rPr>
          <w:rFonts w:ascii="Times New Roman" w:hAnsi="Times New Roman" w:cs="Times New Roman"/>
          <w:sz w:val="28"/>
          <w:szCs w:val="28"/>
        </w:rPr>
        <w:t>spólnego efektu, a więc kilka przyczyn prowadzi do jednego efektu:</w:t>
      </w:r>
    </w:p>
    <w:p w14:paraId="7DF28A4C" w14:textId="77777777" w:rsidR="000F61BA" w:rsidRPr="001E061E" w:rsidRDefault="000F61BA" w:rsidP="000F61BA">
      <w:pPr>
        <w:tabs>
          <w:tab w:val="left" w:pos="2977"/>
        </w:tabs>
        <w:jc w:val="center"/>
      </w:pPr>
      <w:r w:rsidRPr="00FA02C3">
        <w:rPr>
          <w:noProof/>
        </w:rPr>
        <w:drawing>
          <wp:inline distT="0" distB="0" distL="0" distR="0" wp14:anchorId="2A9236BE" wp14:editId="464ADD15">
            <wp:extent cx="1524000" cy="1093660"/>
            <wp:effectExtent l="0" t="0" r="0" b="0"/>
            <wp:docPr id="3546109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2">
                      <a:extLst>
                        <a:ext uri="{28A0092B-C50C-407E-A947-70E740481C1C}">
                          <a14:useLocalDpi xmlns:a14="http://schemas.microsoft.com/office/drawing/2010/main" val="0"/>
                        </a:ext>
                      </a:extLst>
                    </a:blip>
                    <a:srcRect r="60801"/>
                    <a:stretch/>
                  </pic:blipFill>
                  <pic:spPr bwMode="auto">
                    <a:xfrm>
                      <a:off x="0" y="0"/>
                      <a:ext cx="1547387" cy="1110443"/>
                    </a:xfrm>
                    <a:prstGeom prst="rect">
                      <a:avLst/>
                    </a:prstGeom>
                    <a:noFill/>
                    <a:ln>
                      <a:noFill/>
                    </a:ln>
                    <a:extLst>
                      <a:ext uri="{53640926-AAD7-44D8-BBD7-CCE9431645EC}">
                        <a14:shadowObscured xmlns:a14="http://schemas.microsoft.com/office/drawing/2010/main"/>
                      </a:ext>
                    </a:extLst>
                  </pic:spPr>
                </pic:pic>
              </a:graphicData>
            </a:graphic>
          </wp:inline>
        </w:drawing>
      </w:r>
    </w:p>
    <w:p w14:paraId="5CB08C54" w14:textId="77777777" w:rsidR="000F61BA" w:rsidRDefault="000F61BA" w:rsidP="001D0854">
      <w:pPr>
        <w:pStyle w:val="Akapitzlist"/>
        <w:numPr>
          <w:ilvl w:val="0"/>
          <w:numId w:val="29"/>
        </w:numPr>
        <w:tabs>
          <w:tab w:val="left" w:pos="567"/>
        </w:tabs>
        <w:ind w:left="567" w:hanging="567"/>
        <w:rPr>
          <w:rFonts w:ascii="Times New Roman" w:hAnsi="Times New Roman" w:cs="Times New Roman"/>
          <w:sz w:val="28"/>
          <w:szCs w:val="28"/>
        </w:rPr>
      </w:pPr>
      <w:r w:rsidRPr="008837C0">
        <w:rPr>
          <w:rFonts w:ascii="Times New Roman" w:hAnsi="Times New Roman" w:cs="Times New Roman"/>
          <w:sz w:val="28"/>
          <w:szCs w:val="28"/>
        </w:rPr>
        <w:t>Łańcucha  przyczynowego</w:t>
      </w:r>
      <w:r>
        <w:rPr>
          <w:rFonts w:ascii="Times New Roman" w:hAnsi="Times New Roman" w:cs="Times New Roman"/>
          <w:sz w:val="28"/>
          <w:szCs w:val="28"/>
        </w:rPr>
        <w:t>, gdy jedna przyczyna aktywuje efekt, który prowadzi do efektu kolejnego:</w:t>
      </w:r>
    </w:p>
    <w:p w14:paraId="7C046321" w14:textId="77777777" w:rsidR="000F61BA" w:rsidRPr="00BC6372" w:rsidRDefault="000F61BA" w:rsidP="000F61BA">
      <w:pPr>
        <w:tabs>
          <w:tab w:val="left" w:pos="3640"/>
        </w:tabs>
        <w:rPr>
          <w:sz w:val="40"/>
          <w:szCs w:val="40"/>
        </w:rPr>
      </w:pPr>
      <w:r>
        <w:tab/>
      </w:r>
      <w:r w:rsidRPr="00BC6372">
        <w:rPr>
          <w:rFonts w:ascii="Times New Roman" w:hAnsi="Times New Roman" w:cs="Times New Roman"/>
          <w:sz w:val="40"/>
          <w:szCs w:val="40"/>
        </w:rPr>
        <w:t>a → b → c.</w:t>
      </w:r>
    </w:p>
    <w:p w14:paraId="4F5BE96A" w14:textId="77777777" w:rsidR="000F61BA" w:rsidRPr="0007090A" w:rsidRDefault="000F61BA" w:rsidP="001D0854">
      <w:pPr>
        <w:pStyle w:val="Akapitzlist"/>
        <w:numPr>
          <w:ilvl w:val="0"/>
          <w:numId w:val="29"/>
        </w:numPr>
        <w:ind w:left="567" w:hanging="567"/>
        <w:rPr>
          <w:rFonts w:ascii="Times New Roman" w:hAnsi="Times New Roman" w:cs="Times New Roman"/>
          <w:sz w:val="28"/>
          <w:szCs w:val="28"/>
        </w:rPr>
      </w:pPr>
      <w:r w:rsidRPr="008837C0">
        <w:rPr>
          <w:rFonts w:ascii="Times New Roman" w:hAnsi="Times New Roman" w:cs="Times New Roman"/>
          <w:sz w:val="28"/>
          <w:szCs w:val="28"/>
        </w:rPr>
        <w:t>Homeostazy:</w:t>
      </w:r>
      <w:r>
        <w:rPr>
          <w:rFonts w:ascii="Times New Roman" w:hAnsi="Times New Roman" w:cs="Times New Roman"/>
          <w:sz w:val="28"/>
          <w:szCs w:val="28"/>
        </w:rPr>
        <w:t xml:space="preserve"> tu relacja przyczynowa ma postać stabilnego cyklu lub wzmacniającego się mechanizmu:</w:t>
      </w:r>
    </w:p>
    <w:p w14:paraId="14166E3D" w14:textId="77777777" w:rsidR="000F61BA" w:rsidRDefault="000F61BA" w:rsidP="000F61BA">
      <w:pPr>
        <w:tabs>
          <w:tab w:val="left" w:pos="1855"/>
        </w:tabs>
      </w:pPr>
      <w:r>
        <w:tab/>
      </w:r>
      <w:r w:rsidRPr="00982C10">
        <w:rPr>
          <w:noProof/>
        </w:rPr>
        <w:drawing>
          <wp:inline distT="0" distB="0" distL="0" distR="0" wp14:anchorId="41104219" wp14:editId="27C4A043">
            <wp:extent cx="2755607" cy="2363493"/>
            <wp:effectExtent l="0" t="0" r="0" b="0"/>
            <wp:docPr id="435079580"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3">
                      <a:extLst>
                        <a:ext uri="{28A0092B-C50C-407E-A947-70E740481C1C}">
                          <a14:useLocalDpi xmlns:a14="http://schemas.microsoft.com/office/drawing/2010/main" val="0"/>
                        </a:ext>
                      </a:extLst>
                    </a:blip>
                    <a:srcRect l="16472" t="27457" r="34464"/>
                    <a:stretch/>
                  </pic:blipFill>
                  <pic:spPr bwMode="auto">
                    <a:xfrm>
                      <a:off x="0" y="0"/>
                      <a:ext cx="2777488" cy="2382260"/>
                    </a:xfrm>
                    <a:prstGeom prst="rect">
                      <a:avLst/>
                    </a:prstGeom>
                    <a:noFill/>
                    <a:ln>
                      <a:noFill/>
                    </a:ln>
                    <a:extLst>
                      <a:ext uri="{53640926-AAD7-44D8-BBD7-CCE9431645EC}">
                        <a14:shadowObscured xmlns:a14="http://schemas.microsoft.com/office/drawing/2010/main"/>
                      </a:ext>
                    </a:extLst>
                  </pic:spPr>
                </pic:pic>
              </a:graphicData>
            </a:graphic>
          </wp:inline>
        </w:drawing>
      </w:r>
    </w:p>
    <w:p w14:paraId="3B8FCEC3" w14:textId="77777777" w:rsidR="000F61BA" w:rsidRDefault="000F61BA" w:rsidP="000F61BA">
      <w:pPr>
        <w:tabs>
          <w:tab w:val="left" w:pos="1002"/>
        </w:tabs>
        <w:rPr>
          <w:rFonts w:ascii="Times New Roman" w:hAnsi="Times New Roman" w:cs="Times New Roman"/>
          <w:sz w:val="28"/>
          <w:szCs w:val="28"/>
        </w:rPr>
      </w:pPr>
      <w:r w:rsidRPr="008837C0">
        <w:rPr>
          <w:rFonts w:ascii="Times New Roman" w:hAnsi="Times New Roman" w:cs="Times New Roman"/>
          <w:sz w:val="28"/>
          <w:szCs w:val="28"/>
        </w:rPr>
        <w:t>(Hitchock, 2018)</w:t>
      </w:r>
      <w:r>
        <w:rPr>
          <w:rFonts w:ascii="Times New Roman" w:hAnsi="Times New Roman" w:cs="Times New Roman"/>
          <w:sz w:val="28"/>
          <w:szCs w:val="28"/>
        </w:rPr>
        <w:t>.</w:t>
      </w:r>
    </w:p>
    <w:p w14:paraId="16FBD5F3" w14:textId="77777777" w:rsidR="000F61BA" w:rsidRDefault="000F61BA" w:rsidP="000F61BA">
      <w:pPr>
        <w:tabs>
          <w:tab w:val="left" w:pos="1002"/>
        </w:tabs>
        <w:rPr>
          <w:rFonts w:ascii="Times New Roman" w:hAnsi="Times New Roman" w:cs="Times New Roman"/>
          <w:sz w:val="28"/>
          <w:szCs w:val="28"/>
        </w:rPr>
      </w:pPr>
    </w:p>
    <w:p w14:paraId="564B8D37" w14:textId="77777777" w:rsidR="000F61BA" w:rsidRDefault="000F61BA" w:rsidP="000F61BA">
      <w:pPr>
        <w:tabs>
          <w:tab w:val="left" w:pos="1002"/>
        </w:tabs>
        <w:rPr>
          <w:rFonts w:ascii="Times New Roman" w:hAnsi="Times New Roman" w:cs="Times New Roman"/>
          <w:sz w:val="28"/>
          <w:szCs w:val="28"/>
        </w:rPr>
      </w:pPr>
      <w:r>
        <w:rPr>
          <w:rFonts w:ascii="Times New Roman" w:hAnsi="Times New Roman" w:cs="Times New Roman"/>
          <w:sz w:val="28"/>
          <w:szCs w:val="28"/>
        </w:rPr>
        <w:t>Istnieją trzy poniższe typy rozumowania przyczynowego:</w:t>
      </w:r>
    </w:p>
    <w:p w14:paraId="2B754AD4" w14:textId="77777777" w:rsidR="000F61BA" w:rsidRDefault="000F61BA" w:rsidP="001D0854">
      <w:pPr>
        <w:pStyle w:val="Akapitzlist"/>
        <w:numPr>
          <w:ilvl w:val="0"/>
          <w:numId w:val="30"/>
        </w:numPr>
        <w:tabs>
          <w:tab w:val="left" w:pos="1002"/>
        </w:tabs>
        <w:ind w:left="709" w:hanging="709"/>
        <w:jc w:val="both"/>
        <w:rPr>
          <w:rFonts w:ascii="Times New Roman" w:hAnsi="Times New Roman" w:cs="Times New Roman"/>
          <w:sz w:val="28"/>
          <w:szCs w:val="28"/>
        </w:rPr>
      </w:pPr>
      <w:r>
        <w:rPr>
          <w:rFonts w:ascii="Times New Roman" w:hAnsi="Times New Roman" w:cs="Times New Roman"/>
          <w:sz w:val="28"/>
          <w:szCs w:val="28"/>
        </w:rPr>
        <w:lastRenderedPageBreak/>
        <w:t>dedukcja, w której określone zdarzenie prowadzi do danej konkluzji. Jednak wynik może być też wydedukowany na podstawie innych argumentów/przyczyn.</w:t>
      </w:r>
    </w:p>
    <w:p w14:paraId="4DC4644E" w14:textId="77777777" w:rsidR="000F61BA" w:rsidRDefault="000F61BA" w:rsidP="001D0854">
      <w:pPr>
        <w:pStyle w:val="Akapitzlist"/>
        <w:numPr>
          <w:ilvl w:val="0"/>
          <w:numId w:val="30"/>
        </w:numPr>
        <w:tabs>
          <w:tab w:val="left" w:pos="1002"/>
        </w:tabs>
        <w:ind w:left="709" w:hanging="709"/>
        <w:jc w:val="both"/>
        <w:rPr>
          <w:rFonts w:ascii="Times New Roman" w:hAnsi="Times New Roman" w:cs="Times New Roman"/>
          <w:sz w:val="28"/>
          <w:szCs w:val="28"/>
        </w:rPr>
      </w:pPr>
      <w:r>
        <w:rPr>
          <w:rFonts w:ascii="Times New Roman" w:hAnsi="Times New Roman" w:cs="Times New Roman"/>
          <w:sz w:val="28"/>
          <w:szCs w:val="28"/>
        </w:rPr>
        <w:t>indukcja; to rozumowanie obciążone jest niepewnością, gdyż konkluzja jest prawdopodobna, ale nie gwarantowana. Oznacza to, że możemy wówczas spekulować nt. przyczynowości.</w:t>
      </w:r>
    </w:p>
    <w:p w14:paraId="0248F482" w14:textId="77777777" w:rsidR="000F61BA" w:rsidRDefault="000F61BA" w:rsidP="001D0854">
      <w:pPr>
        <w:pStyle w:val="Akapitzlist"/>
        <w:numPr>
          <w:ilvl w:val="0"/>
          <w:numId w:val="30"/>
        </w:numPr>
        <w:tabs>
          <w:tab w:val="left" w:pos="1002"/>
        </w:tabs>
        <w:ind w:left="709" w:hanging="709"/>
        <w:jc w:val="both"/>
        <w:rPr>
          <w:rFonts w:ascii="Times New Roman" w:hAnsi="Times New Roman" w:cs="Times New Roman"/>
          <w:sz w:val="28"/>
          <w:szCs w:val="28"/>
        </w:rPr>
      </w:pPr>
      <w:r>
        <w:rPr>
          <w:rFonts w:ascii="Times New Roman" w:hAnsi="Times New Roman" w:cs="Times New Roman"/>
          <w:sz w:val="28"/>
          <w:szCs w:val="28"/>
        </w:rPr>
        <w:t>abdukcja; tu przesłanka nie gwarantuje konkluzji, bo postępowanie zaczynające się opisem danych i przejściem potem do hipotez nie musi zakończyć się identyfikacją relacji przyczynowej (Rehder, 2013).</w:t>
      </w:r>
    </w:p>
    <w:p w14:paraId="43D8CF7B" w14:textId="77777777" w:rsidR="000F61BA" w:rsidRDefault="000F61BA" w:rsidP="000F61BA">
      <w:pPr>
        <w:tabs>
          <w:tab w:val="left" w:pos="1002"/>
        </w:tabs>
        <w:ind w:firstLine="709"/>
        <w:jc w:val="both"/>
        <w:rPr>
          <w:rFonts w:ascii="Times New Roman" w:hAnsi="Times New Roman" w:cs="Times New Roman"/>
          <w:sz w:val="28"/>
          <w:szCs w:val="28"/>
        </w:rPr>
      </w:pPr>
      <w:r>
        <w:rPr>
          <w:rFonts w:ascii="Times New Roman" w:hAnsi="Times New Roman" w:cs="Times New Roman"/>
          <w:sz w:val="28"/>
          <w:szCs w:val="28"/>
        </w:rPr>
        <w:t>Rozumowanie przyczynowe może być realizowane w ramach poniższych modeli:</w:t>
      </w:r>
    </w:p>
    <w:p w14:paraId="6F9C7AA0" w14:textId="77777777" w:rsidR="000F61BA" w:rsidRDefault="000F61BA" w:rsidP="001D0854">
      <w:pPr>
        <w:pStyle w:val="Akapitzlist"/>
        <w:numPr>
          <w:ilvl w:val="0"/>
          <w:numId w:val="31"/>
        </w:numPr>
        <w:ind w:left="567" w:hanging="567"/>
        <w:jc w:val="both"/>
        <w:rPr>
          <w:rFonts w:ascii="Times New Roman" w:hAnsi="Times New Roman" w:cs="Times New Roman"/>
          <w:sz w:val="28"/>
          <w:szCs w:val="28"/>
        </w:rPr>
      </w:pPr>
      <w:r>
        <w:rPr>
          <w:rFonts w:ascii="Times New Roman" w:hAnsi="Times New Roman" w:cs="Times New Roman"/>
          <w:sz w:val="28"/>
          <w:szCs w:val="28"/>
        </w:rPr>
        <w:t>Zależności, gdy przyjmuje się, że efekty są uwarunkowane przyczynowo, a przy tym występuje między przyczynami i skutkami określone prawdopodobieństwo;</w:t>
      </w:r>
    </w:p>
    <w:p w14:paraId="61192DE8" w14:textId="77777777" w:rsidR="000F61BA" w:rsidRDefault="000F61BA" w:rsidP="001D0854">
      <w:pPr>
        <w:pStyle w:val="Akapitzlist"/>
        <w:numPr>
          <w:ilvl w:val="0"/>
          <w:numId w:val="31"/>
        </w:numPr>
        <w:ind w:left="567" w:hanging="567"/>
        <w:jc w:val="both"/>
        <w:rPr>
          <w:rFonts w:ascii="Times New Roman" w:hAnsi="Times New Roman" w:cs="Times New Roman"/>
          <w:sz w:val="28"/>
          <w:szCs w:val="28"/>
        </w:rPr>
      </w:pPr>
      <w:r>
        <w:rPr>
          <w:rFonts w:ascii="Times New Roman" w:hAnsi="Times New Roman" w:cs="Times New Roman"/>
          <w:sz w:val="28"/>
          <w:szCs w:val="28"/>
        </w:rPr>
        <w:t>Kowariancji albo regularności. Ludzie wówczas koincydencję traktują jako istnienie przyczynowości;</w:t>
      </w:r>
    </w:p>
    <w:p w14:paraId="1E02F8C5" w14:textId="77777777" w:rsidR="000F61BA" w:rsidRDefault="000F61BA" w:rsidP="001D0854">
      <w:pPr>
        <w:pStyle w:val="Akapitzlist"/>
        <w:numPr>
          <w:ilvl w:val="0"/>
          <w:numId w:val="31"/>
        </w:numPr>
        <w:ind w:left="567" w:hanging="567"/>
        <w:jc w:val="both"/>
        <w:rPr>
          <w:rFonts w:ascii="Times New Roman" w:hAnsi="Times New Roman" w:cs="Times New Roman"/>
          <w:sz w:val="28"/>
          <w:szCs w:val="28"/>
        </w:rPr>
      </w:pPr>
      <w:r>
        <w:rPr>
          <w:rFonts w:ascii="Times New Roman" w:hAnsi="Times New Roman" w:cs="Times New Roman"/>
          <w:sz w:val="28"/>
          <w:szCs w:val="28"/>
        </w:rPr>
        <w:t>Mechanizmu. Zakłada się tu, że relacje między przyczyną a skutkiem są powiązane ze sobą w mechanistyczny sposób;</w:t>
      </w:r>
    </w:p>
    <w:p w14:paraId="730E6F16" w14:textId="77777777" w:rsidR="000F61BA" w:rsidRDefault="000F61BA" w:rsidP="001D0854">
      <w:pPr>
        <w:pStyle w:val="Akapitzlist"/>
        <w:numPr>
          <w:ilvl w:val="0"/>
          <w:numId w:val="31"/>
        </w:numPr>
        <w:ind w:left="567" w:hanging="567"/>
        <w:jc w:val="both"/>
        <w:rPr>
          <w:rFonts w:ascii="Times New Roman" w:hAnsi="Times New Roman" w:cs="Times New Roman"/>
          <w:sz w:val="28"/>
          <w:szCs w:val="28"/>
        </w:rPr>
      </w:pPr>
      <w:r>
        <w:rPr>
          <w:rFonts w:ascii="Times New Roman" w:hAnsi="Times New Roman" w:cs="Times New Roman"/>
          <w:sz w:val="28"/>
          <w:szCs w:val="28"/>
        </w:rPr>
        <w:t>Dynamiki, jeśli sposób przedstawienia przyczynowości sugeruje istnienie wzorca wymuszającego wielorakie relacje przyczynowe (Herman i Robins, 2023).</w:t>
      </w:r>
    </w:p>
    <w:p w14:paraId="0BC890D0" w14:textId="77777777" w:rsidR="000F61BA" w:rsidRDefault="000F61BA" w:rsidP="000F61BA">
      <w:pPr>
        <w:pStyle w:val="Akapitzlist"/>
        <w:ind w:left="142" w:firstLine="709"/>
        <w:jc w:val="both"/>
        <w:rPr>
          <w:rFonts w:ascii="Times New Roman" w:hAnsi="Times New Roman" w:cs="Times New Roman"/>
          <w:sz w:val="28"/>
          <w:szCs w:val="28"/>
        </w:rPr>
      </w:pPr>
      <w:r>
        <w:rPr>
          <w:rFonts w:ascii="Times New Roman" w:hAnsi="Times New Roman" w:cs="Times New Roman"/>
          <w:sz w:val="28"/>
          <w:szCs w:val="28"/>
        </w:rPr>
        <w:t>Konkretyzacją rozumowania przyczynowego jest wnioskowanie przyczynowe, czyli proces ustalania niezależnego, bieżącego wpływu zmiany określonego zjawiska, nazywanego często zmienną niezależną, na inne zjawisko (Pearl, 2009). Wnioskowanie to w sumie jest trudne w praktycznej realizacji z uwagi na często już podkreślane w tej pracy mylenie korelacji z przyczynowością, niewłaściwy dobór narzędzi przez badaczy, szczególnie jeśli korzystają oni z regresji liniowej, w której powszechnie występują endogeniczność, równoczesność, współliniowość i regresja pozorna, pomijane w ogóle przez wielu z nich, oraz rozmyślne manipulowanie wynikami badań w celu potwierdzenia przyjętych założeń (Landsittel i in., 2020). Mimo to wnioskowanie powyższe jest coraz szerzej stosowane w coraz to kolejnych dyscyplinach nauki.</w:t>
      </w:r>
    </w:p>
    <w:p w14:paraId="28682BBE" w14:textId="77777777" w:rsidR="000F61BA" w:rsidRDefault="000F61BA" w:rsidP="000F61BA">
      <w:pPr>
        <w:pStyle w:val="Akapitzlist"/>
        <w:ind w:left="142" w:firstLine="709"/>
        <w:jc w:val="both"/>
        <w:rPr>
          <w:rFonts w:ascii="Times New Roman" w:hAnsi="Times New Roman" w:cs="Times New Roman"/>
          <w:sz w:val="28"/>
          <w:szCs w:val="28"/>
        </w:rPr>
      </w:pPr>
      <w:r>
        <w:rPr>
          <w:rFonts w:ascii="Times New Roman" w:hAnsi="Times New Roman" w:cs="Times New Roman"/>
          <w:sz w:val="28"/>
          <w:szCs w:val="28"/>
        </w:rPr>
        <w:t xml:space="preserve">Naukowe wnioskowanie przyczynowe jest procesem kilkufazowym (Angrist i Pischke, 2010; Maziarz, 2020. Identyfikacja polega przy tym na odkryciu kowariacji między przyczyną a efektem, ich następstwa czasowego oraz równoczesnym wyeliminowaniu możliwych innych przyczyn. Najpierw stawia się </w:t>
      </w:r>
      <w:r>
        <w:rPr>
          <w:rFonts w:ascii="Times New Roman" w:hAnsi="Times New Roman" w:cs="Times New Roman"/>
          <w:sz w:val="28"/>
          <w:szCs w:val="28"/>
        </w:rPr>
        <w:lastRenderedPageBreak/>
        <w:t>hipotezy zerowe (H</w:t>
      </w:r>
      <w:r w:rsidRPr="00181ED7">
        <w:rPr>
          <w:rFonts w:ascii="Times New Roman" w:hAnsi="Times New Roman" w:cs="Times New Roman"/>
          <w:sz w:val="28"/>
          <w:szCs w:val="28"/>
          <w:vertAlign w:val="subscript"/>
        </w:rPr>
        <w:t>0</w:t>
      </w:r>
      <w:r>
        <w:rPr>
          <w:rFonts w:ascii="Times New Roman" w:hAnsi="Times New Roman" w:cs="Times New Roman"/>
          <w:sz w:val="28"/>
          <w:szCs w:val="28"/>
        </w:rPr>
        <w:t>), dające się odrzucić lub przyjąć w oparciu o odpowiednie testy statystyczne. Jeśli H</w:t>
      </w:r>
      <w:r w:rsidRPr="003B4DE1">
        <w:rPr>
          <w:rFonts w:ascii="Times New Roman" w:hAnsi="Times New Roman" w:cs="Times New Roman"/>
          <w:sz w:val="28"/>
          <w:szCs w:val="28"/>
          <w:vertAlign w:val="subscript"/>
        </w:rPr>
        <w:t>0</w:t>
      </w:r>
      <w:r>
        <w:rPr>
          <w:rFonts w:ascii="Times New Roman" w:hAnsi="Times New Roman" w:cs="Times New Roman"/>
          <w:sz w:val="28"/>
          <w:szCs w:val="28"/>
        </w:rPr>
        <w:t xml:space="preserve"> jest prawdziwa, to pewien eksperymentalnie obserwowany fakt spowodowany został przypadkowo, tj. ma charakter losowy, albo jest pochodną działania specyficznego mechanizmu przyczynowego. Badacze korzystają wówczas z klasycznego, częstościowego ujęcia prawdopodobieństwa albo z wnioskowania Bayesowskiego. Bardzo często konstruuje się i przeprowadza jednak randomizowany kontrolowany eksperyment lub quasi eksperyment, traktując je jako złożony system wnioskowania przyczynowego. To powszechna metoda stosowana w ewaluacji wpływu (Henschen, 2018; Herman i Robins, 2023). Narzędziami szczegółowymi są wtedy: </w:t>
      </w:r>
      <w:r w:rsidRPr="005237F1">
        <w:rPr>
          <w:rFonts w:ascii="Times New Roman" w:hAnsi="Times New Roman" w:cs="Times New Roman"/>
          <w:i/>
          <w:iCs/>
          <w:sz w:val="28"/>
          <w:szCs w:val="28"/>
        </w:rPr>
        <w:t>the caused pie</w:t>
      </w:r>
      <w:r>
        <w:rPr>
          <w:rFonts w:ascii="Times New Roman" w:hAnsi="Times New Roman" w:cs="Times New Roman"/>
          <w:sz w:val="28"/>
          <w:szCs w:val="28"/>
        </w:rPr>
        <w:t xml:space="preserve"> – model Perlégo; SCM; SEM oraz model przyczynowy Rubina.</w:t>
      </w:r>
    </w:p>
    <w:p w14:paraId="3F62E9FF" w14:textId="735ABA69" w:rsidR="000F61BA" w:rsidRDefault="000F61BA" w:rsidP="000F61BA">
      <w:pPr>
        <w:pStyle w:val="Akapitzlist"/>
        <w:ind w:left="142" w:firstLine="709"/>
        <w:jc w:val="both"/>
        <w:rPr>
          <w:rFonts w:ascii="Times New Roman" w:hAnsi="Times New Roman" w:cs="Times New Roman"/>
          <w:sz w:val="28"/>
          <w:szCs w:val="28"/>
        </w:rPr>
      </w:pPr>
      <w:r>
        <w:rPr>
          <w:rFonts w:ascii="Times New Roman" w:hAnsi="Times New Roman" w:cs="Times New Roman"/>
          <w:sz w:val="28"/>
          <w:szCs w:val="28"/>
        </w:rPr>
        <w:t>Zainteresowanie wnioskowaniem przyczynowym w naukach społecznych, w tym ekonomii, zaczęło zdecydowanie rosnąć, gdy upowszechniły się w nich metody ilościowe (Maziarz, 2020). Równolegle rozwijano w nich również metody jakościowe. W pewnym momencie coraz więcej uczonych opowiadało się jednak za „</w:t>
      </w:r>
      <w:r w:rsidRPr="00B20460">
        <w:rPr>
          <w:rFonts w:ascii="Times New Roman" w:hAnsi="Times New Roman" w:cs="Times New Roman"/>
          <w:i/>
          <w:iCs/>
          <w:sz w:val="28"/>
          <w:szCs w:val="28"/>
        </w:rPr>
        <w:t>a mixed-method</w:t>
      </w:r>
      <w:r>
        <w:rPr>
          <w:rFonts w:ascii="Times New Roman" w:hAnsi="Times New Roman" w:cs="Times New Roman"/>
          <w:sz w:val="28"/>
          <w:szCs w:val="28"/>
        </w:rPr>
        <w:t>” (Herman i Robins, 2023). To podejście ma pozwalać na głębsze rozpoznanie analizowanych problemów, bo wnioskowanie przyczynowe w powyższych dyscyplinach jest trudne z uwagi na złożoność procesów społeczno-ekonomicznych i ograniczenia metod eksperymentalnych oraz quasi-eksperymentalnych (Hensen, 2018; He</w:t>
      </w:r>
      <w:r w:rsidR="00A81831">
        <w:rPr>
          <w:rFonts w:ascii="Times New Roman" w:hAnsi="Times New Roman" w:cs="Times New Roman"/>
          <w:sz w:val="28"/>
          <w:szCs w:val="28"/>
        </w:rPr>
        <w:t>w</w:t>
      </w:r>
      <w:r>
        <w:rPr>
          <w:rFonts w:ascii="Times New Roman" w:hAnsi="Times New Roman" w:cs="Times New Roman"/>
          <w:sz w:val="28"/>
          <w:szCs w:val="28"/>
        </w:rPr>
        <w:t>itson, 2014). Wyzwaniem bardziej fundamentalnym w przypadku ekonomii jest to, że współczesna ekonometria ma ambicje bycia nauką opartą na solidnej teorii ekonomicznej, gdzie modele konceptualne często są bardzo dobrze dopracowane od strony formalizacji matematycznej, zaksjomatyzowane i tworzą zazwyczaj spójne konstrukcje dedukcyjne, ale brakuje im przełożenia na modele i mechanizmy przyczynowo-skutkowe, nadające się do estymacji ekonometrycznej, weryfikacji, wnioskowania i uogólniania (Imbens i Rubin, 2015, Maziarz, 2020). Jakąś odpowiedzią na to ma być ekonometria „design-based”, która opiera się na naturalnych eksperymentach i quasi-eksperymentach (Herman i Robins, 2023). Przeorientowanie to może okazać się bardzo korzystne dla ewaluacji wpływu.</w:t>
      </w:r>
    </w:p>
    <w:p w14:paraId="50B7AA89" w14:textId="77777777" w:rsidR="000F61BA" w:rsidRDefault="000F61BA" w:rsidP="000F61BA">
      <w:pPr>
        <w:pStyle w:val="Akapitzlist"/>
        <w:ind w:left="142" w:firstLine="709"/>
        <w:jc w:val="both"/>
        <w:rPr>
          <w:rFonts w:ascii="Times New Roman" w:hAnsi="Times New Roman" w:cs="Times New Roman"/>
          <w:sz w:val="28"/>
          <w:szCs w:val="28"/>
        </w:rPr>
      </w:pPr>
      <w:r>
        <w:rPr>
          <w:rFonts w:ascii="Times New Roman" w:hAnsi="Times New Roman" w:cs="Times New Roman"/>
          <w:sz w:val="28"/>
          <w:szCs w:val="28"/>
        </w:rPr>
        <w:t xml:space="preserve">Tak samo ważnym wyzwaniem dla ekonomistów jest to, że wielu z nich lekceważy znaczenie solidnych wnioskowań przyczynowych (Angrist i Pischke, 2010; Landsittel i in., 2020). Poza tym wielu badaczy powszechnie utożsamia korelację z przyczynowością, co wynika również z preferowania prostej regresji liniowej. Prawdopodobnie większym zagrożeniem dla integralności ekonomik szczegółowych jest jednak akceptowanie przez ekonomistów korelacji pozornych. Badacze ci niekiedy nie poddają weryfikacji swoich modeli i </w:t>
      </w:r>
      <w:r>
        <w:rPr>
          <w:rFonts w:ascii="Times New Roman" w:hAnsi="Times New Roman" w:cs="Times New Roman"/>
          <w:sz w:val="28"/>
          <w:szCs w:val="28"/>
        </w:rPr>
        <w:lastRenderedPageBreak/>
        <w:t>uzyskiwanych wyników niezbędnych do replikowania za pomocą tych samych procedur przez innych autorów, bo po prostu nie podają wszystkich założeń. Bardzo naganne co najmniej etycznie są, niestety, praktyki manipulowania danymi i narzędziami w celu uzyskania założonych na wstępie rezultatów. Zachowania te zbiorczo określa się jako „P hacking”. W związku z tym postuluje się, żeby badacze wstępnie zgłaszali podstawy swoich wytworów. Niestety, nie wiadomo komu i na jakich zasadach. Stąd pomysł ten należy uznać za niewykonalny w praktyce.</w:t>
      </w:r>
    </w:p>
    <w:p w14:paraId="31162DE0" w14:textId="77777777" w:rsidR="000F61BA" w:rsidRDefault="000F61BA" w:rsidP="000F61BA">
      <w:pPr>
        <w:pStyle w:val="Akapitzlist"/>
        <w:ind w:left="142" w:firstLine="709"/>
        <w:jc w:val="both"/>
        <w:rPr>
          <w:rFonts w:ascii="Times New Roman" w:hAnsi="Times New Roman" w:cs="Times New Roman"/>
          <w:sz w:val="28"/>
          <w:szCs w:val="28"/>
        </w:rPr>
      </w:pPr>
      <w:r>
        <w:rPr>
          <w:rFonts w:ascii="Times New Roman" w:hAnsi="Times New Roman" w:cs="Times New Roman"/>
          <w:sz w:val="28"/>
          <w:szCs w:val="28"/>
        </w:rPr>
        <w:t>W ekonomii i ewaluacji wpływu fundamentalne znaczenie ma model przyczynowy Rubina (</w:t>
      </w:r>
      <w:r w:rsidRPr="000D00A5">
        <w:rPr>
          <w:rFonts w:ascii="Times New Roman" w:hAnsi="Times New Roman" w:cs="Times New Roman"/>
          <w:i/>
          <w:iCs/>
          <w:sz w:val="28"/>
          <w:szCs w:val="28"/>
        </w:rPr>
        <w:t>Rubin causal model</w:t>
      </w:r>
      <w:r>
        <w:rPr>
          <w:rFonts w:ascii="Times New Roman" w:hAnsi="Times New Roman" w:cs="Times New Roman"/>
          <w:sz w:val="28"/>
          <w:szCs w:val="28"/>
        </w:rPr>
        <w:t xml:space="preserve">, RCM), nazywany także </w:t>
      </w:r>
      <w:r w:rsidRPr="00533114">
        <w:rPr>
          <w:rFonts w:ascii="Times New Roman" w:hAnsi="Times New Roman" w:cs="Times New Roman"/>
          <w:i/>
          <w:iCs/>
          <w:sz w:val="28"/>
          <w:szCs w:val="28"/>
        </w:rPr>
        <w:t>the Neyman-Rubin causal model</w:t>
      </w:r>
      <w:r>
        <w:rPr>
          <w:rFonts w:ascii="Times New Roman" w:hAnsi="Times New Roman" w:cs="Times New Roman"/>
          <w:sz w:val="28"/>
          <w:szCs w:val="28"/>
        </w:rPr>
        <w:t>, gdyż jego podwaliny stworzył J. Neyman w swojej pracy doktorskiej z 1923 roku obronionej na Uniwersytecie Warszawskim. Warto dodać, że Neyman badał efektywność nawożenia mineralnego w rolnictwie. Robił to jednak w konwencji randomizowanego kontrolowanego eksperymentu, podczas gdy Rubin stworzył koncepcję ogólną, nadającą się do korzystania z danych obserwacyjnych i quasi-eksperymentalnych. Swój model Rubin doprecyzował w ciągu prac opublikowanych w latach: 1977 i 78, 2005, 2008 i 2015 (Imbens i Rubin, 2015).</w:t>
      </w:r>
    </w:p>
    <w:p w14:paraId="3AEAB7A0" w14:textId="77777777" w:rsidR="000F61BA" w:rsidRDefault="000F61BA" w:rsidP="000F61BA">
      <w:pPr>
        <w:pStyle w:val="Akapitzlist"/>
        <w:ind w:left="142" w:firstLine="709"/>
        <w:jc w:val="both"/>
        <w:rPr>
          <w:rFonts w:ascii="Times New Roman" w:hAnsi="Times New Roman" w:cs="Times New Roman"/>
          <w:sz w:val="28"/>
          <w:szCs w:val="28"/>
        </w:rPr>
      </w:pPr>
      <w:r>
        <w:rPr>
          <w:rFonts w:ascii="Times New Roman" w:hAnsi="Times New Roman" w:cs="Times New Roman"/>
          <w:sz w:val="28"/>
          <w:szCs w:val="28"/>
        </w:rPr>
        <w:t>Punktem wyjścia modelu RCM jest pojęcie ww. wyniku potencjalnego (</w:t>
      </w:r>
      <w:r w:rsidRPr="008B3EDF">
        <w:rPr>
          <w:rFonts w:ascii="Times New Roman" w:hAnsi="Times New Roman" w:cs="Times New Roman"/>
          <w:i/>
          <w:iCs/>
          <w:sz w:val="28"/>
          <w:szCs w:val="28"/>
        </w:rPr>
        <w:t>the potential outcome</w:t>
      </w:r>
      <w:r>
        <w:rPr>
          <w:rFonts w:ascii="Times New Roman" w:hAnsi="Times New Roman" w:cs="Times New Roman"/>
          <w:sz w:val="28"/>
          <w:szCs w:val="28"/>
        </w:rPr>
        <w:t xml:space="preserve">). Wyobraźmy sobie, że jednostka </w:t>
      </w:r>
      <w:r w:rsidRPr="00BA2765">
        <w:rPr>
          <w:rFonts w:ascii="Times New Roman" w:hAnsi="Times New Roman" w:cs="Times New Roman"/>
          <w:i/>
          <w:iCs/>
          <w:sz w:val="28"/>
          <w:szCs w:val="28"/>
        </w:rPr>
        <w:t>u</w:t>
      </w:r>
      <w:r>
        <w:rPr>
          <w:rFonts w:ascii="Times New Roman" w:hAnsi="Times New Roman" w:cs="Times New Roman"/>
          <w:sz w:val="28"/>
          <w:szCs w:val="28"/>
        </w:rPr>
        <w:t xml:space="preserve"> uzyskuje określony wynik Y z racji uczestnictwa w jakimś programie albo uczęszczania do szkoły wyższej. Interesuje nas natomiast, jaki wynik ta sama jednostka </w:t>
      </w:r>
      <w:r w:rsidRPr="00EF6886">
        <w:rPr>
          <w:rFonts w:ascii="Times New Roman" w:hAnsi="Times New Roman" w:cs="Times New Roman"/>
          <w:i/>
          <w:iCs/>
          <w:sz w:val="28"/>
          <w:szCs w:val="28"/>
        </w:rPr>
        <w:t>u</w:t>
      </w:r>
      <w:r>
        <w:rPr>
          <w:rFonts w:ascii="Times New Roman" w:hAnsi="Times New Roman" w:cs="Times New Roman"/>
          <w:sz w:val="28"/>
          <w:szCs w:val="28"/>
        </w:rPr>
        <w:t xml:space="preserve"> osiągnęłaby w sytuacji przeciwnej, którą określamy jako stan </w:t>
      </w:r>
      <w:r w:rsidRPr="00EF6886">
        <w:rPr>
          <w:rFonts w:ascii="Times New Roman" w:hAnsi="Times New Roman" w:cs="Times New Roman"/>
          <w:i/>
          <w:iCs/>
          <w:sz w:val="28"/>
          <w:szCs w:val="28"/>
        </w:rPr>
        <w:t>c</w:t>
      </w:r>
      <w:r>
        <w:rPr>
          <w:rFonts w:ascii="Times New Roman" w:hAnsi="Times New Roman" w:cs="Times New Roman"/>
          <w:sz w:val="28"/>
          <w:szCs w:val="28"/>
        </w:rPr>
        <w:t xml:space="preserve">. Innymi słowy, konstruujemy tu klasyczną kontrfaktyczność. Stąd wynikiem potencjalnym jest różnica: </w:t>
      </w:r>
    </w:p>
    <w:p w14:paraId="59935961" w14:textId="77777777" w:rsidR="000F61BA" w:rsidRDefault="000F61BA" w:rsidP="000F61BA">
      <w:pPr>
        <w:pStyle w:val="Akapitzlist"/>
        <w:ind w:left="142" w:firstLine="709"/>
        <w:jc w:val="both"/>
        <w:rPr>
          <w:rFonts w:ascii="Times New Roman" w:hAnsi="Times New Roman" w:cs="Times New Roman"/>
          <w:sz w:val="28"/>
          <w:szCs w:val="28"/>
        </w:rPr>
      </w:pPr>
    </w:p>
    <w:p w14:paraId="04D8B96E" w14:textId="77777777" w:rsidR="000F61BA" w:rsidRDefault="000F61BA" w:rsidP="000F61BA">
      <w:pPr>
        <w:pStyle w:val="Akapitzlist"/>
        <w:ind w:left="142" w:firstLine="709"/>
        <w:jc w:val="center"/>
        <w:rPr>
          <w:rFonts w:ascii="Times New Roman" w:hAnsi="Times New Roman" w:cs="Times New Roman"/>
          <w:sz w:val="28"/>
          <w:szCs w:val="28"/>
        </w:rPr>
      </w:pPr>
      <w:r w:rsidRPr="008B3EDF">
        <w:rPr>
          <w:rFonts w:ascii="Times New Roman" w:hAnsi="Times New Roman" w:cs="Times New Roman"/>
          <w:position w:val="-14"/>
          <w:sz w:val="28"/>
          <w:szCs w:val="28"/>
        </w:rPr>
        <w:object w:dxaOrig="1300" w:dyaOrig="400" w14:anchorId="48D71C3B">
          <v:shape id="_x0000_i1105" type="#_x0000_t75" style="width:65pt;height:22pt" o:ole="">
            <v:imagedata r:id="rId174" o:title=""/>
          </v:shape>
          <o:OLEObject Type="Embed" ProgID="Equation.DSMT4" ShapeID="_x0000_i1105" DrawAspect="Content" ObjectID="_1799840676" r:id="rId175"/>
        </w:object>
      </w:r>
      <w:r>
        <w:rPr>
          <w:rFonts w:ascii="Times New Roman" w:hAnsi="Times New Roman" w:cs="Times New Roman"/>
          <w:sz w:val="28"/>
          <w:szCs w:val="28"/>
        </w:rPr>
        <w:t>.</w:t>
      </w:r>
    </w:p>
    <w:p w14:paraId="094E669D" w14:textId="77777777" w:rsidR="000F61BA" w:rsidRDefault="000F61BA" w:rsidP="000F61BA">
      <w:pPr>
        <w:pStyle w:val="Akapitzlist"/>
        <w:ind w:left="142" w:firstLine="709"/>
        <w:jc w:val="both"/>
        <w:rPr>
          <w:rFonts w:ascii="Times New Roman" w:hAnsi="Times New Roman" w:cs="Times New Roman"/>
          <w:sz w:val="28"/>
          <w:szCs w:val="28"/>
        </w:rPr>
      </w:pPr>
    </w:p>
    <w:p w14:paraId="1FC34A9C" w14:textId="77777777" w:rsidR="000F61BA" w:rsidRPr="00990D46" w:rsidRDefault="000F61BA" w:rsidP="000F61BA">
      <w:pPr>
        <w:tabs>
          <w:tab w:val="left" w:pos="538"/>
          <w:tab w:val="left" w:pos="1039"/>
        </w:tabs>
        <w:jc w:val="both"/>
        <w:rPr>
          <w:rFonts w:ascii="Times New Roman" w:hAnsi="Times New Roman" w:cs="Times New Roman"/>
          <w:sz w:val="28"/>
          <w:szCs w:val="28"/>
        </w:rPr>
      </w:pPr>
      <w:bookmarkStart w:id="14" w:name="_Hlk177640216"/>
      <w:r w:rsidRPr="00D66507">
        <w:rPr>
          <w:rFonts w:ascii="Times New Roman" w:hAnsi="Times New Roman" w:cs="Times New Roman"/>
          <w:sz w:val="28"/>
          <w:szCs w:val="28"/>
        </w:rPr>
        <w:t>Niestety, nie jest możliwe, żeby analizowana jednostka równocześnie korzystała z jakiejś interwencji i pozbawiona była tego prawa albo możliwości.</w:t>
      </w:r>
      <w:r>
        <w:rPr>
          <w:rFonts w:ascii="Times New Roman" w:hAnsi="Times New Roman" w:cs="Times New Roman"/>
          <w:sz w:val="28"/>
          <w:szCs w:val="28"/>
        </w:rPr>
        <w:t xml:space="preserve"> Dylemat ten w literaturze określa się jako „</w:t>
      </w:r>
      <w:r w:rsidRPr="00347E1A">
        <w:rPr>
          <w:rFonts w:ascii="Times New Roman" w:hAnsi="Times New Roman" w:cs="Times New Roman"/>
          <w:i/>
          <w:iCs/>
          <w:sz w:val="28"/>
          <w:szCs w:val="28"/>
        </w:rPr>
        <w:t>the fundamental problem of causal inference</w:t>
      </w:r>
      <w:r>
        <w:rPr>
          <w:rFonts w:ascii="Times New Roman" w:hAnsi="Times New Roman" w:cs="Times New Roman"/>
          <w:sz w:val="28"/>
          <w:szCs w:val="28"/>
        </w:rPr>
        <w:t xml:space="preserve">”, tj. niemożność bezpośredniego obserwowania indywidualnego efektu przyczynowego. W tym momencie Rubin zaproponował jego rozwiązanie przez posługiwanie się średnim, a nie indywidualnym efektem przyczynowym i dobraniem do grupy badanej jednostek nie poddanych traktowaniu, czyli grupy kontrolnej. Inaczej rzecz ujmując, musimy uporać się z problemem brakującej kontrfaktyczności. Potrzebne są tu jednak dwa warunki: obydwie grupy muszą być jak </w:t>
      </w:r>
      <w:r>
        <w:rPr>
          <w:rFonts w:ascii="Times New Roman" w:hAnsi="Times New Roman" w:cs="Times New Roman"/>
          <w:sz w:val="28"/>
          <w:szCs w:val="28"/>
        </w:rPr>
        <w:lastRenderedPageBreak/>
        <w:t xml:space="preserve">najbardziej podobne. Narzędziem do tego może być </w:t>
      </w:r>
      <w:r w:rsidRPr="00B62398">
        <w:rPr>
          <w:rFonts w:ascii="Times New Roman" w:hAnsi="Times New Roman" w:cs="Times New Roman"/>
          <w:i/>
          <w:iCs/>
          <w:sz w:val="28"/>
          <w:szCs w:val="28"/>
        </w:rPr>
        <w:t>the propensity score matching</w:t>
      </w:r>
      <w:r>
        <w:rPr>
          <w:rFonts w:ascii="Times New Roman" w:hAnsi="Times New Roman" w:cs="Times New Roman"/>
          <w:sz w:val="28"/>
          <w:szCs w:val="28"/>
        </w:rPr>
        <w:t xml:space="preserve">. Drugim warunkiem jest to, żeby wyniki potencjalne nie były deformowane przez sposób przydzielania jednostek do obydwu grup. </w:t>
      </w:r>
      <w:r w:rsidRPr="00990D46">
        <w:rPr>
          <w:rFonts w:ascii="Times New Roman" w:hAnsi="Times New Roman" w:cs="Times New Roman"/>
          <w:sz w:val="28"/>
          <w:szCs w:val="28"/>
        </w:rPr>
        <w:t xml:space="preserve">W literaturze określa się go jako: </w:t>
      </w:r>
      <w:r w:rsidRPr="00990D46">
        <w:rPr>
          <w:rFonts w:ascii="Times New Roman" w:hAnsi="Times New Roman" w:cs="Times New Roman"/>
          <w:i/>
          <w:iCs/>
          <w:sz w:val="28"/>
          <w:szCs w:val="28"/>
        </w:rPr>
        <w:t>the stable unit treatment value assumption</w:t>
      </w:r>
      <w:r w:rsidRPr="00990D46">
        <w:rPr>
          <w:rFonts w:ascii="Times New Roman" w:hAnsi="Times New Roman" w:cs="Times New Roman"/>
          <w:sz w:val="28"/>
          <w:szCs w:val="28"/>
        </w:rPr>
        <w:t xml:space="preserve"> (SUT</w:t>
      </w:r>
      <w:r>
        <w:rPr>
          <w:rFonts w:ascii="Times New Roman" w:hAnsi="Times New Roman" w:cs="Times New Roman"/>
          <w:sz w:val="28"/>
          <w:szCs w:val="28"/>
        </w:rPr>
        <w:t>V</w:t>
      </w:r>
      <w:r w:rsidRPr="00990D46">
        <w:rPr>
          <w:rFonts w:ascii="Times New Roman" w:hAnsi="Times New Roman" w:cs="Times New Roman"/>
          <w:sz w:val="28"/>
          <w:szCs w:val="28"/>
        </w:rPr>
        <w:t>A). Pearl (2009) dodał do po</w:t>
      </w:r>
      <w:r>
        <w:rPr>
          <w:rFonts w:ascii="Times New Roman" w:hAnsi="Times New Roman" w:cs="Times New Roman"/>
          <w:sz w:val="28"/>
          <w:szCs w:val="28"/>
        </w:rPr>
        <w:t>wyższych założeń swego rodzaju uogólnienie, stwierdzając, że SEM pozwala wyprowadzić wyniki potencjalne, a więc może być integratorem ekonometrii i nowoczesnej analizy przyczynowej. Rozumowanie to Pearl rozwinął w pracy z 2021 roku. W wielkim skrócie przybliży się jego istotę.</w:t>
      </w:r>
    </w:p>
    <w:bookmarkEnd w:id="14"/>
    <w:p w14:paraId="221217A5" w14:textId="77777777" w:rsidR="000F61BA" w:rsidRDefault="000F61BA" w:rsidP="000F61BA">
      <w:pPr>
        <w:tabs>
          <w:tab w:val="left" w:pos="538"/>
          <w:tab w:val="left" w:pos="1039"/>
        </w:tabs>
        <w:ind w:firstLine="708"/>
        <w:jc w:val="both"/>
        <w:rPr>
          <w:rFonts w:ascii="Times New Roman" w:hAnsi="Times New Roman" w:cs="Times New Roman"/>
          <w:sz w:val="28"/>
          <w:szCs w:val="28"/>
        </w:rPr>
      </w:pPr>
      <w:r>
        <w:rPr>
          <w:rFonts w:ascii="Times New Roman" w:hAnsi="Times New Roman" w:cs="Times New Roman"/>
          <w:sz w:val="28"/>
          <w:szCs w:val="28"/>
        </w:rPr>
        <w:t xml:space="preserve">Pearl opracował strukturalny model przyczynowości (SCM), składający się standardowo z trójki </w:t>
      </w:r>
      <w:r w:rsidRPr="002176B1">
        <w:rPr>
          <w:rFonts w:ascii="Times New Roman" w:hAnsi="Times New Roman" w:cs="Times New Roman"/>
          <w:position w:val="-14"/>
          <w:sz w:val="28"/>
          <w:szCs w:val="28"/>
        </w:rPr>
        <w:object w:dxaOrig="940" w:dyaOrig="400" w14:anchorId="7F62EC1B">
          <v:shape id="_x0000_i1106" type="#_x0000_t75" style="width:50pt;height:22pt" o:ole="">
            <v:imagedata r:id="rId176" o:title=""/>
          </v:shape>
          <o:OLEObject Type="Embed" ProgID="Equation.DSMT4" ShapeID="_x0000_i1106" DrawAspect="Content" ObjectID="_1799840677" r:id="rId177"/>
        </w:object>
      </w:r>
      <w:r>
        <w:rPr>
          <w:rFonts w:ascii="Times New Roman" w:hAnsi="Times New Roman" w:cs="Times New Roman"/>
          <w:sz w:val="28"/>
          <w:szCs w:val="28"/>
        </w:rPr>
        <w:t>, gdzie: U i V są zbiorami zmiennych a F jest zbiorem funkcji, które określają, jak każda zmienna V</w:t>
      </w:r>
      <w:r w:rsidRPr="0094227B">
        <w:rPr>
          <w:rFonts w:ascii="Times New Roman" w:hAnsi="Times New Roman" w:cs="Times New Roman"/>
          <w:sz w:val="28"/>
          <w:szCs w:val="28"/>
          <w:vertAlign w:val="subscript"/>
        </w:rPr>
        <w:t>2</w:t>
      </w:r>
      <w:r>
        <w:rPr>
          <w:rFonts w:ascii="Times New Roman" w:hAnsi="Times New Roman" w:cs="Times New Roman"/>
          <w:sz w:val="28"/>
          <w:szCs w:val="28"/>
        </w:rPr>
        <w:t xml:space="preserve"> przydzielana jest do zbioru V w zależności od aktualnych wartości </w:t>
      </w:r>
      <w:r w:rsidRPr="00EF6886">
        <w:rPr>
          <w:rFonts w:ascii="Times New Roman" w:hAnsi="Times New Roman" w:cs="Times New Roman"/>
          <w:i/>
          <w:iCs/>
          <w:sz w:val="28"/>
          <w:szCs w:val="28"/>
        </w:rPr>
        <w:t>v</w:t>
      </w:r>
      <w:r>
        <w:rPr>
          <w:rFonts w:ascii="Times New Roman" w:hAnsi="Times New Roman" w:cs="Times New Roman"/>
          <w:sz w:val="28"/>
          <w:szCs w:val="28"/>
        </w:rPr>
        <w:t xml:space="preserve"> i </w:t>
      </w:r>
      <w:r w:rsidRPr="00EF6886">
        <w:rPr>
          <w:rFonts w:ascii="Times New Roman" w:hAnsi="Times New Roman" w:cs="Times New Roman"/>
          <w:i/>
          <w:iCs/>
          <w:sz w:val="28"/>
          <w:szCs w:val="28"/>
        </w:rPr>
        <w:t>u</w:t>
      </w:r>
      <w:r>
        <w:rPr>
          <w:rFonts w:ascii="Times New Roman" w:hAnsi="Times New Roman" w:cs="Times New Roman"/>
          <w:sz w:val="28"/>
          <w:szCs w:val="28"/>
        </w:rPr>
        <w:t>. Agent ekonomiczny natomiast maksymalizuje swą użyteczność oczekiwaną opisaną poniższym wyrażeniem:</w:t>
      </w:r>
    </w:p>
    <w:p w14:paraId="2B21C7AB" w14:textId="77777777" w:rsidR="000F61BA" w:rsidRDefault="000F61BA" w:rsidP="000F61BA">
      <w:pPr>
        <w:jc w:val="center"/>
        <w:rPr>
          <w:rFonts w:ascii="Times New Roman" w:hAnsi="Times New Roman" w:cs="Times New Roman"/>
          <w:sz w:val="28"/>
          <w:szCs w:val="28"/>
        </w:rPr>
      </w:pPr>
      <w:r w:rsidRPr="002176B1">
        <w:rPr>
          <w:rFonts w:ascii="Times New Roman" w:hAnsi="Times New Roman" w:cs="Times New Roman"/>
          <w:position w:val="-30"/>
          <w:sz w:val="28"/>
          <w:szCs w:val="28"/>
        </w:rPr>
        <w:object w:dxaOrig="2340" w:dyaOrig="560" w14:anchorId="1108BE80">
          <v:shape id="_x0000_i1107" type="#_x0000_t75" style="width:115pt;height:29pt" o:ole="">
            <v:imagedata r:id="rId178" o:title=""/>
          </v:shape>
          <o:OLEObject Type="Embed" ProgID="Equation.DSMT4" ShapeID="_x0000_i1107" DrawAspect="Content" ObjectID="_1799840678" r:id="rId179"/>
        </w:object>
      </w:r>
      <w:r>
        <w:rPr>
          <w:rFonts w:ascii="Times New Roman" w:hAnsi="Times New Roman" w:cs="Times New Roman"/>
          <w:sz w:val="28"/>
          <w:szCs w:val="28"/>
        </w:rPr>
        <w:t>,</w:t>
      </w:r>
    </w:p>
    <w:p w14:paraId="49F5C3D6" w14:textId="77777777" w:rsidR="000F61BA" w:rsidRDefault="000F61BA" w:rsidP="000F61BA">
      <w:pPr>
        <w:jc w:val="both"/>
        <w:rPr>
          <w:rFonts w:ascii="Times New Roman" w:hAnsi="Times New Roman" w:cs="Times New Roman"/>
          <w:sz w:val="28"/>
          <w:szCs w:val="28"/>
        </w:rPr>
      </w:pPr>
      <w:r>
        <w:rPr>
          <w:rFonts w:ascii="Times New Roman" w:hAnsi="Times New Roman" w:cs="Times New Roman"/>
          <w:sz w:val="28"/>
          <w:szCs w:val="28"/>
        </w:rPr>
        <w:t>gdzie: U(y) oznacza użyteczność wyniku Y = y; Px(y) – subiektywne prawdopodobieństwo, że osiągnie się powyższy wynik; do (X = x) – opcje działania dostępne agentowi przy warunku X = x.</w:t>
      </w:r>
    </w:p>
    <w:p w14:paraId="7466C4FA" w14:textId="77777777" w:rsidR="000F61BA" w:rsidRDefault="000F61BA" w:rsidP="000F61BA">
      <w:pPr>
        <w:ind w:firstLine="708"/>
        <w:jc w:val="both"/>
        <w:rPr>
          <w:rFonts w:ascii="Times New Roman" w:hAnsi="Times New Roman" w:cs="Times New Roman"/>
          <w:sz w:val="28"/>
          <w:szCs w:val="28"/>
        </w:rPr>
      </w:pPr>
      <w:r>
        <w:rPr>
          <w:rFonts w:ascii="Times New Roman" w:hAnsi="Times New Roman" w:cs="Times New Roman"/>
          <w:sz w:val="28"/>
          <w:szCs w:val="28"/>
        </w:rPr>
        <w:t xml:space="preserve">Następnie zajmuje się sytuacjami kontrfaktycznymi i obliczaniem konkretnych wartości prawdopodobieństw, X = x oraz Y = y za pomocą procesów abdukcji, działania i predykcji, ilustrując to na przykładzie liniowego SCM. To pozwoliło mu zdefiniować dwie zasady wnioskowania przyczynowego: prawo strukturalnych zdarzeń kontrfaktycznych oraz prawo strukturalnej niezależności. W trzeciej części swojej pracy Pearl zajmuje się problemami interwencji, identyfikacji i kalkulacjami/rachunkami przyczynowości. W ujęciu bardziej szczegółowym znajdziemy tu trzy reguły sporządzania tych rachunków oraz zasady doboru zmiennych X za pomocą </w:t>
      </w:r>
      <w:r w:rsidRPr="005F1C36">
        <w:rPr>
          <w:rFonts w:ascii="Times New Roman" w:hAnsi="Times New Roman" w:cs="Times New Roman"/>
          <w:i/>
          <w:iCs/>
          <w:sz w:val="28"/>
          <w:szCs w:val="28"/>
        </w:rPr>
        <w:t>the backdoor criterion</w:t>
      </w:r>
      <w:r>
        <w:rPr>
          <w:rFonts w:ascii="Times New Roman" w:hAnsi="Times New Roman" w:cs="Times New Roman"/>
          <w:sz w:val="28"/>
          <w:szCs w:val="28"/>
        </w:rPr>
        <w:t>. Bardzo ważna jest część czwarta pracy, „Mediation analysis”, gdzie Pearl zajmuje się efektami interwencji w konwencji transformacji przyczyn w efekty właśnie. Podobnie jak inni badacze, wyróżnia efekty: bezpośrednie (kontrolowane i naturalne); naturalne pośrednie i całkowite. W uzupełnieniu formułuje cztery warunki wystarczające do ekonometrycznej identyfikacji efektów naturalnych. Ostatni fragment pracy dotyczy walidacji zewnętrznej i przenoszalności proponowanych rozwiązań. Na uwagę zasługuje tu konstatacja, iż w badaniach efektów interwencji wciąż badacze mają duże problemy z redukcją negatywnych skutków „</w:t>
      </w:r>
      <w:r w:rsidRPr="00A479B7">
        <w:rPr>
          <w:rFonts w:ascii="Times New Roman" w:hAnsi="Times New Roman" w:cs="Times New Roman"/>
          <w:i/>
          <w:iCs/>
          <w:sz w:val="28"/>
          <w:szCs w:val="28"/>
        </w:rPr>
        <w:t>the selection bias</w:t>
      </w:r>
      <w:r>
        <w:rPr>
          <w:rFonts w:ascii="Times New Roman" w:hAnsi="Times New Roman" w:cs="Times New Roman"/>
          <w:sz w:val="28"/>
          <w:szCs w:val="28"/>
        </w:rPr>
        <w:t xml:space="preserve">”. W szerszym </w:t>
      </w:r>
      <w:r>
        <w:rPr>
          <w:rFonts w:ascii="Times New Roman" w:hAnsi="Times New Roman" w:cs="Times New Roman"/>
          <w:sz w:val="28"/>
          <w:szCs w:val="28"/>
        </w:rPr>
        <w:lastRenderedPageBreak/>
        <w:t>natomiast planie powinni starać się wyjść poza kwestie prawdopodobieństw i statystyki w kierunku bardziej ogólnej teorii racjonalności. Odpowiednie zintegrowanie charakterystyk jednostek przed i po interwencji ułatwi natomiast złagodzenie problemów w ewaluacjach związanych z występowaniem zmiennych zakłócających, szacowaniem efektów bezpośrednich i pośrednich oraz generalizację wyników badań eksperymentalnych, quasi-eksperymentalnych i uzyskiwanych w oparciu o dane obserwacyjne.</w:t>
      </w:r>
    </w:p>
    <w:p w14:paraId="578A8B27" w14:textId="07C982EC" w:rsidR="000F61BA" w:rsidRDefault="00ED1456" w:rsidP="001D0854">
      <w:pPr>
        <w:pStyle w:val="Akapitzlist"/>
        <w:numPr>
          <w:ilvl w:val="0"/>
          <w:numId w:val="32"/>
        </w:numPr>
        <w:ind w:left="567" w:hanging="567"/>
        <w:rPr>
          <w:rFonts w:ascii="Times New Roman" w:hAnsi="Times New Roman" w:cs="Times New Roman"/>
          <w:b/>
          <w:bCs/>
          <w:sz w:val="28"/>
          <w:szCs w:val="28"/>
        </w:rPr>
      </w:pPr>
      <w:r>
        <w:rPr>
          <w:rFonts w:ascii="Times New Roman" w:hAnsi="Times New Roman" w:cs="Times New Roman"/>
          <w:b/>
          <w:bCs/>
          <w:sz w:val="28"/>
          <w:szCs w:val="28"/>
        </w:rPr>
        <w:t>Pomiar efektów interwencji i programów</w:t>
      </w:r>
    </w:p>
    <w:p w14:paraId="466C558B" w14:textId="77777777" w:rsidR="00144BBF" w:rsidRDefault="00144BBF" w:rsidP="00144BBF">
      <w:pPr>
        <w:spacing w:line="264" w:lineRule="auto"/>
        <w:ind w:firstLine="567"/>
        <w:jc w:val="both"/>
        <w:rPr>
          <w:rFonts w:ascii="Times New Roman" w:hAnsi="Times New Roman" w:cs="Times New Roman"/>
          <w:sz w:val="28"/>
          <w:szCs w:val="28"/>
        </w:rPr>
      </w:pPr>
      <w:bookmarkStart w:id="15" w:name="_Hlk179193419"/>
      <w:bookmarkEnd w:id="15"/>
      <w:r>
        <w:rPr>
          <w:rFonts w:ascii="Times New Roman" w:hAnsi="Times New Roman" w:cs="Times New Roman"/>
          <w:sz w:val="28"/>
          <w:szCs w:val="28"/>
        </w:rPr>
        <w:t>Kwestie związane z szacowaniem efektów wszelkich interwencji w literaturze przedmiotu określa się anglojęzycznym terminem „</w:t>
      </w:r>
      <w:r w:rsidRPr="00A31176">
        <w:rPr>
          <w:rFonts w:ascii="Times New Roman" w:hAnsi="Times New Roman" w:cs="Times New Roman"/>
          <w:i/>
          <w:iCs/>
          <w:sz w:val="28"/>
          <w:szCs w:val="28"/>
        </w:rPr>
        <w:t>evaluating treatment effects</w:t>
      </w:r>
      <w:r>
        <w:rPr>
          <w:rFonts w:ascii="Times New Roman" w:hAnsi="Times New Roman" w:cs="Times New Roman"/>
          <w:sz w:val="28"/>
          <w:szCs w:val="28"/>
        </w:rPr>
        <w:t>”. Według W.H. Greenego (2019) istotą postępowania jest ustalenie wpływu udziału w interwencji T na jakieś zmienne wynikowe. Od razu według niego pojawiają się tu dwa poważne problemy ekonometryczne:</w:t>
      </w:r>
    </w:p>
    <w:p w14:paraId="451A85D2" w14:textId="77777777" w:rsidR="00144BBF" w:rsidRDefault="00144BBF" w:rsidP="001D0854">
      <w:pPr>
        <w:pStyle w:val="Akapitzlist"/>
        <w:numPr>
          <w:ilvl w:val="0"/>
          <w:numId w:val="33"/>
        </w:numPr>
        <w:spacing w:line="264" w:lineRule="auto"/>
        <w:ind w:left="426" w:hanging="426"/>
        <w:jc w:val="both"/>
        <w:rPr>
          <w:rFonts w:ascii="Times New Roman" w:hAnsi="Times New Roman" w:cs="Times New Roman"/>
          <w:sz w:val="28"/>
          <w:szCs w:val="28"/>
        </w:rPr>
      </w:pPr>
      <w:r>
        <w:rPr>
          <w:rFonts w:ascii="Times New Roman" w:hAnsi="Times New Roman" w:cs="Times New Roman"/>
          <w:sz w:val="28"/>
          <w:szCs w:val="28"/>
        </w:rPr>
        <w:t>Endogeniczność pomiaru. Istnieją czynniki, które jednocześnie wpływają na uczestnictwo w interwencji oraz na jej wyniki. To stosowane estymatory czyni obciążonymi statystycznie. Podstawowym zagadnieniem jest tu samoselekcja (</w:t>
      </w:r>
      <w:r w:rsidRPr="00A31176">
        <w:rPr>
          <w:rFonts w:ascii="Times New Roman" w:hAnsi="Times New Roman" w:cs="Times New Roman"/>
          <w:i/>
          <w:iCs/>
          <w:sz w:val="28"/>
          <w:szCs w:val="28"/>
        </w:rPr>
        <w:t>a self selection</w:t>
      </w:r>
      <w:r>
        <w:rPr>
          <w:rFonts w:ascii="Times New Roman" w:hAnsi="Times New Roman" w:cs="Times New Roman"/>
          <w:sz w:val="28"/>
          <w:szCs w:val="28"/>
        </w:rPr>
        <w:t>), czyli sytuacja, w której istnieją nieobserwowane charakterystyki uczestników interwencji, skorelowane z jej wynikami. W konsekwencji grupy badane i kontrolne są zdeformowane, bo członkowie grupy pierwszej z racji tych charakterystyk chętniej korzystają z interwencji.</w:t>
      </w:r>
    </w:p>
    <w:p w14:paraId="258C9857" w14:textId="77777777" w:rsidR="00144BBF" w:rsidRDefault="00144BBF" w:rsidP="001D0854">
      <w:pPr>
        <w:pStyle w:val="Akapitzlist"/>
        <w:numPr>
          <w:ilvl w:val="0"/>
          <w:numId w:val="33"/>
        </w:numPr>
        <w:spacing w:line="264" w:lineRule="auto"/>
        <w:ind w:left="426" w:hanging="426"/>
        <w:jc w:val="both"/>
        <w:rPr>
          <w:rFonts w:ascii="Times New Roman" w:hAnsi="Times New Roman" w:cs="Times New Roman"/>
          <w:sz w:val="28"/>
          <w:szCs w:val="28"/>
        </w:rPr>
      </w:pPr>
      <w:r>
        <w:rPr>
          <w:rFonts w:ascii="Times New Roman" w:hAnsi="Times New Roman" w:cs="Times New Roman"/>
          <w:sz w:val="28"/>
          <w:szCs w:val="28"/>
        </w:rPr>
        <w:t>Brak kontrfaktyczności. Chodzi o to, że powinniśmy w pomiarze czystym obserwować poszczególne jednostki potencjalnie zainteresowane interwencją w dwóch stanach: uczestniczenia w niej i nieuczestniczenia. W rzeczywistości jest to niemożliwe. Stąd tworzy się grupy badane i kontrolne. Nieporównywanie więcej wyzwań napotykamy przy tym przy konstrukcji tych drugich.</w:t>
      </w:r>
    </w:p>
    <w:p w14:paraId="1DBD0D49" w14:textId="77777777" w:rsidR="00144BBF" w:rsidRDefault="00144BBF" w:rsidP="00144BBF">
      <w:pPr>
        <w:spacing w:line="264" w:lineRule="auto"/>
        <w:ind w:firstLine="708"/>
        <w:jc w:val="both"/>
        <w:rPr>
          <w:rFonts w:ascii="Times New Roman" w:hAnsi="Times New Roman" w:cs="Times New Roman"/>
          <w:sz w:val="28"/>
          <w:szCs w:val="28"/>
        </w:rPr>
      </w:pPr>
      <w:r w:rsidRPr="007116EC">
        <w:rPr>
          <w:rFonts w:ascii="Times New Roman" w:hAnsi="Times New Roman" w:cs="Times New Roman"/>
          <w:sz w:val="28"/>
          <w:szCs w:val="28"/>
        </w:rPr>
        <w:t>Podstawy pomiaru efektów interwencji stworzy</w:t>
      </w:r>
      <w:r>
        <w:rPr>
          <w:rFonts w:ascii="Times New Roman" w:hAnsi="Times New Roman" w:cs="Times New Roman"/>
          <w:sz w:val="28"/>
          <w:szCs w:val="28"/>
        </w:rPr>
        <w:t xml:space="preserve">ł D. Rubin w cyklu artykułów opublikowanych w latach 70. ub. wieku (Rubin 1974; Rubin 1976; Rubin 1978). Przybliżmy w sposób syntetyczny jego rozumowanie w ramach tzw. </w:t>
      </w:r>
      <w:r w:rsidRPr="00A31176">
        <w:rPr>
          <w:rFonts w:ascii="Times New Roman" w:hAnsi="Times New Roman" w:cs="Times New Roman"/>
          <w:i/>
          <w:iCs/>
          <w:sz w:val="28"/>
          <w:szCs w:val="28"/>
        </w:rPr>
        <w:t>Rubin’s causal model</w:t>
      </w:r>
      <w:r>
        <w:rPr>
          <w:rFonts w:ascii="Times New Roman" w:hAnsi="Times New Roman" w:cs="Times New Roman"/>
          <w:sz w:val="28"/>
          <w:szCs w:val="28"/>
        </w:rPr>
        <w:t>. Każda jednostka w pewnej populacji może uzyskać wynik potencjalny y, jeśli skorzysta z interwencji C, która po prostu jest zmienną binarną C</w:t>
      </w:r>
      <w:r w:rsidRPr="003C02AA">
        <w:rPr>
          <w:rFonts w:ascii="Times New Roman" w:hAnsi="Times New Roman" w:cs="Times New Roman"/>
          <w:sz w:val="28"/>
          <w:szCs w:val="28"/>
          <w:vertAlign w:val="subscript"/>
        </w:rPr>
        <w:t>i</w:t>
      </w:r>
      <w:r>
        <w:rPr>
          <w:rFonts w:ascii="Times New Roman" w:hAnsi="Times New Roman" w:cs="Times New Roman"/>
          <w:sz w:val="28"/>
          <w:szCs w:val="28"/>
        </w:rPr>
        <w:t xml:space="preserve">, oznaczającą uczestnictwo lub brak takowego w interwencji. Stąd wynik potencjalny </w:t>
      </w:r>
      <w:r w:rsidRPr="002119F8">
        <w:rPr>
          <w:rFonts w:ascii="Times New Roman" w:hAnsi="Times New Roman" w:cs="Times New Roman"/>
          <w:position w:val="-16"/>
          <w:sz w:val="28"/>
          <w:szCs w:val="28"/>
        </w:rPr>
        <w:object w:dxaOrig="1520" w:dyaOrig="440" w14:anchorId="118ECB64">
          <v:shape id="_x0000_i1108" type="#_x0000_t75" style="width:79pt;height:22pt" o:ole="">
            <v:imagedata r:id="rId180" o:title=""/>
          </v:shape>
          <o:OLEObject Type="Embed" ProgID="Equation.DSMT4" ShapeID="_x0000_i1108" DrawAspect="Content" ObjectID="_1799840679" r:id="rId181"/>
        </w:object>
      </w:r>
      <w:r>
        <w:rPr>
          <w:rFonts w:ascii="Times New Roman" w:hAnsi="Times New Roman" w:cs="Times New Roman"/>
          <w:sz w:val="28"/>
          <w:szCs w:val="28"/>
        </w:rPr>
        <w:t xml:space="preserve">, gdy jednostka uczestniczy, i </w:t>
      </w:r>
      <w:r w:rsidRPr="002119F8">
        <w:rPr>
          <w:rFonts w:ascii="Times New Roman" w:hAnsi="Times New Roman" w:cs="Times New Roman"/>
          <w:position w:val="-16"/>
          <w:sz w:val="28"/>
          <w:szCs w:val="28"/>
        </w:rPr>
        <w:object w:dxaOrig="1600" w:dyaOrig="440" w14:anchorId="2E1D7553">
          <v:shape id="_x0000_i1109" type="#_x0000_t75" style="width:79.5pt;height:22pt" o:ole="">
            <v:imagedata r:id="rId182" o:title=""/>
          </v:shape>
          <o:OLEObject Type="Embed" ProgID="Equation.DSMT4" ShapeID="_x0000_i1109" DrawAspect="Content" ObjectID="_1799840680" r:id="rId183"/>
        </w:object>
      </w:r>
      <w:r>
        <w:rPr>
          <w:rFonts w:ascii="Times New Roman" w:hAnsi="Times New Roman" w:cs="Times New Roman"/>
          <w:sz w:val="28"/>
          <w:szCs w:val="28"/>
        </w:rPr>
        <w:t xml:space="preserve"> w sytuacji przeciwnej. Jeśli uśrednimy teraz wszystkie indywidualne efekty interwencji w całej populacji, to otrzymamy </w:t>
      </w:r>
      <w:r w:rsidRPr="00A31176">
        <w:rPr>
          <w:rFonts w:ascii="Times New Roman" w:hAnsi="Times New Roman" w:cs="Times New Roman"/>
          <w:i/>
          <w:iCs/>
          <w:sz w:val="28"/>
          <w:szCs w:val="28"/>
        </w:rPr>
        <w:t>the average treatment effect</w:t>
      </w:r>
      <w:r>
        <w:rPr>
          <w:rFonts w:ascii="Times New Roman" w:hAnsi="Times New Roman" w:cs="Times New Roman"/>
          <w:sz w:val="28"/>
          <w:szCs w:val="28"/>
        </w:rPr>
        <w:t xml:space="preserve"> (ATE):</w:t>
      </w:r>
    </w:p>
    <w:p w14:paraId="78B36E86" w14:textId="77777777" w:rsidR="00144BBF" w:rsidRDefault="00144BBF" w:rsidP="00144BBF">
      <w:pPr>
        <w:spacing w:line="264" w:lineRule="auto"/>
        <w:ind w:firstLine="708"/>
        <w:jc w:val="center"/>
        <w:rPr>
          <w:rFonts w:ascii="Times New Roman" w:hAnsi="Times New Roman" w:cs="Times New Roman"/>
          <w:sz w:val="28"/>
          <w:szCs w:val="28"/>
        </w:rPr>
      </w:pPr>
      <w:r w:rsidRPr="00850678">
        <w:rPr>
          <w:rFonts w:ascii="Times New Roman" w:hAnsi="Times New Roman" w:cs="Times New Roman"/>
          <w:position w:val="-14"/>
          <w:sz w:val="28"/>
          <w:szCs w:val="28"/>
        </w:rPr>
        <w:object w:dxaOrig="1860" w:dyaOrig="400" w14:anchorId="3B2ABB42">
          <v:shape id="_x0000_i1110" type="#_x0000_t75" style="width:93.5pt;height:22pt" o:ole="">
            <v:imagedata r:id="rId184" o:title=""/>
          </v:shape>
          <o:OLEObject Type="Embed" ProgID="Equation.DSMT4" ShapeID="_x0000_i1110" DrawAspect="Content" ObjectID="_1799840681" r:id="rId185"/>
        </w:object>
      </w:r>
      <w:r>
        <w:rPr>
          <w:rFonts w:ascii="Times New Roman" w:hAnsi="Times New Roman" w:cs="Times New Roman"/>
          <w:sz w:val="28"/>
          <w:szCs w:val="28"/>
        </w:rPr>
        <w:t>.</w:t>
      </w:r>
    </w:p>
    <w:p w14:paraId="16A4160D" w14:textId="77777777" w:rsidR="00144BBF" w:rsidRDefault="00144BBF" w:rsidP="004A1782">
      <w:pPr>
        <w:tabs>
          <w:tab w:val="left" w:pos="709"/>
        </w:tabs>
        <w:spacing w:line="264"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Fakt, iż jednostka nie może równocześnie znajdywać się w stanie 0 i 1, powoduje, że w praktyce ewaluacyjnej główne znaczenie ma </w:t>
      </w:r>
      <w:r w:rsidRPr="00FD20AD">
        <w:rPr>
          <w:rFonts w:ascii="Times New Roman" w:hAnsi="Times New Roman" w:cs="Times New Roman"/>
          <w:i/>
          <w:iCs/>
          <w:sz w:val="28"/>
          <w:szCs w:val="28"/>
        </w:rPr>
        <w:t>the average treatment effect on the treated</w:t>
      </w:r>
      <w:r>
        <w:rPr>
          <w:rFonts w:ascii="Times New Roman" w:hAnsi="Times New Roman" w:cs="Times New Roman"/>
          <w:sz w:val="28"/>
          <w:szCs w:val="28"/>
        </w:rPr>
        <w:t>:</w:t>
      </w:r>
    </w:p>
    <w:p w14:paraId="2FEE9E81" w14:textId="77777777" w:rsidR="00144BBF" w:rsidRDefault="00144BBF" w:rsidP="00144BBF">
      <w:pPr>
        <w:spacing w:line="264" w:lineRule="auto"/>
        <w:jc w:val="center"/>
        <w:rPr>
          <w:rFonts w:ascii="Times New Roman" w:hAnsi="Times New Roman" w:cs="Times New Roman"/>
          <w:sz w:val="28"/>
          <w:szCs w:val="28"/>
        </w:rPr>
      </w:pPr>
      <w:r w:rsidRPr="005166C3">
        <w:rPr>
          <w:rFonts w:ascii="Times New Roman" w:hAnsi="Times New Roman" w:cs="Times New Roman"/>
          <w:position w:val="-16"/>
          <w:sz w:val="28"/>
          <w:szCs w:val="28"/>
        </w:rPr>
        <w:object w:dxaOrig="2500" w:dyaOrig="440" w14:anchorId="715E9F1A">
          <v:shape id="_x0000_i1111" type="#_x0000_t75" style="width:129.5pt;height:22pt" o:ole="">
            <v:imagedata r:id="rId186" o:title=""/>
          </v:shape>
          <o:OLEObject Type="Embed" ProgID="Equation.DSMT4" ShapeID="_x0000_i1111" DrawAspect="Content" ObjectID="_1799840682" r:id="rId187"/>
        </w:object>
      </w:r>
      <w:r>
        <w:rPr>
          <w:rFonts w:ascii="Times New Roman" w:hAnsi="Times New Roman" w:cs="Times New Roman"/>
          <w:sz w:val="28"/>
          <w:szCs w:val="28"/>
        </w:rPr>
        <w:t>.</w:t>
      </w:r>
    </w:p>
    <w:p w14:paraId="70439406" w14:textId="77777777" w:rsidR="00144BBF" w:rsidRDefault="00144BBF" w:rsidP="00144BBF">
      <w:pPr>
        <w:tabs>
          <w:tab w:val="left" w:pos="1365"/>
        </w:tabs>
        <w:spacing w:line="264" w:lineRule="auto"/>
        <w:jc w:val="both"/>
        <w:rPr>
          <w:rFonts w:ascii="Times New Roman" w:hAnsi="Times New Roman" w:cs="Times New Roman"/>
          <w:sz w:val="28"/>
          <w:szCs w:val="28"/>
        </w:rPr>
      </w:pPr>
      <w:r>
        <w:rPr>
          <w:rFonts w:ascii="Times New Roman" w:hAnsi="Times New Roman" w:cs="Times New Roman"/>
          <w:sz w:val="28"/>
          <w:szCs w:val="28"/>
        </w:rPr>
        <w:t>Formuła powyższa w praktycznym stosowaniu wymaga użycia zbioru X, czyli zestawu zmiennych, które będą determinowały uczestnictwo jednostek w interwencji. Każda zaś procedura ekonometryczna związana z szacowaniem ATE i ATET musi spełniać co najmniej trzy poniższe warunki/założenia:</w:t>
      </w:r>
    </w:p>
    <w:p w14:paraId="6B92B039" w14:textId="77777777" w:rsidR="00144BBF" w:rsidRDefault="00144BBF" w:rsidP="001D0854">
      <w:pPr>
        <w:pStyle w:val="Akapitzlist"/>
        <w:numPr>
          <w:ilvl w:val="0"/>
          <w:numId w:val="34"/>
        </w:numPr>
        <w:tabs>
          <w:tab w:val="left" w:pos="1365"/>
        </w:tabs>
        <w:spacing w:line="264" w:lineRule="auto"/>
        <w:ind w:left="426" w:hanging="426"/>
        <w:jc w:val="both"/>
        <w:rPr>
          <w:rFonts w:ascii="Times New Roman" w:hAnsi="Times New Roman" w:cs="Times New Roman"/>
          <w:sz w:val="28"/>
          <w:szCs w:val="28"/>
        </w:rPr>
      </w:pPr>
      <w:r>
        <w:rPr>
          <w:rFonts w:ascii="Times New Roman" w:hAnsi="Times New Roman" w:cs="Times New Roman"/>
          <w:sz w:val="28"/>
          <w:szCs w:val="28"/>
        </w:rPr>
        <w:t>Warunkowej niezależności (</w:t>
      </w:r>
      <w:r w:rsidRPr="00414A5E">
        <w:rPr>
          <w:rFonts w:ascii="Times New Roman" w:hAnsi="Times New Roman" w:cs="Times New Roman"/>
          <w:i/>
          <w:iCs/>
          <w:sz w:val="28"/>
          <w:szCs w:val="28"/>
        </w:rPr>
        <w:t>the conditional independence</w:t>
      </w:r>
      <w:r>
        <w:rPr>
          <w:rFonts w:ascii="Times New Roman" w:hAnsi="Times New Roman" w:cs="Times New Roman"/>
          <w:sz w:val="28"/>
          <w:szCs w:val="28"/>
        </w:rPr>
        <w:t>). Występuje ona wtedy, gdy C</w:t>
      </w:r>
      <w:r w:rsidRPr="00414A5E">
        <w:rPr>
          <w:rFonts w:ascii="Times New Roman" w:hAnsi="Times New Roman" w:cs="Times New Roman"/>
          <w:sz w:val="28"/>
          <w:szCs w:val="28"/>
          <w:vertAlign w:val="subscript"/>
        </w:rPr>
        <w:t>i</w:t>
      </w:r>
      <w:r>
        <w:rPr>
          <w:rFonts w:ascii="Times New Roman" w:hAnsi="Times New Roman" w:cs="Times New Roman"/>
          <w:sz w:val="28"/>
          <w:szCs w:val="28"/>
        </w:rPr>
        <w:t xml:space="preserve"> nie zależy od zmiennych y</w:t>
      </w:r>
      <w:r w:rsidRPr="00414A5E">
        <w:rPr>
          <w:rFonts w:ascii="Times New Roman" w:hAnsi="Times New Roman" w:cs="Times New Roman"/>
          <w:sz w:val="28"/>
          <w:szCs w:val="28"/>
          <w:vertAlign w:val="subscript"/>
        </w:rPr>
        <w:t>i</w:t>
      </w:r>
      <w:r>
        <w:rPr>
          <w:rFonts w:ascii="Times New Roman" w:hAnsi="Times New Roman" w:cs="Times New Roman"/>
          <w:sz w:val="28"/>
          <w:szCs w:val="28"/>
        </w:rPr>
        <w:t>, jeśli wcześniej został wyjaśniony ich związek ze zmiennymi x. Gdy jednak uczestnictwo jednostek w grupie badanej jest całkowicie losowe, w ogóle nie musimy zajmować się zmiennymi x. Trzeba tu dodać, że założenie to jest rozszerzane w modelach regresji do założenia warunkowej średniej (</w:t>
      </w:r>
      <w:r w:rsidRPr="00B45A59">
        <w:rPr>
          <w:rFonts w:ascii="Times New Roman" w:hAnsi="Times New Roman" w:cs="Times New Roman"/>
          <w:i/>
          <w:iCs/>
          <w:sz w:val="28"/>
          <w:szCs w:val="28"/>
        </w:rPr>
        <w:t>the conditional mean assumption</w:t>
      </w:r>
      <w:r>
        <w:rPr>
          <w:rFonts w:ascii="Times New Roman" w:hAnsi="Times New Roman" w:cs="Times New Roman"/>
          <w:sz w:val="28"/>
          <w:szCs w:val="28"/>
        </w:rPr>
        <w:t xml:space="preserve">). Mamy wtedy: </w:t>
      </w:r>
      <w:r w:rsidRPr="00470D4C">
        <w:rPr>
          <w:position w:val="-16"/>
        </w:rPr>
        <w:object w:dxaOrig="4599" w:dyaOrig="440" w14:anchorId="560A9743">
          <v:shape id="_x0000_i1112" type="#_x0000_t75" style="width:230.5pt;height:22pt" o:ole="">
            <v:imagedata r:id="rId188" o:title=""/>
          </v:shape>
          <o:OLEObject Type="Embed" ProgID="Equation.DSMT4" ShapeID="_x0000_i1112" DrawAspect="Content" ObjectID="_1799840683" r:id="rId189"/>
        </w:object>
      </w:r>
      <w:r>
        <w:t xml:space="preserve">. </w:t>
      </w:r>
      <w:r w:rsidRPr="00121F15">
        <w:rPr>
          <w:rFonts w:ascii="Times New Roman" w:hAnsi="Times New Roman" w:cs="Times New Roman"/>
          <w:sz w:val="28"/>
          <w:szCs w:val="28"/>
        </w:rPr>
        <w:t>Wynika z powyższego, iż wynik dla grupy kontr</w:t>
      </w:r>
      <w:r>
        <w:rPr>
          <w:rFonts w:ascii="Times New Roman" w:hAnsi="Times New Roman" w:cs="Times New Roman"/>
          <w:sz w:val="28"/>
          <w:szCs w:val="28"/>
        </w:rPr>
        <w:t>olnej nie wpływa na uczestnictwo w interwencji.</w:t>
      </w:r>
    </w:p>
    <w:p w14:paraId="757F7942" w14:textId="77777777" w:rsidR="00144BBF" w:rsidRDefault="00144BBF" w:rsidP="001D0854">
      <w:pPr>
        <w:pStyle w:val="Akapitzlist"/>
        <w:numPr>
          <w:ilvl w:val="0"/>
          <w:numId w:val="34"/>
        </w:numPr>
        <w:tabs>
          <w:tab w:val="left" w:pos="1365"/>
        </w:tabs>
        <w:spacing w:line="264" w:lineRule="auto"/>
        <w:ind w:left="426" w:hanging="426"/>
        <w:jc w:val="both"/>
        <w:rPr>
          <w:rFonts w:ascii="Times New Roman" w:hAnsi="Times New Roman" w:cs="Times New Roman"/>
          <w:sz w:val="28"/>
          <w:szCs w:val="28"/>
        </w:rPr>
      </w:pPr>
      <w:r w:rsidRPr="009C36FD">
        <w:rPr>
          <w:rFonts w:ascii="Times New Roman" w:hAnsi="Times New Roman" w:cs="Times New Roman"/>
          <w:spacing w:val="4"/>
          <w:sz w:val="28"/>
          <w:szCs w:val="28"/>
        </w:rPr>
        <w:t xml:space="preserve">Rozkładu wyników potencjalnych. Przyjmuje się tu, że model dotyczący wyników interwencji jest taki sam dla obydwu grup, tj. </w:t>
      </w:r>
      <w:r w:rsidRPr="009C36FD">
        <w:rPr>
          <w:rFonts w:ascii="Times New Roman" w:hAnsi="Times New Roman" w:cs="Times New Roman"/>
          <w:spacing w:val="4"/>
          <w:position w:val="-16"/>
          <w:sz w:val="28"/>
          <w:szCs w:val="28"/>
        </w:rPr>
        <w:object w:dxaOrig="2880" w:dyaOrig="440" w14:anchorId="6F59D80D">
          <v:shape id="_x0000_i1113" type="#_x0000_t75" style="width:2in;height:22pt" o:ole="">
            <v:imagedata r:id="rId190" o:title=""/>
          </v:shape>
          <o:OLEObject Type="Embed" ProgID="Equation.DSMT4" ShapeID="_x0000_i1113" DrawAspect="Content" ObjectID="_1799840684" r:id="rId191"/>
        </w:object>
      </w:r>
      <w:r w:rsidRPr="009C36FD">
        <w:rPr>
          <w:rFonts w:ascii="Times New Roman" w:hAnsi="Times New Roman" w:cs="Times New Roman"/>
          <w:spacing w:val="4"/>
          <w:sz w:val="28"/>
          <w:szCs w:val="28"/>
        </w:rPr>
        <w:t>.</w:t>
      </w:r>
      <w:r>
        <w:rPr>
          <w:rFonts w:ascii="Times New Roman" w:hAnsi="Times New Roman" w:cs="Times New Roman"/>
          <w:sz w:val="28"/>
          <w:szCs w:val="28"/>
        </w:rPr>
        <w:t xml:space="preserve"> Rzecz jasna, implikuje to stosowanie takiego samego modelu regresji dla obydwu stanów T. Dalej z tego wynika, że reszty modelu nie są skorelowane z T, a ten ostatni parametr jest egzogeniczny. To bardzo mocne założenie, które w praktyce jest co najmniej osłabiane.</w:t>
      </w:r>
    </w:p>
    <w:p w14:paraId="365BD13D" w14:textId="77777777" w:rsidR="00144BBF" w:rsidRDefault="00144BBF" w:rsidP="001D0854">
      <w:pPr>
        <w:pStyle w:val="Akapitzlist"/>
        <w:numPr>
          <w:ilvl w:val="0"/>
          <w:numId w:val="34"/>
        </w:numPr>
        <w:tabs>
          <w:tab w:val="left" w:pos="1365"/>
        </w:tabs>
        <w:spacing w:line="264" w:lineRule="auto"/>
        <w:ind w:left="426" w:hanging="426"/>
        <w:jc w:val="both"/>
        <w:rPr>
          <w:rFonts w:ascii="Times New Roman" w:hAnsi="Times New Roman" w:cs="Times New Roman"/>
          <w:sz w:val="28"/>
          <w:szCs w:val="28"/>
        </w:rPr>
      </w:pPr>
      <w:r>
        <w:rPr>
          <w:rFonts w:ascii="Times New Roman" w:hAnsi="Times New Roman" w:cs="Times New Roman"/>
          <w:sz w:val="28"/>
          <w:szCs w:val="28"/>
        </w:rPr>
        <w:t>Istnienia nakładających się podpór/dziedzin (</w:t>
      </w:r>
      <w:r w:rsidRPr="00C91388">
        <w:rPr>
          <w:rFonts w:ascii="Times New Roman" w:hAnsi="Times New Roman" w:cs="Times New Roman"/>
          <w:i/>
          <w:iCs/>
          <w:sz w:val="28"/>
          <w:szCs w:val="28"/>
        </w:rPr>
        <w:t>the overlap assumption</w:t>
      </w:r>
      <w:r>
        <w:rPr>
          <w:rFonts w:ascii="Times New Roman" w:hAnsi="Times New Roman" w:cs="Times New Roman"/>
          <w:sz w:val="28"/>
          <w:szCs w:val="28"/>
        </w:rPr>
        <w:t xml:space="preserve">). Formalnie mamy tu: dla dowolnej wartości x, zachodzi: </w:t>
      </w:r>
      <w:r w:rsidRPr="00664406">
        <w:rPr>
          <w:rFonts w:ascii="Times New Roman" w:hAnsi="Times New Roman" w:cs="Times New Roman"/>
          <w:position w:val="-16"/>
          <w:sz w:val="28"/>
          <w:szCs w:val="28"/>
        </w:rPr>
        <w:object w:dxaOrig="2140" w:dyaOrig="440" w14:anchorId="64C26E72">
          <v:shape id="_x0000_i1114" type="#_x0000_t75" style="width:107.5pt;height:22pt" o:ole="">
            <v:imagedata r:id="rId192" o:title=""/>
          </v:shape>
          <o:OLEObject Type="Embed" ProgID="Equation.DSMT4" ShapeID="_x0000_i1114" DrawAspect="Content" ObjectID="_1799840685" r:id="rId193"/>
        </w:object>
      </w:r>
      <w:r>
        <w:rPr>
          <w:rFonts w:ascii="Times New Roman" w:hAnsi="Times New Roman" w:cs="Times New Roman"/>
          <w:sz w:val="28"/>
          <w:szCs w:val="28"/>
        </w:rPr>
        <w:t>, gdzie: Prob oznacza prawdopodobieństwo. Wynikają z tego dwa ważne wnioski praktyczne: 1) dla dowolnej wartości x pewna populacja składa się z jednostek uczestniczących w interwencji i nieobjętych nią; 2) jednostki w grupie badanej i kontrolnej są bardzo podobne z wyjątkiem tylko ich statusu względem danej interwencji.</w:t>
      </w:r>
    </w:p>
    <w:p w14:paraId="7B76D92A" w14:textId="77777777" w:rsidR="00144BBF" w:rsidRDefault="00144BBF" w:rsidP="00144BBF">
      <w:pPr>
        <w:pStyle w:val="Akapitzlist"/>
        <w:tabs>
          <w:tab w:val="left" w:pos="1365"/>
        </w:tabs>
        <w:spacing w:line="264" w:lineRule="auto"/>
        <w:ind w:left="426" w:firstLine="708"/>
        <w:jc w:val="both"/>
        <w:rPr>
          <w:rFonts w:ascii="Times New Roman" w:hAnsi="Times New Roman" w:cs="Times New Roman"/>
          <w:sz w:val="28"/>
          <w:szCs w:val="28"/>
        </w:rPr>
      </w:pPr>
      <w:r>
        <w:rPr>
          <w:rFonts w:ascii="Times New Roman" w:hAnsi="Times New Roman" w:cs="Times New Roman"/>
          <w:sz w:val="28"/>
          <w:szCs w:val="28"/>
        </w:rPr>
        <w:t>Podstawowym narzędziem ekonometrycznym do estymacji ATET oraz innych jeszcze miar efektów interwencji jest rachunek regresji. Istotę problemu przybliża się, korzystając z ujęcia Hilla i in. (2018). Oznaczmy ponownie przez Y jakąś zmienną wynikową. Wprowadźmy teraz do rozważań zmienną wskaźnikową/sygnalizacyjną d, która jest niczym innym niż zmienną binarną C</w:t>
      </w:r>
      <w:r w:rsidRPr="00BA39FB">
        <w:rPr>
          <w:rFonts w:ascii="Times New Roman" w:hAnsi="Times New Roman" w:cs="Times New Roman"/>
          <w:sz w:val="28"/>
          <w:szCs w:val="28"/>
          <w:vertAlign w:val="subscript"/>
        </w:rPr>
        <w:t>i</w:t>
      </w:r>
      <w:r>
        <w:rPr>
          <w:rFonts w:ascii="Times New Roman" w:hAnsi="Times New Roman" w:cs="Times New Roman"/>
          <w:sz w:val="28"/>
          <w:szCs w:val="28"/>
        </w:rPr>
        <w:t xml:space="preserve"> u Rubina. Konkretna realizacja ww. zmiennej wskaźnikowej w próbie ma następującą postać:</w:t>
      </w:r>
    </w:p>
    <w:p w14:paraId="19760F74" w14:textId="77777777" w:rsidR="00144BBF" w:rsidRDefault="00144BBF" w:rsidP="00144BBF">
      <w:pPr>
        <w:spacing w:line="264" w:lineRule="auto"/>
        <w:jc w:val="center"/>
      </w:pPr>
      <w:r w:rsidRPr="0097591E">
        <w:rPr>
          <w:position w:val="-30"/>
        </w:rPr>
        <w:object w:dxaOrig="5140" w:dyaOrig="720" w14:anchorId="1213F1D8">
          <v:shape id="_x0000_i1115" type="#_x0000_t75" style="width:253pt;height:36.5pt" o:ole="">
            <v:imagedata r:id="rId194" o:title=""/>
          </v:shape>
          <o:OLEObject Type="Embed" ProgID="Equation.DSMT4" ShapeID="_x0000_i1115" DrawAspect="Content" ObjectID="_1799840686" r:id="rId195"/>
        </w:object>
      </w:r>
      <w:r>
        <w:t>.</w:t>
      </w:r>
    </w:p>
    <w:p w14:paraId="613B9DE5" w14:textId="77777777" w:rsidR="00144BBF" w:rsidRDefault="00144BBF" w:rsidP="00144BBF">
      <w:pPr>
        <w:spacing w:line="264" w:lineRule="auto"/>
        <w:ind w:firstLine="708"/>
        <w:jc w:val="both"/>
        <w:rPr>
          <w:rFonts w:ascii="Times New Roman" w:hAnsi="Times New Roman" w:cs="Times New Roman"/>
          <w:sz w:val="28"/>
          <w:szCs w:val="28"/>
        </w:rPr>
      </w:pPr>
      <w:r w:rsidRPr="00823021">
        <w:rPr>
          <w:rFonts w:ascii="Times New Roman" w:hAnsi="Times New Roman" w:cs="Times New Roman"/>
          <w:sz w:val="28"/>
          <w:szCs w:val="28"/>
        </w:rPr>
        <w:t>Wpływ interwencji na konkretną zmienną wynikową opisuje poniższe równanie regresji</w:t>
      </w:r>
      <w:r>
        <w:rPr>
          <w:rFonts w:ascii="Times New Roman" w:hAnsi="Times New Roman" w:cs="Times New Roman"/>
          <w:sz w:val="28"/>
          <w:szCs w:val="28"/>
        </w:rPr>
        <w:t>:</w:t>
      </w:r>
    </w:p>
    <w:p w14:paraId="47254257" w14:textId="77777777" w:rsidR="00144BBF" w:rsidRDefault="00144BBF" w:rsidP="00144BBF">
      <w:pPr>
        <w:spacing w:line="264" w:lineRule="auto"/>
        <w:ind w:firstLine="708"/>
        <w:jc w:val="center"/>
        <w:rPr>
          <w:rFonts w:ascii="Times New Roman" w:hAnsi="Times New Roman" w:cs="Times New Roman"/>
          <w:sz w:val="28"/>
          <w:szCs w:val="28"/>
        </w:rPr>
      </w:pPr>
      <w:r w:rsidRPr="00823021">
        <w:rPr>
          <w:rFonts w:ascii="Times New Roman" w:hAnsi="Times New Roman" w:cs="Times New Roman"/>
          <w:position w:val="-12"/>
          <w:sz w:val="28"/>
          <w:szCs w:val="28"/>
        </w:rPr>
        <w:object w:dxaOrig="3019" w:dyaOrig="360" w14:anchorId="2231AA8F">
          <v:shape id="_x0000_i1116" type="#_x0000_t75" style="width:151.5pt;height:14.5pt" o:ole="">
            <v:imagedata r:id="rId196" o:title=""/>
          </v:shape>
          <o:OLEObject Type="Embed" ProgID="Equation.DSMT4" ShapeID="_x0000_i1116" DrawAspect="Content" ObjectID="_1799840687" r:id="rId197"/>
        </w:object>
      </w:r>
    </w:p>
    <w:p w14:paraId="7B6EEFE0" w14:textId="77777777" w:rsidR="00144BBF" w:rsidRDefault="00144BBF" w:rsidP="00144BBF">
      <w:pPr>
        <w:tabs>
          <w:tab w:val="left" w:pos="1020"/>
        </w:tabs>
        <w:spacing w:line="264" w:lineRule="auto"/>
        <w:rPr>
          <w:rFonts w:ascii="Times New Roman" w:hAnsi="Times New Roman" w:cs="Times New Roman"/>
          <w:sz w:val="28"/>
          <w:szCs w:val="28"/>
        </w:rPr>
      </w:pPr>
      <w:r>
        <w:rPr>
          <w:rFonts w:ascii="Times New Roman" w:hAnsi="Times New Roman" w:cs="Times New Roman"/>
          <w:sz w:val="28"/>
          <w:szCs w:val="28"/>
        </w:rPr>
        <w:t>gdzie: e</w:t>
      </w:r>
      <w:r w:rsidRPr="000B5440">
        <w:rPr>
          <w:rFonts w:ascii="Times New Roman" w:hAnsi="Times New Roman" w:cs="Times New Roman"/>
          <w:sz w:val="28"/>
          <w:szCs w:val="28"/>
          <w:vertAlign w:val="subscript"/>
        </w:rPr>
        <w:t>i</w:t>
      </w:r>
      <w:r>
        <w:rPr>
          <w:rFonts w:ascii="Times New Roman" w:hAnsi="Times New Roman" w:cs="Times New Roman"/>
          <w:sz w:val="28"/>
          <w:szCs w:val="28"/>
        </w:rPr>
        <w:t xml:space="preserve"> – wpływ innych czynników na zmienną wynikową. Zapiszmy teraz oddzielnie funkcje regresji dla obydwu grup:</w:t>
      </w:r>
    </w:p>
    <w:p w14:paraId="0315567D" w14:textId="77777777" w:rsidR="00144BBF" w:rsidRDefault="00144BBF" w:rsidP="00144BBF">
      <w:pPr>
        <w:spacing w:line="264" w:lineRule="auto"/>
        <w:jc w:val="center"/>
        <w:rPr>
          <w:rFonts w:ascii="Times New Roman" w:hAnsi="Times New Roman" w:cs="Times New Roman"/>
          <w:sz w:val="28"/>
          <w:szCs w:val="28"/>
        </w:rPr>
      </w:pPr>
      <w:r w:rsidRPr="0017151C">
        <w:rPr>
          <w:rFonts w:ascii="Times New Roman" w:hAnsi="Times New Roman" w:cs="Times New Roman"/>
          <w:position w:val="-32"/>
          <w:sz w:val="28"/>
          <w:szCs w:val="28"/>
        </w:rPr>
        <w:object w:dxaOrig="2860" w:dyaOrig="760" w14:anchorId="6669078A">
          <v:shape id="_x0000_i1117" type="#_x0000_t75" style="width:2in;height:35.5pt" o:ole="">
            <v:imagedata r:id="rId198" o:title=""/>
          </v:shape>
          <o:OLEObject Type="Embed" ProgID="Equation.DSMT4" ShapeID="_x0000_i1117" DrawAspect="Content" ObjectID="_1799840688" r:id="rId199"/>
        </w:object>
      </w:r>
    </w:p>
    <w:p w14:paraId="76BEEB8A" w14:textId="77777777" w:rsidR="00144BBF" w:rsidRDefault="00144BBF" w:rsidP="00144BBF">
      <w:pPr>
        <w:spacing w:line="264" w:lineRule="auto"/>
        <w:rPr>
          <w:rFonts w:ascii="Times New Roman" w:hAnsi="Times New Roman" w:cs="Times New Roman"/>
          <w:sz w:val="28"/>
          <w:szCs w:val="28"/>
        </w:rPr>
      </w:pPr>
      <w:r>
        <w:rPr>
          <w:rFonts w:ascii="Times New Roman" w:hAnsi="Times New Roman" w:cs="Times New Roman"/>
          <w:sz w:val="28"/>
          <w:szCs w:val="28"/>
        </w:rPr>
        <w:t>Parametr β</w:t>
      </w:r>
      <w:r w:rsidRPr="00FA5C28">
        <w:rPr>
          <w:rFonts w:ascii="Times New Roman" w:hAnsi="Times New Roman" w:cs="Times New Roman"/>
          <w:sz w:val="28"/>
          <w:szCs w:val="28"/>
          <w:vertAlign w:val="subscript"/>
        </w:rPr>
        <w:t>2</w:t>
      </w:r>
      <w:r>
        <w:rPr>
          <w:rFonts w:ascii="Times New Roman" w:hAnsi="Times New Roman" w:cs="Times New Roman"/>
          <w:sz w:val="28"/>
          <w:szCs w:val="28"/>
        </w:rPr>
        <w:t xml:space="preserve"> jest szukanym ATE. Szacowanie go za pomocą zwykłej metody najmniejszych kwadratów odbywa się z użyciem takiego oto estymatora:</w:t>
      </w:r>
    </w:p>
    <w:p w14:paraId="7B3066BE" w14:textId="77777777" w:rsidR="00144BBF" w:rsidRDefault="00144BBF" w:rsidP="00144BBF">
      <w:pPr>
        <w:tabs>
          <w:tab w:val="left" w:pos="3807"/>
        </w:tabs>
        <w:spacing w:line="264" w:lineRule="auto"/>
        <w:jc w:val="center"/>
        <w:rPr>
          <w:rFonts w:ascii="Times New Roman" w:hAnsi="Times New Roman" w:cs="Times New Roman"/>
          <w:sz w:val="28"/>
          <w:szCs w:val="28"/>
        </w:rPr>
      </w:pPr>
      <w:r w:rsidRPr="00FA5C28">
        <w:rPr>
          <w:rFonts w:ascii="Times New Roman" w:hAnsi="Times New Roman" w:cs="Times New Roman"/>
          <w:position w:val="-60"/>
          <w:sz w:val="28"/>
          <w:szCs w:val="28"/>
        </w:rPr>
        <w:object w:dxaOrig="3220" w:dyaOrig="1320" w14:anchorId="66531FEF">
          <v:shape id="_x0000_i1118" type="#_x0000_t75" style="width:158.5pt;height:65pt" o:ole="">
            <v:imagedata r:id="rId200" o:title=""/>
          </v:shape>
          <o:OLEObject Type="Embed" ProgID="Equation.DSMT4" ShapeID="_x0000_i1118" DrawAspect="Content" ObjectID="_1799840689" r:id="rId201"/>
        </w:object>
      </w:r>
    </w:p>
    <w:p w14:paraId="304DA3AD" w14:textId="77777777" w:rsidR="00144BBF" w:rsidRDefault="00144BBF" w:rsidP="00144BBF">
      <w:pPr>
        <w:spacing w:line="264" w:lineRule="auto"/>
        <w:rPr>
          <w:rFonts w:ascii="Times New Roman" w:hAnsi="Times New Roman" w:cs="Times New Roman"/>
          <w:sz w:val="28"/>
          <w:szCs w:val="28"/>
        </w:rPr>
      </w:pPr>
      <w:r>
        <w:rPr>
          <w:rFonts w:ascii="Times New Roman" w:hAnsi="Times New Roman" w:cs="Times New Roman"/>
          <w:sz w:val="28"/>
          <w:szCs w:val="28"/>
        </w:rPr>
        <w:t xml:space="preserve">gdzie: </w:t>
      </w:r>
      <w:r w:rsidRPr="00890420">
        <w:rPr>
          <w:rFonts w:ascii="Times New Roman" w:hAnsi="Times New Roman" w:cs="Times New Roman"/>
          <w:position w:val="-16"/>
          <w:sz w:val="28"/>
          <w:szCs w:val="28"/>
        </w:rPr>
        <w:object w:dxaOrig="1579" w:dyaOrig="460" w14:anchorId="1DFCF5C2">
          <v:shape id="_x0000_i1119" type="#_x0000_t75" style="width:79pt;height:21.5pt" o:ole="">
            <v:imagedata r:id="rId202" o:title=""/>
          </v:shape>
          <o:OLEObject Type="Embed" ProgID="Equation.DSMT4" ShapeID="_x0000_i1119" DrawAspect="Content" ObjectID="_1799840690" r:id="rId203"/>
        </w:object>
      </w:r>
      <w:r>
        <w:rPr>
          <w:rFonts w:ascii="Times New Roman" w:hAnsi="Times New Roman" w:cs="Times New Roman"/>
          <w:sz w:val="28"/>
          <w:szCs w:val="28"/>
        </w:rPr>
        <w:t xml:space="preserve"> - średnia z próby dla N</w:t>
      </w:r>
      <w:r w:rsidRPr="00046ACF">
        <w:rPr>
          <w:rFonts w:ascii="Times New Roman" w:hAnsi="Times New Roman" w:cs="Times New Roman"/>
          <w:sz w:val="28"/>
          <w:szCs w:val="28"/>
          <w:vertAlign w:val="subscript"/>
        </w:rPr>
        <w:t>1</w:t>
      </w:r>
      <w:r>
        <w:rPr>
          <w:rFonts w:ascii="Times New Roman" w:hAnsi="Times New Roman" w:cs="Times New Roman"/>
          <w:sz w:val="28"/>
          <w:szCs w:val="28"/>
        </w:rPr>
        <w:t xml:space="preserve"> obserwacji w grupie badanej, gdy d = 1; </w:t>
      </w:r>
      <w:r w:rsidRPr="00FE5074">
        <w:rPr>
          <w:rFonts w:ascii="Times New Roman" w:hAnsi="Times New Roman" w:cs="Times New Roman"/>
          <w:position w:val="-16"/>
          <w:sz w:val="28"/>
          <w:szCs w:val="28"/>
        </w:rPr>
        <w:object w:dxaOrig="1640" w:dyaOrig="460" w14:anchorId="0C6CD677">
          <v:shape id="_x0000_i1120" type="#_x0000_t75" style="width:79.5pt;height:21.5pt" o:ole="">
            <v:imagedata r:id="rId204" o:title=""/>
          </v:shape>
          <o:OLEObject Type="Embed" ProgID="Equation.DSMT4" ShapeID="_x0000_i1120" DrawAspect="Content" ObjectID="_1799840691" r:id="rId205"/>
        </w:object>
      </w:r>
      <w:r>
        <w:rPr>
          <w:rFonts w:ascii="Times New Roman" w:hAnsi="Times New Roman" w:cs="Times New Roman"/>
          <w:sz w:val="28"/>
          <w:szCs w:val="28"/>
        </w:rPr>
        <w:t xml:space="preserve"> - średnia z próby dla N</w:t>
      </w:r>
      <w:r w:rsidRPr="00FE5074">
        <w:rPr>
          <w:rFonts w:ascii="Times New Roman" w:hAnsi="Times New Roman" w:cs="Times New Roman"/>
          <w:sz w:val="28"/>
          <w:szCs w:val="28"/>
          <w:vertAlign w:val="subscript"/>
        </w:rPr>
        <w:t>0</w:t>
      </w:r>
      <w:r>
        <w:rPr>
          <w:rFonts w:ascii="Times New Roman" w:hAnsi="Times New Roman" w:cs="Times New Roman"/>
          <w:sz w:val="28"/>
          <w:szCs w:val="28"/>
        </w:rPr>
        <w:t xml:space="preserve"> obserwacji, gdy d = 0. Stąd estymator b</w:t>
      </w:r>
      <w:r w:rsidRPr="00FE5074">
        <w:rPr>
          <w:rFonts w:ascii="Times New Roman" w:hAnsi="Times New Roman" w:cs="Times New Roman"/>
          <w:sz w:val="28"/>
          <w:szCs w:val="28"/>
          <w:vertAlign w:val="subscript"/>
        </w:rPr>
        <w:t>2</w:t>
      </w:r>
      <w:r>
        <w:rPr>
          <w:rFonts w:ascii="Times New Roman" w:hAnsi="Times New Roman" w:cs="Times New Roman"/>
          <w:sz w:val="28"/>
          <w:szCs w:val="28"/>
        </w:rPr>
        <w:t xml:space="preserve"> nazywany jest estymatorem różnicy (</w:t>
      </w:r>
      <w:r w:rsidRPr="00FE5074">
        <w:rPr>
          <w:rFonts w:ascii="Times New Roman" w:hAnsi="Times New Roman" w:cs="Times New Roman"/>
          <w:i/>
          <w:iCs/>
          <w:sz w:val="28"/>
          <w:szCs w:val="28"/>
        </w:rPr>
        <w:t>a difference estimator</w:t>
      </w:r>
      <w:r>
        <w:rPr>
          <w:rFonts w:ascii="Times New Roman" w:hAnsi="Times New Roman" w:cs="Times New Roman"/>
          <w:sz w:val="28"/>
          <w:szCs w:val="28"/>
        </w:rPr>
        <w:t>), żeby oddać fakt, iż jest on różnicą średnich dla grup badanej i kontrolnej.</w:t>
      </w:r>
    </w:p>
    <w:p w14:paraId="2D33D603" w14:textId="129069B4" w:rsidR="004339EA" w:rsidRDefault="004339EA" w:rsidP="004339EA">
      <w:pPr>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ATE i ATT dobrze oddają efekty interwencji, jeśli są one homogeniczne w przekroju jednostek z nich korzystających. W rzeczywistych jednak warunkach polityki ciągle się zmieniają, często w sposób przyrostowy, a jednostki znajdujące się w pobliżu warunków brzegowych w nich uczestnictwa mogą zmieniać swój status, także w sposób stochastyczny (Heckman i Vytlacil, 2001; Xie, 2013). Wówczas ww. kategorie mogą zaniżać lub zawyżać rzeczywiste efekty interwencji, a nawet mogą prowadzić do mylnych wniosków. </w:t>
      </w:r>
      <w:r w:rsidRPr="00DA6012">
        <w:rPr>
          <w:rFonts w:ascii="Times New Roman" w:hAnsi="Times New Roman" w:cs="Times New Roman"/>
          <w:sz w:val="28"/>
          <w:szCs w:val="28"/>
          <w:lang w:val="en-US"/>
        </w:rPr>
        <w:t>Uwaga ta także odnosi się do ATUT (</w:t>
      </w:r>
      <w:r w:rsidRPr="00DA6012">
        <w:rPr>
          <w:rFonts w:ascii="Times New Roman" w:hAnsi="Times New Roman" w:cs="Times New Roman"/>
          <w:i/>
          <w:iCs/>
          <w:sz w:val="28"/>
          <w:szCs w:val="28"/>
          <w:lang w:val="en-US"/>
        </w:rPr>
        <w:t>the average treatment effect on the untreated</w:t>
      </w:r>
      <w:r>
        <w:rPr>
          <w:rFonts w:ascii="Times New Roman" w:hAnsi="Times New Roman" w:cs="Times New Roman"/>
          <w:sz w:val="28"/>
          <w:szCs w:val="28"/>
          <w:lang w:val="en-US"/>
        </w:rPr>
        <w:t>). O</w:t>
      </w:r>
      <w:r w:rsidR="00A95600">
        <w:rPr>
          <w:rFonts w:ascii="Times New Roman" w:hAnsi="Times New Roman" w:cs="Times New Roman"/>
          <w:sz w:val="28"/>
          <w:szCs w:val="28"/>
          <w:lang w:val="en-US"/>
        </w:rPr>
        <w:t>r</w:t>
      </w:r>
      <w:r>
        <w:rPr>
          <w:rFonts w:ascii="Times New Roman" w:hAnsi="Times New Roman" w:cs="Times New Roman"/>
          <w:sz w:val="28"/>
          <w:szCs w:val="28"/>
          <w:lang w:val="en-US"/>
        </w:rPr>
        <w:t>eopoulos (2006) miarę tą zapisuje następująco:</w:t>
      </w:r>
    </w:p>
    <w:p w14:paraId="38A601F0" w14:textId="77777777" w:rsidR="004339EA" w:rsidRDefault="004339EA" w:rsidP="004339EA">
      <w:pPr>
        <w:ind w:firstLine="709"/>
        <w:jc w:val="center"/>
        <w:rPr>
          <w:rFonts w:ascii="Times New Roman" w:hAnsi="Times New Roman" w:cs="Times New Roman"/>
          <w:sz w:val="28"/>
          <w:szCs w:val="28"/>
          <w:lang w:val="en-US"/>
        </w:rPr>
      </w:pPr>
      <w:r w:rsidRPr="00DA6012">
        <w:rPr>
          <w:rFonts w:ascii="Times New Roman" w:hAnsi="Times New Roman" w:cs="Times New Roman"/>
          <w:position w:val="-40"/>
          <w:sz w:val="28"/>
          <w:szCs w:val="28"/>
          <w:lang w:val="en-US"/>
        </w:rPr>
        <w:object w:dxaOrig="5260" w:dyaOrig="920" w14:anchorId="5578CF73">
          <v:shape id="_x0000_i1121" type="#_x0000_t75" style="width:266.5pt;height:43pt" o:ole="">
            <v:imagedata r:id="rId206" o:title=""/>
          </v:shape>
          <o:OLEObject Type="Embed" ProgID="Equation.DSMT4" ShapeID="_x0000_i1121" DrawAspect="Content" ObjectID="_1799840692" r:id="rId207"/>
        </w:object>
      </w:r>
    </w:p>
    <w:p w14:paraId="02D534DE" w14:textId="77777777" w:rsidR="004339EA" w:rsidRDefault="004339EA" w:rsidP="004339EA">
      <w:pPr>
        <w:rPr>
          <w:rFonts w:ascii="Times New Roman" w:hAnsi="Times New Roman" w:cs="Times New Roman"/>
          <w:sz w:val="28"/>
          <w:szCs w:val="28"/>
        </w:rPr>
      </w:pPr>
      <w:r w:rsidRPr="002B5466">
        <w:rPr>
          <w:rFonts w:ascii="Times New Roman" w:hAnsi="Times New Roman" w:cs="Times New Roman"/>
          <w:sz w:val="28"/>
          <w:szCs w:val="28"/>
        </w:rPr>
        <w:t>gdzie: C – oznaczenie grupy kontrolnej;</w:t>
      </w:r>
      <w:r>
        <w:rPr>
          <w:rFonts w:ascii="Times New Roman" w:hAnsi="Times New Roman" w:cs="Times New Roman"/>
          <w:sz w:val="28"/>
          <w:szCs w:val="28"/>
        </w:rPr>
        <w:t xml:space="preserve"> E – operator wartości oczekiwanej; T – jednostki należące do grupy badanej;</w:t>
      </w:r>
    </w:p>
    <w:p w14:paraId="4859C9EB" w14:textId="77777777" w:rsidR="004339EA" w:rsidRDefault="004339EA" w:rsidP="004339EA">
      <w:pPr>
        <w:ind w:firstLine="708"/>
        <w:jc w:val="both"/>
        <w:rPr>
          <w:rFonts w:ascii="Times New Roman" w:hAnsi="Times New Roman" w:cs="Times New Roman"/>
          <w:sz w:val="28"/>
          <w:szCs w:val="28"/>
          <w:lang w:val="en-US"/>
        </w:rPr>
      </w:pPr>
      <w:r>
        <w:rPr>
          <w:rFonts w:ascii="Times New Roman" w:hAnsi="Times New Roman" w:cs="Times New Roman"/>
          <w:sz w:val="28"/>
          <w:szCs w:val="28"/>
        </w:rPr>
        <w:lastRenderedPageBreak/>
        <w:t xml:space="preserve">W powyższym kontekście badacze próbowali i wciąż usiłują znaleźć bardziej ogólne miary przeciętnych efektów interwencji. </w:t>
      </w:r>
      <w:r w:rsidRPr="002B5466">
        <w:rPr>
          <w:rFonts w:ascii="Times New Roman" w:hAnsi="Times New Roman" w:cs="Times New Roman"/>
          <w:sz w:val="28"/>
          <w:szCs w:val="28"/>
          <w:lang w:val="en-US"/>
        </w:rPr>
        <w:t>Crump i in. (2006) zaproponowali the optimally weighted average treatment effect (</w:t>
      </w:r>
      <w:r>
        <w:rPr>
          <w:rFonts w:ascii="Times New Roman" w:hAnsi="Times New Roman" w:cs="Times New Roman"/>
          <w:sz w:val="28"/>
          <w:szCs w:val="28"/>
          <w:lang w:val="en-US"/>
        </w:rPr>
        <w:t>OWATE), który Li i in. (2018) zmodyfikowali do the average treatment effect for the overlap population (ATO), Kennedy (2019) z kolei przekształcił w an incremental propensity score intervention (IPSI), a Zhou i Xie (2020) do obiegu naukowego wprowadzili termin the conditional treatment effect (CATE).</w:t>
      </w:r>
    </w:p>
    <w:p w14:paraId="37A408BA" w14:textId="77777777" w:rsidR="004339EA" w:rsidRDefault="004339EA" w:rsidP="004339EA">
      <w:pPr>
        <w:ind w:firstLine="708"/>
        <w:jc w:val="both"/>
        <w:rPr>
          <w:rFonts w:ascii="Times New Roman" w:hAnsi="Times New Roman" w:cs="Times New Roman"/>
          <w:sz w:val="28"/>
          <w:szCs w:val="28"/>
        </w:rPr>
      </w:pPr>
      <w:r w:rsidRPr="00B03230">
        <w:rPr>
          <w:rFonts w:ascii="Times New Roman" w:hAnsi="Times New Roman" w:cs="Times New Roman"/>
          <w:sz w:val="28"/>
          <w:szCs w:val="28"/>
        </w:rPr>
        <w:t>Jak już wskazywano, indywidualne efekty i</w:t>
      </w:r>
      <w:r>
        <w:rPr>
          <w:rFonts w:ascii="Times New Roman" w:hAnsi="Times New Roman" w:cs="Times New Roman"/>
          <w:sz w:val="28"/>
          <w:szCs w:val="28"/>
        </w:rPr>
        <w:t>nterwencji mogą być zróżnicowane. Ponadto nie wszystkie jednostki muszą przestrzegać reguł przydzielenia ich do grup badanej i kontrolnej. W takich to przypadkach, stosując koncepcję zmiennych instrumentalnych, badacze operują trzema efektami:</w:t>
      </w:r>
    </w:p>
    <w:p w14:paraId="2AEF9593" w14:textId="77777777" w:rsidR="004339EA" w:rsidRDefault="004339EA" w:rsidP="001D0854">
      <w:pPr>
        <w:pStyle w:val="Akapitzlist"/>
        <w:numPr>
          <w:ilvl w:val="0"/>
          <w:numId w:val="35"/>
        </w:numPr>
        <w:ind w:left="426" w:hanging="426"/>
        <w:jc w:val="both"/>
        <w:rPr>
          <w:rFonts w:ascii="Times New Roman" w:hAnsi="Times New Roman" w:cs="Times New Roman"/>
          <w:sz w:val="28"/>
          <w:szCs w:val="28"/>
        </w:rPr>
      </w:pPr>
      <w:r w:rsidRPr="00B03230">
        <w:rPr>
          <w:rFonts w:ascii="Times New Roman" w:hAnsi="Times New Roman" w:cs="Times New Roman"/>
          <w:sz w:val="28"/>
          <w:szCs w:val="28"/>
        </w:rPr>
        <w:t>The intention-to-treat (ITT), czyli różnicą, określaną</w:t>
      </w:r>
      <w:r>
        <w:rPr>
          <w:rFonts w:ascii="Times New Roman" w:hAnsi="Times New Roman" w:cs="Times New Roman"/>
          <w:sz w:val="28"/>
          <w:szCs w:val="28"/>
        </w:rPr>
        <w:t xml:space="preserve"> symbolem Δ, między wynikami jednostek należących do grupy badanej a jednostkami z grupy kontrolnej niezależnie od tego, czy te z grupy pierwszej aktualnie podlegają interwencji.</w:t>
      </w:r>
    </w:p>
    <w:p w14:paraId="4449DF40" w14:textId="77777777" w:rsidR="004339EA" w:rsidRDefault="004339EA" w:rsidP="001D0854">
      <w:pPr>
        <w:pStyle w:val="Akapitzlist"/>
        <w:numPr>
          <w:ilvl w:val="0"/>
          <w:numId w:val="35"/>
        </w:numPr>
        <w:ind w:left="426" w:hanging="426"/>
        <w:jc w:val="both"/>
        <w:rPr>
          <w:rFonts w:ascii="Times New Roman" w:hAnsi="Times New Roman" w:cs="Times New Roman"/>
          <w:sz w:val="28"/>
          <w:szCs w:val="28"/>
        </w:rPr>
      </w:pPr>
      <w:r w:rsidRPr="0071233F">
        <w:rPr>
          <w:rFonts w:ascii="Times New Roman" w:hAnsi="Times New Roman" w:cs="Times New Roman"/>
          <w:sz w:val="28"/>
          <w:szCs w:val="28"/>
        </w:rPr>
        <w:t xml:space="preserve">The treatment-on-the-treated (TOT), tj. </w:t>
      </w:r>
      <w:r>
        <w:rPr>
          <w:rFonts w:ascii="Times New Roman" w:hAnsi="Times New Roman" w:cs="Times New Roman"/>
          <w:sz w:val="28"/>
          <w:szCs w:val="28"/>
        </w:rPr>
        <w:t>r</w:t>
      </w:r>
      <w:r w:rsidRPr="007D3117">
        <w:rPr>
          <w:rFonts w:ascii="Times New Roman" w:hAnsi="Times New Roman" w:cs="Times New Roman"/>
          <w:sz w:val="28"/>
          <w:szCs w:val="28"/>
        </w:rPr>
        <w:t>óżnicą między jednostkami aktualnie uczestniczącymi w</w:t>
      </w:r>
      <w:r>
        <w:rPr>
          <w:rFonts w:ascii="Times New Roman" w:hAnsi="Times New Roman" w:cs="Times New Roman"/>
          <w:sz w:val="28"/>
          <w:szCs w:val="28"/>
        </w:rPr>
        <w:t xml:space="preserve"> interwencji a grupą kontrolną.</w:t>
      </w:r>
    </w:p>
    <w:p w14:paraId="61067297" w14:textId="77777777" w:rsidR="004339EA" w:rsidRDefault="004339EA" w:rsidP="001D0854">
      <w:pPr>
        <w:pStyle w:val="Akapitzlist"/>
        <w:numPr>
          <w:ilvl w:val="0"/>
          <w:numId w:val="35"/>
        </w:numPr>
        <w:ind w:left="426" w:hanging="426"/>
        <w:jc w:val="both"/>
        <w:rPr>
          <w:rFonts w:ascii="Times New Roman" w:hAnsi="Times New Roman" w:cs="Times New Roman"/>
          <w:sz w:val="28"/>
          <w:szCs w:val="28"/>
          <w:lang w:val="en-US"/>
        </w:rPr>
      </w:pPr>
      <w:r w:rsidRPr="007D3117">
        <w:rPr>
          <w:rFonts w:ascii="Times New Roman" w:hAnsi="Times New Roman" w:cs="Times New Roman"/>
          <w:sz w:val="28"/>
          <w:szCs w:val="28"/>
          <w:lang w:val="en-US"/>
        </w:rPr>
        <w:t>The local average treatment effect (</w:t>
      </w:r>
      <w:r>
        <w:rPr>
          <w:rFonts w:ascii="Times New Roman" w:hAnsi="Times New Roman" w:cs="Times New Roman"/>
          <w:sz w:val="28"/>
          <w:szCs w:val="28"/>
          <w:lang w:val="en-US"/>
        </w:rPr>
        <w:t>LATE) (Chetty i in., 2016).</w:t>
      </w:r>
    </w:p>
    <w:p w14:paraId="4F66EA9D" w14:textId="77777777" w:rsidR="004339EA" w:rsidRDefault="004339EA" w:rsidP="004339EA">
      <w:pPr>
        <w:jc w:val="both"/>
        <w:rPr>
          <w:rFonts w:ascii="Times New Roman" w:hAnsi="Times New Roman" w:cs="Times New Roman"/>
          <w:sz w:val="28"/>
          <w:szCs w:val="28"/>
        </w:rPr>
      </w:pPr>
      <w:r w:rsidRPr="007B4955">
        <w:rPr>
          <w:rFonts w:ascii="Times New Roman" w:hAnsi="Times New Roman" w:cs="Times New Roman"/>
          <w:sz w:val="28"/>
          <w:szCs w:val="28"/>
        </w:rPr>
        <w:t>Kluczowe są tu jednakże kategorie p</w:t>
      </w:r>
      <w:r>
        <w:rPr>
          <w:rFonts w:ascii="Times New Roman" w:hAnsi="Times New Roman" w:cs="Times New Roman"/>
          <w:sz w:val="28"/>
          <w:szCs w:val="28"/>
        </w:rPr>
        <w:t xml:space="preserve">ierwsza i trzecia. Dlatego poniżej przedstawia się tylko dla nich odpowiednie formuły. </w:t>
      </w:r>
    </w:p>
    <w:p w14:paraId="3A43681F" w14:textId="77777777" w:rsidR="004339EA" w:rsidRDefault="004339EA" w:rsidP="004339EA">
      <w:pPr>
        <w:ind w:firstLine="709"/>
        <w:jc w:val="both"/>
        <w:rPr>
          <w:rFonts w:ascii="Times New Roman" w:hAnsi="Times New Roman" w:cs="Times New Roman"/>
          <w:sz w:val="28"/>
          <w:szCs w:val="28"/>
        </w:rPr>
      </w:pPr>
      <w:r>
        <w:rPr>
          <w:rFonts w:ascii="Times New Roman" w:hAnsi="Times New Roman" w:cs="Times New Roman"/>
          <w:sz w:val="28"/>
          <w:szCs w:val="28"/>
        </w:rPr>
        <w:t>Oznaczmy aktualne uczestnictwo w interwencji przez T a przez Z zmienną, która będzie instrumentem. Stąd mamy:</w:t>
      </w:r>
    </w:p>
    <w:p w14:paraId="46FE33FE" w14:textId="77777777" w:rsidR="004339EA" w:rsidRDefault="004339EA" w:rsidP="004339EA">
      <w:pPr>
        <w:jc w:val="center"/>
        <w:rPr>
          <w:rFonts w:ascii="Times New Roman" w:hAnsi="Times New Roman" w:cs="Times New Roman"/>
          <w:sz w:val="28"/>
          <w:szCs w:val="28"/>
        </w:rPr>
      </w:pPr>
      <w:r w:rsidRPr="00E119CF">
        <w:rPr>
          <w:rFonts w:ascii="Times New Roman" w:hAnsi="Times New Roman" w:cs="Times New Roman"/>
          <w:position w:val="-16"/>
          <w:sz w:val="28"/>
          <w:szCs w:val="28"/>
        </w:rPr>
        <w:object w:dxaOrig="3120" w:dyaOrig="440" w14:anchorId="16BB5D26">
          <v:shape id="_x0000_i1122" type="#_x0000_t75" style="width:158.5pt;height:22pt" o:ole="">
            <v:imagedata r:id="rId208" o:title=""/>
          </v:shape>
          <o:OLEObject Type="Embed" ProgID="Equation.DSMT4" ShapeID="_x0000_i1122" DrawAspect="Content" ObjectID="_1799840693" r:id="rId209"/>
        </w:object>
      </w:r>
    </w:p>
    <w:p w14:paraId="211D8319" w14:textId="77777777" w:rsidR="004339EA" w:rsidRDefault="004339EA" w:rsidP="004339EA">
      <w:pPr>
        <w:rPr>
          <w:rFonts w:ascii="Times New Roman" w:hAnsi="Times New Roman" w:cs="Times New Roman"/>
          <w:sz w:val="28"/>
          <w:szCs w:val="28"/>
        </w:rPr>
      </w:pPr>
      <w:r>
        <w:rPr>
          <w:rFonts w:ascii="Times New Roman" w:hAnsi="Times New Roman" w:cs="Times New Roman"/>
          <w:sz w:val="28"/>
          <w:szCs w:val="28"/>
        </w:rPr>
        <w:t>Przyjmijmy dalej, że kowariancja Cov (z</w:t>
      </w:r>
      <w:r w:rsidRPr="00E119CF">
        <w:rPr>
          <w:rFonts w:ascii="Times New Roman" w:hAnsi="Times New Roman" w:cs="Times New Roman"/>
          <w:sz w:val="28"/>
          <w:szCs w:val="28"/>
          <w:vertAlign w:val="subscript"/>
        </w:rPr>
        <w:t>i</w:t>
      </w:r>
      <w:r>
        <w:rPr>
          <w:rFonts w:ascii="Times New Roman" w:hAnsi="Times New Roman" w:cs="Times New Roman"/>
          <w:sz w:val="28"/>
          <w:szCs w:val="28"/>
        </w:rPr>
        <w:t>, ɛ</w:t>
      </w:r>
      <w:r w:rsidRPr="00E119CF">
        <w:rPr>
          <w:rFonts w:ascii="Times New Roman" w:hAnsi="Times New Roman" w:cs="Times New Roman"/>
          <w:sz w:val="28"/>
          <w:szCs w:val="28"/>
          <w:vertAlign w:val="subscript"/>
        </w:rPr>
        <w:t>i</w:t>
      </w:r>
      <w:r>
        <w:rPr>
          <w:rFonts w:ascii="Times New Roman" w:hAnsi="Times New Roman" w:cs="Times New Roman"/>
          <w:sz w:val="28"/>
          <w:szCs w:val="28"/>
        </w:rPr>
        <w:t>) = 0.</w:t>
      </w:r>
    </w:p>
    <w:p w14:paraId="043B182C" w14:textId="77777777" w:rsidR="004339EA" w:rsidRDefault="004339EA" w:rsidP="004339EA">
      <w:pPr>
        <w:rPr>
          <w:rFonts w:ascii="Times New Roman" w:hAnsi="Times New Roman" w:cs="Times New Roman"/>
          <w:sz w:val="28"/>
          <w:szCs w:val="28"/>
        </w:rPr>
      </w:pPr>
      <w:r>
        <w:rPr>
          <w:rFonts w:ascii="Times New Roman" w:hAnsi="Times New Roman" w:cs="Times New Roman"/>
          <w:sz w:val="28"/>
          <w:szCs w:val="28"/>
        </w:rPr>
        <w:t>W ślad za tym wpływ zmiennej Z na wyniki można oszacować dla pewnej próby jako:</w:t>
      </w:r>
    </w:p>
    <w:p w14:paraId="6A1B0B66" w14:textId="77777777" w:rsidR="004339EA" w:rsidRDefault="004339EA" w:rsidP="004339EA">
      <w:pPr>
        <w:jc w:val="center"/>
        <w:rPr>
          <w:rFonts w:ascii="Times New Roman" w:hAnsi="Times New Roman" w:cs="Times New Roman"/>
          <w:sz w:val="28"/>
          <w:szCs w:val="28"/>
        </w:rPr>
      </w:pPr>
      <w:r w:rsidRPr="00E119CF">
        <w:rPr>
          <w:rFonts w:ascii="Times New Roman" w:hAnsi="Times New Roman" w:cs="Times New Roman"/>
          <w:position w:val="-90"/>
          <w:sz w:val="28"/>
          <w:szCs w:val="28"/>
        </w:rPr>
        <w:object w:dxaOrig="3180" w:dyaOrig="1560" w14:anchorId="2CF143A3">
          <v:shape id="_x0000_i1123" type="#_x0000_t75" style="width:158.5pt;height:79pt" o:ole="">
            <v:imagedata r:id="rId210" o:title=""/>
          </v:shape>
          <o:OLEObject Type="Embed" ProgID="Equation.DSMT4" ShapeID="_x0000_i1123" DrawAspect="Content" ObjectID="_1799840694" r:id="rId211"/>
        </w:object>
      </w:r>
    </w:p>
    <w:p w14:paraId="2A9149D5" w14:textId="77777777" w:rsidR="004339EA" w:rsidRDefault="004339EA" w:rsidP="004339EA">
      <w:pPr>
        <w:rPr>
          <w:rFonts w:ascii="Times New Roman" w:hAnsi="Times New Roman" w:cs="Times New Roman"/>
          <w:sz w:val="28"/>
          <w:szCs w:val="28"/>
        </w:rPr>
      </w:pPr>
      <w:r>
        <w:rPr>
          <w:rFonts w:ascii="Times New Roman" w:hAnsi="Times New Roman" w:cs="Times New Roman"/>
          <w:sz w:val="28"/>
          <w:szCs w:val="28"/>
        </w:rPr>
        <w:t>Możemy w końcu oszacować LATE:</w:t>
      </w:r>
    </w:p>
    <w:p w14:paraId="22CA3AEF" w14:textId="77777777" w:rsidR="004339EA" w:rsidRDefault="004339EA" w:rsidP="004339EA">
      <w:pPr>
        <w:tabs>
          <w:tab w:val="left" w:pos="3193"/>
        </w:tabs>
        <w:rPr>
          <w:rFonts w:ascii="Times New Roman" w:hAnsi="Times New Roman" w:cs="Times New Roman"/>
          <w:sz w:val="28"/>
          <w:szCs w:val="28"/>
        </w:rPr>
      </w:pPr>
      <w:r>
        <w:rPr>
          <w:rFonts w:ascii="Times New Roman" w:hAnsi="Times New Roman" w:cs="Times New Roman"/>
          <w:sz w:val="28"/>
          <w:szCs w:val="28"/>
        </w:rPr>
        <w:lastRenderedPageBreak/>
        <w:tab/>
      </w:r>
      <w:r w:rsidRPr="00664EF7">
        <w:rPr>
          <w:rFonts w:ascii="Times New Roman" w:hAnsi="Times New Roman" w:cs="Times New Roman"/>
          <w:position w:val="-32"/>
          <w:sz w:val="28"/>
          <w:szCs w:val="28"/>
        </w:rPr>
        <w:object w:dxaOrig="2400" w:dyaOrig="740" w14:anchorId="3EBC8CF8">
          <v:shape id="_x0000_i1124" type="#_x0000_t75" style="width:123pt;height:36.5pt" o:ole="">
            <v:imagedata r:id="rId212" o:title=""/>
          </v:shape>
          <o:OLEObject Type="Embed" ProgID="Equation.DSMT4" ShapeID="_x0000_i1124" DrawAspect="Content" ObjectID="_1799840695" r:id="rId213"/>
        </w:object>
      </w:r>
    </w:p>
    <w:p w14:paraId="4343B266" w14:textId="77777777" w:rsidR="004339EA" w:rsidRDefault="004339EA" w:rsidP="004339EA">
      <w:pPr>
        <w:rPr>
          <w:rFonts w:ascii="Times New Roman" w:hAnsi="Times New Roman" w:cs="Times New Roman"/>
          <w:sz w:val="28"/>
          <w:szCs w:val="28"/>
        </w:rPr>
      </w:pPr>
      <w:r>
        <w:rPr>
          <w:rFonts w:ascii="Times New Roman" w:hAnsi="Times New Roman" w:cs="Times New Roman"/>
          <w:sz w:val="28"/>
          <w:szCs w:val="28"/>
        </w:rPr>
        <w:t>który odnosi się tylko do populacji jednostek stosujących się do reguł interwencji.</w:t>
      </w:r>
    </w:p>
    <w:p w14:paraId="171FC926" w14:textId="77777777" w:rsidR="004339EA" w:rsidRDefault="004339EA" w:rsidP="004339EA">
      <w:pPr>
        <w:ind w:firstLine="708"/>
        <w:jc w:val="both"/>
        <w:rPr>
          <w:rFonts w:ascii="Times New Roman" w:hAnsi="Times New Roman" w:cs="Times New Roman"/>
          <w:sz w:val="28"/>
          <w:szCs w:val="28"/>
        </w:rPr>
      </w:pPr>
      <w:r>
        <w:rPr>
          <w:rFonts w:ascii="Times New Roman" w:hAnsi="Times New Roman" w:cs="Times New Roman"/>
          <w:sz w:val="28"/>
          <w:szCs w:val="28"/>
        </w:rPr>
        <w:t xml:space="preserve">Technika zmiennych instrumentalnych jest także wykorzystywana do konstrukcji the marginal treatment effect (MTE) zaproponowanego przez Heckmana i </w:t>
      </w:r>
      <w:bookmarkStart w:id="16" w:name="_Hlk178060103"/>
      <w:r>
        <w:rPr>
          <w:rFonts w:ascii="Times New Roman" w:hAnsi="Times New Roman" w:cs="Times New Roman"/>
          <w:sz w:val="28"/>
          <w:szCs w:val="28"/>
        </w:rPr>
        <w:t>Vytatila</w:t>
      </w:r>
      <w:bookmarkEnd w:id="16"/>
      <w:r>
        <w:rPr>
          <w:rFonts w:ascii="Times New Roman" w:hAnsi="Times New Roman" w:cs="Times New Roman"/>
          <w:sz w:val="28"/>
          <w:szCs w:val="28"/>
        </w:rPr>
        <w:t xml:space="preserve"> (1999, 2001). Później przybliży się jednak tą koncepcje, korzystając z ujęcia Zhou i Opacica (2022), którzy równocześnie odwołują się do modeli wyboru dyskretnego A.D. Roya rozkładu zysków z 1951 r. i pracy Heckmana i Vytatila z 2005 r., w której przedstawiono zastosowania równań strukturalnych w ekonometrycznym szacowaniu efektów polityki. Przyjmijmy teraz, że przez A rozumieć będziemy wybór binarny, przez Y(</w:t>
      </w:r>
      <w:r w:rsidRPr="009D1699">
        <w:rPr>
          <w:rFonts w:ascii="Times New Roman" w:hAnsi="Times New Roman" w:cs="Times New Roman"/>
          <w:i/>
          <w:iCs/>
          <w:sz w:val="28"/>
          <w:szCs w:val="28"/>
        </w:rPr>
        <w:t>a</w:t>
      </w:r>
      <w:r>
        <w:rPr>
          <w:rFonts w:ascii="Times New Roman" w:hAnsi="Times New Roman" w:cs="Times New Roman"/>
          <w:sz w:val="28"/>
          <w:szCs w:val="28"/>
        </w:rPr>
        <w:t xml:space="preserve">) – wynik potencjalny przy statusie wyboru </w:t>
      </w:r>
      <w:r w:rsidRPr="0071233F">
        <w:rPr>
          <w:rFonts w:ascii="Times New Roman" w:hAnsi="Times New Roman" w:cs="Times New Roman"/>
          <w:i/>
          <w:iCs/>
          <w:sz w:val="28"/>
          <w:szCs w:val="28"/>
        </w:rPr>
        <w:t>a</w:t>
      </w:r>
      <w:r>
        <w:rPr>
          <w:rFonts w:ascii="Times New Roman" w:hAnsi="Times New Roman" w:cs="Times New Roman"/>
          <w:sz w:val="28"/>
          <w:szCs w:val="28"/>
        </w:rPr>
        <w:t>, i przez X- wektor zmiennych niezależnych przed interwencją. Możemy obecnie zapisać dwa równania wyników potencjalnych:</w:t>
      </w:r>
    </w:p>
    <w:p w14:paraId="39748555" w14:textId="77777777" w:rsidR="004339EA" w:rsidRDefault="004339EA" w:rsidP="004339EA">
      <w:pPr>
        <w:tabs>
          <w:tab w:val="left" w:pos="3631"/>
        </w:tabs>
        <w:rPr>
          <w:rFonts w:ascii="Times New Roman" w:hAnsi="Times New Roman" w:cs="Times New Roman"/>
          <w:sz w:val="28"/>
          <w:szCs w:val="28"/>
        </w:rPr>
      </w:pPr>
      <w:r>
        <w:rPr>
          <w:rFonts w:ascii="Times New Roman" w:hAnsi="Times New Roman" w:cs="Times New Roman"/>
          <w:sz w:val="28"/>
          <w:szCs w:val="28"/>
        </w:rPr>
        <w:tab/>
      </w:r>
      <w:r w:rsidRPr="00A06FB4">
        <w:rPr>
          <w:rFonts w:ascii="Times New Roman" w:hAnsi="Times New Roman" w:cs="Times New Roman"/>
          <w:position w:val="-34"/>
          <w:sz w:val="28"/>
          <w:szCs w:val="28"/>
        </w:rPr>
        <w:object w:dxaOrig="2140" w:dyaOrig="800" w14:anchorId="6278EE3E">
          <v:shape id="_x0000_i1125" type="#_x0000_t75" style="width:104pt;height:43pt" o:ole="">
            <v:imagedata r:id="rId214" o:title=""/>
          </v:shape>
          <o:OLEObject Type="Embed" ProgID="Equation.DSMT4" ShapeID="_x0000_i1125" DrawAspect="Content" ObjectID="_1799840696" r:id="rId215"/>
        </w:object>
      </w:r>
    </w:p>
    <w:p w14:paraId="462BCF24" w14:textId="77777777" w:rsidR="004339EA" w:rsidRDefault="004339EA" w:rsidP="004339EA">
      <w:pPr>
        <w:tabs>
          <w:tab w:val="left" w:pos="1227"/>
        </w:tabs>
        <w:jc w:val="both"/>
        <w:rPr>
          <w:rFonts w:ascii="Times New Roman" w:hAnsi="Times New Roman" w:cs="Times New Roman"/>
          <w:sz w:val="28"/>
          <w:szCs w:val="28"/>
        </w:rPr>
      </w:pPr>
      <w:r>
        <w:rPr>
          <w:rFonts w:ascii="Times New Roman" w:hAnsi="Times New Roman" w:cs="Times New Roman"/>
          <w:sz w:val="28"/>
          <w:szCs w:val="28"/>
        </w:rPr>
        <w:t xml:space="preserve">gdzie: </w:t>
      </w:r>
      <w:r w:rsidRPr="00A06FB4">
        <w:rPr>
          <w:rFonts w:ascii="Times New Roman" w:hAnsi="Times New Roman" w:cs="Times New Roman"/>
          <w:position w:val="-16"/>
          <w:sz w:val="28"/>
          <w:szCs w:val="28"/>
        </w:rPr>
        <w:object w:dxaOrig="4260" w:dyaOrig="440" w14:anchorId="5458ACCB">
          <v:shape id="_x0000_i1126" type="#_x0000_t75" style="width:3in;height:22pt" o:ole="">
            <v:imagedata r:id="rId216" o:title=""/>
          </v:shape>
          <o:OLEObject Type="Embed" ProgID="Equation.DSMT4" ShapeID="_x0000_i1126" DrawAspect="Content" ObjectID="_1799840697" r:id="rId217"/>
        </w:object>
      </w:r>
      <w:r>
        <w:rPr>
          <w:rFonts w:ascii="Times New Roman" w:hAnsi="Times New Roman" w:cs="Times New Roman"/>
          <w:sz w:val="28"/>
          <w:szCs w:val="28"/>
        </w:rPr>
        <w:t>; ɛ - błąd odzwierciedlający czynniki nieobserwowalne dla wyniku (Y(0)); μ – błąd z tytułu czynników nieobserwowalnych dla efektu interwencji (Y(1)-Y(0). Obydwa błędy są statystycznie niezależne od X. Wynik obserwowany Y można ustalić za pomocą regresji przełącznikowej:</w:t>
      </w:r>
    </w:p>
    <w:p w14:paraId="19B679F0" w14:textId="77777777" w:rsidR="004339EA" w:rsidRDefault="004339EA" w:rsidP="004339EA">
      <w:pPr>
        <w:tabs>
          <w:tab w:val="left" w:pos="3218"/>
        </w:tabs>
        <w:rPr>
          <w:rFonts w:ascii="Times New Roman" w:hAnsi="Times New Roman" w:cs="Times New Roman"/>
          <w:sz w:val="28"/>
          <w:szCs w:val="28"/>
        </w:rPr>
      </w:pPr>
      <w:r>
        <w:rPr>
          <w:rFonts w:ascii="Times New Roman" w:hAnsi="Times New Roman" w:cs="Times New Roman"/>
          <w:sz w:val="28"/>
          <w:szCs w:val="28"/>
        </w:rPr>
        <w:tab/>
      </w:r>
      <w:r w:rsidRPr="007B3C81">
        <w:rPr>
          <w:rFonts w:ascii="Times New Roman" w:hAnsi="Times New Roman" w:cs="Times New Roman"/>
          <w:position w:val="-36"/>
          <w:sz w:val="28"/>
          <w:szCs w:val="28"/>
        </w:rPr>
        <w:object w:dxaOrig="3920" w:dyaOrig="840" w14:anchorId="68E9D3A4">
          <v:shape id="_x0000_i1127" type="#_x0000_t75" style="width:194.5pt;height:43pt" o:ole="">
            <v:imagedata r:id="rId218" o:title=""/>
          </v:shape>
          <o:OLEObject Type="Embed" ProgID="Equation.DSMT4" ShapeID="_x0000_i1127" DrawAspect="Content" ObjectID="_1799840698" r:id="rId219"/>
        </w:object>
      </w:r>
    </w:p>
    <w:p w14:paraId="0870A835" w14:textId="007F672D" w:rsidR="004339EA" w:rsidRDefault="004339EA" w:rsidP="004339EA">
      <w:pPr>
        <w:ind w:firstLine="709"/>
        <w:jc w:val="both"/>
        <w:rPr>
          <w:rFonts w:ascii="Times New Roman" w:hAnsi="Times New Roman" w:cs="Times New Roman"/>
          <w:sz w:val="28"/>
          <w:szCs w:val="28"/>
        </w:rPr>
      </w:pPr>
      <w:r>
        <w:rPr>
          <w:rFonts w:ascii="Times New Roman" w:hAnsi="Times New Roman" w:cs="Times New Roman"/>
          <w:sz w:val="28"/>
          <w:szCs w:val="28"/>
        </w:rPr>
        <w:t xml:space="preserve">Proces przydzielania jednostek do grupy badanej Heckman i </w:t>
      </w:r>
      <w:r w:rsidR="00200606">
        <w:rPr>
          <w:rFonts w:ascii="Times New Roman" w:hAnsi="Times New Roman" w:cs="Times New Roman"/>
          <w:sz w:val="28"/>
          <w:szCs w:val="28"/>
        </w:rPr>
        <w:t>V</w:t>
      </w:r>
      <w:r>
        <w:rPr>
          <w:rFonts w:ascii="Times New Roman" w:hAnsi="Times New Roman" w:cs="Times New Roman"/>
          <w:sz w:val="28"/>
          <w:szCs w:val="28"/>
        </w:rPr>
        <w:t>ytlatil realizują za pomocą modelu ukrytego indeksu, oznaczając przez I</w:t>
      </w:r>
      <w:r w:rsidRPr="007B3C81">
        <w:rPr>
          <w:rFonts w:ascii="Times New Roman" w:hAnsi="Times New Roman" w:cs="Times New Roman"/>
          <w:sz w:val="28"/>
          <w:szCs w:val="28"/>
          <w:vertAlign w:val="subscript"/>
        </w:rPr>
        <w:t>A</w:t>
      </w:r>
      <w:r>
        <w:rPr>
          <w:rFonts w:ascii="Times New Roman" w:hAnsi="Times New Roman" w:cs="Times New Roman"/>
          <w:sz w:val="28"/>
          <w:szCs w:val="28"/>
        </w:rPr>
        <w:t xml:space="preserve"> ukrytą tendencję do uczestnictwa w interwencji, która zależy od zmiennych (obserwowanych) Z i nieobserwowanych V:</w:t>
      </w:r>
    </w:p>
    <w:p w14:paraId="64F1BFAF" w14:textId="77777777" w:rsidR="004339EA" w:rsidRDefault="004339EA" w:rsidP="004339EA">
      <w:pPr>
        <w:jc w:val="center"/>
        <w:rPr>
          <w:rFonts w:ascii="Times New Roman" w:hAnsi="Times New Roman" w:cs="Times New Roman"/>
          <w:sz w:val="28"/>
          <w:szCs w:val="28"/>
        </w:rPr>
      </w:pPr>
      <w:r w:rsidRPr="007212BF">
        <w:rPr>
          <w:rFonts w:ascii="Times New Roman" w:hAnsi="Times New Roman" w:cs="Times New Roman"/>
          <w:position w:val="-34"/>
          <w:sz w:val="28"/>
          <w:szCs w:val="28"/>
        </w:rPr>
        <w:object w:dxaOrig="1600" w:dyaOrig="800" w14:anchorId="6D6929FE">
          <v:shape id="_x0000_i1128" type="#_x0000_t75" style="width:79.5pt;height:43pt" o:ole="">
            <v:imagedata r:id="rId220" o:title=""/>
          </v:shape>
          <o:OLEObject Type="Embed" ProgID="Equation.DSMT4" ShapeID="_x0000_i1128" DrawAspect="Content" ObjectID="_1799840699" r:id="rId221"/>
        </w:object>
      </w:r>
    </w:p>
    <w:p w14:paraId="0636E10A" w14:textId="77777777" w:rsidR="004339EA" w:rsidRDefault="004339EA" w:rsidP="004339EA">
      <w:pPr>
        <w:tabs>
          <w:tab w:val="left" w:pos="977"/>
        </w:tabs>
        <w:jc w:val="both"/>
        <w:rPr>
          <w:rFonts w:ascii="Times New Roman" w:hAnsi="Times New Roman" w:cs="Times New Roman"/>
          <w:sz w:val="28"/>
          <w:szCs w:val="28"/>
        </w:rPr>
      </w:pPr>
      <w:r>
        <w:rPr>
          <w:rFonts w:ascii="Times New Roman" w:hAnsi="Times New Roman" w:cs="Times New Roman"/>
          <w:sz w:val="28"/>
          <w:szCs w:val="28"/>
        </w:rPr>
        <w:t>gdzie: μ</w:t>
      </w:r>
      <w:r w:rsidRPr="007212BF">
        <w:rPr>
          <w:rFonts w:ascii="Times New Roman" w:hAnsi="Times New Roman" w:cs="Times New Roman"/>
          <w:sz w:val="28"/>
          <w:szCs w:val="28"/>
          <w:vertAlign w:val="subscript"/>
        </w:rPr>
        <w:t>A</w:t>
      </w:r>
      <w:r>
        <w:rPr>
          <w:rFonts w:ascii="Times New Roman" w:hAnsi="Times New Roman" w:cs="Times New Roman"/>
          <w:sz w:val="28"/>
          <w:szCs w:val="28"/>
        </w:rPr>
        <w:t xml:space="preserve">(Z) – niewyspecyfikowana funkcja; V – zmienna ukryta reprezentująca indywidualny opór przed uczestnictwem w interwencji, mająca rozkład ciągły ściśle rosnący; wektor Z – obejmuje komponenty wektora X oraz pewnych </w:t>
      </w:r>
      <w:r>
        <w:rPr>
          <w:rFonts w:ascii="Times New Roman" w:hAnsi="Times New Roman" w:cs="Times New Roman"/>
          <w:sz w:val="28"/>
          <w:szCs w:val="28"/>
        </w:rPr>
        <w:lastRenderedPageBreak/>
        <w:t>zmiennych instrumentalnych (Z(x)), tj. te, które wpływają na status A; przyjęto ponadto, że co najmniej jeden komponent Z\X będzie ciągły.</w:t>
      </w:r>
    </w:p>
    <w:p w14:paraId="0263F68E" w14:textId="77777777" w:rsidR="004339EA" w:rsidRDefault="004339EA" w:rsidP="004339EA">
      <w:pPr>
        <w:tabs>
          <w:tab w:val="left" w:pos="977"/>
        </w:tabs>
        <w:ind w:firstLine="709"/>
        <w:jc w:val="both"/>
        <w:rPr>
          <w:rFonts w:ascii="Times New Roman" w:hAnsi="Times New Roman" w:cs="Times New Roman"/>
          <w:sz w:val="28"/>
          <w:szCs w:val="28"/>
        </w:rPr>
      </w:pPr>
      <w:r>
        <w:rPr>
          <w:rFonts w:ascii="Times New Roman" w:hAnsi="Times New Roman" w:cs="Times New Roman"/>
          <w:sz w:val="28"/>
          <w:szCs w:val="28"/>
        </w:rPr>
        <w:t>Przekształcając odpowiednio równania dotyczące przydzielania jednostek do grupy badanej, Zhou i Opacić definiują następująco MTE:</w:t>
      </w:r>
    </w:p>
    <w:p w14:paraId="3B1C5175" w14:textId="77777777" w:rsidR="004339EA" w:rsidRDefault="004339EA" w:rsidP="004339EA">
      <w:pPr>
        <w:jc w:val="center"/>
        <w:rPr>
          <w:rFonts w:ascii="Times New Roman" w:hAnsi="Times New Roman" w:cs="Times New Roman"/>
          <w:sz w:val="28"/>
          <w:szCs w:val="28"/>
        </w:rPr>
      </w:pPr>
      <w:r w:rsidRPr="00DD0917">
        <w:rPr>
          <w:rFonts w:ascii="Times New Roman" w:hAnsi="Times New Roman" w:cs="Times New Roman"/>
          <w:position w:val="-40"/>
          <w:sz w:val="28"/>
          <w:szCs w:val="28"/>
        </w:rPr>
        <w:object w:dxaOrig="3400" w:dyaOrig="920" w14:anchorId="767CF94B">
          <v:shape id="_x0000_i1129" type="#_x0000_t75" style="width:172.5pt;height:43pt" o:ole="">
            <v:imagedata r:id="rId222" o:title=""/>
          </v:shape>
          <o:OLEObject Type="Embed" ProgID="Equation.DSMT4" ShapeID="_x0000_i1129" DrawAspect="Content" ObjectID="_1799840700" r:id="rId223"/>
        </w:object>
      </w:r>
    </w:p>
    <w:p w14:paraId="486DD496" w14:textId="77777777" w:rsidR="004339EA" w:rsidRDefault="004339EA" w:rsidP="004339EA">
      <w:pPr>
        <w:jc w:val="both"/>
        <w:rPr>
          <w:rFonts w:ascii="Times New Roman" w:hAnsi="Times New Roman" w:cs="Times New Roman"/>
          <w:sz w:val="28"/>
          <w:szCs w:val="28"/>
        </w:rPr>
      </w:pPr>
      <w:r>
        <w:rPr>
          <w:rFonts w:ascii="Times New Roman" w:hAnsi="Times New Roman" w:cs="Times New Roman"/>
          <w:sz w:val="28"/>
          <w:szCs w:val="28"/>
        </w:rPr>
        <w:t xml:space="preserve">gdzie: </w:t>
      </w:r>
      <w:r w:rsidRPr="00DD0917">
        <w:rPr>
          <w:rFonts w:ascii="Times New Roman" w:hAnsi="Times New Roman" w:cs="Times New Roman"/>
          <w:position w:val="-16"/>
          <w:sz w:val="28"/>
          <w:szCs w:val="28"/>
        </w:rPr>
        <w:object w:dxaOrig="740" w:dyaOrig="420" w14:anchorId="3374B48C">
          <v:shape id="_x0000_i1130" type="#_x0000_t75" style="width:36.5pt;height:22pt" o:ole="">
            <v:imagedata r:id="rId224" o:title=""/>
          </v:shape>
          <o:OLEObject Type="Embed" ProgID="Equation.DSMT4" ShapeID="_x0000_i1130" DrawAspect="Content" ObjectID="_1799840701" r:id="rId225"/>
        </w:object>
      </w:r>
      <w:r>
        <w:rPr>
          <w:rFonts w:ascii="Times New Roman" w:hAnsi="Times New Roman" w:cs="Times New Roman"/>
          <w:sz w:val="28"/>
          <w:szCs w:val="28"/>
        </w:rPr>
        <w:t xml:space="preserve"> – dystrybuanta rozkładu zmiennej V dla ustalonego X; </w:t>
      </w:r>
      <w:r w:rsidRPr="00BA5715">
        <w:rPr>
          <w:rFonts w:ascii="Times New Roman" w:hAnsi="Times New Roman" w:cs="Times New Roman"/>
          <w:position w:val="-16"/>
          <w:sz w:val="28"/>
          <w:szCs w:val="28"/>
        </w:rPr>
        <w:object w:dxaOrig="3500" w:dyaOrig="440" w14:anchorId="1F3F33E8">
          <v:shape id="_x0000_i1131" type="#_x0000_t75" style="width:172.5pt;height:22pt" o:ole="">
            <v:imagedata r:id="rId226" o:title=""/>
          </v:shape>
          <o:OLEObject Type="Embed" ProgID="Equation.DSMT4" ShapeID="_x0000_i1131" DrawAspect="Content" ObjectID="_1799840702" r:id="rId227"/>
        </w:object>
      </w:r>
      <w:r>
        <w:rPr>
          <w:rFonts w:ascii="Times New Roman" w:hAnsi="Times New Roman" w:cs="Times New Roman"/>
          <w:sz w:val="28"/>
          <w:szCs w:val="28"/>
        </w:rPr>
        <w:t xml:space="preserve"> - </w:t>
      </w:r>
      <w:r w:rsidRPr="00BA5715">
        <w:rPr>
          <w:rFonts w:ascii="Times New Roman" w:hAnsi="Times New Roman" w:cs="Times New Roman"/>
          <w:i/>
          <w:iCs/>
          <w:sz w:val="28"/>
          <w:szCs w:val="28"/>
        </w:rPr>
        <w:t>the propensity score</w:t>
      </w:r>
      <w:r>
        <w:rPr>
          <w:rFonts w:ascii="Times New Roman" w:hAnsi="Times New Roman" w:cs="Times New Roman"/>
          <w:sz w:val="28"/>
          <w:szCs w:val="28"/>
        </w:rPr>
        <w:t xml:space="preserve"> dla zadanego Z.</w:t>
      </w:r>
    </w:p>
    <w:p w14:paraId="38816B97" w14:textId="77777777" w:rsidR="004339EA" w:rsidRDefault="004339EA" w:rsidP="004339EA">
      <w:pPr>
        <w:rPr>
          <w:rFonts w:ascii="Times New Roman" w:hAnsi="Times New Roman" w:cs="Times New Roman"/>
          <w:sz w:val="28"/>
          <w:szCs w:val="28"/>
        </w:rPr>
      </w:pPr>
      <w:r>
        <w:rPr>
          <w:rFonts w:ascii="Times New Roman" w:hAnsi="Times New Roman" w:cs="Times New Roman"/>
          <w:sz w:val="28"/>
          <w:szCs w:val="28"/>
        </w:rPr>
        <w:t xml:space="preserve">Na mocy definicji wynika, że </w:t>
      </w:r>
      <w:r w:rsidRPr="00FA6BCB">
        <w:rPr>
          <w:rFonts w:ascii="Times New Roman" w:hAnsi="Times New Roman" w:cs="Times New Roman"/>
          <w:position w:val="-16"/>
          <w:sz w:val="28"/>
          <w:szCs w:val="28"/>
        </w:rPr>
        <w:object w:dxaOrig="1280" w:dyaOrig="420" w14:anchorId="56B704FA">
          <v:shape id="_x0000_i1132" type="#_x0000_t75" style="width:65pt;height:22pt" o:ole="">
            <v:imagedata r:id="rId228" o:title=""/>
          </v:shape>
          <o:OLEObject Type="Embed" ProgID="Equation.DSMT4" ShapeID="_x0000_i1132" DrawAspect="Content" ObjectID="_1799840703" r:id="rId229"/>
        </w:object>
      </w:r>
      <w:r>
        <w:rPr>
          <w:rFonts w:ascii="Times New Roman" w:hAnsi="Times New Roman" w:cs="Times New Roman"/>
          <w:sz w:val="28"/>
          <w:szCs w:val="28"/>
        </w:rPr>
        <w:t xml:space="preserve"> ma jednolity standardowy rozkład. Z kolei Z ma własność, że status wyboru zależy tylko od π(Z).</w:t>
      </w:r>
    </w:p>
    <w:p w14:paraId="58094550" w14:textId="77777777" w:rsidR="004339EA" w:rsidRDefault="004339EA" w:rsidP="004339EA">
      <w:pPr>
        <w:ind w:firstLine="708"/>
        <w:jc w:val="both"/>
        <w:rPr>
          <w:rFonts w:ascii="Times New Roman" w:hAnsi="Times New Roman" w:cs="Times New Roman"/>
          <w:sz w:val="28"/>
          <w:szCs w:val="28"/>
        </w:rPr>
      </w:pPr>
      <w:r>
        <w:rPr>
          <w:rFonts w:ascii="Times New Roman" w:hAnsi="Times New Roman" w:cs="Times New Roman"/>
          <w:sz w:val="28"/>
          <w:szCs w:val="28"/>
        </w:rPr>
        <w:t>Następnie Zhou i Opacić analizują zależność MTE w konwencji wartości oczekiwanej efektu uczestnictwa jednostek w interwencji dla uwarunkowanych przed nią zmiennych niezależnych X = x oraz znormalizowanej zmiennej ukrytej U = u. Taki efekt krańcowy oznaczyli oni przez MTE (x,u). Z racji tego, że U jest dystrybuantą zmiennej V, wynika, iż zmienność MTE (x,u) kształtowana jest przez parametr u, który pokazuje zmiany efektu interwencji dla kwantyli nieobserwowanego oporu przed uczestniczeniem w interwencji dla ustalonego X.  Rozwiązaniem alternatywnym jest interpretowanie MTE (x,u) jako średniego efektu interwencji dla jednostek, dla których zachodzi, że X = x oraz π(Z) = u. Innymi słowy, są to jednostki obojętne w sensie uczestniczenia lub nieuczestniczenia w interwencji. Co równie ważne to to, że MTE (x,u) pozwala oszacować także ATE, ATT oraz ATU poprzez proces ważenia x oraz u.</w:t>
      </w:r>
    </w:p>
    <w:p w14:paraId="76B4F682" w14:textId="77777777" w:rsidR="004339EA" w:rsidRDefault="004339EA" w:rsidP="004339EA">
      <w:pPr>
        <w:ind w:firstLine="708"/>
        <w:jc w:val="both"/>
        <w:rPr>
          <w:rFonts w:ascii="Times New Roman" w:hAnsi="Times New Roman" w:cs="Times New Roman"/>
          <w:sz w:val="28"/>
          <w:szCs w:val="28"/>
        </w:rPr>
      </w:pPr>
      <w:r>
        <w:rPr>
          <w:rFonts w:ascii="Times New Roman" w:hAnsi="Times New Roman" w:cs="Times New Roman"/>
          <w:sz w:val="28"/>
          <w:szCs w:val="28"/>
        </w:rPr>
        <w:t>Zhou i Opacić przedstawiają jeszcze możliwość identyfikacji MTE (x,u) za pomocą lokalnych zmiennych instrumentalnych (</w:t>
      </w:r>
      <w:r w:rsidRPr="00050915">
        <w:rPr>
          <w:rFonts w:ascii="Times New Roman" w:hAnsi="Times New Roman" w:cs="Times New Roman"/>
          <w:i/>
          <w:iCs/>
          <w:sz w:val="28"/>
          <w:szCs w:val="28"/>
        </w:rPr>
        <w:t>the local instrumental variable</w:t>
      </w:r>
      <w:r>
        <w:rPr>
          <w:rFonts w:ascii="Times New Roman" w:hAnsi="Times New Roman" w:cs="Times New Roman"/>
          <w:sz w:val="28"/>
          <w:szCs w:val="28"/>
        </w:rPr>
        <w:t>s, LIV). W tym celu wartość oczekiwaną efektu interwencji zapisali jako:</w:t>
      </w:r>
    </w:p>
    <w:p w14:paraId="1761E160" w14:textId="77777777" w:rsidR="004339EA" w:rsidRDefault="004339EA" w:rsidP="004339EA">
      <w:pPr>
        <w:ind w:firstLine="708"/>
        <w:jc w:val="both"/>
      </w:pPr>
      <w:r w:rsidRPr="000B5AF2">
        <w:rPr>
          <w:position w:val="-94"/>
        </w:rPr>
        <w:object w:dxaOrig="8220" w:dyaOrig="2000" w14:anchorId="4646BF6A">
          <v:shape id="_x0000_i1133" type="#_x0000_t75" style="width:410.5pt;height:101pt" o:ole="">
            <v:imagedata r:id="rId230" o:title=""/>
          </v:shape>
          <o:OLEObject Type="Embed" ProgID="Equation.DSMT4" ShapeID="_x0000_i1133" DrawAspect="Content" ObjectID="_1799840704" r:id="rId231"/>
        </w:object>
      </w:r>
    </w:p>
    <w:p w14:paraId="210FD500" w14:textId="77777777" w:rsidR="004339EA" w:rsidRDefault="004339EA" w:rsidP="004339EA">
      <w:pPr>
        <w:rPr>
          <w:rFonts w:ascii="Times New Roman" w:hAnsi="Times New Roman" w:cs="Times New Roman"/>
          <w:sz w:val="28"/>
          <w:szCs w:val="28"/>
        </w:rPr>
      </w:pPr>
      <w:r>
        <w:rPr>
          <w:rFonts w:ascii="Times New Roman" w:hAnsi="Times New Roman" w:cs="Times New Roman"/>
          <w:sz w:val="28"/>
          <w:szCs w:val="28"/>
        </w:rPr>
        <w:lastRenderedPageBreak/>
        <w:t>przy czym p oznacza prawdopodobieństwo. Następnie  różniczkując cząstkowo powyższą funkcję wartości oczekiwanej względem p, otrzymano wzór na krańcowy efekt interwencji:</w:t>
      </w:r>
    </w:p>
    <w:p w14:paraId="667E0A21" w14:textId="77777777" w:rsidR="004339EA" w:rsidRDefault="004339EA" w:rsidP="004339EA">
      <w:pPr>
        <w:tabs>
          <w:tab w:val="left" w:pos="3331"/>
        </w:tabs>
        <w:jc w:val="center"/>
        <w:rPr>
          <w:rFonts w:ascii="Times New Roman" w:hAnsi="Times New Roman" w:cs="Times New Roman"/>
          <w:sz w:val="28"/>
          <w:szCs w:val="28"/>
        </w:rPr>
      </w:pPr>
      <w:r w:rsidRPr="00EC3538">
        <w:rPr>
          <w:rFonts w:ascii="Times New Roman" w:hAnsi="Times New Roman" w:cs="Times New Roman"/>
          <w:position w:val="-28"/>
          <w:sz w:val="28"/>
          <w:szCs w:val="28"/>
        </w:rPr>
        <w:object w:dxaOrig="3739" w:dyaOrig="780" w14:anchorId="232A221F">
          <v:shape id="_x0000_i1134" type="#_x0000_t75" style="width:187pt;height:35.5pt" o:ole="">
            <v:imagedata r:id="rId232" o:title=""/>
          </v:shape>
          <o:OLEObject Type="Embed" ProgID="Equation.DSMT4" ShapeID="_x0000_i1134" DrawAspect="Content" ObjectID="_1799840705" r:id="rId233"/>
        </w:object>
      </w:r>
      <w:r>
        <w:rPr>
          <w:rFonts w:ascii="Times New Roman" w:hAnsi="Times New Roman" w:cs="Times New Roman"/>
          <w:sz w:val="28"/>
          <w:szCs w:val="28"/>
        </w:rPr>
        <w:t>.</w:t>
      </w:r>
    </w:p>
    <w:p w14:paraId="0C5790E6" w14:textId="77777777" w:rsidR="004339EA" w:rsidRDefault="004339EA" w:rsidP="004339EA">
      <w:pPr>
        <w:jc w:val="both"/>
        <w:rPr>
          <w:rFonts w:ascii="Times New Roman" w:hAnsi="Times New Roman" w:cs="Times New Roman"/>
          <w:sz w:val="28"/>
          <w:szCs w:val="28"/>
        </w:rPr>
      </w:pPr>
      <w:r>
        <w:rPr>
          <w:rFonts w:ascii="Times New Roman" w:hAnsi="Times New Roman" w:cs="Times New Roman"/>
          <w:sz w:val="28"/>
          <w:szCs w:val="28"/>
        </w:rPr>
        <w:t>Oznacza to dalej, że MTE (x,u) jest identyfikowalny w dziedzinie danej przedziałem (X, π(Z), która jest obszarem rozkładu łącznego zmiennych X oraz π(Z).</w:t>
      </w:r>
    </w:p>
    <w:p w14:paraId="165E732A" w14:textId="77777777" w:rsidR="004339EA" w:rsidRDefault="004339EA" w:rsidP="004339EA">
      <w:pPr>
        <w:ind w:firstLine="709"/>
        <w:jc w:val="both"/>
        <w:rPr>
          <w:rFonts w:ascii="Times New Roman" w:hAnsi="Times New Roman" w:cs="Times New Roman"/>
          <w:sz w:val="28"/>
          <w:szCs w:val="28"/>
        </w:rPr>
      </w:pPr>
      <w:r>
        <w:rPr>
          <w:rFonts w:ascii="Times New Roman" w:hAnsi="Times New Roman" w:cs="Times New Roman"/>
          <w:sz w:val="28"/>
          <w:szCs w:val="28"/>
        </w:rPr>
        <w:t xml:space="preserve">Heckman i Vytlatil w przywoływanej już pracy z 2001 r. zaprezentowali miarę do oceny interwencji politycznych, tj. </w:t>
      </w:r>
      <w:r w:rsidRPr="00DD1C1A">
        <w:rPr>
          <w:rFonts w:ascii="Times New Roman" w:hAnsi="Times New Roman" w:cs="Times New Roman"/>
          <w:i/>
          <w:iCs/>
          <w:sz w:val="28"/>
          <w:szCs w:val="28"/>
        </w:rPr>
        <w:t>the policy relevant treatment effects</w:t>
      </w:r>
      <w:r>
        <w:rPr>
          <w:rFonts w:ascii="Times New Roman" w:hAnsi="Times New Roman" w:cs="Times New Roman"/>
          <w:sz w:val="28"/>
          <w:szCs w:val="28"/>
        </w:rPr>
        <w:t xml:space="preserve"> (PRTE), która wprost nawiązuje do MTE. PRTE definiuje się przy tym jako zmianę średniego wyniku na osobę objętą daną polityką uwarunkowaną wektorem zmiennych niezależnych X zdefiniowanych przed jej wdrożeniem. Bazując na PRTE, Cavneiro zaproponowali MPRTE (</w:t>
      </w:r>
      <w:r w:rsidRPr="00DD1C1A">
        <w:rPr>
          <w:rFonts w:ascii="Times New Roman" w:hAnsi="Times New Roman" w:cs="Times New Roman"/>
          <w:i/>
          <w:iCs/>
          <w:sz w:val="28"/>
          <w:szCs w:val="28"/>
        </w:rPr>
        <w:t>the marginal policy relevant treatment effects</w:t>
      </w:r>
      <w:r>
        <w:rPr>
          <w:rFonts w:ascii="Times New Roman" w:hAnsi="Times New Roman" w:cs="Times New Roman"/>
          <w:sz w:val="28"/>
          <w:szCs w:val="28"/>
        </w:rPr>
        <w:t xml:space="preserve">), tj. granicę PRTE, a więc przeszli do efektu krańcowego polityki (Carnerio i in., 2010, 2011). </w:t>
      </w:r>
    </w:p>
    <w:p w14:paraId="4074E128" w14:textId="77777777" w:rsidR="004339EA" w:rsidRDefault="004339EA" w:rsidP="004339EA">
      <w:pPr>
        <w:ind w:firstLine="709"/>
        <w:jc w:val="both"/>
        <w:rPr>
          <w:rFonts w:ascii="Times New Roman" w:hAnsi="Times New Roman" w:cs="Times New Roman"/>
          <w:sz w:val="28"/>
          <w:szCs w:val="28"/>
        </w:rPr>
      </w:pPr>
      <w:r>
        <w:rPr>
          <w:rFonts w:ascii="Times New Roman" w:hAnsi="Times New Roman" w:cs="Times New Roman"/>
          <w:sz w:val="28"/>
          <w:szCs w:val="28"/>
        </w:rPr>
        <w:t>Zhou i Opacić rozszerzyli i zmodyfikowali spojrzenie na PRTE i MPRTE, osadzając swe rozważania w rosnącym na znaczeniu w ekonometrii, statystyce i epidemiologii podejściu określanym jako „</w:t>
      </w:r>
      <w:r w:rsidRPr="00DD1C1A">
        <w:rPr>
          <w:rFonts w:ascii="Times New Roman" w:hAnsi="Times New Roman" w:cs="Times New Roman"/>
          <w:i/>
          <w:iCs/>
          <w:sz w:val="28"/>
          <w:szCs w:val="28"/>
        </w:rPr>
        <w:t>the interventional effects</w:t>
      </w:r>
      <w:r>
        <w:rPr>
          <w:rFonts w:ascii="Times New Roman" w:hAnsi="Times New Roman" w:cs="Times New Roman"/>
          <w:sz w:val="28"/>
          <w:szCs w:val="28"/>
        </w:rPr>
        <w:t xml:space="preserve">”. Odróżnia je od tradycyjnego mierzenia przyczynowości koncentracja na zmianach średnich wyników interwencji na skutek hipotetycznych małych zmian w mechanizmach przydzielania do niej poszczególnych jednostek. Wyróżnili przy tym interwencje deterministyczne i stochastyczne oraz krańcowe zmiany </w:t>
      </w:r>
      <w:r w:rsidRPr="00DD1C1A">
        <w:rPr>
          <w:rFonts w:ascii="Times New Roman" w:hAnsi="Times New Roman" w:cs="Times New Roman"/>
          <w:i/>
          <w:iCs/>
          <w:sz w:val="28"/>
          <w:szCs w:val="28"/>
        </w:rPr>
        <w:t>the propensity scores</w:t>
      </w:r>
      <w:r>
        <w:rPr>
          <w:rFonts w:ascii="Times New Roman" w:hAnsi="Times New Roman" w:cs="Times New Roman"/>
          <w:sz w:val="28"/>
          <w:szCs w:val="28"/>
        </w:rPr>
        <w:t>. W ślad za tym Zhou i Opacić skonstruowali dwie miary efektów polityki:</w:t>
      </w:r>
    </w:p>
    <w:p w14:paraId="5EEE9FA2" w14:textId="77777777" w:rsidR="004339EA" w:rsidRDefault="004339EA" w:rsidP="001D0854">
      <w:pPr>
        <w:pStyle w:val="Akapitzlist"/>
        <w:numPr>
          <w:ilvl w:val="0"/>
          <w:numId w:val="36"/>
        </w:numPr>
        <w:ind w:left="426" w:hanging="426"/>
        <w:jc w:val="both"/>
        <w:rPr>
          <w:rFonts w:ascii="Times New Roman" w:hAnsi="Times New Roman" w:cs="Times New Roman"/>
          <w:sz w:val="28"/>
          <w:szCs w:val="28"/>
        </w:rPr>
      </w:pPr>
      <w:r>
        <w:rPr>
          <w:rFonts w:ascii="Times New Roman" w:hAnsi="Times New Roman" w:cs="Times New Roman"/>
          <w:sz w:val="28"/>
          <w:szCs w:val="28"/>
        </w:rPr>
        <w:t>The interventional effect (IE),</w:t>
      </w:r>
    </w:p>
    <w:p w14:paraId="036EFD78" w14:textId="77777777" w:rsidR="004339EA" w:rsidRDefault="004339EA" w:rsidP="001D0854">
      <w:pPr>
        <w:pStyle w:val="Akapitzlist"/>
        <w:numPr>
          <w:ilvl w:val="0"/>
          <w:numId w:val="36"/>
        </w:numPr>
        <w:ind w:left="426" w:hanging="426"/>
        <w:jc w:val="both"/>
        <w:rPr>
          <w:rFonts w:ascii="Times New Roman" w:hAnsi="Times New Roman" w:cs="Times New Roman"/>
          <w:sz w:val="28"/>
          <w:szCs w:val="28"/>
        </w:rPr>
      </w:pPr>
      <w:r>
        <w:rPr>
          <w:rFonts w:ascii="Times New Roman" w:hAnsi="Times New Roman" w:cs="Times New Roman"/>
          <w:sz w:val="28"/>
          <w:szCs w:val="28"/>
        </w:rPr>
        <w:t>The marginal effect (MIE).</w:t>
      </w:r>
    </w:p>
    <w:p w14:paraId="53FEA27C" w14:textId="77777777" w:rsidR="004339EA" w:rsidRDefault="004339EA" w:rsidP="004339EA">
      <w:pPr>
        <w:jc w:val="both"/>
        <w:rPr>
          <w:rFonts w:ascii="Times New Roman" w:hAnsi="Times New Roman" w:cs="Times New Roman"/>
          <w:sz w:val="28"/>
          <w:szCs w:val="28"/>
        </w:rPr>
      </w:pPr>
      <w:r>
        <w:rPr>
          <w:rFonts w:ascii="Times New Roman" w:hAnsi="Times New Roman" w:cs="Times New Roman"/>
          <w:sz w:val="28"/>
          <w:szCs w:val="28"/>
        </w:rPr>
        <w:t>Przybliżmy je w wielkim skrócie.</w:t>
      </w:r>
    </w:p>
    <w:p w14:paraId="6AAC4A3B" w14:textId="77777777" w:rsidR="004339EA" w:rsidRDefault="004339EA" w:rsidP="004339EA">
      <w:pPr>
        <w:ind w:firstLine="709"/>
        <w:jc w:val="both"/>
        <w:rPr>
          <w:rFonts w:ascii="Times New Roman" w:hAnsi="Times New Roman" w:cs="Times New Roman"/>
          <w:sz w:val="28"/>
          <w:szCs w:val="28"/>
        </w:rPr>
      </w:pPr>
      <w:r>
        <w:rPr>
          <w:rFonts w:ascii="Times New Roman" w:hAnsi="Times New Roman" w:cs="Times New Roman"/>
          <w:sz w:val="28"/>
          <w:szCs w:val="28"/>
        </w:rPr>
        <w:t xml:space="preserve">Niech A* i Y* oznaczają odpowiednio dokonany wybór binarny oraz obserwowany rezultat interwencji. Jeśli wartości oczekiwane </w:t>
      </w:r>
      <w:r w:rsidRPr="005A2DCC">
        <w:rPr>
          <w:rFonts w:ascii="Times New Roman" w:hAnsi="Times New Roman" w:cs="Times New Roman"/>
          <w:position w:val="-16"/>
          <w:sz w:val="28"/>
          <w:szCs w:val="28"/>
        </w:rPr>
        <w:object w:dxaOrig="1579" w:dyaOrig="440" w14:anchorId="226BC639">
          <v:shape id="_x0000_i1135" type="#_x0000_t75" style="width:79pt;height:22pt" o:ole="">
            <v:imagedata r:id="rId234" o:title=""/>
          </v:shape>
          <o:OLEObject Type="Embed" ProgID="Equation.DSMT4" ShapeID="_x0000_i1135" DrawAspect="Content" ObjectID="_1799840706" r:id="rId235"/>
        </w:object>
      </w:r>
      <w:r>
        <w:rPr>
          <w:rFonts w:ascii="Times New Roman" w:hAnsi="Times New Roman" w:cs="Times New Roman"/>
          <w:sz w:val="28"/>
          <w:szCs w:val="28"/>
        </w:rPr>
        <w:t xml:space="preserve"> to zmiana średniego wyniku na jedną osobę uczestniczącą w interwencji będzie równa: </w:t>
      </w:r>
    </w:p>
    <w:p w14:paraId="6EA8BBCE" w14:textId="77777777" w:rsidR="004339EA" w:rsidRDefault="004339EA" w:rsidP="004339EA">
      <w:pPr>
        <w:tabs>
          <w:tab w:val="left" w:pos="2579"/>
        </w:tabs>
        <w:jc w:val="center"/>
        <w:rPr>
          <w:rFonts w:ascii="Times New Roman" w:hAnsi="Times New Roman" w:cs="Times New Roman"/>
          <w:sz w:val="28"/>
          <w:szCs w:val="28"/>
        </w:rPr>
      </w:pPr>
      <w:r w:rsidRPr="000F4185">
        <w:rPr>
          <w:rFonts w:ascii="Times New Roman" w:hAnsi="Times New Roman" w:cs="Times New Roman"/>
          <w:position w:val="-36"/>
          <w:sz w:val="28"/>
          <w:szCs w:val="28"/>
        </w:rPr>
        <w:object w:dxaOrig="2040" w:dyaOrig="840" w14:anchorId="1BA02CB6">
          <v:shape id="_x0000_i1136" type="#_x0000_t75" style="width:101pt;height:43pt" o:ole="">
            <v:imagedata r:id="rId236" o:title=""/>
          </v:shape>
          <o:OLEObject Type="Embed" ProgID="Equation.DSMT4" ShapeID="_x0000_i1136" DrawAspect="Content" ObjectID="_1799840707" r:id="rId237"/>
        </w:object>
      </w:r>
    </w:p>
    <w:p w14:paraId="76F2A3C1" w14:textId="77777777" w:rsidR="004339EA" w:rsidRDefault="004339EA" w:rsidP="004339E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Zapisanie formuły na MIE wymaga wprowadzenia nieujemnego skalara σ, który będzie informował o klasie interwencji. Stąd otrzymujemy:</w:t>
      </w:r>
    </w:p>
    <w:p w14:paraId="57234183" w14:textId="77777777" w:rsidR="004339EA" w:rsidRDefault="004339EA" w:rsidP="004339EA">
      <w:pPr>
        <w:jc w:val="center"/>
        <w:rPr>
          <w:rFonts w:ascii="Times New Roman" w:hAnsi="Times New Roman" w:cs="Times New Roman"/>
          <w:sz w:val="28"/>
          <w:szCs w:val="28"/>
        </w:rPr>
      </w:pPr>
      <w:r w:rsidRPr="00676365">
        <w:rPr>
          <w:rFonts w:ascii="Times New Roman" w:hAnsi="Times New Roman" w:cs="Times New Roman"/>
          <w:position w:val="-32"/>
          <w:sz w:val="28"/>
          <w:szCs w:val="28"/>
        </w:rPr>
        <w:object w:dxaOrig="2620" w:dyaOrig="740" w14:anchorId="6ADFF7D7">
          <v:shape id="_x0000_i1137" type="#_x0000_t75" style="width:129.5pt;height:36.5pt" o:ole="">
            <v:imagedata r:id="rId238" o:title=""/>
          </v:shape>
          <o:OLEObject Type="Embed" ProgID="Equation.DSMT4" ShapeID="_x0000_i1137" DrawAspect="Content" ObjectID="_1799840708" r:id="rId239"/>
        </w:object>
      </w:r>
    </w:p>
    <w:p w14:paraId="3B5808CB" w14:textId="45584769" w:rsidR="004339EA" w:rsidRDefault="004339EA" w:rsidP="004339EA">
      <w:pPr>
        <w:ind w:firstLine="708"/>
        <w:jc w:val="both"/>
        <w:rPr>
          <w:rFonts w:ascii="Times New Roman" w:hAnsi="Times New Roman" w:cs="Times New Roman"/>
          <w:sz w:val="28"/>
          <w:szCs w:val="28"/>
        </w:rPr>
      </w:pPr>
      <w:r>
        <w:rPr>
          <w:rFonts w:ascii="Times New Roman" w:hAnsi="Times New Roman" w:cs="Times New Roman"/>
          <w:sz w:val="28"/>
          <w:szCs w:val="28"/>
        </w:rPr>
        <w:t xml:space="preserve">Dalej Zhou i Opacić pokazują, jak IE oraz MIE można odpowiednio powiązać z PRTE oraz MPRTE i MTE (w estymacji i identyfikacji z użyciem zmiennych instrumentalnych). Rzecz jasna, przedstawiają też związki obydwu nowych kategorii z ATE, ATT i ATU oraz ATO. Wreszcie, analizują możliwość zastosowania w ekonomii koncepcji </w:t>
      </w:r>
      <w:r w:rsidRPr="001C581C">
        <w:rPr>
          <w:rFonts w:ascii="Times New Roman" w:hAnsi="Times New Roman" w:cs="Times New Roman"/>
          <w:i/>
          <w:iCs/>
          <w:sz w:val="28"/>
          <w:szCs w:val="28"/>
        </w:rPr>
        <w:t>the modified treatment policies</w:t>
      </w:r>
      <w:r>
        <w:rPr>
          <w:rFonts w:ascii="Times New Roman" w:hAnsi="Times New Roman" w:cs="Times New Roman"/>
          <w:sz w:val="28"/>
          <w:szCs w:val="28"/>
        </w:rPr>
        <w:t xml:space="preserve"> (MTP), którą od dwudziestu już lat rozwijają epidemiolodzy. Wyróżnia ją operowanie stochastycznymi i deterministycznymi mechanizmami przydzielania jednostek do grupy badanej oraz „naturalną” wartością statusu jednostek bez interwencji, tj. parametrem A</w:t>
      </w:r>
      <w:r w:rsidRPr="00675C0B">
        <w:rPr>
          <w:rFonts w:ascii="Times New Roman" w:hAnsi="Times New Roman" w:cs="Times New Roman"/>
          <w:sz w:val="28"/>
          <w:szCs w:val="28"/>
          <w:vertAlign w:val="subscript"/>
        </w:rPr>
        <w:t>0</w:t>
      </w:r>
      <w:r>
        <w:rPr>
          <w:rFonts w:ascii="Times New Roman" w:hAnsi="Times New Roman" w:cs="Times New Roman"/>
          <w:sz w:val="28"/>
          <w:szCs w:val="28"/>
        </w:rPr>
        <w:t>. Ogólny wniosek jest następujący: w IE ora</w:t>
      </w:r>
      <w:r w:rsidR="00450411">
        <w:rPr>
          <w:rFonts w:ascii="Times New Roman" w:hAnsi="Times New Roman" w:cs="Times New Roman"/>
          <w:sz w:val="28"/>
          <w:szCs w:val="28"/>
        </w:rPr>
        <w:t>z</w:t>
      </w:r>
      <w:r w:rsidR="00B27B98">
        <w:rPr>
          <w:rFonts w:ascii="Times New Roman" w:hAnsi="Times New Roman" w:cs="Times New Roman"/>
          <w:sz w:val="28"/>
          <w:szCs w:val="28"/>
        </w:rPr>
        <w:t xml:space="preserve"> </w:t>
      </w:r>
      <w:r>
        <w:rPr>
          <w:rFonts w:ascii="Times New Roman" w:hAnsi="Times New Roman" w:cs="Times New Roman"/>
          <w:sz w:val="28"/>
          <w:szCs w:val="28"/>
        </w:rPr>
        <w:t xml:space="preserve"> MIE nie ma przeszkód do wprowadzenia założeń stosowanych przez epidemiologów dotyczących MTP.</w:t>
      </w:r>
    </w:p>
    <w:p w14:paraId="7A8AAC31" w14:textId="77777777" w:rsidR="001A64D4" w:rsidRDefault="001A64D4" w:rsidP="004339EA">
      <w:pPr>
        <w:ind w:firstLine="708"/>
        <w:jc w:val="both"/>
        <w:rPr>
          <w:rFonts w:ascii="Times New Roman" w:hAnsi="Times New Roman" w:cs="Times New Roman"/>
          <w:sz w:val="28"/>
          <w:szCs w:val="28"/>
        </w:rPr>
      </w:pPr>
    </w:p>
    <w:p w14:paraId="340A7DF4" w14:textId="485CAB95" w:rsidR="00144BBF" w:rsidRDefault="001A64D4" w:rsidP="001D0854">
      <w:pPr>
        <w:pStyle w:val="Akapitzlist"/>
        <w:numPr>
          <w:ilvl w:val="0"/>
          <w:numId w:val="37"/>
        </w:numPr>
        <w:ind w:left="567" w:hanging="567"/>
        <w:rPr>
          <w:rFonts w:ascii="Times New Roman" w:hAnsi="Times New Roman" w:cs="Times New Roman"/>
          <w:b/>
          <w:bCs/>
          <w:sz w:val="28"/>
          <w:szCs w:val="28"/>
        </w:rPr>
      </w:pPr>
      <w:r w:rsidRPr="001A64D4">
        <w:rPr>
          <w:rFonts w:ascii="Times New Roman" w:hAnsi="Times New Roman" w:cs="Times New Roman"/>
          <w:b/>
          <w:bCs/>
          <w:sz w:val="28"/>
          <w:szCs w:val="28"/>
        </w:rPr>
        <w:t>Pytania i wskaźniki ewaluacyjne</w:t>
      </w:r>
    </w:p>
    <w:p w14:paraId="05400EAF" w14:textId="6B1C9488" w:rsidR="001A64D4" w:rsidRDefault="001A64D4" w:rsidP="001A64D4">
      <w:pPr>
        <w:ind w:firstLine="708"/>
        <w:jc w:val="both"/>
        <w:rPr>
          <w:rFonts w:ascii="Times New Roman" w:hAnsi="Times New Roman" w:cs="Times New Roman"/>
          <w:sz w:val="28"/>
          <w:szCs w:val="28"/>
        </w:rPr>
      </w:pPr>
      <w:r w:rsidRPr="001A64D4">
        <w:rPr>
          <w:rFonts w:ascii="Times New Roman" w:hAnsi="Times New Roman" w:cs="Times New Roman"/>
          <w:sz w:val="28"/>
          <w:szCs w:val="28"/>
        </w:rPr>
        <w:t>Po</w:t>
      </w:r>
      <w:r>
        <w:rPr>
          <w:rFonts w:ascii="Times New Roman" w:hAnsi="Times New Roman" w:cs="Times New Roman"/>
          <w:sz w:val="28"/>
          <w:szCs w:val="28"/>
        </w:rPr>
        <w:t xml:space="preserve">dstawowym punktem odniesienia dla pytań i wskaźników ewaluacyjnych powinien być odpowiedni model logiczny, nazywany inaczej łańcuchem wyników dla danej interwencji. Na rysunkach </w:t>
      </w:r>
      <w:r w:rsidR="00F33216">
        <w:rPr>
          <w:rFonts w:ascii="Times New Roman" w:hAnsi="Times New Roman" w:cs="Times New Roman"/>
          <w:sz w:val="28"/>
          <w:szCs w:val="28"/>
        </w:rPr>
        <w:t>9</w:t>
      </w:r>
      <w:r>
        <w:rPr>
          <w:rFonts w:ascii="Times New Roman" w:hAnsi="Times New Roman" w:cs="Times New Roman"/>
          <w:sz w:val="28"/>
          <w:szCs w:val="28"/>
        </w:rPr>
        <w:t xml:space="preserve"> i </w:t>
      </w:r>
      <w:r w:rsidR="00F33216">
        <w:rPr>
          <w:rFonts w:ascii="Times New Roman" w:hAnsi="Times New Roman" w:cs="Times New Roman"/>
          <w:sz w:val="28"/>
          <w:szCs w:val="28"/>
        </w:rPr>
        <w:t>10</w:t>
      </w:r>
      <w:r>
        <w:rPr>
          <w:rFonts w:ascii="Times New Roman" w:hAnsi="Times New Roman" w:cs="Times New Roman"/>
          <w:sz w:val="28"/>
          <w:szCs w:val="28"/>
        </w:rPr>
        <w:t xml:space="preserve"> przedstawiono standardowe dwa takie łańcuchy. Jak widać, wyróżnia się w nich:</w:t>
      </w:r>
    </w:p>
    <w:p w14:paraId="7C9C3341" w14:textId="6914D5C1" w:rsidR="001A64D4" w:rsidRDefault="001A64D4" w:rsidP="001D0854">
      <w:pPr>
        <w:pStyle w:val="Akapitzlist"/>
        <w:numPr>
          <w:ilvl w:val="0"/>
          <w:numId w:val="38"/>
        </w:numPr>
        <w:ind w:left="426" w:hanging="426"/>
        <w:jc w:val="both"/>
        <w:rPr>
          <w:rFonts w:ascii="Times New Roman" w:hAnsi="Times New Roman" w:cs="Times New Roman"/>
          <w:sz w:val="28"/>
          <w:szCs w:val="28"/>
        </w:rPr>
      </w:pPr>
      <w:r>
        <w:rPr>
          <w:rFonts w:ascii="Times New Roman" w:hAnsi="Times New Roman" w:cs="Times New Roman"/>
          <w:sz w:val="28"/>
          <w:szCs w:val="28"/>
        </w:rPr>
        <w:t>Nakłady, a więc zaangażowanie i zużyte zasoby ludzkie, finansowe i materialne w danej interwencji.</w:t>
      </w:r>
    </w:p>
    <w:p w14:paraId="7B466427" w14:textId="1A148AA2" w:rsidR="001A64D4" w:rsidRDefault="009B0EC3" w:rsidP="001D0854">
      <w:pPr>
        <w:pStyle w:val="Akapitzlist"/>
        <w:numPr>
          <w:ilvl w:val="0"/>
          <w:numId w:val="38"/>
        </w:numPr>
        <w:ind w:left="426" w:hanging="426"/>
        <w:jc w:val="both"/>
        <w:rPr>
          <w:rFonts w:ascii="Times New Roman" w:hAnsi="Times New Roman" w:cs="Times New Roman"/>
          <w:sz w:val="28"/>
          <w:szCs w:val="28"/>
        </w:rPr>
      </w:pPr>
      <w:r>
        <w:rPr>
          <w:rFonts w:ascii="Times New Roman" w:hAnsi="Times New Roman" w:cs="Times New Roman"/>
          <w:sz w:val="28"/>
          <w:szCs w:val="28"/>
        </w:rPr>
        <w:t>Aktywności, czyli podjęte działania lub prace w celu ich przekształcenia nakładów w produkty.</w:t>
      </w:r>
    </w:p>
    <w:p w14:paraId="745553DE" w14:textId="195113E0" w:rsidR="009B0EC3" w:rsidRDefault="009B0EC3" w:rsidP="001D0854">
      <w:pPr>
        <w:pStyle w:val="Akapitzlist"/>
        <w:numPr>
          <w:ilvl w:val="0"/>
          <w:numId w:val="38"/>
        </w:numPr>
        <w:ind w:left="426" w:hanging="426"/>
        <w:jc w:val="both"/>
        <w:rPr>
          <w:rFonts w:ascii="Times New Roman" w:hAnsi="Times New Roman" w:cs="Times New Roman"/>
          <w:sz w:val="28"/>
          <w:szCs w:val="28"/>
        </w:rPr>
      </w:pPr>
      <w:r>
        <w:rPr>
          <w:rFonts w:ascii="Times New Roman" w:hAnsi="Times New Roman" w:cs="Times New Roman"/>
          <w:sz w:val="28"/>
          <w:szCs w:val="28"/>
        </w:rPr>
        <w:t>Produkty. Generalnie określa się przez nie materialne trwałe efekty w postaci dóbr i usług, które są bezpośrednim wynikiem interwencji i znajdują się pod w miarę pełną kontrolą jednostki ja wdrażającej.</w:t>
      </w:r>
    </w:p>
    <w:p w14:paraId="6CC6F4B0" w14:textId="4FF7778E" w:rsidR="009B0EC3" w:rsidRDefault="009B0EC3" w:rsidP="001D0854">
      <w:pPr>
        <w:pStyle w:val="Akapitzlist"/>
        <w:numPr>
          <w:ilvl w:val="0"/>
          <w:numId w:val="38"/>
        </w:numPr>
        <w:ind w:left="426" w:hanging="426"/>
        <w:jc w:val="both"/>
        <w:rPr>
          <w:rFonts w:ascii="Times New Roman" w:hAnsi="Times New Roman" w:cs="Times New Roman"/>
          <w:sz w:val="28"/>
          <w:szCs w:val="28"/>
        </w:rPr>
      </w:pPr>
      <w:r>
        <w:rPr>
          <w:rFonts w:ascii="Times New Roman" w:hAnsi="Times New Roman" w:cs="Times New Roman"/>
          <w:sz w:val="28"/>
          <w:szCs w:val="28"/>
        </w:rPr>
        <w:t>Wyniki. Mierzy się je na poziomie beneficjentów końcowych interwencji, aczkolwiek jednostka wdrażająca interwencję nie sprawuje tu bezpośredniej kontroli. Wyniki te dodatkowo można podzielić na krótkookresowe i długookresowe (finalne lub wpływu) (Gertler i in., 2016; Glewwe i Todd, 2022).</w:t>
      </w:r>
    </w:p>
    <w:p w14:paraId="5B230E7B" w14:textId="77777777" w:rsidR="009B0EC3" w:rsidRDefault="009B0EC3" w:rsidP="009B0EC3">
      <w:pPr>
        <w:tabs>
          <w:tab w:val="left" w:pos="933"/>
        </w:tabs>
        <w:sectPr w:rsidR="009B0EC3">
          <w:footerReference w:type="default" r:id="rId240"/>
          <w:pgSz w:w="11906" w:h="16838"/>
          <w:pgMar w:top="1417" w:right="1417" w:bottom="1417" w:left="1417" w:header="708" w:footer="708" w:gutter="0"/>
          <w:cols w:space="708"/>
          <w:docGrid w:linePitch="360"/>
        </w:sectPr>
      </w:pPr>
      <w:r>
        <w:tab/>
      </w:r>
    </w:p>
    <w:p w14:paraId="2F5D1198" w14:textId="065C4615" w:rsidR="0098020A" w:rsidRPr="005E2985" w:rsidRDefault="00B75278" w:rsidP="00B75278">
      <w:pPr>
        <w:tabs>
          <w:tab w:val="left" w:pos="933"/>
        </w:tabs>
        <w:spacing w:after="0"/>
        <w:ind w:firstLine="284"/>
        <w:rPr>
          <w:rFonts w:ascii="Times New Roman" w:hAnsi="Times New Roman" w:cs="Times New Roman"/>
          <w:sz w:val="28"/>
          <w:szCs w:val="28"/>
        </w:rPr>
      </w:pPr>
      <w:r w:rsidRPr="00A10D98">
        <w:rPr>
          <w:rFonts w:ascii="Times New Roman" w:hAnsi="Times New Roman" w:cs="Times New Roman"/>
          <w:b/>
          <w:bCs/>
          <w:sz w:val="28"/>
          <w:szCs w:val="28"/>
        </w:rPr>
        <w:lastRenderedPageBreak/>
        <w:t xml:space="preserve">Rysunek </w:t>
      </w:r>
      <w:r w:rsidR="00F33216">
        <w:rPr>
          <w:rFonts w:ascii="Times New Roman" w:hAnsi="Times New Roman" w:cs="Times New Roman"/>
          <w:b/>
          <w:bCs/>
          <w:sz w:val="28"/>
          <w:szCs w:val="28"/>
        </w:rPr>
        <w:t>9</w:t>
      </w:r>
      <w:r w:rsidRPr="00A10D98">
        <w:rPr>
          <w:rFonts w:ascii="Times New Roman" w:hAnsi="Times New Roman" w:cs="Times New Roman"/>
          <w:b/>
          <w:bCs/>
          <w:sz w:val="28"/>
          <w:szCs w:val="28"/>
        </w:rPr>
        <w:t>.</w:t>
      </w:r>
      <w:r>
        <w:rPr>
          <w:rFonts w:ascii="Times New Roman" w:hAnsi="Times New Roman" w:cs="Times New Roman"/>
          <w:sz w:val="28"/>
          <w:szCs w:val="28"/>
        </w:rPr>
        <w:t xml:space="preserve"> </w:t>
      </w:r>
      <w:r w:rsidR="0098020A" w:rsidRPr="005E2985">
        <w:rPr>
          <w:rFonts w:ascii="Times New Roman" w:hAnsi="Times New Roman" w:cs="Times New Roman"/>
          <w:sz w:val="28"/>
          <w:szCs w:val="28"/>
        </w:rPr>
        <w:t>Łańcuch wynikowy (model logiczny) według Gertlera i in</w:t>
      </w:r>
      <w:r w:rsidR="005E2985" w:rsidRPr="005E2985">
        <w:rPr>
          <w:rFonts w:ascii="Times New Roman" w:hAnsi="Times New Roman" w:cs="Times New Roman"/>
          <w:sz w:val="28"/>
          <w:szCs w:val="28"/>
        </w:rPr>
        <w:t>.</w:t>
      </w:r>
    </w:p>
    <w:p w14:paraId="7983E13E" w14:textId="1D4BD6C2" w:rsidR="0098020A" w:rsidRDefault="0098020A" w:rsidP="0066611E">
      <w:pPr>
        <w:tabs>
          <w:tab w:val="left" w:pos="933"/>
        </w:tabs>
        <w:ind w:hanging="426"/>
        <w:jc w:val="center"/>
        <w:rPr>
          <w:noProof/>
        </w:rPr>
      </w:pPr>
      <w:r w:rsidRPr="00163450">
        <w:rPr>
          <w:noProof/>
        </w:rPr>
        <w:drawing>
          <wp:inline distT="0" distB="0" distL="0" distR="0" wp14:anchorId="017A8574" wp14:editId="0A160A78">
            <wp:extent cx="8182965" cy="4458335"/>
            <wp:effectExtent l="0" t="0" r="0" b="0"/>
            <wp:docPr id="1583711052"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1">
                      <a:extLst>
                        <a:ext uri="{28A0092B-C50C-407E-A947-70E740481C1C}">
                          <a14:useLocalDpi xmlns:a14="http://schemas.microsoft.com/office/drawing/2010/main" val="0"/>
                        </a:ext>
                      </a:extLst>
                    </a:blip>
                    <a:srcRect l="7980" t="12991"/>
                    <a:stretch/>
                  </pic:blipFill>
                  <pic:spPr bwMode="auto">
                    <a:xfrm>
                      <a:off x="0" y="0"/>
                      <a:ext cx="8182965" cy="4458335"/>
                    </a:xfrm>
                    <a:prstGeom prst="rect">
                      <a:avLst/>
                    </a:prstGeom>
                    <a:noFill/>
                    <a:ln>
                      <a:noFill/>
                    </a:ln>
                    <a:extLst>
                      <a:ext uri="{53640926-AAD7-44D8-BBD7-CCE9431645EC}">
                        <a14:shadowObscured xmlns:a14="http://schemas.microsoft.com/office/drawing/2010/main"/>
                      </a:ext>
                    </a:extLst>
                  </pic:spPr>
                </pic:pic>
              </a:graphicData>
            </a:graphic>
          </wp:inline>
        </w:drawing>
      </w:r>
    </w:p>
    <w:p w14:paraId="2679715E" w14:textId="7083A84A" w:rsidR="0098020A" w:rsidRPr="00F14099" w:rsidRDefault="0098020A" w:rsidP="0098020A">
      <w:pPr>
        <w:rPr>
          <w:rFonts w:ascii="Times New Roman" w:hAnsi="Times New Roman" w:cs="Times New Roman"/>
          <w:i/>
          <w:iCs/>
          <w:lang w:val="en-US"/>
        </w:rPr>
      </w:pPr>
      <w:r w:rsidRPr="00F14099">
        <w:rPr>
          <w:rFonts w:ascii="Times New Roman" w:hAnsi="Times New Roman" w:cs="Times New Roman"/>
          <w:i/>
          <w:iCs/>
        </w:rPr>
        <w:t xml:space="preserve">Źródło: opracowanie własne na podstawie:  Gertler J.P., Martinez S., Premand P., Reulings B.L., Vermeerich J.M. Ch. </w:t>
      </w:r>
      <w:r w:rsidRPr="00F14099">
        <w:rPr>
          <w:rFonts w:ascii="Times New Roman" w:hAnsi="Times New Roman" w:cs="Times New Roman"/>
          <w:i/>
          <w:iCs/>
          <w:lang w:val="en-US"/>
        </w:rPr>
        <w:t>(2016), Impact Evaluation in Practice. Second Edition, World Bank Group, Washington DC</w:t>
      </w:r>
    </w:p>
    <w:p w14:paraId="02447B79" w14:textId="4997A9F4" w:rsidR="009C2CA7" w:rsidRDefault="009C2CA7">
      <w:pPr>
        <w:rPr>
          <w:lang w:val="en-US"/>
        </w:rPr>
      </w:pPr>
      <w:r>
        <w:rPr>
          <w:lang w:val="en-US"/>
        </w:rPr>
        <w:br w:type="page"/>
      </w:r>
    </w:p>
    <w:p w14:paraId="28C711EF" w14:textId="77777777" w:rsidR="009C2CA7" w:rsidRDefault="009C2CA7" w:rsidP="0098020A">
      <w:pPr>
        <w:tabs>
          <w:tab w:val="left" w:pos="1325"/>
        </w:tabs>
        <w:rPr>
          <w:lang w:val="en-US"/>
        </w:rPr>
        <w:sectPr w:rsidR="009C2CA7" w:rsidSect="009B0EC3">
          <w:pgSz w:w="16838" w:h="11906" w:orient="landscape"/>
          <w:pgMar w:top="1417" w:right="1417" w:bottom="1417" w:left="1417" w:header="708" w:footer="708" w:gutter="0"/>
          <w:cols w:space="708"/>
          <w:docGrid w:linePitch="360"/>
        </w:sectPr>
      </w:pPr>
    </w:p>
    <w:p w14:paraId="3A2F0927" w14:textId="57D294B2" w:rsidR="009C2CA7" w:rsidRPr="00EA48A0" w:rsidRDefault="009C2CA7" w:rsidP="009C2CA7">
      <w:pPr>
        <w:tabs>
          <w:tab w:val="left" w:pos="1325"/>
        </w:tabs>
        <w:spacing w:after="0"/>
        <w:jc w:val="right"/>
        <w:rPr>
          <w:rFonts w:ascii="Times New Roman" w:hAnsi="Times New Roman" w:cs="Times New Roman"/>
          <w:sz w:val="28"/>
          <w:szCs w:val="28"/>
          <w:lang w:val="en-US"/>
        </w:rPr>
      </w:pPr>
      <w:r>
        <w:rPr>
          <w:lang w:val="en-US"/>
        </w:rPr>
        <w:lastRenderedPageBreak/>
        <w:tab/>
      </w:r>
    </w:p>
    <w:p w14:paraId="75AEA918" w14:textId="276AA05F" w:rsidR="009C2CA7" w:rsidRPr="009C2CA7" w:rsidRDefault="00B75278" w:rsidP="00B75278">
      <w:pPr>
        <w:tabs>
          <w:tab w:val="left" w:pos="1325"/>
        </w:tabs>
        <w:spacing w:after="0"/>
        <w:ind w:firstLine="142"/>
        <w:rPr>
          <w:rFonts w:ascii="Times New Roman" w:hAnsi="Times New Roman" w:cs="Times New Roman"/>
          <w:sz w:val="28"/>
          <w:szCs w:val="28"/>
        </w:rPr>
      </w:pPr>
      <w:r w:rsidRPr="00EA48A0">
        <w:rPr>
          <w:rFonts w:ascii="Times New Roman" w:hAnsi="Times New Roman" w:cs="Times New Roman"/>
          <w:sz w:val="28"/>
          <w:szCs w:val="28"/>
          <w:lang w:val="en-US"/>
        </w:rPr>
        <w:t xml:space="preserve">  </w:t>
      </w:r>
      <w:r w:rsidRPr="00A10D98">
        <w:rPr>
          <w:rFonts w:ascii="Times New Roman" w:hAnsi="Times New Roman" w:cs="Times New Roman"/>
          <w:b/>
          <w:bCs/>
          <w:sz w:val="28"/>
          <w:szCs w:val="28"/>
        </w:rPr>
        <w:t xml:space="preserve">Rysunek </w:t>
      </w:r>
      <w:r w:rsidR="00F33216">
        <w:rPr>
          <w:rFonts w:ascii="Times New Roman" w:hAnsi="Times New Roman" w:cs="Times New Roman"/>
          <w:b/>
          <w:bCs/>
          <w:sz w:val="28"/>
          <w:szCs w:val="28"/>
        </w:rPr>
        <w:t>10</w:t>
      </w:r>
      <w:r w:rsidRPr="00A10D98">
        <w:rPr>
          <w:rFonts w:ascii="Times New Roman" w:hAnsi="Times New Roman" w:cs="Times New Roman"/>
          <w:b/>
          <w:bCs/>
          <w:sz w:val="28"/>
          <w:szCs w:val="28"/>
        </w:rPr>
        <w:t>.</w:t>
      </w:r>
      <w:r>
        <w:rPr>
          <w:rFonts w:ascii="Times New Roman" w:hAnsi="Times New Roman" w:cs="Times New Roman"/>
          <w:sz w:val="28"/>
          <w:szCs w:val="28"/>
        </w:rPr>
        <w:t xml:space="preserve"> </w:t>
      </w:r>
      <w:r w:rsidR="009C2CA7" w:rsidRPr="009C2CA7">
        <w:rPr>
          <w:rFonts w:ascii="Times New Roman" w:hAnsi="Times New Roman" w:cs="Times New Roman"/>
          <w:sz w:val="28"/>
          <w:szCs w:val="28"/>
        </w:rPr>
        <w:t>Łańcuch wynikowy (model logiczny) według Giewwe i Todd</w:t>
      </w:r>
    </w:p>
    <w:p w14:paraId="76FC8197" w14:textId="77777777" w:rsidR="009C2CA7" w:rsidRPr="0075455F" w:rsidRDefault="009C2CA7" w:rsidP="009C2CA7">
      <w:r w:rsidRPr="009C2CA7">
        <w:tab/>
      </w:r>
    </w:p>
    <w:p w14:paraId="3B7D13E4" w14:textId="77777777" w:rsidR="009C2CA7" w:rsidRDefault="009C2CA7" w:rsidP="009C2CA7">
      <w:pPr>
        <w:tabs>
          <w:tab w:val="left" w:pos="1325"/>
        </w:tabs>
        <w:jc w:val="center"/>
        <w:rPr>
          <w:noProof/>
        </w:rPr>
      </w:pPr>
      <w:r w:rsidRPr="00FF32A6">
        <w:rPr>
          <w:noProof/>
        </w:rPr>
        <w:drawing>
          <wp:inline distT="0" distB="0" distL="0" distR="0" wp14:anchorId="1E396919" wp14:editId="46129064">
            <wp:extent cx="7962856" cy="3794760"/>
            <wp:effectExtent l="0" t="0" r="635" b="0"/>
            <wp:docPr id="460528727"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2">
                      <a:extLst>
                        <a:ext uri="{28A0092B-C50C-407E-A947-70E740481C1C}">
                          <a14:useLocalDpi xmlns:a14="http://schemas.microsoft.com/office/drawing/2010/main" val="0"/>
                        </a:ext>
                      </a:extLst>
                    </a:blip>
                    <a:srcRect l="10448" t="25546"/>
                    <a:stretch/>
                  </pic:blipFill>
                  <pic:spPr bwMode="auto">
                    <a:xfrm>
                      <a:off x="0" y="0"/>
                      <a:ext cx="7963441" cy="3795039"/>
                    </a:xfrm>
                    <a:prstGeom prst="rect">
                      <a:avLst/>
                    </a:prstGeom>
                    <a:noFill/>
                    <a:ln>
                      <a:noFill/>
                    </a:ln>
                    <a:extLst>
                      <a:ext uri="{53640926-AAD7-44D8-BBD7-CCE9431645EC}">
                        <a14:shadowObscured xmlns:a14="http://schemas.microsoft.com/office/drawing/2010/main"/>
                      </a:ext>
                    </a:extLst>
                  </pic:spPr>
                </pic:pic>
              </a:graphicData>
            </a:graphic>
          </wp:inline>
        </w:drawing>
      </w:r>
    </w:p>
    <w:p w14:paraId="6C55C2A3" w14:textId="53011CDD" w:rsidR="009C2CA7" w:rsidRPr="001D0854" w:rsidRDefault="009C2CA7" w:rsidP="009C2CA7">
      <w:pPr>
        <w:rPr>
          <w:rFonts w:ascii="Times New Roman" w:hAnsi="Times New Roman" w:cs="Times New Roman"/>
          <w:i/>
          <w:iCs/>
        </w:rPr>
      </w:pPr>
      <w:r w:rsidRPr="0075455F">
        <w:rPr>
          <w:rFonts w:ascii="Times New Roman" w:hAnsi="Times New Roman" w:cs="Times New Roman"/>
          <w:i/>
          <w:iCs/>
        </w:rPr>
        <w:t>Źródło: opracowanie własne na podstawie: G</w:t>
      </w:r>
      <w:r w:rsidR="008D7F61">
        <w:rPr>
          <w:rFonts w:ascii="Times New Roman" w:hAnsi="Times New Roman" w:cs="Times New Roman"/>
          <w:i/>
          <w:iCs/>
        </w:rPr>
        <w:t>l</w:t>
      </w:r>
      <w:r w:rsidRPr="0075455F">
        <w:rPr>
          <w:rFonts w:ascii="Times New Roman" w:hAnsi="Times New Roman" w:cs="Times New Roman"/>
          <w:i/>
          <w:iCs/>
        </w:rPr>
        <w:t xml:space="preserve">ewwe , Todd P.  </w:t>
      </w:r>
      <w:r w:rsidRPr="0075455F">
        <w:rPr>
          <w:rFonts w:ascii="Times New Roman" w:hAnsi="Times New Roman" w:cs="Times New Roman"/>
          <w:i/>
          <w:iCs/>
          <w:lang w:val="en-US"/>
        </w:rPr>
        <w:t xml:space="preserve">(2022), Impact evaluation in international development. </w:t>
      </w:r>
      <w:r w:rsidRPr="001D0854">
        <w:rPr>
          <w:rFonts w:ascii="Times New Roman" w:hAnsi="Times New Roman" w:cs="Times New Roman"/>
          <w:i/>
          <w:iCs/>
        </w:rPr>
        <w:t>Theory, Methods, and practice, World Bank Group, Washington DC</w:t>
      </w:r>
    </w:p>
    <w:p w14:paraId="2C22726B" w14:textId="3118D3CA" w:rsidR="009C2CA7" w:rsidRPr="001D0854" w:rsidRDefault="009C2CA7" w:rsidP="009C2CA7">
      <w:pPr>
        <w:tabs>
          <w:tab w:val="left" w:pos="1325"/>
        </w:tabs>
        <w:rPr>
          <w:noProof/>
        </w:rPr>
      </w:pPr>
    </w:p>
    <w:p w14:paraId="5ED3E6FF" w14:textId="408C4990" w:rsidR="009C2CA7" w:rsidRPr="001D0854" w:rsidRDefault="009C2CA7" w:rsidP="009C2CA7">
      <w:pPr>
        <w:tabs>
          <w:tab w:val="left" w:pos="1382"/>
        </w:tabs>
        <w:sectPr w:rsidR="009C2CA7" w:rsidRPr="001D0854" w:rsidSect="009B0EC3">
          <w:pgSz w:w="16838" w:h="11906" w:orient="landscape"/>
          <w:pgMar w:top="1417" w:right="1417" w:bottom="1417" w:left="1417" w:header="708" w:footer="708" w:gutter="0"/>
          <w:cols w:space="708"/>
          <w:docGrid w:linePitch="360"/>
        </w:sectPr>
      </w:pPr>
      <w:r w:rsidRPr="001D0854">
        <w:tab/>
      </w:r>
    </w:p>
    <w:p w14:paraId="5A5FD04D" w14:textId="4B66C76D" w:rsidR="0098020A" w:rsidRDefault="0066611E" w:rsidP="00822ECF">
      <w:pPr>
        <w:tabs>
          <w:tab w:val="left" w:pos="1325"/>
        </w:tabs>
        <w:ind w:firstLine="709"/>
        <w:jc w:val="both"/>
        <w:rPr>
          <w:rFonts w:ascii="Times New Roman" w:hAnsi="Times New Roman" w:cs="Times New Roman"/>
          <w:sz w:val="28"/>
          <w:szCs w:val="28"/>
        </w:rPr>
      </w:pPr>
      <w:r w:rsidRPr="0066611E">
        <w:rPr>
          <w:rFonts w:ascii="Times New Roman" w:hAnsi="Times New Roman" w:cs="Times New Roman"/>
          <w:sz w:val="28"/>
          <w:szCs w:val="28"/>
        </w:rPr>
        <w:lastRenderedPageBreak/>
        <w:t xml:space="preserve">Pytania ewaluacyjne, nazywane też </w:t>
      </w:r>
      <w:r w:rsidRPr="0066611E">
        <w:rPr>
          <w:rFonts w:ascii="Times New Roman" w:hAnsi="Times New Roman" w:cs="Times New Roman"/>
          <w:i/>
          <w:iCs/>
          <w:sz w:val="28"/>
          <w:szCs w:val="28"/>
        </w:rPr>
        <w:t>the key evaluation questions</w:t>
      </w:r>
      <w:r>
        <w:rPr>
          <w:rFonts w:ascii="Times New Roman" w:hAnsi="Times New Roman" w:cs="Times New Roman"/>
          <w:sz w:val="28"/>
          <w:szCs w:val="28"/>
        </w:rPr>
        <w:t xml:space="preserve"> (KEQs), to wytyczne wyższego rzędu ukierunkowujące całość postępowań ewaluatorów nastawionych na głębsze poznanie logiki in</w:t>
      </w:r>
      <w:r w:rsidR="00822ECF">
        <w:rPr>
          <w:rFonts w:ascii="Times New Roman" w:hAnsi="Times New Roman" w:cs="Times New Roman"/>
          <w:sz w:val="28"/>
          <w:szCs w:val="28"/>
        </w:rPr>
        <w:t>terwencji i zrealizowanie podstawowych jej celów (Alkin i Vo, 2018; Eval Community, A guide to … , 2024). Dobrze skonstruowane KEQs powinny stać się kluczowym składnikiem monitoringu i prawidłowego przebiegu procesu ewaluacji, postępów w osiąganiu założonych jej celów i wskazywania obszarów do udoskonalenia samej interwencji.</w:t>
      </w:r>
    </w:p>
    <w:p w14:paraId="2F06AFB4" w14:textId="77777777" w:rsidR="00BB6190" w:rsidRPr="00AB2068" w:rsidRDefault="00BB6190" w:rsidP="00BB6190">
      <w:pPr>
        <w:ind w:firstLine="708"/>
        <w:jc w:val="both"/>
        <w:rPr>
          <w:rFonts w:ascii="Times New Roman" w:hAnsi="Times New Roman" w:cs="Times New Roman"/>
          <w:sz w:val="28"/>
          <w:szCs w:val="28"/>
        </w:rPr>
      </w:pPr>
      <w:r w:rsidRPr="00AB2068">
        <w:rPr>
          <w:rFonts w:ascii="Times New Roman" w:hAnsi="Times New Roman" w:cs="Times New Roman"/>
          <w:sz w:val="28"/>
          <w:szCs w:val="28"/>
        </w:rPr>
        <w:t>We wszelkich sposobach mierzenia rożnych obiektów, stanów i procesów zawsze mamy do czynienia z jakimiś wskaźnikami, skalami, indeksami i schematami interpretacji uzyskiwanych wyników (Meyer</w:t>
      </w:r>
      <w:r>
        <w:rPr>
          <w:rFonts w:ascii="Times New Roman" w:hAnsi="Times New Roman" w:cs="Times New Roman"/>
          <w:sz w:val="28"/>
          <w:szCs w:val="28"/>
        </w:rPr>
        <w:t xml:space="preserve"> 2022</w:t>
      </w:r>
      <w:r w:rsidRPr="00AB2068">
        <w:rPr>
          <w:rFonts w:ascii="Times New Roman" w:hAnsi="Times New Roman" w:cs="Times New Roman"/>
          <w:sz w:val="28"/>
          <w:szCs w:val="28"/>
        </w:rPr>
        <w:t>a). W przypadku natomiast ewaluacji problemy mierzenia trzeba widzieć w perspektywie raczej praktycznej niż doskonałości ich przeprowadz</w:t>
      </w:r>
      <w:r>
        <w:rPr>
          <w:rFonts w:ascii="Times New Roman" w:hAnsi="Times New Roman" w:cs="Times New Roman"/>
          <w:sz w:val="28"/>
          <w:szCs w:val="28"/>
        </w:rPr>
        <w:t>a</w:t>
      </w:r>
      <w:r w:rsidRPr="00AB2068">
        <w:rPr>
          <w:rFonts w:ascii="Times New Roman" w:hAnsi="Times New Roman" w:cs="Times New Roman"/>
          <w:sz w:val="28"/>
          <w:szCs w:val="28"/>
        </w:rPr>
        <w:t>nia. Oznacza to, że podstawowym celem powinno być tu dostarczenie we właściwym czasie informacji o zadowalającej jakości i wiarygodności, żeby można było decydować o wyborze określonych narzędzi ewaluacyjnych. Absolutnie nie lekceważy się zatem kryterium jakości danych i informacji, ale chce się tylko zwrócić uwagę na to, że ewaluacja powinna możliwie precyzyjnie oddawać złożoność celów</w:t>
      </w:r>
      <w:r>
        <w:rPr>
          <w:rFonts w:ascii="Times New Roman" w:hAnsi="Times New Roman" w:cs="Times New Roman"/>
          <w:sz w:val="28"/>
          <w:szCs w:val="28"/>
        </w:rPr>
        <w:t xml:space="preserve"> funkcjonowania</w:t>
      </w:r>
      <w:r w:rsidRPr="00AB2068">
        <w:rPr>
          <w:rFonts w:ascii="Times New Roman" w:hAnsi="Times New Roman" w:cs="Times New Roman"/>
          <w:sz w:val="28"/>
          <w:szCs w:val="28"/>
        </w:rPr>
        <w:t xml:space="preserve"> podmiotów ewaluowanych oraz ich rozmaitość systemów postrzegania i ważenia użyteczności poszczególnych informacji w procesach decyzyjnych. Do tego trzeba dodać jeszcze polityczną stronę pomiarów, a tu głównie oczekiwania i percepcję informacji przez zleceniodawców ewaluacji. Jak z powyższego wynika, pomiary jawią się jako specyficzny proces społeczny.</w:t>
      </w:r>
    </w:p>
    <w:p w14:paraId="2E8F4ACF" w14:textId="77777777" w:rsidR="00BB6190" w:rsidRPr="00AB2068" w:rsidRDefault="00BB6190" w:rsidP="00BB6190">
      <w:pPr>
        <w:ind w:firstLine="708"/>
        <w:jc w:val="both"/>
        <w:rPr>
          <w:rFonts w:ascii="Times New Roman" w:hAnsi="Times New Roman" w:cs="Times New Roman"/>
          <w:sz w:val="28"/>
          <w:szCs w:val="28"/>
        </w:rPr>
      </w:pPr>
      <w:r w:rsidRPr="00AB2068">
        <w:rPr>
          <w:rFonts w:ascii="Times New Roman" w:hAnsi="Times New Roman" w:cs="Times New Roman"/>
          <w:sz w:val="28"/>
          <w:szCs w:val="28"/>
        </w:rPr>
        <w:t>Centralne miejsce w pomiarach bez wątpienia odgrywają wskaźniki. To także jedna z kluczowych kategorii w ewaluacji, którą wprost wiąże się z pytaniami/problemami ewaluacyjnymi. Definiowani</w:t>
      </w:r>
      <w:r>
        <w:rPr>
          <w:rFonts w:ascii="Times New Roman" w:hAnsi="Times New Roman" w:cs="Times New Roman"/>
          <w:sz w:val="28"/>
          <w:szCs w:val="28"/>
        </w:rPr>
        <w:t>e</w:t>
      </w:r>
      <w:r w:rsidRPr="00AB2068">
        <w:rPr>
          <w:rFonts w:ascii="Times New Roman" w:hAnsi="Times New Roman" w:cs="Times New Roman"/>
          <w:sz w:val="28"/>
          <w:szCs w:val="28"/>
        </w:rPr>
        <w:t xml:space="preserve"> wskaźników ma wprawdzie silny kontekst dziedzinowy, ale ogólnie eksponuje się tu ich funkcj</w:t>
      </w:r>
      <w:r>
        <w:rPr>
          <w:rFonts w:ascii="Times New Roman" w:hAnsi="Times New Roman" w:cs="Times New Roman"/>
          <w:sz w:val="28"/>
          <w:szCs w:val="28"/>
        </w:rPr>
        <w:t>ę</w:t>
      </w:r>
      <w:r w:rsidRPr="00AB2068">
        <w:rPr>
          <w:rFonts w:ascii="Times New Roman" w:hAnsi="Times New Roman" w:cs="Times New Roman"/>
          <w:sz w:val="28"/>
          <w:szCs w:val="28"/>
        </w:rPr>
        <w:t xml:space="preserve"> informującą o względności wybranych charakterystyk obiektu mierzonego w stosunku do innych obiektów, stanów i procesów. W ujęciu bardziej szczegółowym trzeba tu dodać reprezentatywność danego wskaźnika i jego porównywalność w czasie, która wprost oddaje zmiany stanów mierzonego obiektu. Każdorazowo w mierzeniu dowolnego wskaźnika mamy przy tym do czynienia z: obiektem mierzonym, narzędziem pomiarowym, zastosowaniem i uzyskiwanym dzięki niemu korzyściom oraz jego odwzorowaniem w pewnej konstrukcji nadrzędnej. Przykładowo, w PROW występują, interwencje polegające na dotowaniu modernizacji gospodarstw rolniczych. Do oceny ich skuteczności, efektywności oraz wpływów stosuje się mniej lub bardziej rozbudowane zestawy wskaźników szczegółowych. </w:t>
      </w:r>
      <w:r w:rsidRPr="00AB2068">
        <w:rPr>
          <w:rFonts w:ascii="Times New Roman" w:hAnsi="Times New Roman" w:cs="Times New Roman"/>
          <w:sz w:val="28"/>
          <w:szCs w:val="28"/>
        </w:rPr>
        <w:lastRenderedPageBreak/>
        <w:t>Można je jednak uogólnić, próbując na ich podstawie odnieść się do kwestii tak fundamentalnych, jak: trwałość i żywotność, zrównoważenie, rezyliencja czy konkurencyjność gospodarstw. Postępując w ten sposób, możemy bliżej opisać stany faktyczne i kategorie z reguły trudno mierzalne oraz wielowymiarowe i dynamiczne. Dzieje się tak, gdy wskaźnik łączy obiekt mierzony z kategorią szerszą, wcześniej zdefiniowaną. Przyporządkowanie to jest tym bardziej precyzyjne, jeśli różnice między obiektem mierzonym a kryteriami do tego zastosowanymi są większe. Stąd mamy prosty wniosek: wskaźniki pośrednio odzwierciedlają stany rzeczy.</w:t>
      </w:r>
    </w:p>
    <w:p w14:paraId="4A35A670" w14:textId="77777777" w:rsidR="00BB6190" w:rsidRPr="00AB2068" w:rsidRDefault="00BB6190" w:rsidP="00BB6190">
      <w:pPr>
        <w:ind w:firstLine="708"/>
        <w:jc w:val="both"/>
        <w:rPr>
          <w:rFonts w:ascii="Times New Roman" w:hAnsi="Times New Roman" w:cs="Times New Roman"/>
          <w:sz w:val="28"/>
          <w:szCs w:val="28"/>
        </w:rPr>
      </w:pPr>
      <w:r w:rsidRPr="00AB2068">
        <w:rPr>
          <w:rFonts w:ascii="Times New Roman" w:hAnsi="Times New Roman" w:cs="Times New Roman"/>
          <w:sz w:val="28"/>
          <w:szCs w:val="28"/>
        </w:rPr>
        <w:t>Z powyższego ustalenia wynika, że związek między ogólniejszą kategorią a wskaźnikiem można uzasadnić w pierwszym rzędzie w oparciu o reguły naukowego wnioskowania, ale trudniej dzieje się to na gruncie empirycznym. Problem znacznie się jednak upraszcza, gdy zastosujemy jeszcze inne wskaźniki i kryteria oraz odwołamy się nawet do jakiejś ogólnej wiedzy co do różnic mi</w:t>
      </w:r>
      <w:r>
        <w:rPr>
          <w:rFonts w:ascii="Times New Roman" w:hAnsi="Times New Roman" w:cs="Times New Roman"/>
          <w:sz w:val="28"/>
          <w:szCs w:val="28"/>
        </w:rPr>
        <w:t>ę</w:t>
      </w:r>
      <w:r w:rsidRPr="00AB2068">
        <w:rPr>
          <w:rFonts w:ascii="Times New Roman" w:hAnsi="Times New Roman" w:cs="Times New Roman"/>
          <w:sz w:val="28"/>
          <w:szCs w:val="28"/>
        </w:rPr>
        <w:t>dzy ogólnymi konstruktami. Wciąż mimo to obowiązuje zasada, iż przyporządkowanie obiektów do kategorii odbywa się poprzez wybrane kryteria. Te z kolei determinują, ile obiektów mieści się w danej kategorii, ale rozstrzygają o tym pojedynczy decydenci, korzystając każdorazowo z logicznych reguł wnioskowania i heurystyk.</w:t>
      </w:r>
    </w:p>
    <w:p w14:paraId="073EFC38" w14:textId="77777777" w:rsidR="00BB6190" w:rsidRPr="00AB2068" w:rsidRDefault="00BB6190" w:rsidP="00BB6190">
      <w:pPr>
        <w:ind w:firstLine="708"/>
        <w:jc w:val="both"/>
        <w:rPr>
          <w:rFonts w:ascii="Times New Roman" w:hAnsi="Times New Roman" w:cs="Times New Roman"/>
          <w:sz w:val="28"/>
          <w:szCs w:val="28"/>
        </w:rPr>
      </w:pPr>
      <w:r w:rsidRPr="00AB2068">
        <w:rPr>
          <w:rFonts w:ascii="Times New Roman" w:hAnsi="Times New Roman" w:cs="Times New Roman"/>
          <w:sz w:val="28"/>
          <w:szCs w:val="28"/>
        </w:rPr>
        <w:t>Proces logicznego wiązania stanów faktycznych (mierzone obiekty) ze wskaźnikami, które trzeba zmierzyć, w literaturze nt. ewaluacji określa się terminem „operacjonalizacja” (Stockmann i Meyer, 2014). Pomiar przy tym należy rozumieć jako porównywanie obiektów. Procedura operacjonalizacji może przebiegać w czterech krokach:</w:t>
      </w:r>
    </w:p>
    <w:p w14:paraId="165EA88B" w14:textId="77777777" w:rsidR="00BB6190" w:rsidRPr="00AB2068" w:rsidRDefault="00BB6190" w:rsidP="001D0854">
      <w:pPr>
        <w:pStyle w:val="Akapitzlist"/>
        <w:numPr>
          <w:ilvl w:val="0"/>
          <w:numId w:val="39"/>
        </w:numPr>
        <w:ind w:left="426" w:hanging="426"/>
        <w:jc w:val="both"/>
        <w:rPr>
          <w:rFonts w:ascii="Times New Roman" w:hAnsi="Times New Roman" w:cs="Times New Roman"/>
          <w:sz w:val="28"/>
          <w:szCs w:val="28"/>
        </w:rPr>
      </w:pPr>
      <w:r w:rsidRPr="00AB2068">
        <w:rPr>
          <w:rFonts w:ascii="Times New Roman" w:hAnsi="Times New Roman" w:cs="Times New Roman"/>
          <w:sz w:val="28"/>
          <w:szCs w:val="28"/>
        </w:rPr>
        <w:t>Określenie dających się analizować teoretycznych konstruktów.</w:t>
      </w:r>
    </w:p>
    <w:p w14:paraId="487498D0" w14:textId="77777777" w:rsidR="00BB6190" w:rsidRPr="00AB2068" w:rsidRDefault="00BB6190" w:rsidP="001D0854">
      <w:pPr>
        <w:pStyle w:val="Akapitzlist"/>
        <w:numPr>
          <w:ilvl w:val="0"/>
          <w:numId w:val="39"/>
        </w:numPr>
        <w:ind w:left="426" w:hanging="426"/>
        <w:jc w:val="both"/>
        <w:rPr>
          <w:rFonts w:ascii="Times New Roman" w:hAnsi="Times New Roman" w:cs="Times New Roman"/>
          <w:sz w:val="28"/>
          <w:szCs w:val="28"/>
        </w:rPr>
      </w:pPr>
      <w:r w:rsidRPr="00AB2068">
        <w:rPr>
          <w:rFonts w:ascii="Times New Roman" w:hAnsi="Times New Roman" w:cs="Times New Roman"/>
          <w:sz w:val="28"/>
          <w:szCs w:val="28"/>
        </w:rPr>
        <w:t>Ustalenie logicznie wyprowadzonych reguł powiązania (korespondencji), które nie mogą znajdywać się pod wpływem stosowanych metod pomiaru.</w:t>
      </w:r>
    </w:p>
    <w:p w14:paraId="3C1745DE" w14:textId="77777777" w:rsidR="00BB6190" w:rsidRPr="00AB2068" w:rsidRDefault="00BB6190" w:rsidP="001D0854">
      <w:pPr>
        <w:pStyle w:val="Akapitzlist"/>
        <w:numPr>
          <w:ilvl w:val="0"/>
          <w:numId w:val="39"/>
        </w:numPr>
        <w:ind w:left="426" w:hanging="426"/>
        <w:jc w:val="both"/>
        <w:rPr>
          <w:rFonts w:ascii="Times New Roman" w:hAnsi="Times New Roman" w:cs="Times New Roman"/>
          <w:sz w:val="28"/>
          <w:szCs w:val="28"/>
        </w:rPr>
      </w:pPr>
      <w:r w:rsidRPr="00AB2068">
        <w:rPr>
          <w:rFonts w:ascii="Times New Roman" w:hAnsi="Times New Roman" w:cs="Times New Roman"/>
          <w:sz w:val="28"/>
          <w:szCs w:val="28"/>
        </w:rPr>
        <w:t>Rozstrzygnięcie o liczbie wymaganych kategorii/konstruktów i reguł podporządkowania.</w:t>
      </w:r>
    </w:p>
    <w:p w14:paraId="63E03B79" w14:textId="77777777" w:rsidR="00BB6190" w:rsidRPr="00AB2068" w:rsidRDefault="00BB6190" w:rsidP="001D0854">
      <w:pPr>
        <w:pStyle w:val="Akapitzlist"/>
        <w:numPr>
          <w:ilvl w:val="0"/>
          <w:numId w:val="39"/>
        </w:numPr>
        <w:ind w:left="426" w:hanging="426"/>
        <w:jc w:val="both"/>
        <w:rPr>
          <w:rFonts w:ascii="Times New Roman" w:hAnsi="Times New Roman" w:cs="Times New Roman"/>
          <w:sz w:val="28"/>
          <w:szCs w:val="28"/>
        </w:rPr>
      </w:pPr>
      <w:r w:rsidRPr="00AB2068">
        <w:rPr>
          <w:rFonts w:ascii="Times New Roman" w:hAnsi="Times New Roman" w:cs="Times New Roman"/>
          <w:sz w:val="28"/>
          <w:szCs w:val="28"/>
        </w:rPr>
        <w:t>Wybieranie zasad odrzucania i unieważniania przyjętych reguł powiązania (Wottawa i Thierrau, 2003</w:t>
      </w:r>
      <w:r>
        <w:rPr>
          <w:rFonts w:ascii="Times New Roman" w:hAnsi="Times New Roman" w:cs="Times New Roman"/>
          <w:sz w:val="28"/>
          <w:szCs w:val="28"/>
        </w:rPr>
        <w:t>)</w:t>
      </w:r>
      <w:r w:rsidRPr="00AB2068">
        <w:rPr>
          <w:rFonts w:ascii="Times New Roman" w:hAnsi="Times New Roman" w:cs="Times New Roman"/>
          <w:sz w:val="28"/>
          <w:szCs w:val="28"/>
        </w:rPr>
        <w:t>.</w:t>
      </w:r>
    </w:p>
    <w:p w14:paraId="2C568B64" w14:textId="77777777" w:rsidR="00BB6190" w:rsidRPr="00AB2068" w:rsidRDefault="00BB6190" w:rsidP="00BB6190">
      <w:pPr>
        <w:ind w:firstLine="708"/>
        <w:jc w:val="both"/>
        <w:rPr>
          <w:rFonts w:ascii="Times New Roman" w:hAnsi="Times New Roman" w:cs="Times New Roman"/>
          <w:sz w:val="28"/>
          <w:szCs w:val="28"/>
        </w:rPr>
      </w:pPr>
      <w:r w:rsidRPr="00AB2068">
        <w:rPr>
          <w:rFonts w:ascii="Times New Roman" w:hAnsi="Times New Roman" w:cs="Times New Roman"/>
          <w:sz w:val="28"/>
          <w:szCs w:val="28"/>
        </w:rPr>
        <w:t>Ważną sprawą jest jakość operacjonalizacji, która wprost determinuje też jakość samych wskaźników ewaluacyjnych. Trzeba te rozważania koniecznie zacząć od weryfikalności teoretycznych zależności między wskaźnikami a stanami faktycznymi uogólnianymi następnie w r</w:t>
      </w:r>
      <w:r>
        <w:rPr>
          <w:rFonts w:ascii="Times New Roman" w:hAnsi="Times New Roman" w:cs="Times New Roman"/>
          <w:sz w:val="28"/>
          <w:szCs w:val="28"/>
        </w:rPr>
        <w:t>ó</w:t>
      </w:r>
      <w:r w:rsidRPr="00AB2068">
        <w:rPr>
          <w:rFonts w:ascii="Times New Roman" w:hAnsi="Times New Roman" w:cs="Times New Roman"/>
          <w:sz w:val="28"/>
          <w:szCs w:val="28"/>
        </w:rPr>
        <w:t xml:space="preserve">żne konstrukty, najczęściej wprost </w:t>
      </w:r>
      <w:r w:rsidRPr="00AB2068">
        <w:rPr>
          <w:rFonts w:ascii="Times New Roman" w:hAnsi="Times New Roman" w:cs="Times New Roman"/>
          <w:sz w:val="28"/>
          <w:szCs w:val="28"/>
        </w:rPr>
        <w:lastRenderedPageBreak/>
        <w:t>nieobserwowalne. Jeśli warunek te</w:t>
      </w:r>
      <w:r>
        <w:rPr>
          <w:rFonts w:ascii="Times New Roman" w:hAnsi="Times New Roman" w:cs="Times New Roman"/>
          <w:sz w:val="28"/>
          <w:szCs w:val="28"/>
        </w:rPr>
        <w:t>n</w:t>
      </w:r>
      <w:r w:rsidRPr="00AB2068">
        <w:rPr>
          <w:rFonts w:ascii="Times New Roman" w:hAnsi="Times New Roman" w:cs="Times New Roman"/>
          <w:sz w:val="28"/>
          <w:szCs w:val="28"/>
        </w:rPr>
        <w:t xml:space="preserve"> nie jest spełniony, to wskaźnik w najlepszym razie jest tylko narzędziem czysto technicznym. Kolejny wyznacznik dobroci operacjonalizacji i wskaźników to poprawność metodologiczna pomiarów i identyfikacji zależności. W ujęciu bardziej szczegółowym chodzi o to, żeby wskaźnik da</w:t>
      </w:r>
      <w:r>
        <w:rPr>
          <w:rFonts w:ascii="Times New Roman" w:hAnsi="Times New Roman" w:cs="Times New Roman"/>
          <w:sz w:val="28"/>
          <w:szCs w:val="28"/>
        </w:rPr>
        <w:t>ł</w:t>
      </w:r>
      <w:r w:rsidRPr="00AB2068">
        <w:rPr>
          <w:rFonts w:ascii="Times New Roman" w:hAnsi="Times New Roman" w:cs="Times New Roman"/>
          <w:sz w:val="28"/>
          <w:szCs w:val="28"/>
        </w:rPr>
        <w:t xml:space="preserve"> się zmierzyć (cecha zasadności), a przy kolejnych pomiarach rzeczą konieczną jest stosowanie takiego samego podejścia (cecha wiarygodności). Nawet spełnienie tych dwóch kryteriów cząstkowych nie przesądza jeszcze o dobrej jakości wskaźników, jeśli dają one tak rozbieżne wyniki, że nie można na ich podstawie podejmować racjonalnych decyzji lub formułować rekomendacji praktycznych. Dotykamy tu trzeciej determinanty dobrej jakości tzn. perspektywy praktycznej. Często mamy bowiem tak, że dysponujemy dobrze skonstruowanym od strony teoretycznej i metodologicznej zestawem wskaźników, ale brakuje nam dostatecznie wiarygodnych danych, czasu, funduszy i innych zasobów, żeby wdrożyć go do praktyki. Oczywiście, może </w:t>
      </w:r>
      <w:r>
        <w:rPr>
          <w:rFonts w:ascii="Times New Roman" w:hAnsi="Times New Roman" w:cs="Times New Roman"/>
          <w:sz w:val="28"/>
          <w:szCs w:val="28"/>
        </w:rPr>
        <w:t>zachodzić</w:t>
      </w:r>
      <w:r w:rsidRPr="00AB2068">
        <w:rPr>
          <w:rFonts w:ascii="Times New Roman" w:hAnsi="Times New Roman" w:cs="Times New Roman"/>
          <w:sz w:val="28"/>
          <w:szCs w:val="28"/>
        </w:rPr>
        <w:t xml:space="preserve"> też zależność odwrotna, tj. nie mamy istotnych ograniczeń zasobowych, ale nasz zestaw wskaźników nie broni się i tak na gruncie teoretycznym i metodologicznym. Wreszcie, pod uwagę musimy wziąć czwarte kryterium dobrej jakości wskaźników i operacjonalizacji, tzn. interpretowalność wskaźników, a więc musimy odwołać się do perspektywy politycznej. W tym ujęciu dobry wskaźnik to taki, który pozwala wyciągnąć sensowne wnioski i podejmować racjonalne decyzje, co zwiększa jego akceptowalność przez kluczowych interesariuszy. Niestety</w:t>
      </w:r>
      <w:r>
        <w:rPr>
          <w:rFonts w:ascii="Times New Roman" w:hAnsi="Times New Roman" w:cs="Times New Roman"/>
          <w:sz w:val="28"/>
          <w:szCs w:val="28"/>
        </w:rPr>
        <w:t>,</w:t>
      </w:r>
      <w:r w:rsidRPr="00AB2068">
        <w:rPr>
          <w:rFonts w:ascii="Times New Roman" w:hAnsi="Times New Roman" w:cs="Times New Roman"/>
          <w:sz w:val="28"/>
          <w:szCs w:val="28"/>
        </w:rPr>
        <w:t xml:space="preserve"> perspektywa polityczna kryje w sobie ryzyko w postaci zachęt do manipulowania wskaźnikami.</w:t>
      </w:r>
    </w:p>
    <w:p w14:paraId="0F2E4D87" w14:textId="77777777" w:rsidR="00BB6190" w:rsidRPr="00AB2068" w:rsidRDefault="00BB6190" w:rsidP="00BB6190">
      <w:pPr>
        <w:ind w:firstLine="708"/>
        <w:jc w:val="both"/>
        <w:rPr>
          <w:rFonts w:ascii="Times New Roman" w:hAnsi="Times New Roman" w:cs="Times New Roman"/>
          <w:sz w:val="28"/>
          <w:szCs w:val="28"/>
        </w:rPr>
      </w:pPr>
      <w:r w:rsidRPr="00AB2068">
        <w:rPr>
          <w:rFonts w:ascii="Times New Roman" w:hAnsi="Times New Roman" w:cs="Times New Roman"/>
          <w:sz w:val="28"/>
          <w:szCs w:val="28"/>
        </w:rPr>
        <w:t>Wskaźniki ewaluacyjne powinny ew</w:t>
      </w:r>
      <w:r>
        <w:rPr>
          <w:rFonts w:ascii="Times New Roman" w:hAnsi="Times New Roman" w:cs="Times New Roman"/>
          <w:sz w:val="28"/>
          <w:szCs w:val="28"/>
        </w:rPr>
        <w:t>oluować</w:t>
      </w:r>
      <w:r w:rsidRPr="00AB2068">
        <w:rPr>
          <w:rFonts w:ascii="Times New Roman" w:hAnsi="Times New Roman" w:cs="Times New Roman"/>
          <w:sz w:val="28"/>
          <w:szCs w:val="28"/>
        </w:rPr>
        <w:t xml:space="preserve"> w ślad za zmianami celów ewaluacji i potrzebami oraz oczekiwaniami zleceniodawców i pozostałych interesariuszy. To w sposób naturalny wpływa na proces przeformułowywania pytań/problemów ewaluacyjnych. Dostosowywanie do nich wskaźników powinno przebiegać jednak według pewnego wzorca. Meyer (2017) proponuje w tym momencie następującą procedurę:</w:t>
      </w:r>
    </w:p>
    <w:p w14:paraId="7E60F17B" w14:textId="77777777" w:rsidR="00BB6190" w:rsidRPr="00AB2068" w:rsidRDefault="00BB6190" w:rsidP="001D0854">
      <w:pPr>
        <w:pStyle w:val="Akapitzlist"/>
        <w:numPr>
          <w:ilvl w:val="0"/>
          <w:numId w:val="40"/>
        </w:numPr>
        <w:ind w:left="709" w:hanging="567"/>
        <w:jc w:val="both"/>
        <w:rPr>
          <w:rFonts w:ascii="Times New Roman" w:hAnsi="Times New Roman" w:cs="Times New Roman"/>
          <w:sz w:val="28"/>
          <w:szCs w:val="28"/>
        </w:rPr>
      </w:pPr>
      <w:r w:rsidRPr="00AB2068">
        <w:rPr>
          <w:rFonts w:ascii="Times New Roman" w:hAnsi="Times New Roman" w:cs="Times New Roman"/>
          <w:sz w:val="28"/>
          <w:szCs w:val="28"/>
        </w:rPr>
        <w:t>Zaprojektowanie konstruktów teoretycznych i reguł korespondencji (operacjonalizacja).</w:t>
      </w:r>
    </w:p>
    <w:p w14:paraId="681CF9C9" w14:textId="77777777" w:rsidR="00BB6190" w:rsidRPr="00AB2068" w:rsidRDefault="00BB6190" w:rsidP="001D0854">
      <w:pPr>
        <w:pStyle w:val="Akapitzlist"/>
        <w:numPr>
          <w:ilvl w:val="0"/>
          <w:numId w:val="40"/>
        </w:numPr>
        <w:ind w:left="709" w:hanging="567"/>
        <w:jc w:val="both"/>
        <w:rPr>
          <w:rFonts w:ascii="Times New Roman" w:hAnsi="Times New Roman" w:cs="Times New Roman"/>
          <w:sz w:val="28"/>
          <w:szCs w:val="28"/>
        </w:rPr>
      </w:pPr>
      <w:r w:rsidRPr="00AB2068">
        <w:rPr>
          <w:rFonts w:ascii="Times New Roman" w:hAnsi="Times New Roman" w:cs="Times New Roman"/>
          <w:sz w:val="28"/>
          <w:szCs w:val="28"/>
        </w:rPr>
        <w:t>Ustalenie stanu faktycznego i reguł przyporządkowania (zdefiniowania skal pomiarowych i kategorii).</w:t>
      </w:r>
    </w:p>
    <w:p w14:paraId="3AA788D5" w14:textId="77777777" w:rsidR="00BB6190" w:rsidRPr="00AB2068" w:rsidRDefault="00BB6190" w:rsidP="001D0854">
      <w:pPr>
        <w:pStyle w:val="Akapitzlist"/>
        <w:numPr>
          <w:ilvl w:val="0"/>
          <w:numId w:val="40"/>
        </w:numPr>
        <w:ind w:left="709" w:hanging="567"/>
        <w:jc w:val="both"/>
        <w:rPr>
          <w:rFonts w:ascii="Times New Roman" w:hAnsi="Times New Roman" w:cs="Times New Roman"/>
          <w:sz w:val="28"/>
          <w:szCs w:val="28"/>
        </w:rPr>
      </w:pPr>
      <w:r w:rsidRPr="00AB2068">
        <w:rPr>
          <w:rFonts w:ascii="Times New Roman" w:hAnsi="Times New Roman" w:cs="Times New Roman"/>
          <w:sz w:val="28"/>
          <w:szCs w:val="28"/>
        </w:rPr>
        <w:t>Zaproponowanie dających się obliczyć wskaźników, które mierzyć będą stany faktyczne (definiowanie wskaźników).</w:t>
      </w:r>
    </w:p>
    <w:p w14:paraId="48393409" w14:textId="77777777" w:rsidR="00BB6190" w:rsidRPr="00AB2068" w:rsidRDefault="00BB6190" w:rsidP="001D0854">
      <w:pPr>
        <w:pStyle w:val="Akapitzlist"/>
        <w:numPr>
          <w:ilvl w:val="0"/>
          <w:numId w:val="40"/>
        </w:numPr>
        <w:ind w:left="709" w:hanging="567"/>
        <w:jc w:val="both"/>
        <w:rPr>
          <w:rFonts w:ascii="Times New Roman" w:hAnsi="Times New Roman" w:cs="Times New Roman"/>
          <w:sz w:val="28"/>
          <w:szCs w:val="28"/>
        </w:rPr>
      </w:pPr>
      <w:r w:rsidRPr="00AB2068">
        <w:rPr>
          <w:rFonts w:ascii="Times New Roman" w:hAnsi="Times New Roman" w:cs="Times New Roman"/>
          <w:sz w:val="28"/>
          <w:szCs w:val="28"/>
        </w:rPr>
        <w:t>Rozwój instrumentów i przyjęcie metod postępowania w trakcie pomiarów (określenie metod mierzenia).</w:t>
      </w:r>
    </w:p>
    <w:p w14:paraId="558E233F" w14:textId="77777777" w:rsidR="00BB6190" w:rsidRPr="00AB2068" w:rsidRDefault="00BB6190" w:rsidP="001D0854">
      <w:pPr>
        <w:pStyle w:val="Akapitzlist"/>
        <w:numPr>
          <w:ilvl w:val="0"/>
          <w:numId w:val="40"/>
        </w:numPr>
        <w:ind w:left="709" w:hanging="567"/>
        <w:jc w:val="both"/>
        <w:rPr>
          <w:rFonts w:ascii="Times New Roman" w:hAnsi="Times New Roman" w:cs="Times New Roman"/>
          <w:sz w:val="28"/>
          <w:szCs w:val="28"/>
        </w:rPr>
      </w:pPr>
      <w:r w:rsidRPr="00AB2068">
        <w:rPr>
          <w:rFonts w:ascii="Times New Roman" w:hAnsi="Times New Roman" w:cs="Times New Roman"/>
          <w:sz w:val="28"/>
          <w:szCs w:val="28"/>
        </w:rPr>
        <w:lastRenderedPageBreak/>
        <w:t>Pozyskanie danych i obliczanie wskaźników (testy wstępne).</w:t>
      </w:r>
    </w:p>
    <w:p w14:paraId="48EB09E5" w14:textId="77777777" w:rsidR="00BB6190" w:rsidRPr="00AB2068" w:rsidRDefault="00BB6190" w:rsidP="001D0854">
      <w:pPr>
        <w:pStyle w:val="Akapitzlist"/>
        <w:numPr>
          <w:ilvl w:val="0"/>
          <w:numId w:val="40"/>
        </w:numPr>
        <w:ind w:left="709" w:hanging="567"/>
        <w:jc w:val="both"/>
        <w:rPr>
          <w:rFonts w:ascii="Times New Roman" w:hAnsi="Times New Roman" w:cs="Times New Roman"/>
          <w:sz w:val="28"/>
          <w:szCs w:val="28"/>
        </w:rPr>
      </w:pPr>
      <w:r w:rsidRPr="00AB2068">
        <w:rPr>
          <w:rFonts w:ascii="Times New Roman" w:hAnsi="Times New Roman" w:cs="Times New Roman"/>
          <w:sz w:val="28"/>
          <w:szCs w:val="28"/>
        </w:rPr>
        <w:t>Ewaluacja czynności pomiarowych i problemów z pozyskaniem danych (ocena jakości wskaźników).</w:t>
      </w:r>
    </w:p>
    <w:p w14:paraId="7BE76024" w14:textId="77777777" w:rsidR="00BB6190" w:rsidRPr="00AB2068" w:rsidRDefault="00BB6190" w:rsidP="001D0854">
      <w:pPr>
        <w:pStyle w:val="Akapitzlist"/>
        <w:numPr>
          <w:ilvl w:val="0"/>
          <w:numId w:val="40"/>
        </w:numPr>
        <w:ind w:left="709" w:hanging="567"/>
        <w:jc w:val="both"/>
        <w:rPr>
          <w:rFonts w:ascii="Times New Roman" w:hAnsi="Times New Roman" w:cs="Times New Roman"/>
          <w:sz w:val="28"/>
          <w:szCs w:val="28"/>
        </w:rPr>
      </w:pPr>
      <w:r w:rsidRPr="00AB2068">
        <w:rPr>
          <w:rFonts w:ascii="Times New Roman" w:hAnsi="Times New Roman" w:cs="Times New Roman"/>
          <w:sz w:val="28"/>
          <w:szCs w:val="28"/>
        </w:rPr>
        <w:t>Decyzje co do przyjęcia dalszego rozwoju lub odrzucenia wskaźników (ostateczny wybór odpowiednich wskaźników).</w:t>
      </w:r>
    </w:p>
    <w:p w14:paraId="76604FFE" w14:textId="77777777" w:rsidR="00BB6190" w:rsidRPr="00AB2068" w:rsidRDefault="00BB6190" w:rsidP="00BB6190">
      <w:pPr>
        <w:jc w:val="both"/>
        <w:rPr>
          <w:rFonts w:ascii="Times New Roman" w:hAnsi="Times New Roman" w:cs="Times New Roman"/>
          <w:sz w:val="28"/>
          <w:szCs w:val="28"/>
        </w:rPr>
      </w:pPr>
      <w:r w:rsidRPr="00AB2068">
        <w:rPr>
          <w:rFonts w:ascii="Times New Roman" w:hAnsi="Times New Roman" w:cs="Times New Roman"/>
          <w:sz w:val="28"/>
          <w:szCs w:val="28"/>
        </w:rPr>
        <w:t>To podejście siedmiokrokowe daje szansę, że praca ewaluatorów będzie skuteczna i efektywna dzięki skoncentrowaniu się na kwestiach istotnych i działaniach przemyślanych. W ten sposób mamy też logiczny pomost do zajęcia się problemami skal pomiarowych, a więc sprowadzania wielu kategorii do bardziej ogólnego jednego wymiaru.</w:t>
      </w:r>
    </w:p>
    <w:p w14:paraId="1FC32E2D" w14:textId="77777777" w:rsidR="00BB6190" w:rsidRPr="00AB2068" w:rsidRDefault="00BB6190" w:rsidP="00BB6190">
      <w:pPr>
        <w:ind w:firstLine="708"/>
        <w:jc w:val="both"/>
        <w:rPr>
          <w:rFonts w:ascii="Times New Roman" w:hAnsi="Times New Roman" w:cs="Times New Roman"/>
          <w:sz w:val="28"/>
          <w:szCs w:val="28"/>
        </w:rPr>
      </w:pPr>
      <w:r w:rsidRPr="00AB2068">
        <w:rPr>
          <w:rFonts w:ascii="Times New Roman" w:hAnsi="Times New Roman" w:cs="Times New Roman"/>
          <w:sz w:val="28"/>
          <w:szCs w:val="28"/>
        </w:rPr>
        <w:t>Korzystanie z wielu wskaźników z reguły utrudnia wypracowanie sobie syntetycznego poglądu nt. przedmiotu ewaluacji i rozmaitych stanów faktycznych. Stąd też naturalną rzeczą jest poszukiwanie przez ludzi narzędzi, które maj</w:t>
      </w:r>
      <w:r>
        <w:rPr>
          <w:rFonts w:ascii="Times New Roman" w:hAnsi="Times New Roman" w:cs="Times New Roman"/>
          <w:sz w:val="28"/>
          <w:szCs w:val="28"/>
        </w:rPr>
        <w:t>ą</w:t>
      </w:r>
      <w:r w:rsidRPr="00AB2068">
        <w:rPr>
          <w:rFonts w:ascii="Times New Roman" w:hAnsi="Times New Roman" w:cs="Times New Roman"/>
          <w:sz w:val="28"/>
          <w:szCs w:val="28"/>
        </w:rPr>
        <w:t xml:space="preserve"> zaradzić tej niedogodności. W dużym stopniu są nimi indeksy, czyli kombinacje wielu wskaźników, które wyrażają jedną liczbą /skalą różne wymiary wspomnianych wcześniej konstruktów teoretycznych (Stockmann i Meyer, 2014). To jest ich podstawowa zaleta, </w:t>
      </w:r>
      <w:r>
        <w:rPr>
          <w:rFonts w:ascii="Times New Roman" w:hAnsi="Times New Roman" w:cs="Times New Roman"/>
          <w:sz w:val="28"/>
          <w:szCs w:val="28"/>
        </w:rPr>
        <w:t>czyli</w:t>
      </w:r>
      <w:r w:rsidRPr="00AB2068">
        <w:rPr>
          <w:rFonts w:ascii="Times New Roman" w:hAnsi="Times New Roman" w:cs="Times New Roman"/>
          <w:sz w:val="28"/>
          <w:szCs w:val="28"/>
        </w:rPr>
        <w:t xml:space="preserve"> upraszczanie złożoności i nadawanie jej cechy przejrzystości. Ceną za to jest z reguły</w:t>
      </w:r>
      <w:r>
        <w:rPr>
          <w:rFonts w:ascii="Times New Roman" w:hAnsi="Times New Roman" w:cs="Times New Roman"/>
          <w:sz w:val="28"/>
          <w:szCs w:val="28"/>
        </w:rPr>
        <w:t xml:space="preserve"> jednak</w:t>
      </w:r>
      <w:r w:rsidRPr="00AB2068">
        <w:rPr>
          <w:rFonts w:ascii="Times New Roman" w:hAnsi="Times New Roman" w:cs="Times New Roman"/>
          <w:sz w:val="28"/>
          <w:szCs w:val="28"/>
        </w:rPr>
        <w:t xml:space="preserve"> wysoki koszt opracowania indeksu. Poza tym ich znaczny stopień abstrakcji i uogólniania stwarza problemy interpretacyjne i może być przeszkodą w ich szerokim stosowaniu.</w:t>
      </w:r>
    </w:p>
    <w:p w14:paraId="1DCF2700" w14:textId="77777777" w:rsidR="00BB6190" w:rsidRPr="00AB2068" w:rsidRDefault="00BB6190" w:rsidP="00BB6190">
      <w:pPr>
        <w:ind w:firstLine="708"/>
        <w:jc w:val="both"/>
        <w:rPr>
          <w:rFonts w:ascii="Times New Roman" w:hAnsi="Times New Roman" w:cs="Times New Roman"/>
          <w:sz w:val="28"/>
          <w:szCs w:val="28"/>
        </w:rPr>
      </w:pPr>
      <w:r w:rsidRPr="00AB2068">
        <w:rPr>
          <w:rFonts w:ascii="Times New Roman" w:hAnsi="Times New Roman" w:cs="Times New Roman"/>
          <w:sz w:val="28"/>
          <w:szCs w:val="28"/>
        </w:rPr>
        <w:t>Najczęstszą metodą konstruowania indeksów jest łączenie wartości liczbowych poszczególnych wskaźników, co wymaga ujednolicenia (standaryzacji) używanych dla nich skal pomiarowych. Powszechnie w takiej transformacji wykorzystuje się rachunek procentu. Najprostsze jest podzielenie konkretnej wartości dla wskaźnika wchodzącego w skład indeksu przez obserwowany maksymalny jego odczyt. Uzyskujemy w ten sposób skalę od zera do 100%. Równoważny dla niej jest przedział zamknięty od zera do jeden. Wynika z tego, że indeks odzwierciedla sytuację w danym momencie i tylko dla określonej populacji jednostek. Poza tym z faktu, że jakaś kategoria osiąga poziom maksymalny</w:t>
      </w:r>
      <w:r>
        <w:rPr>
          <w:rFonts w:ascii="Times New Roman" w:hAnsi="Times New Roman" w:cs="Times New Roman"/>
          <w:sz w:val="28"/>
          <w:szCs w:val="28"/>
        </w:rPr>
        <w:t>,</w:t>
      </w:r>
      <w:r w:rsidRPr="00AB2068">
        <w:rPr>
          <w:rFonts w:ascii="Times New Roman" w:hAnsi="Times New Roman" w:cs="Times New Roman"/>
          <w:sz w:val="28"/>
          <w:szCs w:val="28"/>
        </w:rPr>
        <w:t xml:space="preserve"> nie</w:t>
      </w:r>
      <w:r>
        <w:rPr>
          <w:rFonts w:ascii="Times New Roman" w:hAnsi="Times New Roman" w:cs="Times New Roman"/>
          <w:sz w:val="28"/>
          <w:szCs w:val="28"/>
        </w:rPr>
        <w:t xml:space="preserve"> wynika wprost,</w:t>
      </w:r>
      <w:r w:rsidRPr="00AB2068">
        <w:rPr>
          <w:rFonts w:ascii="Times New Roman" w:hAnsi="Times New Roman" w:cs="Times New Roman"/>
          <w:sz w:val="28"/>
          <w:szCs w:val="28"/>
        </w:rPr>
        <w:t xml:space="preserve"> </w:t>
      </w:r>
      <w:r>
        <w:rPr>
          <w:rFonts w:ascii="Times New Roman" w:hAnsi="Times New Roman" w:cs="Times New Roman"/>
          <w:sz w:val="28"/>
          <w:szCs w:val="28"/>
        </w:rPr>
        <w:t>iż</w:t>
      </w:r>
      <w:r w:rsidRPr="00AB2068">
        <w:rPr>
          <w:rFonts w:ascii="Times New Roman" w:hAnsi="Times New Roman" w:cs="Times New Roman"/>
          <w:sz w:val="28"/>
          <w:szCs w:val="28"/>
        </w:rPr>
        <w:t xml:space="preserve"> jest to stan optymalny. Trzeba ponadto zwrócić uwagę na to, że addytywne łączenie dwóch szeregów liczbowych zakłada, iż odzwierciedlane w nich zmienne maj</w:t>
      </w:r>
      <w:r>
        <w:rPr>
          <w:rFonts w:ascii="Times New Roman" w:hAnsi="Times New Roman" w:cs="Times New Roman"/>
          <w:sz w:val="28"/>
          <w:szCs w:val="28"/>
        </w:rPr>
        <w:t>ą</w:t>
      </w:r>
      <w:r w:rsidRPr="00AB2068">
        <w:rPr>
          <w:rFonts w:ascii="Times New Roman" w:hAnsi="Times New Roman" w:cs="Times New Roman"/>
          <w:sz w:val="28"/>
          <w:szCs w:val="28"/>
        </w:rPr>
        <w:t xml:space="preserve"> równomierny rozkład statystyczny. Generalnie zachodzi przy tym, że wraz ze wzrostem zróżnicowania skal pomiarowych dotyczących poszczególnych wskaźników ich transformacja do skali zestandaryzowanej staje się coraz bardziej złożona i obciążona większym ryzykiem.</w:t>
      </w:r>
    </w:p>
    <w:p w14:paraId="2F17FCC0" w14:textId="77777777" w:rsidR="00BB6190" w:rsidRDefault="00BB6190" w:rsidP="00BB6190">
      <w:pPr>
        <w:ind w:firstLine="708"/>
        <w:jc w:val="both"/>
        <w:rPr>
          <w:rFonts w:ascii="Times New Roman" w:hAnsi="Times New Roman" w:cs="Times New Roman"/>
        </w:rPr>
      </w:pPr>
      <w:r w:rsidRPr="00AB2068">
        <w:rPr>
          <w:rFonts w:ascii="Times New Roman" w:hAnsi="Times New Roman" w:cs="Times New Roman"/>
          <w:sz w:val="28"/>
          <w:szCs w:val="28"/>
        </w:rPr>
        <w:lastRenderedPageBreak/>
        <w:t>W ujęciu jeszcze bardziej szczegółowym tworzenie indeksu i transformacja skal pomiarowych wymaga posługiwania się określonymi regułami łączenia pojedynczych wskaźników. Poza rachunkiem procentu stosuje się tu podstawowe operacje matematyczne: dodawanie, odejmowanie, mnożenie, logarytmowanie itd. Sytuacja się komplikuje, gdy badacz/ewaluator chce zastosować indeks ważony. Z reguły wtedy pojawia się komponent subiektywnych preferencji odnośnie poszczególnych wskaźników szczegółowych. W ślad za tym indeksy ważone wymagają jeszcze większej staranności w ich konstruowaniu i interpretacji niż indeksy proste. W praktyce nie jest to łatwe, gdyż wiele kwestii</w:t>
      </w:r>
      <w:r>
        <w:rPr>
          <w:rFonts w:ascii="Times New Roman" w:hAnsi="Times New Roman" w:cs="Times New Roman"/>
          <w:sz w:val="28"/>
          <w:szCs w:val="28"/>
        </w:rPr>
        <w:t xml:space="preserve"> tu</w:t>
      </w:r>
      <w:r w:rsidRPr="00AB2068">
        <w:rPr>
          <w:rFonts w:ascii="Times New Roman" w:hAnsi="Times New Roman" w:cs="Times New Roman"/>
          <w:sz w:val="28"/>
          <w:szCs w:val="28"/>
        </w:rPr>
        <w:t xml:space="preserve"> wciąż</w:t>
      </w:r>
      <w:r>
        <w:rPr>
          <w:rFonts w:ascii="Times New Roman" w:hAnsi="Times New Roman" w:cs="Times New Roman"/>
          <w:sz w:val="28"/>
          <w:szCs w:val="28"/>
        </w:rPr>
        <w:t xml:space="preserve"> występujących</w:t>
      </w:r>
      <w:r w:rsidRPr="00AB2068">
        <w:rPr>
          <w:rFonts w:ascii="Times New Roman" w:hAnsi="Times New Roman" w:cs="Times New Roman"/>
          <w:sz w:val="28"/>
          <w:szCs w:val="28"/>
        </w:rPr>
        <w:t xml:space="preserve"> czeka na zadowalające rozwiązania teoretyczne. To powoduje, iż badacze i ewaluatorzy zmuszeni są do przyjmowania określonych założeń normatywnych, niekoniecznie intersubiektywnie obiektywizowanych</w:t>
      </w:r>
      <w:r>
        <w:rPr>
          <w:rFonts w:ascii="Times New Roman" w:hAnsi="Times New Roman" w:cs="Times New Roman"/>
        </w:rPr>
        <w:t>.</w:t>
      </w:r>
    </w:p>
    <w:p w14:paraId="77C55B95" w14:textId="77777777" w:rsidR="00BB6190" w:rsidRDefault="00BB6190" w:rsidP="00BB6190">
      <w:pPr>
        <w:ind w:firstLine="708"/>
        <w:jc w:val="both"/>
        <w:rPr>
          <w:rFonts w:ascii="Times New Roman" w:hAnsi="Times New Roman" w:cs="Times New Roman"/>
          <w:sz w:val="28"/>
          <w:szCs w:val="28"/>
        </w:rPr>
      </w:pPr>
      <w:r w:rsidRPr="00AB2068">
        <w:rPr>
          <w:rFonts w:ascii="Times New Roman" w:hAnsi="Times New Roman" w:cs="Times New Roman"/>
          <w:sz w:val="28"/>
          <w:szCs w:val="28"/>
        </w:rPr>
        <w:t>W ocenie dowolnego wskaźnika ewaluacyjnego, jego zbioru czy agregatu wskaźników w postaci indeksu zawsze występują</w:t>
      </w:r>
      <w:r>
        <w:rPr>
          <w:rFonts w:ascii="Times New Roman" w:hAnsi="Times New Roman" w:cs="Times New Roman"/>
          <w:sz w:val="28"/>
          <w:szCs w:val="28"/>
        </w:rPr>
        <w:t xml:space="preserve"> warstwy analityczna i normatywna, subiektywna. W pierwszym przypadku ewaluator ma do dyspozycji ogólnie z góry przyjęte i przez większość akceptowane kryteria i wartości progowe. Inaczej jest natomiast w odniesieniu do ocen normatywnych. Przeanalizujmy jednak bliżej te dwie warstwy, korzystając z prac Bouviera (2018) i Schanera (2008).</w:t>
      </w:r>
    </w:p>
    <w:p w14:paraId="695759E3" w14:textId="77777777" w:rsidR="00BB6190" w:rsidRDefault="00BB6190" w:rsidP="00BB6190">
      <w:pPr>
        <w:ind w:firstLine="708"/>
        <w:rPr>
          <w:rFonts w:ascii="Times New Roman" w:hAnsi="Times New Roman" w:cs="Times New Roman"/>
          <w:sz w:val="28"/>
          <w:szCs w:val="28"/>
        </w:rPr>
      </w:pPr>
      <w:r>
        <w:rPr>
          <w:rFonts w:ascii="Times New Roman" w:hAnsi="Times New Roman" w:cs="Times New Roman"/>
          <w:sz w:val="28"/>
          <w:szCs w:val="28"/>
        </w:rPr>
        <w:t>Ocena analityczna ma cztery poniższe charakterystyki:</w:t>
      </w:r>
    </w:p>
    <w:p w14:paraId="572055EB" w14:textId="77777777" w:rsidR="00BB6190" w:rsidRDefault="00BB6190" w:rsidP="001D0854">
      <w:pPr>
        <w:pStyle w:val="Akapitzlist"/>
        <w:numPr>
          <w:ilvl w:val="0"/>
          <w:numId w:val="41"/>
        </w:numPr>
        <w:ind w:left="567" w:hanging="567"/>
        <w:jc w:val="both"/>
        <w:rPr>
          <w:rFonts w:ascii="Times New Roman" w:hAnsi="Times New Roman" w:cs="Times New Roman"/>
          <w:sz w:val="28"/>
          <w:szCs w:val="28"/>
        </w:rPr>
      </w:pPr>
      <w:r>
        <w:rPr>
          <w:rFonts w:ascii="Times New Roman" w:hAnsi="Times New Roman" w:cs="Times New Roman"/>
          <w:sz w:val="28"/>
          <w:szCs w:val="28"/>
        </w:rPr>
        <w:t>Polega na zastosowaniu jednoznacznych kryteriów.</w:t>
      </w:r>
    </w:p>
    <w:p w14:paraId="0E8D0D43" w14:textId="77777777" w:rsidR="00BB6190" w:rsidRDefault="00BB6190" w:rsidP="001D0854">
      <w:pPr>
        <w:pStyle w:val="Akapitzlist"/>
        <w:numPr>
          <w:ilvl w:val="0"/>
          <w:numId w:val="41"/>
        </w:numPr>
        <w:ind w:left="567" w:hanging="567"/>
        <w:jc w:val="both"/>
        <w:rPr>
          <w:rFonts w:ascii="Times New Roman" w:hAnsi="Times New Roman" w:cs="Times New Roman"/>
          <w:sz w:val="28"/>
          <w:szCs w:val="28"/>
        </w:rPr>
      </w:pPr>
      <w:r>
        <w:rPr>
          <w:rFonts w:ascii="Times New Roman" w:hAnsi="Times New Roman" w:cs="Times New Roman"/>
          <w:sz w:val="28"/>
          <w:szCs w:val="28"/>
        </w:rPr>
        <w:t>Przyjmuje się w niej z góry określone wartości progowe, względem których identyfikuje się wynik dodatni lub negatywny.</w:t>
      </w:r>
    </w:p>
    <w:p w14:paraId="5442849A" w14:textId="77777777" w:rsidR="00BB6190" w:rsidRDefault="00BB6190" w:rsidP="001D0854">
      <w:pPr>
        <w:pStyle w:val="Akapitzlist"/>
        <w:numPr>
          <w:ilvl w:val="0"/>
          <w:numId w:val="41"/>
        </w:numPr>
        <w:ind w:left="567" w:hanging="567"/>
        <w:jc w:val="both"/>
        <w:rPr>
          <w:rFonts w:ascii="Times New Roman" w:hAnsi="Times New Roman" w:cs="Times New Roman"/>
          <w:sz w:val="28"/>
          <w:szCs w:val="28"/>
        </w:rPr>
      </w:pPr>
      <w:r>
        <w:rPr>
          <w:rFonts w:ascii="Times New Roman" w:hAnsi="Times New Roman" w:cs="Times New Roman"/>
          <w:sz w:val="28"/>
          <w:szCs w:val="28"/>
        </w:rPr>
        <w:t>Osiągnięcie wartości progowych ustala się na podstawie testów.</w:t>
      </w:r>
    </w:p>
    <w:p w14:paraId="16E5E9CE" w14:textId="77777777" w:rsidR="00BB6190" w:rsidRDefault="00BB6190" w:rsidP="001D0854">
      <w:pPr>
        <w:pStyle w:val="Akapitzlist"/>
        <w:numPr>
          <w:ilvl w:val="0"/>
          <w:numId w:val="41"/>
        </w:numPr>
        <w:ind w:left="567" w:hanging="567"/>
        <w:jc w:val="both"/>
        <w:rPr>
          <w:rFonts w:ascii="Times New Roman" w:hAnsi="Times New Roman" w:cs="Times New Roman"/>
          <w:sz w:val="28"/>
          <w:szCs w:val="28"/>
        </w:rPr>
      </w:pPr>
      <w:r>
        <w:rPr>
          <w:rFonts w:ascii="Times New Roman" w:hAnsi="Times New Roman" w:cs="Times New Roman"/>
          <w:sz w:val="28"/>
          <w:szCs w:val="28"/>
        </w:rPr>
        <w:t>Wyniki testów porównuje się z wartościami progowymi.</w:t>
      </w:r>
    </w:p>
    <w:p w14:paraId="0D473FDB" w14:textId="77777777" w:rsidR="00BB6190" w:rsidRDefault="00BB6190" w:rsidP="00BB6190">
      <w:pPr>
        <w:ind w:firstLine="708"/>
        <w:rPr>
          <w:rFonts w:ascii="Times New Roman" w:hAnsi="Times New Roman" w:cs="Times New Roman"/>
          <w:sz w:val="28"/>
          <w:szCs w:val="28"/>
        </w:rPr>
      </w:pPr>
      <w:r>
        <w:rPr>
          <w:rFonts w:ascii="Times New Roman" w:hAnsi="Times New Roman" w:cs="Times New Roman"/>
          <w:sz w:val="28"/>
          <w:szCs w:val="28"/>
        </w:rPr>
        <w:t>Z kolei ocenę normatywną opisać można następująco:</w:t>
      </w:r>
    </w:p>
    <w:p w14:paraId="01697AFF" w14:textId="77777777" w:rsidR="00BB6190" w:rsidRDefault="00BB6190" w:rsidP="001D0854">
      <w:pPr>
        <w:pStyle w:val="Akapitzlist"/>
        <w:numPr>
          <w:ilvl w:val="0"/>
          <w:numId w:val="42"/>
        </w:numPr>
        <w:ind w:left="567" w:hanging="567"/>
        <w:jc w:val="both"/>
        <w:rPr>
          <w:rFonts w:ascii="Times New Roman" w:hAnsi="Times New Roman" w:cs="Times New Roman"/>
          <w:sz w:val="28"/>
          <w:szCs w:val="28"/>
        </w:rPr>
      </w:pPr>
      <w:r>
        <w:rPr>
          <w:rFonts w:ascii="Times New Roman" w:hAnsi="Times New Roman" w:cs="Times New Roman"/>
          <w:sz w:val="28"/>
          <w:szCs w:val="28"/>
        </w:rPr>
        <w:t>jej kryteria dobiera i zmienia się ad hoc, nawet w trakcie przeprowadzania pomiarów.</w:t>
      </w:r>
    </w:p>
    <w:p w14:paraId="46A03239" w14:textId="77777777" w:rsidR="00BB6190" w:rsidRDefault="00BB6190" w:rsidP="001D0854">
      <w:pPr>
        <w:pStyle w:val="Akapitzlist"/>
        <w:numPr>
          <w:ilvl w:val="0"/>
          <w:numId w:val="42"/>
        </w:numPr>
        <w:ind w:left="567" w:hanging="567"/>
        <w:jc w:val="both"/>
        <w:rPr>
          <w:rFonts w:ascii="Times New Roman" w:hAnsi="Times New Roman" w:cs="Times New Roman"/>
          <w:sz w:val="28"/>
          <w:szCs w:val="28"/>
        </w:rPr>
      </w:pPr>
      <w:r>
        <w:rPr>
          <w:rFonts w:ascii="Times New Roman" w:hAnsi="Times New Roman" w:cs="Times New Roman"/>
          <w:sz w:val="28"/>
          <w:szCs w:val="28"/>
        </w:rPr>
        <w:t>nie ma tu jasnego poglądu co do wyniku pozytywnego lub negatywnego, a więc tym samym nie są ustalone jednoznaczne i dające się zweryfikować wartości progowe.</w:t>
      </w:r>
    </w:p>
    <w:p w14:paraId="0AB38748" w14:textId="77777777" w:rsidR="00BB6190" w:rsidRDefault="00BB6190" w:rsidP="001D0854">
      <w:pPr>
        <w:pStyle w:val="Akapitzlist"/>
        <w:numPr>
          <w:ilvl w:val="0"/>
          <w:numId w:val="42"/>
        </w:numPr>
        <w:ind w:left="567" w:hanging="567"/>
        <w:jc w:val="both"/>
        <w:rPr>
          <w:rFonts w:ascii="Times New Roman" w:hAnsi="Times New Roman" w:cs="Times New Roman"/>
          <w:sz w:val="28"/>
          <w:szCs w:val="28"/>
        </w:rPr>
      </w:pPr>
      <w:r>
        <w:rPr>
          <w:rFonts w:ascii="Times New Roman" w:hAnsi="Times New Roman" w:cs="Times New Roman"/>
          <w:sz w:val="28"/>
          <w:szCs w:val="28"/>
        </w:rPr>
        <w:t>ewentualne testy sprawdzające nie odnoszą się wprost do kryterium oceny ani do wartości referencyjnych, gdyż często wykonuje się je również ad hoc w oparciu o nieprecyzyjne subiektywne zasady.</w:t>
      </w:r>
    </w:p>
    <w:p w14:paraId="24599A8B" w14:textId="77777777" w:rsidR="00BB6190" w:rsidRPr="009D0174" w:rsidRDefault="00BB6190" w:rsidP="001D0854">
      <w:pPr>
        <w:pStyle w:val="Akapitzlist"/>
        <w:numPr>
          <w:ilvl w:val="0"/>
          <w:numId w:val="42"/>
        </w:numPr>
        <w:ind w:left="567" w:hanging="567"/>
        <w:jc w:val="both"/>
        <w:rPr>
          <w:rFonts w:ascii="Times New Roman" w:hAnsi="Times New Roman" w:cs="Times New Roman"/>
          <w:sz w:val="28"/>
          <w:szCs w:val="28"/>
        </w:rPr>
      </w:pPr>
      <w:r>
        <w:rPr>
          <w:rFonts w:ascii="Times New Roman" w:hAnsi="Times New Roman" w:cs="Times New Roman"/>
          <w:sz w:val="28"/>
          <w:szCs w:val="28"/>
        </w:rPr>
        <w:lastRenderedPageBreak/>
        <w:t>porównania najczęściej dokonywane są dopiero po testowaniu i czasami przy uwzględnieniu opinii innych osób, co, paradoksalnie, ułatwia osiąganie podobnych wniosków.</w:t>
      </w:r>
    </w:p>
    <w:p w14:paraId="1C8A819E" w14:textId="77777777" w:rsidR="00BB6190" w:rsidRDefault="00BB6190" w:rsidP="00BB6190">
      <w:pPr>
        <w:ind w:firstLine="708"/>
        <w:jc w:val="both"/>
        <w:rPr>
          <w:rFonts w:ascii="Times New Roman" w:hAnsi="Times New Roman" w:cs="Times New Roman"/>
          <w:sz w:val="28"/>
          <w:szCs w:val="28"/>
        </w:rPr>
      </w:pPr>
      <w:r w:rsidRPr="001C1E0C">
        <w:rPr>
          <w:rFonts w:ascii="Times New Roman" w:hAnsi="Times New Roman" w:cs="Times New Roman"/>
          <w:sz w:val="28"/>
          <w:szCs w:val="28"/>
        </w:rPr>
        <w:t>Wpra</w:t>
      </w:r>
      <w:r>
        <w:rPr>
          <w:rFonts w:ascii="Times New Roman" w:hAnsi="Times New Roman" w:cs="Times New Roman"/>
          <w:sz w:val="28"/>
          <w:szCs w:val="28"/>
        </w:rPr>
        <w:t>wdzie w codziennych zachowaniach ludzi powszechnie używa się obydwu perspektyw ocennych, to jednak w podejściu naukowym, a więc i w ewaluacji opartej o jakąś teorię lub kombinację teorii programu, pierwszeństwo powinno się przyznawać ocenie analitycznej. Tu z góry powinniśmy przyjmować zobiektywizowane, zrozumiałe i sprawdzalne kryteria, wartości progowe i reguły decyzyjne stosowane w sposób systematyczny.</w:t>
      </w:r>
    </w:p>
    <w:p w14:paraId="089B49F1" w14:textId="77777777" w:rsidR="00BB6190" w:rsidRDefault="00BB6190" w:rsidP="00BB6190">
      <w:pPr>
        <w:ind w:firstLine="708"/>
        <w:jc w:val="both"/>
        <w:rPr>
          <w:rFonts w:ascii="Times New Roman" w:hAnsi="Times New Roman" w:cs="Times New Roman"/>
          <w:sz w:val="28"/>
          <w:szCs w:val="28"/>
        </w:rPr>
      </w:pPr>
      <w:r>
        <w:rPr>
          <w:rFonts w:ascii="Times New Roman" w:hAnsi="Times New Roman" w:cs="Times New Roman"/>
          <w:sz w:val="28"/>
          <w:szCs w:val="28"/>
        </w:rPr>
        <w:t>Interpretacja danych powinna być, ogólnie rzecz biorąc, uwolniona od aspektów normatywnych. Zamiast tego badacz/ewaluator powinien koncentrować się na porównaniach neutralnych i weryfikowalnych na podstawie ustalonych wzorców, posługując się zasadami statystyki oraz regułami hermeneutyki, czyli w istocie sztuką objaśniania różnego typu tekstów. W przypadku statystyki, a więc pomiaru ilościowego, w pierwszym rzędzie chodzi o rozmaite testy istotności, których podstawowym celem jest minimalizowanie przypadkowości uzyskiwanych wyników (Bouvier, 2018). Hermeneutyka dotyczy natomiast badań jakościowych. Problem z hermeneutyką polega głównie na tym, że ujmować można ją w sensie ogólnym jako umiejętność interpretacji różnego typu tekstów oraz źródeł. Można ją wtedy utożsamiać z hermeneutyką filologiczną oraz po części też z hermeneutyką obiektywną (Wernet, 2021). Dla ewaluacji znaczenie ma też hermeneutyka prawnicza, która zajmuje się praktyką odczytywania znaczenia tekstów prawnych. W każdym rodzaju hermeneutyki chodzi jednakże o to, żeby dojść do w miarę uzgodnionego rozumienia osiąganych wyników. Najprościej można to uzyskać, gdy robią to co najmniej dwie osoby.</w:t>
      </w:r>
    </w:p>
    <w:p w14:paraId="4870573A" w14:textId="77777777" w:rsidR="00BB6190" w:rsidRDefault="00BB6190" w:rsidP="00BB6190">
      <w:pPr>
        <w:ind w:firstLine="708"/>
        <w:jc w:val="both"/>
        <w:rPr>
          <w:rFonts w:ascii="Times New Roman" w:hAnsi="Times New Roman" w:cs="Times New Roman"/>
          <w:sz w:val="28"/>
          <w:szCs w:val="28"/>
        </w:rPr>
      </w:pPr>
      <w:r>
        <w:rPr>
          <w:rFonts w:ascii="Times New Roman" w:hAnsi="Times New Roman" w:cs="Times New Roman"/>
          <w:sz w:val="28"/>
          <w:szCs w:val="28"/>
        </w:rPr>
        <w:t>Wcześniejsza uwaga, iż interpretacja wyników powinna odbywać się tylko w oparciu o zasady analityczne, w ewaluacji na zlecenie w praktyce jest to nieosiągalne. Wówczas ewaluacja musi przecież zawierać także rekomendacje dla podejmowania decyzji politycznych. W ślad za tym, szczególnie w przypadku ewaluacji złożonych programów i interwencji, pojawiają się normatywne kryteria oceny. Mimo to ewaluatorzy powinni strać się minimalizować związane z tym zagrożenia. Najlepszą metodą jest odwołanie się do matematycznych modeli podejmowania wielokryterialnych decyzji, ale i tak trzeba się liczyć z tym, że zleceniodawcy ewaluacji mają swoje preferencje i na ogół niechętnie radykalnie zmieniają podjęte już działania (Ecsenführ i in., 2010; Holler i in., 2019).</w:t>
      </w:r>
    </w:p>
    <w:p w14:paraId="18CF1A26" w14:textId="77777777" w:rsidR="00BB6190" w:rsidRPr="001C1E0C" w:rsidRDefault="00BB6190" w:rsidP="00BB6190">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Proces upowszechniania się mierzenia w działalności człowieka w sposób samorzutny tworzy, ale i przesuwa jego granice. Część z nich wynika z częstego pozostawania w tyle dorobku nauk społecznych w stosunku do stałego rozwoju samych narzędzi pomiarowych. Wiele wciąż do zrobienia pozostaje jednak również w sferze teoretycznej dotyczącej kryteriów oceny, identyfikacji związków przyczynowych i konstrukcji wskaźników i indeksów ewaluacyjnych. Niestety, sporo ludzi nadal ma problemy z akceptacją i wdrożeniem tych wskaźników i indeksów do procesów podejmowania decyzji gospodarczych i politycznych. Wiele złego w tym kontekście uczyniła pandemia Covid-19, która stworzyła podatny grunt dla pojawienia i rozpowszechniania się rozmaitych teorii spiskowych oraz podważania dorobku solidnej nauki. Okoliczność ta jest wyzwaniem przede wszystkim dla koncepcji ewaluacji bazującej na teoriach naukowych oraz odwołujących się do teorii programu.</w:t>
      </w:r>
    </w:p>
    <w:p w14:paraId="0BC8CA87" w14:textId="5788E16D" w:rsidR="00A56C28" w:rsidRDefault="00A56C28" w:rsidP="00A56C28">
      <w:pPr>
        <w:spacing w:before="60" w:after="60" w:line="276" w:lineRule="auto"/>
        <w:ind w:left="-142"/>
        <w:jc w:val="both"/>
        <w:rPr>
          <w:rFonts w:ascii="Times New Roman" w:eastAsia="Times New Roman" w:hAnsi="Times New Roman" w:cs="Times New Roman"/>
          <w:kern w:val="0"/>
          <w:sz w:val="28"/>
          <w:szCs w:val="28"/>
          <w:lang w:eastAsia="de-DE"/>
          <w14:ligatures w14:val="none"/>
        </w:rPr>
      </w:pPr>
      <w:r w:rsidRPr="00A56C28">
        <w:rPr>
          <w:rFonts w:ascii="Times New Roman" w:eastAsia="Times New Roman" w:hAnsi="Times New Roman" w:cs="Times New Roman"/>
          <w:kern w:val="0"/>
          <w:sz w:val="28"/>
          <w:szCs w:val="28"/>
          <w:lang w:eastAsia="de-DE"/>
          <w14:ligatures w14:val="none"/>
        </w:rPr>
        <w:t>W tabeli</w:t>
      </w:r>
      <w:r w:rsidR="00460D32">
        <w:rPr>
          <w:rFonts w:ascii="Times New Roman" w:eastAsia="Times New Roman" w:hAnsi="Times New Roman" w:cs="Times New Roman"/>
          <w:kern w:val="0"/>
          <w:sz w:val="28"/>
          <w:szCs w:val="28"/>
          <w:lang w:eastAsia="de-DE"/>
          <w14:ligatures w14:val="none"/>
        </w:rPr>
        <w:t xml:space="preserve"> 2</w:t>
      </w:r>
      <w:r w:rsidRPr="00A56C28">
        <w:rPr>
          <w:rFonts w:ascii="Times New Roman" w:eastAsia="Times New Roman" w:hAnsi="Times New Roman" w:cs="Times New Roman"/>
          <w:kern w:val="0"/>
          <w:sz w:val="28"/>
          <w:szCs w:val="28"/>
          <w:lang w:eastAsia="de-DE"/>
          <w14:ligatures w14:val="none"/>
        </w:rPr>
        <w:t xml:space="preserve"> zestawiono pytania ewaluacyjne, a w ślad za nimi wskaźniki produktu i oddziaływania, a także źródła danych.</w:t>
      </w:r>
    </w:p>
    <w:p w14:paraId="257CE10C" w14:textId="5F7D3BF1" w:rsidR="00460D32" w:rsidRPr="00A56C28" w:rsidRDefault="00460D32" w:rsidP="00A56C28">
      <w:pPr>
        <w:spacing w:before="60" w:after="60" w:line="276" w:lineRule="auto"/>
        <w:ind w:left="-142"/>
        <w:jc w:val="both"/>
        <w:rPr>
          <w:rFonts w:ascii="Times New Roman" w:eastAsia="Times New Roman" w:hAnsi="Times New Roman" w:cs="Times New Roman"/>
          <w:kern w:val="0"/>
          <w:sz w:val="28"/>
          <w:szCs w:val="28"/>
          <w:lang w:eastAsia="de-DE"/>
          <w14:ligatures w14:val="none"/>
        </w:rPr>
      </w:pPr>
      <w:r w:rsidRPr="00460D32">
        <w:rPr>
          <w:rFonts w:ascii="Times New Roman" w:eastAsia="Times New Roman" w:hAnsi="Times New Roman" w:cs="Times New Roman"/>
          <w:b/>
          <w:bCs/>
          <w:kern w:val="0"/>
          <w:sz w:val="28"/>
          <w:szCs w:val="28"/>
          <w:lang w:eastAsia="de-DE"/>
          <w14:ligatures w14:val="none"/>
        </w:rPr>
        <w:t>Tabela 2.</w:t>
      </w:r>
      <w:r>
        <w:rPr>
          <w:rFonts w:ascii="Times New Roman" w:eastAsia="Times New Roman" w:hAnsi="Times New Roman" w:cs="Times New Roman"/>
          <w:kern w:val="0"/>
          <w:sz w:val="28"/>
          <w:szCs w:val="28"/>
          <w:lang w:eastAsia="de-DE"/>
          <w14:ligatures w14:val="none"/>
        </w:rPr>
        <w:t xml:space="preserve"> Pytania i wskaźniki ewaluacyjne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480"/>
        <w:gridCol w:w="2691"/>
        <w:gridCol w:w="1915"/>
      </w:tblGrid>
      <w:tr w:rsidR="00A56C28" w:rsidRPr="00A56C28" w14:paraId="024DD89C" w14:textId="77777777" w:rsidTr="00796ADD">
        <w:tc>
          <w:tcPr>
            <w:tcW w:w="2038" w:type="dxa"/>
            <w:shd w:val="clear" w:color="auto" w:fill="auto"/>
            <w:vAlign w:val="center"/>
          </w:tcPr>
          <w:p w14:paraId="310E61AE" w14:textId="77777777" w:rsidR="00A56C28" w:rsidRPr="00A56C28" w:rsidRDefault="00A56C28" w:rsidP="00A56C28">
            <w:pPr>
              <w:spacing w:after="0" w:line="240" w:lineRule="auto"/>
              <w:jc w:val="center"/>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b/>
                <w:bCs/>
                <w:kern w:val="0"/>
                <w:sz w:val="22"/>
                <w:szCs w:val="22"/>
                <w:lang w:val="en-GB"/>
                <w14:ligatures w14:val="none"/>
              </w:rPr>
              <w:t>Pytanie</w:t>
            </w:r>
          </w:p>
        </w:tc>
        <w:tc>
          <w:tcPr>
            <w:tcW w:w="2537" w:type="dxa"/>
            <w:shd w:val="clear" w:color="auto" w:fill="auto"/>
            <w:vAlign w:val="center"/>
          </w:tcPr>
          <w:p w14:paraId="0FC61260" w14:textId="77777777" w:rsidR="00A56C28" w:rsidRPr="00A56C28" w:rsidRDefault="00A56C28" w:rsidP="00A56C28">
            <w:pPr>
              <w:spacing w:after="0" w:line="240" w:lineRule="auto"/>
              <w:contextualSpacing/>
              <w:jc w:val="center"/>
              <w:rPr>
                <w:rFonts w:ascii="Times New Roman" w:eastAsia="Calibri" w:hAnsi="Times New Roman" w:cs="Times New Roman"/>
                <w:b/>
                <w:bCs/>
                <w:sz w:val="22"/>
                <w:szCs w:val="22"/>
                <w14:ligatures w14:val="none"/>
              </w:rPr>
            </w:pPr>
            <w:r w:rsidRPr="00A56C28">
              <w:rPr>
                <w:rFonts w:ascii="Times New Roman" w:eastAsia="Calibri" w:hAnsi="Times New Roman" w:cs="Times New Roman"/>
                <w:b/>
                <w:bCs/>
                <w:sz w:val="22"/>
                <w:szCs w:val="22"/>
                <w14:ligatures w14:val="none"/>
              </w:rPr>
              <w:t>Wskaźnik</w:t>
            </w:r>
          </w:p>
          <w:p w14:paraId="3CBBAF43" w14:textId="77777777" w:rsidR="00A56C28" w:rsidRPr="00A56C28" w:rsidRDefault="00A56C28" w:rsidP="00A56C28">
            <w:pPr>
              <w:spacing w:after="0" w:line="240" w:lineRule="auto"/>
              <w:jc w:val="center"/>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b/>
                <w:bCs/>
                <w:kern w:val="0"/>
                <w:sz w:val="22"/>
                <w:szCs w:val="22"/>
                <w:lang w:val="en-GB"/>
                <w14:ligatures w14:val="none"/>
              </w:rPr>
              <w:t>produktu</w:t>
            </w:r>
          </w:p>
        </w:tc>
        <w:tc>
          <w:tcPr>
            <w:tcW w:w="2758" w:type="dxa"/>
            <w:shd w:val="clear" w:color="auto" w:fill="auto"/>
            <w:vAlign w:val="center"/>
          </w:tcPr>
          <w:p w14:paraId="073F74A3" w14:textId="77777777" w:rsidR="00A56C28" w:rsidRPr="00A56C28" w:rsidRDefault="00A56C28" w:rsidP="00A56C28">
            <w:pPr>
              <w:spacing w:after="0" w:line="240" w:lineRule="auto"/>
              <w:contextualSpacing/>
              <w:jc w:val="center"/>
              <w:rPr>
                <w:rFonts w:ascii="Times New Roman" w:eastAsia="Calibri" w:hAnsi="Times New Roman" w:cs="Times New Roman"/>
                <w:b/>
                <w:bCs/>
                <w:sz w:val="22"/>
                <w:szCs w:val="22"/>
                <w14:ligatures w14:val="none"/>
              </w:rPr>
            </w:pPr>
            <w:r w:rsidRPr="00A56C28">
              <w:rPr>
                <w:rFonts w:ascii="Times New Roman" w:eastAsia="Calibri" w:hAnsi="Times New Roman" w:cs="Times New Roman"/>
                <w:b/>
                <w:bCs/>
                <w:sz w:val="22"/>
                <w:szCs w:val="22"/>
                <w14:ligatures w14:val="none"/>
              </w:rPr>
              <w:t>Wskaźnik</w:t>
            </w:r>
          </w:p>
          <w:p w14:paraId="286A35C8" w14:textId="77777777" w:rsidR="00A56C28" w:rsidRPr="00A56C28" w:rsidRDefault="00A56C28" w:rsidP="00A56C28">
            <w:pPr>
              <w:spacing w:after="0" w:line="240" w:lineRule="auto"/>
              <w:jc w:val="center"/>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b/>
                <w:bCs/>
                <w:kern w:val="0"/>
                <w:sz w:val="22"/>
                <w:szCs w:val="22"/>
                <w:lang w:val="en-GB"/>
                <w14:ligatures w14:val="none"/>
              </w:rPr>
              <w:t>oddziaływania</w:t>
            </w:r>
          </w:p>
        </w:tc>
        <w:tc>
          <w:tcPr>
            <w:tcW w:w="1955" w:type="dxa"/>
            <w:shd w:val="clear" w:color="auto" w:fill="auto"/>
            <w:vAlign w:val="center"/>
          </w:tcPr>
          <w:p w14:paraId="0D9E05B6" w14:textId="77777777" w:rsidR="00A56C28" w:rsidRPr="00A56C28" w:rsidRDefault="00A56C28" w:rsidP="00A56C28">
            <w:pPr>
              <w:spacing w:after="0" w:line="240" w:lineRule="auto"/>
              <w:jc w:val="center"/>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b/>
                <w:bCs/>
                <w:kern w:val="0"/>
                <w:sz w:val="22"/>
                <w:szCs w:val="22"/>
                <w:lang w:val="en-GB"/>
                <w14:ligatures w14:val="none"/>
              </w:rPr>
              <w:t>Źródło danych</w:t>
            </w:r>
          </w:p>
        </w:tc>
      </w:tr>
      <w:tr w:rsidR="00A56C28" w:rsidRPr="00A56C28" w14:paraId="40522FC6" w14:textId="77777777" w:rsidTr="00796ADD">
        <w:tc>
          <w:tcPr>
            <w:tcW w:w="9288" w:type="dxa"/>
            <w:gridSpan w:val="4"/>
            <w:shd w:val="clear" w:color="auto" w:fill="auto"/>
          </w:tcPr>
          <w:p w14:paraId="7F7B82B4" w14:textId="77777777" w:rsidR="00A56C28" w:rsidRPr="00A56C28" w:rsidRDefault="00A56C28" w:rsidP="00A56C28">
            <w:pPr>
              <w:spacing w:after="200" w:line="276" w:lineRule="auto"/>
              <w:jc w:val="center"/>
              <w:rPr>
                <w:rFonts w:ascii="Times New Roman" w:eastAsia="Calibri" w:hAnsi="Times New Roman" w:cs="Times New Roman"/>
                <w:b/>
                <w:bCs/>
                <w:kern w:val="0"/>
                <w:sz w:val="22"/>
                <w:szCs w:val="22"/>
                <w:lang w:eastAsia="de-DE"/>
                <w14:ligatures w14:val="none"/>
              </w:rPr>
            </w:pPr>
            <w:r w:rsidRPr="00A56C28">
              <w:rPr>
                <w:rFonts w:ascii="Times New Roman" w:eastAsia="Calibri" w:hAnsi="Times New Roman" w:cs="Times New Roman"/>
                <w:b/>
                <w:bCs/>
                <w:kern w:val="0"/>
                <w:sz w:val="22"/>
                <w:szCs w:val="22"/>
                <w:lang w:eastAsia="de-DE"/>
                <w14:ligatures w14:val="none"/>
              </w:rPr>
              <w:t>Wpływ bezpośredni</w:t>
            </w:r>
          </w:p>
        </w:tc>
      </w:tr>
      <w:tr w:rsidR="00A56C28" w:rsidRPr="00A56C28" w14:paraId="688BE1C4" w14:textId="77777777" w:rsidTr="00796ADD">
        <w:tc>
          <w:tcPr>
            <w:tcW w:w="2038" w:type="dxa"/>
            <w:shd w:val="clear" w:color="auto" w:fill="auto"/>
          </w:tcPr>
          <w:p w14:paraId="2BFF9D91"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i/>
                <w:iCs/>
                <w:kern w:val="0"/>
                <w:sz w:val="22"/>
                <w:szCs w:val="22"/>
                <w14:ligatures w14:val="none"/>
              </w:rPr>
              <w:t xml:space="preserve">Czy pomoc miała wpływ i jeśli tak, to jaki na powiększenie produkcji rolniczej podlegającej ubezpieczeniu? </w:t>
            </w:r>
          </w:p>
        </w:tc>
        <w:tc>
          <w:tcPr>
            <w:tcW w:w="2537" w:type="dxa"/>
            <w:shd w:val="clear" w:color="auto" w:fill="auto"/>
          </w:tcPr>
          <w:p w14:paraId="084C86F7"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Powierzchnia ubezpieczonych upraw rolnych i ilość ubezpieczonych zwierząt</w:t>
            </w:r>
          </w:p>
          <w:p w14:paraId="7AE2698C" w14:textId="77777777" w:rsidR="00A56C28" w:rsidRPr="00A56C28" w:rsidRDefault="00A56C28" w:rsidP="001D0854">
            <w:pPr>
              <w:numPr>
                <w:ilvl w:val="0"/>
                <w:numId w:val="43"/>
              </w:numPr>
              <w:spacing w:after="200" w:line="276" w:lineRule="auto"/>
              <w:ind w:left="229" w:hanging="229"/>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kern w:val="0"/>
                <w:sz w:val="22"/>
                <w:szCs w:val="22"/>
                <w:lang w:val="en-GB"/>
                <w14:ligatures w14:val="none"/>
              </w:rPr>
              <w:t>Wartość ubezpieczonej produkcji rolnej.</w:t>
            </w:r>
          </w:p>
        </w:tc>
        <w:tc>
          <w:tcPr>
            <w:tcW w:w="2758" w:type="dxa"/>
            <w:shd w:val="clear" w:color="auto" w:fill="auto"/>
          </w:tcPr>
          <w:p w14:paraId="5AF82C6C"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Zmiana (w %) wielkości powierzchni ubezpieczonych upraw rolnych i ilość ubezpieczonych zwierząt przed i po udzieleniu wsparcia.</w:t>
            </w:r>
          </w:p>
          <w:p w14:paraId="7DCD2224"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Zmiana (w %) wartości ubezpieczonej produkcji rolnej.</w:t>
            </w:r>
          </w:p>
          <w:p w14:paraId="41A3C965"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Udział zwierząt ubezpieczonych w populacji lub według poszczególnych gatunków w kraju.</w:t>
            </w:r>
          </w:p>
          <w:p w14:paraId="43720D85"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 xml:space="preserve">Powierzchnia upraw ubezpieczonych upraw w stosunku do upraw towarowych lub potencjalnie towarowych w kraju (rodzaj upraw uwzględnionych w mianowniku to „ustawa o ubezpieczeniach rolnych” – bez TUZ i traw na gruntach ornych).  </w:t>
            </w:r>
          </w:p>
          <w:p w14:paraId="097D7B64"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kern w:val="0"/>
                <w:sz w:val="22"/>
                <w:szCs w:val="22"/>
                <w14:ligatures w14:val="none"/>
              </w:rPr>
              <w:t xml:space="preserve">Ewentualnie  udział  wartości ubezpieczonej produkcji </w:t>
            </w:r>
            <w:r w:rsidRPr="00A56C28">
              <w:rPr>
                <w:rFonts w:ascii="Times New Roman" w:eastAsia="Calibri" w:hAnsi="Times New Roman" w:cs="Times New Roman"/>
                <w:kern w:val="0"/>
                <w:sz w:val="22"/>
                <w:szCs w:val="22"/>
                <w14:ligatures w14:val="none"/>
              </w:rPr>
              <w:lastRenderedPageBreak/>
              <w:t>rolnej w stosunku do produkcji towarowej lub globalnej.</w:t>
            </w:r>
          </w:p>
        </w:tc>
        <w:tc>
          <w:tcPr>
            <w:tcW w:w="1955" w:type="dxa"/>
            <w:shd w:val="clear" w:color="auto" w:fill="auto"/>
          </w:tcPr>
          <w:p w14:paraId="2DF3572A"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b/>
                <w:bCs/>
                <w:sz w:val="22"/>
                <w:szCs w:val="22"/>
                <w14:ligatures w14:val="none"/>
              </w:rPr>
            </w:pPr>
            <w:r w:rsidRPr="00A56C28">
              <w:rPr>
                <w:rFonts w:ascii="Times New Roman" w:eastAsia="Calibri" w:hAnsi="Times New Roman" w:cs="Times New Roman"/>
                <w:sz w:val="22"/>
                <w:szCs w:val="22"/>
                <w14:ligatures w14:val="none"/>
              </w:rPr>
              <w:lastRenderedPageBreak/>
              <w:t>Statystyki centralne dotyczące ubezpieczeń rolnych (KNF, GUS); statystyki MRiRW nt. dotowanych ubezpieczeń rolnych.</w:t>
            </w:r>
          </w:p>
          <w:p w14:paraId="6B63A3B2" w14:textId="77777777" w:rsidR="00A56C28" w:rsidRPr="00A56C28" w:rsidRDefault="00A56C28" w:rsidP="001D0854">
            <w:pPr>
              <w:numPr>
                <w:ilvl w:val="0"/>
                <w:numId w:val="43"/>
              </w:numPr>
              <w:spacing w:after="200" w:line="276" w:lineRule="auto"/>
              <w:ind w:left="321" w:hanging="284"/>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kern w:val="0"/>
                <w:sz w:val="22"/>
                <w:szCs w:val="22"/>
                <w:lang w:val="en-GB"/>
                <w14:ligatures w14:val="none"/>
              </w:rPr>
              <w:t>Baza FADN.</w:t>
            </w:r>
          </w:p>
        </w:tc>
      </w:tr>
      <w:tr w:rsidR="00A56C28" w:rsidRPr="00A56C28" w14:paraId="0118962D" w14:textId="77777777" w:rsidTr="00796ADD">
        <w:tc>
          <w:tcPr>
            <w:tcW w:w="2038" w:type="dxa"/>
            <w:shd w:val="clear" w:color="auto" w:fill="auto"/>
          </w:tcPr>
          <w:p w14:paraId="59611104"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i/>
                <w:iCs/>
                <w:kern w:val="0"/>
                <w:sz w:val="22"/>
                <w:szCs w:val="22"/>
                <w14:ligatures w14:val="none"/>
              </w:rPr>
              <w:t>Czy pomoc miała wpływ na sytuację finansową gospodarstw rolnych?</w:t>
            </w:r>
          </w:p>
        </w:tc>
        <w:tc>
          <w:tcPr>
            <w:tcW w:w="2537" w:type="dxa"/>
            <w:shd w:val="clear" w:color="auto" w:fill="auto"/>
          </w:tcPr>
          <w:p w14:paraId="7BD6A71B"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 xml:space="preserve">Kwota pomocy publicznej uzyskanej w ramach interwencji. </w:t>
            </w:r>
          </w:p>
          <w:p w14:paraId="74D5C325"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 xml:space="preserve">Wartość ubezpieczonej produkcji rolnej. </w:t>
            </w:r>
          </w:p>
          <w:p w14:paraId="47AC6AE3"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 xml:space="preserve">Wysokość otrzymanych odszkodowań. </w:t>
            </w:r>
          </w:p>
          <w:p w14:paraId="3C8D5776"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Przychody/dochody z działalności rolniczej.</w:t>
            </w:r>
          </w:p>
          <w:p w14:paraId="15613145"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Wskaźniki rentowności (ROS, ROE, ROA).</w:t>
            </w:r>
          </w:p>
          <w:p w14:paraId="4CABF104"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Wskaźniki płynność finansowej  (bieżącej i szybkiej).</w:t>
            </w:r>
          </w:p>
          <w:p w14:paraId="7B4A1532"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b/>
                <w:bCs/>
                <w:sz w:val="22"/>
                <w:szCs w:val="22"/>
                <w14:ligatures w14:val="none"/>
              </w:rPr>
            </w:pPr>
            <w:r w:rsidRPr="00A56C28">
              <w:rPr>
                <w:rFonts w:ascii="Times New Roman" w:eastAsia="Calibri" w:hAnsi="Times New Roman" w:cs="Times New Roman"/>
                <w:sz w:val="22"/>
                <w:szCs w:val="22"/>
                <w14:ligatures w14:val="none"/>
              </w:rPr>
              <w:t>Wskaźniki zadłużania i jego obsługi.</w:t>
            </w:r>
          </w:p>
          <w:p w14:paraId="641C0AD6" w14:textId="77777777" w:rsidR="00A56C28" w:rsidRPr="00A56C28" w:rsidRDefault="00A56C28" w:rsidP="00A56C28">
            <w:pPr>
              <w:spacing w:after="200" w:line="276" w:lineRule="auto"/>
              <w:rPr>
                <w:rFonts w:ascii="Times New Roman" w:eastAsia="Calibri" w:hAnsi="Times New Roman" w:cs="Times New Roman"/>
                <w:b/>
                <w:bCs/>
                <w:kern w:val="0"/>
                <w:sz w:val="22"/>
                <w:szCs w:val="22"/>
                <w14:ligatures w14:val="none"/>
              </w:rPr>
            </w:pPr>
          </w:p>
          <w:p w14:paraId="22D88E55"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p>
        </w:tc>
        <w:tc>
          <w:tcPr>
            <w:tcW w:w="2758" w:type="dxa"/>
            <w:shd w:val="clear" w:color="auto" w:fill="auto"/>
          </w:tcPr>
          <w:p w14:paraId="68D91D81" w14:textId="77777777" w:rsidR="00A56C28" w:rsidRPr="00A56C28" w:rsidRDefault="00A56C28" w:rsidP="00A56C28">
            <w:pPr>
              <w:spacing w:after="200" w:line="276" w:lineRule="auto"/>
              <w:rPr>
                <w:rFonts w:ascii="Times New Roman" w:eastAsia="Calibri" w:hAnsi="Times New Roman" w:cs="Times New Roman"/>
                <w:kern w:val="0"/>
                <w:sz w:val="22"/>
                <w:szCs w:val="22"/>
                <w:u w:val="single"/>
                <w:lang w:val="en-GB"/>
                <w14:ligatures w14:val="none"/>
              </w:rPr>
            </w:pPr>
            <w:r w:rsidRPr="00A56C28">
              <w:rPr>
                <w:rFonts w:ascii="Times New Roman" w:eastAsia="Calibri" w:hAnsi="Times New Roman" w:cs="Times New Roman"/>
                <w:kern w:val="0"/>
                <w:sz w:val="22"/>
                <w:szCs w:val="22"/>
                <w:u w:val="single"/>
                <w:lang w:val="en-GB"/>
                <w14:ligatures w14:val="none"/>
              </w:rPr>
              <w:t>Ujęcie statyczne:</w:t>
            </w:r>
          </w:p>
          <w:p w14:paraId="6C4DDAC4"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Stopa subsydiowania.</w:t>
            </w:r>
          </w:p>
          <w:p w14:paraId="01CE898B"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Zmiana (w %) przychodów/dochodów przed i po udzieleniu wsparcia.</w:t>
            </w:r>
          </w:p>
          <w:p w14:paraId="6B7F422E"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Istotność statystyczna różnic wartości mierników i wskaźników przed wsparciem i po jego udzieleniu (z wykorzystaniem metody PSM).</w:t>
            </w:r>
          </w:p>
          <w:p w14:paraId="0C1AD0C2" w14:textId="77777777" w:rsidR="00A56C28" w:rsidRPr="00A56C28" w:rsidRDefault="00A56C28" w:rsidP="00A56C28">
            <w:pPr>
              <w:spacing w:after="200" w:line="276" w:lineRule="auto"/>
              <w:rPr>
                <w:rFonts w:ascii="Times New Roman" w:eastAsia="Calibri" w:hAnsi="Times New Roman" w:cs="Times New Roman"/>
                <w:kern w:val="0"/>
                <w:sz w:val="22"/>
                <w:szCs w:val="22"/>
                <w14:ligatures w14:val="none"/>
              </w:rPr>
            </w:pPr>
            <w:r w:rsidRPr="00A56C28">
              <w:rPr>
                <w:rFonts w:ascii="Times New Roman" w:eastAsia="Calibri" w:hAnsi="Times New Roman" w:cs="Times New Roman"/>
                <w:kern w:val="0"/>
                <w:sz w:val="22"/>
                <w:szCs w:val="22"/>
                <w:u w:val="single"/>
                <w14:ligatures w14:val="none"/>
              </w:rPr>
              <w:t>Ujęcie dynamiczne</w:t>
            </w:r>
            <w:r w:rsidRPr="00A56C28">
              <w:rPr>
                <w:rFonts w:ascii="Times New Roman" w:eastAsia="Calibri" w:hAnsi="Times New Roman" w:cs="Times New Roman"/>
                <w:kern w:val="0"/>
                <w:sz w:val="22"/>
                <w:szCs w:val="22"/>
                <w14:ligatures w14:val="none"/>
              </w:rPr>
              <w:t xml:space="preserve"> </w:t>
            </w:r>
          </w:p>
          <w:p w14:paraId="7BC75832" w14:textId="77777777" w:rsidR="00A56C28" w:rsidRPr="00A56C28" w:rsidRDefault="00A56C28" w:rsidP="001D0854">
            <w:pPr>
              <w:numPr>
                <w:ilvl w:val="0"/>
                <w:numId w:val="45"/>
              </w:numPr>
              <w:spacing w:after="200" w:line="276" w:lineRule="auto"/>
              <w:ind w:left="246" w:hanging="246"/>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kern w:val="0"/>
                <w:sz w:val="22"/>
                <w:szCs w:val="22"/>
                <w14:ligatures w14:val="none"/>
              </w:rPr>
              <w:t>Różnica poziomu zmienności miar  i wskaźników jw. między grupą kontrolną a badaną.</w:t>
            </w:r>
          </w:p>
        </w:tc>
        <w:tc>
          <w:tcPr>
            <w:tcW w:w="1955" w:type="dxa"/>
            <w:shd w:val="clear" w:color="auto" w:fill="auto"/>
          </w:tcPr>
          <w:p w14:paraId="298F7F6F"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kern w:val="0"/>
                <w:sz w:val="22"/>
                <w:szCs w:val="22"/>
                <w:lang w:val="en-GB"/>
                <w14:ligatures w14:val="none"/>
              </w:rPr>
              <w:t>Baza FADN.</w:t>
            </w:r>
          </w:p>
        </w:tc>
      </w:tr>
      <w:tr w:rsidR="00A56C28" w:rsidRPr="00A56C28" w14:paraId="2E9B0CF0" w14:textId="77777777" w:rsidTr="00796ADD">
        <w:tc>
          <w:tcPr>
            <w:tcW w:w="2038" w:type="dxa"/>
            <w:shd w:val="clear" w:color="auto" w:fill="auto"/>
          </w:tcPr>
          <w:p w14:paraId="2745EF73"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i/>
                <w:iCs/>
                <w:kern w:val="0"/>
                <w:sz w:val="22"/>
                <w:szCs w:val="22"/>
                <w14:ligatures w14:val="none"/>
              </w:rPr>
              <w:t xml:space="preserve">Czy program pomocy odpowiadał oczekiwaniom producentów rolnych? </w:t>
            </w:r>
            <w:r w:rsidRPr="00A56C28">
              <w:rPr>
                <w:rFonts w:ascii="Times New Roman" w:eastAsia="Calibri" w:hAnsi="Times New Roman" w:cs="Times New Roman"/>
                <w:i/>
                <w:iCs/>
                <w:kern w:val="0"/>
                <w:sz w:val="22"/>
                <w:szCs w:val="22"/>
                <w:lang w:val="en-GB"/>
                <w14:ligatures w14:val="none"/>
              </w:rPr>
              <w:t>(lub szerzej interesariuszom interwencji?)</w:t>
            </w:r>
          </w:p>
        </w:tc>
        <w:tc>
          <w:tcPr>
            <w:tcW w:w="2537" w:type="dxa"/>
            <w:shd w:val="clear" w:color="auto" w:fill="auto"/>
          </w:tcPr>
          <w:p w14:paraId="40FFE3F9"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Wysokość składek, które rolnik musiał ponieść w związku z zakupem ubezpieczenia.</w:t>
            </w:r>
          </w:p>
          <w:p w14:paraId="33D99A97"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 xml:space="preserve">Wysokość otrzymanych odszkodowań z tytułu strat poniesionych w gospodarstwie wskutek realizacji ubezpieczonego ryzyka. </w:t>
            </w:r>
          </w:p>
          <w:p w14:paraId="3E0C6DD2"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Wartość strat w ubezpieczonej produkcji rolnej.</w:t>
            </w:r>
          </w:p>
          <w:p w14:paraId="7DDDD864"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Liczba zbadanych za pomocą ankiety beneficjentów działania.</w:t>
            </w:r>
          </w:p>
          <w:p w14:paraId="42C382FE"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Liczba zbadanych za pomocą ankiety  potencjalnych beneficjentów działania.</w:t>
            </w:r>
          </w:p>
          <w:p w14:paraId="61851E1E" w14:textId="77777777" w:rsidR="00A56C28" w:rsidRPr="00A56C28" w:rsidRDefault="00A56C28" w:rsidP="001D0854">
            <w:pPr>
              <w:numPr>
                <w:ilvl w:val="0"/>
                <w:numId w:val="43"/>
              </w:numPr>
              <w:spacing w:after="200" w:line="276" w:lineRule="auto"/>
              <w:ind w:left="289" w:hanging="193"/>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kern w:val="0"/>
                <w:sz w:val="22"/>
                <w:szCs w:val="22"/>
                <w14:ligatures w14:val="none"/>
              </w:rPr>
              <w:t>Liczba zbadanych za pomocą ankiety  firm ubezpieczeniowych/liczba zbadanych interesariuszy.</w:t>
            </w:r>
          </w:p>
        </w:tc>
        <w:tc>
          <w:tcPr>
            <w:tcW w:w="2758" w:type="dxa"/>
            <w:shd w:val="clear" w:color="auto" w:fill="auto"/>
          </w:tcPr>
          <w:p w14:paraId="4AE1488D"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 xml:space="preserve">Wskaźnik szkodowości: wysokość wypłaconych odszkodowań do wysokości składki. </w:t>
            </w:r>
          </w:p>
          <w:p w14:paraId="3FA93964"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Wskaźnik wypłaconych odszkodowań do wartości strat w ubezpieczonej produkcji rolnej.</w:t>
            </w:r>
          </w:p>
          <w:p w14:paraId="5A0B87F2" w14:textId="77777777" w:rsidR="00A56C28" w:rsidRPr="00A56C28" w:rsidRDefault="00A56C28" w:rsidP="001D0854">
            <w:pPr>
              <w:numPr>
                <w:ilvl w:val="0"/>
                <w:numId w:val="43"/>
              </w:numPr>
              <w:spacing w:after="0" w:line="240" w:lineRule="auto"/>
              <w:ind w:left="311" w:hanging="311"/>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Liczba uwag/propozycji/problemów wskazanych przez beneficjentów działania.</w:t>
            </w:r>
          </w:p>
          <w:p w14:paraId="076B27DC" w14:textId="77777777" w:rsidR="00A56C28" w:rsidRPr="00A56C28" w:rsidRDefault="00A56C28" w:rsidP="001D0854">
            <w:pPr>
              <w:numPr>
                <w:ilvl w:val="0"/>
                <w:numId w:val="43"/>
              </w:numPr>
              <w:spacing w:after="0" w:line="240" w:lineRule="auto"/>
              <w:ind w:left="311" w:hanging="311"/>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Liczba uwag/propozycji/problemów wskazanych przez potencjalnych beneficjentów działania.</w:t>
            </w:r>
          </w:p>
          <w:p w14:paraId="34E4C757" w14:textId="77777777" w:rsidR="00A56C28" w:rsidRPr="00A56C28" w:rsidRDefault="00A56C28" w:rsidP="001D0854">
            <w:pPr>
              <w:numPr>
                <w:ilvl w:val="0"/>
                <w:numId w:val="43"/>
              </w:numPr>
              <w:spacing w:after="200" w:line="276" w:lineRule="auto"/>
              <w:ind w:left="276" w:hanging="194"/>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kern w:val="0"/>
                <w:sz w:val="22"/>
                <w:szCs w:val="22"/>
                <w14:ligatures w14:val="none"/>
              </w:rPr>
              <w:t>Liczba uwag/propozycji/problemów wskazanych przez firmy ubezpieczeniowe /lub uwag/propozycji/problemów wskazanych przez zbadanych interesariuszy.</w:t>
            </w:r>
          </w:p>
        </w:tc>
        <w:tc>
          <w:tcPr>
            <w:tcW w:w="1955" w:type="dxa"/>
            <w:shd w:val="clear" w:color="auto" w:fill="auto"/>
          </w:tcPr>
          <w:p w14:paraId="47C012B9"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kern w:val="0"/>
                <w:sz w:val="22"/>
                <w:szCs w:val="22"/>
                <w14:ligatures w14:val="none"/>
              </w:rPr>
              <w:t>Baza FADN, badania ankietowe + panel ekspercki.</w:t>
            </w:r>
          </w:p>
        </w:tc>
      </w:tr>
      <w:tr w:rsidR="00A56C28" w:rsidRPr="00A56C28" w14:paraId="3CE148CE" w14:textId="77777777" w:rsidTr="00796ADD">
        <w:tc>
          <w:tcPr>
            <w:tcW w:w="9288" w:type="dxa"/>
            <w:gridSpan w:val="4"/>
            <w:shd w:val="clear" w:color="auto" w:fill="auto"/>
          </w:tcPr>
          <w:p w14:paraId="0D4C22D7" w14:textId="77777777" w:rsidR="00A56C28" w:rsidRPr="00A56C28" w:rsidRDefault="00A56C28" w:rsidP="00A56C28">
            <w:pPr>
              <w:spacing w:after="200" w:line="276" w:lineRule="auto"/>
              <w:jc w:val="center"/>
              <w:rPr>
                <w:rFonts w:ascii="Times New Roman" w:eastAsia="Calibri" w:hAnsi="Times New Roman" w:cs="Times New Roman"/>
                <w:b/>
                <w:bCs/>
                <w:kern w:val="0"/>
                <w:sz w:val="22"/>
                <w:szCs w:val="22"/>
                <w:lang w:eastAsia="de-DE"/>
                <w14:ligatures w14:val="none"/>
              </w:rPr>
            </w:pPr>
            <w:r w:rsidRPr="00A56C28">
              <w:rPr>
                <w:rFonts w:ascii="Times New Roman" w:eastAsia="Calibri" w:hAnsi="Times New Roman" w:cs="Times New Roman"/>
                <w:b/>
                <w:bCs/>
                <w:kern w:val="0"/>
                <w:sz w:val="22"/>
                <w:szCs w:val="22"/>
                <w:lang w:eastAsia="de-DE"/>
                <w14:ligatures w14:val="none"/>
              </w:rPr>
              <w:lastRenderedPageBreak/>
              <w:t>Wpływ pośredni</w:t>
            </w:r>
          </w:p>
        </w:tc>
      </w:tr>
      <w:tr w:rsidR="00A56C28" w:rsidRPr="00A56C28" w14:paraId="132D3738" w14:textId="77777777" w:rsidTr="00796ADD">
        <w:tc>
          <w:tcPr>
            <w:tcW w:w="2038" w:type="dxa"/>
            <w:shd w:val="clear" w:color="auto" w:fill="auto"/>
          </w:tcPr>
          <w:p w14:paraId="29B2D13E"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i/>
                <w:iCs/>
                <w:kern w:val="0"/>
                <w:sz w:val="22"/>
                <w:szCs w:val="22"/>
                <w14:ligatures w14:val="none"/>
              </w:rPr>
              <w:t>Czy program pomocy przyczynił się do stabilizacji wyników sektora rolniczego poprzez ograniczenie skutków ryzyka produkcyjnego?</w:t>
            </w:r>
          </w:p>
        </w:tc>
        <w:tc>
          <w:tcPr>
            <w:tcW w:w="2537" w:type="dxa"/>
            <w:shd w:val="clear" w:color="auto" w:fill="auto"/>
          </w:tcPr>
          <w:p w14:paraId="4C11F929"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Wysokość wydatków poniesionych z budżetu państwa na programy pomocy ad-hoc w związku ze stratami powstałymi na skutek niekorzystnych zjawisk atmosferycznych z podziałem na producentów rolnych, którzy posiadali ubezpieczenia i nieubezpieczonych.</w:t>
            </w:r>
          </w:p>
          <w:p w14:paraId="6890783A" w14:textId="77777777" w:rsidR="00A56C28" w:rsidRPr="00A56C28" w:rsidRDefault="00A56C28" w:rsidP="001D0854">
            <w:pPr>
              <w:numPr>
                <w:ilvl w:val="0"/>
                <w:numId w:val="43"/>
              </w:numPr>
              <w:spacing w:after="200" w:line="276" w:lineRule="auto"/>
              <w:ind w:left="289" w:hanging="283"/>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kern w:val="0"/>
                <w:sz w:val="22"/>
                <w:szCs w:val="22"/>
                <w14:ligatures w14:val="none"/>
              </w:rPr>
              <w:t>Liczba podpisanych umów z beneficjentami.</w:t>
            </w:r>
          </w:p>
        </w:tc>
        <w:tc>
          <w:tcPr>
            <w:tcW w:w="2758" w:type="dxa"/>
            <w:shd w:val="clear" w:color="auto" w:fill="auto"/>
          </w:tcPr>
          <w:p w14:paraId="09613D36"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Udział wydatków w poszczególnych grupach do ogółu wydatków poniesionych na działania ad hoc w rolnictwie w badanym okresie (wzrost/spadek).</w:t>
            </w:r>
          </w:p>
          <w:p w14:paraId="727608EC"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Udział gospodarstw rolnych wykupujących polisy w ogólnej liczbie gospodarstw.</w:t>
            </w:r>
          </w:p>
          <w:p w14:paraId="35412A70"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Zmienność wyników produkcyjnych całego sektora.</w:t>
            </w:r>
          </w:p>
          <w:p w14:paraId="2005E953" w14:textId="77777777" w:rsidR="00A56C28" w:rsidRPr="00A56C28" w:rsidRDefault="00A56C28" w:rsidP="001D0854">
            <w:pPr>
              <w:numPr>
                <w:ilvl w:val="0"/>
                <w:numId w:val="43"/>
              </w:numPr>
              <w:spacing w:after="200" w:line="276" w:lineRule="auto"/>
              <w:ind w:left="276" w:hanging="284"/>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kern w:val="0"/>
                <w:sz w:val="22"/>
                <w:szCs w:val="22"/>
                <w14:ligatures w14:val="none"/>
              </w:rPr>
              <w:t xml:space="preserve">Zmienność wyników finansowych sektora (produkcji globalnej; towarowej; dochodów). </w:t>
            </w:r>
          </w:p>
        </w:tc>
        <w:tc>
          <w:tcPr>
            <w:tcW w:w="1955" w:type="dxa"/>
            <w:shd w:val="clear" w:color="auto" w:fill="auto"/>
          </w:tcPr>
          <w:p w14:paraId="1DD4D871" w14:textId="77777777" w:rsidR="00A56C28" w:rsidRPr="00A56C28" w:rsidRDefault="00A56C28" w:rsidP="00A56C28">
            <w:pPr>
              <w:spacing w:line="259" w:lineRule="auto"/>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Statystyki centralne dotyczące ubezpieczeń rolnych (KNF, GUS); statystyki MRiRW nt. dotowanych ubezpieczeń rolnych, baza FADN</w:t>
            </w:r>
          </w:p>
          <w:p w14:paraId="09801EE0"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p>
        </w:tc>
      </w:tr>
      <w:tr w:rsidR="00A56C28" w:rsidRPr="00A56C28" w14:paraId="0AF66400" w14:textId="77777777" w:rsidTr="00796ADD">
        <w:tc>
          <w:tcPr>
            <w:tcW w:w="9288" w:type="dxa"/>
            <w:gridSpan w:val="4"/>
            <w:shd w:val="clear" w:color="auto" w:fill="auto"/>
          </w:tcPr>
          <w:p w14:paraId="48AC0987"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b/>
                <w:bCs/>
                <w:kern w:val="0"/>
                <w:sz w:val="22"/>
                <w:szCs w:val="22"/>
                <w14:ligatures w14:val="none"/>
              </w:rPr>
              <w:t>Proporcjonalność i adekwatność (trafność)  programu pomocy:</w:t>
            </w:r>
          </w:p>
        </w:tc>
      </w:tr>
      <w:tr w:rsidR="00A56C28" w:rsidRPr="00A56C28" w14:paraId="2F4C51D6" w14:textId="77777777" w:rsidTr="00796ADD">
        <w:tc>
          <w:tcPr>
            <w:tcW w:w="2038" w:type="dxa"/>
            <w:shd w:val="clear" w:color="auto" w:fill="auto"/>
          </w:tcPr>
          <w:p w14:paraId="29671351"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i/>
                <w:iCs/>
                <w:kern w:val="0"/>
                <w:sz w:val="22"/>
                <w:szCs w:val="22"/>
                <w14:ligatures w14:val="none"/>
              </w:rPr>
              <w:t>Czy można było uzyskać te same efekty przy mniejszej kwocie pomocy lub innej formie pomocy?</w:t>
            </w:r>
          </w:p>
        </w:tc>
        <w:tc>
          <w:tcPr>
            <w:tcW w:w="2537" w:type="dxa"/>
            <w:vMerge w:val="restart"/>
            <w:shd w:val="clear" w:color="auto" w:fill="auto"/>
          </w:tcPr>
          <w:p w14:paraId="725CD08E" w14:textId="77777777" w:rsidR="00A56C28" w:rsidRPr="00A56C28" w:rsidRDefault="00A56C28" w:rsidP="001D0854">
            <w:pPr>
              <w:numPr>
                <w:ilvl w:val="0"/>
                <w:numId w:val="44"/>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Wysokość dopłat do składek</w:t>
            </w:r>
          </w:p>
          <w:p w14:paraId="6DB9D863" w14:textId="77777777" w:rsidR="00A56C28" w:rsidRPr="00A56C28" w:rsidRDefault="00A56C28" w:rsidP="001D0854">
            <w:pPr>
              <w:numPr>
                <w:ilvl w:val="0"/>
                <w:numId w:val="44"/>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Wysokość odszkodowań.</w:t>
            </w:r>
          </w:p>
          <w:p w14:paraId="0DAF3119" w14:textId="77777777" w:rsidR="00A56C28" w:rsidRPr="00A56C28" w:rsidRDefault="00A56C28" w:rsidP="001D0854">
            <w:pPr>
              <w:numPr>
                <w:ilvl w:val="0"/>
                <w:numId w:val="44"/>
              </w:numPr>
              <w:spacing w:after="200" w:line="276" w:lineRule="auto"/>
              <w:ind w:left="259" w:hanging="259"/>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kern w:val="0"/>
                <w:sz w:val="22"/>
                <w:szCs w:val="22"/>
                <w:lang w:val="en-GB"/>
                <w14:ligatures w14:val="none"/>
              </w:rPr>
              <w:t>Wysokość pomocy ad hoc.</w:t>
            </w:r>
          </w:p>
        </w:tc>
        <w:tc>
          <w:tcPr>
            <w:tcW w:w="2758" w:type="dxa"/>
            <w:vMerge w:val="restart"/>
            <w:shd w:val="clear" w:color="auto" w:fill="auto"/>
          </w:tcPr>
          <w:p w14:paraId="14FB4B8D" w14:textId="77777777" w:rsidR="00A56C28" w:rsidRPr="00A56C28" w:rsidRDefault="00A56C28" w:rsidP="001D0854">
            <w:pPr>
              <w:numPr>
                <w:ilvl w:val="0"/>
                <w:numId w:val="43"/>
              </w:numPr>
              <w:spacing w:after="0" w:line="240" w:lineRule="auto"/>
              <w:ind w:left="310" w:hanging="310"/>
              <w:contextualSpacing/>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Różnica między nakładami (dopłaty do składki) na realizację programu a odszkodowaniami otrzymanymi z tytułu ubezpieczeń uprawi i zwierząt.</w:t>
            </w:r>
          </w:p>
          <w:p w14:paraId="078E0DEF" w14:textId="77777777" w:rsidR="00A56C28" w:rsidRPr="00A56C28" w:rsidRDefault="00A56C28" w:rsidP="001D0854">
            <w:pPr>
              <w:numPr>
                <w:ilvl w:val="0"/>
                <w:numId w:val="43"/>
              </w:numPr>
              <w:spacing w:after="200" w:line="276" w:lineRule="auto"/>
              <w:ind w:left="276" w:hanging="284"/>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kern w:val="0"/>
                <w:sz w:val="22"/>
                <w:szCs w:val="22"/>
                <w14:ligatures w14:val="none"/>
              </w:rPr>
              <w:t>Porównanie kwot wypłaconych odszkodowań z wypłaconymi rekompensatami w ramach pomocy ad hoc w analizowanym okresie.</w:t>
            </w:r>
          </w:p>
        </w:tc>
        <w:tc>
          <w:tcPr>
            <w:tcW w:w="1955" w:type="dxa"/>
            <w:vMerge w:val="restart"/>
            <w:shd w:val="clear" w:color="auto" w:fill="auto"/>
          </w:tcPr>
          <w:p w14:paraId="6FB935A8"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kern w:val="0"/>
                <w:sz w:val="22"/>
                <w:szCs w:val="22"/>
                <w:lang w:val="en-GB"/>
                <w14:ligatures w14:val="none"/>
              </w:rPr>
              <w:t xml:space="preserve">Statystyki MRiRW </w:t>
            </w:r>
          </w:p>
        </w:tc>
      </w:tr>
      <w:tr w:rsidR="00A56C28" w:rsidRPr="00A56C28" w14:paraId="41750503" w14:textId="77777777" w:rsidTr="00796ADD">
        <w:tc>
          <w:tcPr>
            <w:tcW w:w="2038" w:type="dxa"/>
            <w:shd w:val="clear" w:color="auto" w:fill="auto"/>
          </w:tcPr>
          <w:p w14:paraId="1DEC567C"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r w:rsidRPr="00A56C28">
              <w:rPr>
                <w:rFonts w:ascii="Times New Roman" w:eastAsia="Calibri" w:hAnsi="Times New Roman" w:cs="Times New Roman"/>
                <w:kern w:val="0"/>
                <w:sz w:val="22"/>
                <w:szCs w:val="22"/>
                <w14:ligatures w14:val="none"/>
              </w:rPr>
              <w:t>Czy wybrany został najskuteczniejszy model pomocy?</w:t>
            </w:r>
          </w:p>
        </w:tc>
        <w:tc>
          <w:tcPr>
            <w:tcW w:w="2537" w:type="dxa"/>
            <w:vMerge/>
            <w:shd w:val="clear" w:color="auto" w:fill="auto"/>
          </w:tcPr>
          <w:p w14:paraId="0EBEA16D"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p>
        </w:tc>
        <w:tc>
          <w:tcPr>
            <w:tcW w:w="2758" w:type="dxa"/>
            <w:vMerge/>
            <w:shd w:val="clear" w:color="auto" w:fill="auto"/>
          </w:tcPr>
          <w:p w14:paraId="424385EC"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p>
        </w:tc>
        <w:tc>
          <w:tcPr>
            <w:tcW w:w="1955" w:type="dxa"/>
            <w:vMerge/>
            <w:shd w:val="clear" w:color="auto" w:fill="auto"/>
          </w:tcPr>
          <w:p w14:paraId="337598D5" w14:textId="77777777" w:rsidR="00A56C28" w:rsidRPr="00A56C28" w:rsidRDefault="00A56C28" w:rsidP="00A56C28">
            <w:pPr>
              <w:spacing w:after="200" w:line="276" w:lineRule="auto"/>
              <w:rPr>
                <w:rFonts w:ascii="Times New Roman" w:eastAsia="Calibri" w:hAnsi="Times New Roman" w:cs="Times New Roman"/>
                <w:kern w:val="0"/>
                <w:sz w:val="22"/>
                <w:szCs w:val="22"/>
                <w:lang w:eastAsia="de-DE"/>
                <w14:ligatures w14:val="none"/>
              </w:rPr>
            </w:pPr>
          </w:p>
        </w:tc>
      </w:tr>
    </w:tbl>
    <w:p w14:paraId="414E1191" w14:textId="77777777" w:rsidR="00A56C28" w:rsidRPr="00A56C28" w:rsidRDefault="00A56C28" w:rsidP="00A56C28">
      <w:pPr>
        <w:spacing w:after="200" w:line="276" w:lineRule="auto"/>
        <w:ind w:firstLine="709"/>
        <w:jc w:val="both"/>
        <w:rPr>
          <w:rFonts w:ascii="Times New Roman" w:eastAsia="Calibri" w:hAnsi="Times New Roman" w:cs="Times New Roman"/>
          <w:kern w:val="0"/>
          <w:sz w:val="22"/>
          <w:szCs w:val="22"/>
          <w14:ligatures w14:val="none"/>
        </w:rPr>
      </w:pPr>
    </w:p>
    <w:p w14:paraId="6B04BA78" w14:textId="77777777" w:rsidR="00A56C28" w:rsidRPr="00A56C28" w:rsidRDefault="00A56C28" w:rsidP="00A56C28">
      <w:pPr>
        <w:spacing w:after="200" w:line="276" w:lineRule="auto"/>
        <w:ind w:firstLine="709"/>
        <w:jc w:val="both"/>
        <w:rPr>
          <w:rFonts w:ascii="Times New Roman" w:eastAsia="Calibri" w:hAnsi="Times New Roman" w:cs="Times New Roman"/>
          <w:kern w:val="0"/>
          <w:sz w:val="28"/>
          <w:szCs w:val="28"/>
          <w14:ligatures w14:val="none"/>
        </w:rPr>
      </w:pPr>
      <w:r w:rsidRPr="00A56C28">
        <w:rPr>
          <w:rFonts w:ascii="Times New Roman" w:eastAsia="Calibri" w:hAnsi="Times New Roman" w:cs="Times New Roman"/>
          <w:kern w:val="0"/>
          <w:sz w:val="28"/>
          <w:szCs w:val="28"/>
          <w14:ligatures w14:val="none"/>
        </w:rPr>
        <w:t xml:space="preserve">W przypadku pytania ewaluacyjnego dotyczącego wpływu bezpośredniego tj.: Czy pomoc miała wpływ i jeśli tak, to jaki na powiększenie produkcji rolniczej podlegającej ubezpieczeniu?  analiza powinna obejmować całych kraj w układzie dynamicznym, jednak wybór lat uzależniony będzie od dostępności danych. Dane powinny objąć zarówno ubezpieczenia dotowane (I wariant), jak również   i  komercyjne (II wariant), a ocena dokonywana będzie na poziomie całego kraju. </w:t>
      </w:r>
    </w:p>
    <w:p w14:paraId="2F7282C8" w14:textId="77777777" w:rsidR="00A56C28" w:rsidRPr="00A56C28" w:rsidRDefault="00A56C28" w:rsidP="00A56C28">
      <w:pPr>
        <w:spacing w:after="200" w:line="276" w:lineRule="auto"/>
        <w:ind w:firstLine="709"/>
        <w:jc w:val="both"/>
        <w:rPr>
          <w:rFonts w:ascii="Times New Roman" w:eastAsia="Calibri" w:hAnsi="Times New Roman" w:cs="Times New Roman"/>
          <w:kern w:val="0"/>
          <w:sz w:val="28"/>
          <w:szCs w:val="28"/>
          <w14:ligatures w14:val="none"/>
        </w:rPr>
      </w:pPr>
      <w:r w:rsidRPr="00A56C28">
        <w:rPr>
          <w:rFonts w:ascii="Times New Roman" w:eastAsia="Calibri" w:hAnsi="Times New Roman" w:cs="Times New Roman"/>
          <w:kern w:val="0"/>
          <w:sz w:val="28"/>
          <w:szCs w:val="28"/>
          <w14:ligatures w14:val="none"/>
        </w:rPr>
        <w:t xml:space="preserve">W przypadku pytania ewaluacyjnego, dotyczącego wpływu pośredniego, tj.: Czy program pomocy przyczynił się do stabilizacji wyników sektora rolniczego poprzez ograniczenie skutków ryzyka produkcyjnego można posłużyć się </w:t>
      </w:r>
      <w:r w:rsidRPr="00A56C28">
        <w:rPr>
          <w:rFonts w:ascii="Times New Roman" w:eastAsia="Calibri" w:hAnsi="Times New Roman" w:cs="Times New Roman"/>
          <w:kern w:val="0"/>
          <w:sz w:val="28"/>
          <w:szCs w:val="28"/>
          <w14:ligatures w14:val="none"/>
        </w:rPr>
        <w:lastRenderedPageBreak/>
        <w:t>metodą regresji z uwzględnieniem czynnika czasu lub zmiennych sztucznych (lata przed i po interwencji). W przypadku zmiennych finansowych i subwencji powinny one zostać wyrażone w cenach stałych, a przy zmiennych produkcyjnych problemem pozostaje postęp technologicznych i techniczny.  Można również rozważyć badanie w układzie regionalnym. Należy dysponować jednak dość długim szeregiem czasowym, a także zidentyfikować oddziaływanie szoków egzogennych (np. pandemia COVID-19, atak Federacji Rosyjskiej na Ukrainę 24.02.2022).</w:t>
      </w:r>
    </w:p>
    <w:p w14:paraId="57100FCB" w14:textId="77777777" w:rsidR="00A56C28" w:rsidRPr="00A56C28" w:rsidRDefault="00A56C28" w:rsidP="00A56C28">
      <w:pPr>
        <w:spacing w:before="60" w:after="60" w:line="276" w:lineRule="auto"/>
        <w:jc w:val="both"/>
        <w:rPr>
          <w:rFonts w:ascii="Times New Roman" w:eastAsia="Times New Roman" w:hAnsi="Times New Roman" w:cs="Times New Roman"/>
          <w:kern w:val="0"/>
          <w:sz w:val="22"/>
          <w:szCs w:val="22"/>
          <w:lang w:eastAsia="de-DE"/>
          <w14:ligatures w14:val="none"/>
        </w:rPr>
      </w:pPr>
    </w:p>
    <w:p w14:paraId="4C8352C7" w14:textId="77777777" w:rsidR="00A56C28" w:rsidRPr="00A56C28" w:rsidRDefault="00A56C28" w:rsidP="00A56C28">
      <w:pPr>
        <w:keepNext/>
        <w:tabs>
          <w:tab w:val="left" w:pos="850"/>
        </w:tabs>
        <w:spacing w:before="60" w:after="60" w:line="276" w:lineRule="auto"/>
        <w:ind w:left="850" w:hanging="850"/>
        <w:jc w:val="both"/>
        <w:outlineLvl w:val="1"/>
        <w:rPr>
          <w:rFonts w:ascii="Times New Roman" w:eastAsia="Times New Roman" w:hAnsi="Times New Roman" w:cs="Times New Roman"/>
          <w:b/>
          <w:kern w:val="0"/>
          <w:sz w:val="28"/>
          <w:szCs w:val="28"/>
          <w:highlight w:val="yellow"/>
          <w:lang w:eastAsia="de-DE"/>
          <w14:ligatures w14:val="none"/>
        </w:rPr>
      </w:pPr>
      <w:r w:rsidRPr="00A56C28">
        <w:rPr>
          <w:rFonts w:ascii="Times New Roman" w:eastAsia="Times New Roman" w:hAnsi="Times New Roman" w:cs="Times New Roman"/>
          <w:b/>
          <w:kern w:val="0"/>
          <w:sz w:val="28"/>
          <w:szCs w:val="28"/>
          <w:lang w:eastAsia="de-DE"/>
          <w14:ligatures w14:val="none"/>
        </w:rPr>
        <w:t>Wskaźniki wyników</w:t>
      </w:r>
    </w:p>
    <w:p w14:paraId="650B7B00" w14:textId="77777777" w:rsidR="00A56C28" w:rsidRPr="00A56C28" w:rsidRDefault="00A56C28" w:rsidP="00A56C28">
      <w:pPr>
        <w:spacing w:before="60" w:after="60" w:line="276" w:lineRule="auto"/>
        <w:jc w:val="both"/>
        <w:rPr>
          <w:rFonts w:ascii="Times New Roman" w:eastAsia="Times New Roman" w:hAnsi="Times New Roman" w:cs="Times New Roman"/>
          <w:kern w:val="0"/>
          <w:sz w:val="28"/>
          <w:szCs w:val="28"/>
          <w:lang w:eastAsia="de-DE"/>
          <w14:ligatures w14:val="none"/>
        </w:rPr>
      </w:pPr>
      <w:r w:rsidRPr="00A56C28">
        <w:rPr>
          <w:rFonts w:ascii="Times New Roman" w:eastAsia="Times New Roman" w:hAnsi="Times New Roman" w:cs="Times New Roman"/>
          <w:kern w:val="0"/>
          <w:sz w:val="28"/>
          <w:szCs w:val="28"/>
          <w:lang w:eastAsia="de-DE"/>
          <w14:ligatures w14:val="none"/>
        </w:rPr>
        <w:t xml:space="preserve">Należy wskazać, w jaki sposób zostaną ocenione wyniki programu, jakie wskaźniki zostaną utworzone włączając źródła danych i w jaki sposób wskaźniki wyników będą odpowiadały pytaniom służącym ocenie. Należy wyjaśnić, dlaczego wybrane wskaźniki są najodpowiedniejsze do oceny przewidywanego wpływu programu pomocy.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4A0" w:firstRow="1" w:lastRow="0" w:firstColumn="1" w:lastColumn="0" w:noHBand="0" w:noVBand="1"/>
      </w:tblPr>
      <w:tblGrid>
        <w:gridCol w:w="9062"/>
      </w:tblGrid>
      <w:tr w:rsidR="00A56C28" w:rsidRPr="00A56C28" w14:paraId="0BF5F00A" w14:textId="77777777" w:rsidTr="00796ADD">
        <w:tc>
          <w:tcPr>
            <w:tcW w:w="9113" w:type="dxa"/>
            <w:shd w:val="clear" w:color="auto" w:fill="auto"/>
          </w:tcPr>
          <w:p w14:paraId="047A9F9F" w14:textId="77777777" w:rsidR="00A56C28" w:rsidRPr="00A56C28" w:rsidRDefault="00A56C28" w:rsidP="00A56C28">
            <w:pPr>
              <w:spacing w:before="60" w:after="60" w:line="276" w:lineRule="auto"/>
              <w:jc w:val="both"/>
              <w:rPr>
                <w:rFonts w:ascii="Times New Roman" w:eastAsia="Calibri" w:hAnsi="Times New Roman" w:cs="Times New Roman"/>
                <w:kern w:val="0"/>
                <w:sz w:val="22"/>
                <w:szCs w:val="22"/>
                <w14:ligatures w14:val="none"/>
              </w:rPr>
            </w:pPr>
            <w:r w:rsidRPr="00A56C28">
              <w:rPr>
                <w:rFonts w:ascii="Times New Roman" w:eastAsia="Calibri" w:hAnsi="Times New Roman" w:cs="Times New Roman"/>
                <w:kern w:val="0"/>
                <w:sz w:val="22"/>
                <w:szCs w:val="22"/>
                <w14:ligatures w14:val="none"/>
              </w:rPr>
              <w:t xml:space="preserve">Za syntetyczny wskaźnik realizacji celu głównego programu wsparcia należałoby przyjąć wzrost   ilości zawieranych polis ubezpieczenia. Na poziom tego wskaźnika wpływa szereg czynników i wpływ Programu nie jest spośród nich czynnikiem zasadniczym, tym bardziej, że decyzję o ubezpieczeniu należy rozważać w strafie hazardu moralnego. Wskaźnik zostanie poddany analizie w trakcie ewaluacji ex-post  i zostanie włączony do zestawu podstawowych wskaźników realizacji celów Programu. </w:t>
            </w:r>
          </w:p>
          <w:p w14:paraId="6F4A4A76" w14:textId="77777777" w:rsidR="00A56C28" w:rsidRPr="00A56C28" w:rsidRDefault="00A56C28" w:rsidP="00A56C28">
            <w:pPr>
              <w:spacing w:before="60" w:after="60" w:line="276" w:lineRule="auto"/>
              <w:jc w:val="both"/>
              <w:rPr>
                <w:rFonts w:ascii="Times New Roman" w:eastAsia="Calibri" w:hAnsi="Times New Roman" w:cs="Times New Roman"/>
                <w:kern w:val="0"/>
                <w:sz w:val="22"/>
                <w:szCs w:val="22"/>
                <w14:ligatures w14:val="none"/>
              </w:rPr>
            </w:pPr>
            <w:r w:rsidRPr="00A56C28">
              <w:rPr>
                <w:rFonts w:ascii="Times New Roman" w:eastAsia="Calibri" w:hAnsi="Times New Roman" w:cs="Times New Roman"/>
                <w:kern w:val="0"/>
                <w:sz w:val="22"/>
                <w:szCs w:val="22"/>
                <w14:ligatures w14:val="none"/>
              </w:rPr>
              <w:t>Kluczowe wskaźniki stopnia realizacji celu rozpatrywane w ujęciu progresu wskaźników rezultatu to:</w:t>
            </w:r>
          </w:p>
          <w:p w14:paraId="10177773" w14:textId="77777777" w:rsidR="00A56C28" w:rsidRPr="00A56C28" w:rsidRDefault="00A56C28" w:rsidP="00A56C28">
            <w:pPr>
              <w:autoSpaceDE w:val="0"/>
              <w:autoSpaceDN w:val="0"/>
              <w:adjustRightInd w:val="0"/>
              <w:spacing w:after="0" w:line="276" w:lineRule="auto"/>
              <w:contextualSpacing/>
              <w:jc w:val="both"/>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 liczba  i  suma ubezpieczenia wynikająca z zawartych przez producentów rolnych z zakładami ubezpieczeń umów ubezpieczenia upraw rolnych i zwierząt gospodarskich,</w:t>
            </w:r>
          </w:p>
          <w:p w14:paraId="6F4E1D83" w14:textId="77777777" w:rsidR="00A56C28" w:rsidRPr="00A56C28" w:rsidRDefault="00A56C28" w:rsidP="00A56C28">
            <w:pPr>
              <w:autoSpaceDE w:val="0"/>
              <w:autoSpaceDN w:val="0"/>
              <w:adjustRightInd w:val="0"/>
              <w:spacing w:after="0" w:line="276" w:lineRule="auto"/>
              <w:contextualSpacing/>
              <w:jc w:val="both"/>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 powierzchnia i suma ubezpieczenia upraw rolnych,</w:t>
            </w:r>
          </w:p>
          <w:p w14:paraId="22CF2746" w14:textId="77777777" w:rsidR="00A56C28" w:rsidRPr="00A56C28" w:rsidRDefault="00A56C28" w:rsidP="00A56C28">
            <w:pPr>
              <w:autoSpaceDE w:val="0"/>
              <w:autoSpaceDN w:val="0"/>
              <w:adjustRightInd w:val="0"/>
              <w:spacing w:after="0" w:line="276" w:lineRule="auto"/>
              <w:contextualSpacing/>
              <w:jc w:val="both"/>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 liczba i suma ubezpieczenia zwierząt gospodarskich,</w:t>
            </w:r>
          </w:p>
          <w:p w14:paraId="00226580" w14:textId="77777777" w:rsidR="00A56C28" w:rsidRPr="00A56C28" w:rsidRDefault="00A56C28" w:rsidP="00A56C28">
            <w:pPr>
              <w:autoSpaceDE w:val="0"/>
              <w:autoSpaceDN w:val="0"/>
              <w:adjustRightInd w:val="0"/>
              <w:spacing w:after="0" w:line="276" w:lineRule="auto"/>
              <w:contextualSpacing/>
              <w:jc w:val="both"/>
              <w:rPr>
                <w:rFonts w:ascii="Times New Roman" w:eastAsia="Calibri" w:hAnsi="Times New Roman" w:cs="Times New Roman"/>
                <w:sz w:val="22"/>
                <w:szCs w:val="22"/>
                <w14:ligatures w14:val="none"/>
              </w:rPr>
            </w:pPr>
            <w:r w:rsidRPr="00A56C28">
              <w:rPr>
                <w:rFonts w:ascii="Times New Roman" w:eastAsia="Calibri" w:hAnsi="Times New Roman" w:cs="Times New Roman"/>
                <w:sz w:val="22"/>
                <w:szCs w:val="22"/>
                <w14:ligatures w14:val="none"/>
              </w:rPr>
              <w:t>- suma ubezpieczenia  produkcji rolnej.</w:t>
            </w:r>
          </w:p>
          <w:p w14:paraId="429C9466" w14:textId="77777777" w:rsidR="00A56C28" w:rsidRPr="00A56C28" w:rsidRDefault="00A56C28" w:rsidP="00A56C28">
            <w:pPr>
              <w:spacing w:before="60" w:after="60" w:line="276" w:lineRule="auto"/>
              <w:jc w:val="both"/>
              <w:rPr>
                <w:rFonts w:ascii="Times New Roman" w:eastAsia="Calibri" w:hAnsi="Times New Roman" w:cs="Times New Roman"/>
                <w:kern w:val="0"/>
                <w:sz w:val="22"/>
                <w:szCs w:val="22"/>
                <w14:ligatures w14:val="none"/>
              </w:rPr>
            </w:pPr>
            <w:r w:rsidRPr="00A56C28">
              <w:rPr>
                <w:rFonts w:ascii="Times New Roman" w:eastAsia="Calibri" w:hAnsi="Times New Roman" w:cs="Times New Roman"/>
                <w:kern w:val="0"/>
                <w:sz w:val="22"/>
                <w:szCs w:val="22"/>
                <w14:ligatures w14:val="none"/>
              </w:rPr>
              <w:t>Przytoczone powyżej wskaźniki rezultatu będą uzupełnione wskaźnikami interwencji   z zakresu zarzadzania ryzykiem I 12.1 oraz I.12.2 realizowanymi w ramach Planu Strategicznego dla Wspólnej Polityki Rolnej na lata 2023 – 2027.</w:t>
            </w:r>
          </w:p>
        </w:tc>
      </w:tr>
    </w:tbl>
    <w:p w14:paraId="25925DE5" w14:textId="77777777" w:rsidR="00BB6190" w:rsidRDefault="00BB6190" w:rsidP="00822ECF">
      <w:pPr>
        <w:rPr>
          <w:rFonts w:ascii="Times New Roman" w:hAnsi="Times New Roman" w:cs="Times New Roman"/>
          <w:sz w:val="28"/>
          <w:szCs w:val="28"/>
        </w:rPr>
      </w:pPr>
    </w:p>
    <w:p w14:paraId="3DBA2AEF" w14:textId="77777777" w:rsidR="001D0854" w:rsidRPr="001D0854" w:rsidRDefault="001D0854" w:rsidP="001D0854">
      <w:pPr>
        <w:spacing w:line="259" w:lineRule="auto"/>
        <w:jc w:val="both"/>
        <w:rPr>
          <w:rFonts w:ascii="Times New Roman" w:eastAsia="Aptos" w:hAnsi="Times New Roman" w:cs="Times New Roman"/>
          <w:sz w:val="28"/>
          <w:szCs w:val="28"/>
        </w:rPr>
      </w:pPr>
    </w:p>
    <w:p w14:paraId="2A0DF9ED" w14:textId="77777777" w:rsidR="001D0854" w:rsidRPr="001D0854" w:rsidRDefault="001D0854" w:rsidP="00302E35">
      <w:pPr>
        <w:tabs>
          <w:tab w:val="left" w:pos="567"/>
        </w:tabs>
        <w:spacing w:line="259" w:lineRule="auto"/>
        <w:jc w:val="both"/>
        <w:rPr>
          <w:rFonts w:ascii="Times New Roman" w:eastAsia="Aptos" w:hAnsi="Times New Roman" w:cs="Times New Roman"/>
          <w:b/>
          <w:bCs/>
          <w:sz w:val="28"/>
          <w:szCs w:val="28"/>
        </w:rPr>
      </w:pPr>
      <w:r w:rsidRPr="001D0854">
        <w:rPr>
          <w:rFonts w:ascii="Times New Roman" w:eastAsia="Aptos" w:hAnsi="Times New Roman" w:cs="Times New Roman"/>
          <w:b/>
          <w:bCs/>
          <w:sz w:val="28"/>
          <w:szCs w:val="28"/>
        </w:rPr>
        <w:t>5.</w:t>
      </w:r>
      <w:r w:rsidRPr="001D0854">
        <w:rPr>
          <w:rFonts w:ascii="Times New Roman" w:eastAsia="Aptos" w:hAnsi="Times New Roman" w:cs="Times New Roman"/>
          <w:b/>
          <w:bCs/>
          <w:sz w:val="28"/>
          <w:szCs w:val="28"/>
        </w:rPr>
        <w:tab/>
        <w:t>Propensity Score Matching (PSM) jako przykład zastosowania matchingu</w:t>
      </w:r>
    </w:p>
    <w:p w14:paraId="7539D089" w14:textId="77777777" w:rsidR="001D0854" w:rsidRPr="001D0854" w:rsidRDefault="001D0854" w:rsidP="001D0854">
      <w:pPr>
        <w:spacing w:line="259" w:lineRule="auto"/>
        <w:jc w:val="both"/>
        <w:rPr>
          <w:rFonts w:ascii="Times New Roman" w:eastAsia="Aptos" w:hAnsi="Times New Roman" w:cs="Times New Roman"/>
          <w:b/>
          <w:bCs/>
          <w:sz w:val="28"/>
          <w:szCs w:val="28"/>
        </w:rPr>
      </w:pPr>
      <w:r w:rsidRPr="001D0854">
        <w:rPr>
          <w:rFonts w:ascii="Times New Roman" w:eastAsia="Aptos" w:hAnsi="Times New Roman" w:cs="Times New Roman"/>
          <w:b/>
          <w:bCs/>
          <w:sz w:val="28"/>
          <w:szCs w:val="28"/>
        </w:rPr>
        <w:t>5.1.</w:t>
      </w:r>
      <w:r w:rsidRPr="001D0854">
        <w:rPr>
          <w:rFonts w:ascii="Times New Roman" w:eastAsia="Aptos" w:hAnsi="Times New Roman" w:cs="Times New Roman"/>
          <w:b/>
          <w:bCs/>
          <w:sz w:val="28"/>
          <w:szCs w:val="28"/>
        </w:rPr>
        <w:tab/>
        <w:t>Perspektywa historyczno-ewolucyjna</w:t>
      </w:r>
    </w:p>
    <w:p w14:paraId="460216FF"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Istotą ewaluacji programów ubezpieczeń rolnych jest uchwycenie w analizie efektów oddziaływania interwencji polityki publicznej.  Jest to zagadnienie złożone </w:t>
      </w:r>
      <w:r w:rsidRPr="001D0854">
        <w:rPr>
          <w:rFonts w:ascii="Times New Roman" w:eastAsia="Aptos" w:hAnsi="Times New Roman" w:cs="Times New Roman"/>
          <w:sz w:val="28"/>
          <w:szCs w:val="28"/>
        </w:rPr>
        <w:lastRenderedPageBreak/>
        <w:t xml:space="preserve">metodologicznie i metodycznie, gdyż wymaga od zespołu ewaluującego zidentyfikowanie tylko „czystego” wpływu danej interwencji. </w:t>
      </w:r>
    </w:p>
    <w:p w14:paraId="59391EF5"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W ramce 1 zestawiono bardzo istotne z punktu widzenia metody PSM kategorie z zakresu metodologii eksperymentów. Zostały one przedstawione w ujęciu ewolucyjnym, tzn. najpierw pokazano doświadczenia polowe, potem naturalne eksperymenty, eksperymenty randomizowane, a następnie randomizowane kontrolne badania kliniczne. </w:t>
      </w:r>
    </w:p>
    <w:p w14:paraId="7F659389" w14:textId="77777777" w:rsidR="001D0854" w:rsidRPr="001D0854" w:rsidRDefault="001D0854" w:rsidP="001D0854">
      <w:pPr>
        <w:spacing w:line="259" w:lineRule="auto"/>
        <w:jc w:val="both"/>
        <w:rPr>
          <w:rFonts w:ascii="Times New Roman" w:eastAsia="Aptos" w:hAnsi="Times New Roman" w:cs="Times New Roman"/>
        </w:rPr>
      </w:pPr>
      <w:r w:rsidRPr="000A2DCE">
        <w:rPr>
          <w:rFonts w:ascii="Times New Roman" w:eastAsia="Aptos" w:hAnsi="Times New Roman" w:cs="Times New Roman"/>
          <w:b/>
          <w:bCs/>
        </w:rPr>
        <w:t>Ramka 1</w:t>
      </w:r>
      <w:r w:rsidRPr="001D0854">
        <w:rPr>
          <w:rFonts w:ascii="Times New Roman" w:eastAsia="Aptos" w:hAnsi="Times New Roman" w:cs="Times New Roman"/>
        </w:rPr>
        <w:t>. Podstawowe kategorie z zakresu metodologii eksperymentów</w:t>
      </w:r>
    </w:p>
    <w:tbl>
      <w:tblPr>
        <w:tblStyle w:val="Tabela-Siatka"/>
        <w:tblW w:w="0" w:type="auto"/>
        <w:shd w:val="clear" w:color="auto" w:fill="F2F2F2"/>
        <w:tblLook w:val="04A0" w:firstRow="1" w:lastRow="0" w:firstColumn="1" w:lastColumn="0" w:noHBand="0" w:noVBand="1"/>
      </w:tblPr>
      <w:tblGrid>
        <w:gridCol w:w="9062"/>
      </w:tblGrid>
      <w:tr w:rsidR="001D0854" w:rsidRPr="001D0854" w14:paraId="32F26E3C" w14:textId="77777777" w:rsidTr="001D0854">
        <w:tc>
          <w:tcPr>
            <w:tcW w:w="9062" w:type="dxa"/>
            <w:shd w:val="clear" w:color="auto" w:fill="F2F2F2"/>
          </w:tcPr>
          <w:p w14:paraId="76D9FC9B" w14:textId="77777777" w:rsidR="001D0854" w:rsidRPr="001D0854" w:rsidRDefault="001D0854" w:rsidP="001D0854">
            <w:pPr>
              <w:numPr>
                <w:ilvl w:val="0"/>
                <w:numId w:val="53"/>
              </w:numPr>
              <w:autoSpaceDE w:val="0"/>
              <w:autoSpaceDN w:val="0"/>
              <w:adjustRightInd w:val="0"/>
              <w:spacing w:line="276" w:lineRule="auto"/>
              <w:ind w:left="306" w:hanging="284"/>
              <w:contextualSpacing/>
              <w:jc w:val="both"/>
              <w:rPr>
                <w:rFonts w:ascii="Times New Roman" w:eastAsia="Aptos" w:hAnsi="Times New Roman" w:cs="Times New Roman"/>
                <w:i/>
                <w:iCs/>
                <w:kern w:val="0"/>
              </w:rPr>
            </w:pPr>
            <w:r w:rsidRPr="001D0854">
              <w:rPr>
                <w:rFonts w:ascii="Times New Roman" w:eastAsia="Aptos" w:hAnsi="Times New Roman" w:cs="Times New Roman"/>
                <w:b/>
                <w:bCs/>
                <w:i/>
                <w:iCs/>
                <w:kern w:val="0"/>
              </w:rPr>
              <w:t xml:space="preserve">Doświadczenia polowe </w:t>
            </w:r>
            <w:r w:rsidRPr="001D0854">
              <w:rPr>
                <w:rFonts w:ascii="Times New Roman" w:eastAsia="Aptos" w:hAnsi="Times New Roman" w:cs="Times New Roman"/>
                <w:i/>
                <w:iCs/>
                <w:kern w:val="0"/>
              </w:rPr>
              <w:t>(ang. field experiments) -  eksperymenty obserwowane w naturalnym środowisku. Ich zaletą jest to, że jednostki znajdują się w swoim naturalnym środowisku, ale trudne jest kontrolowanie oddzielnych grup poddanych różnym oddziaływaniom.</w:t>
            </w:r>
          </w:p>
          <w:p w14:paraId="23BCC0AB" w14:textId="77777777" w:rsidR="001D0854" w:rsidRPr="001D0854" w:rsidRDefault="001D0854" w:rsidP="001D0854">
            <w:pPr>
              <w:numPr>
                <w:ilvl w:val="0"/>
                <w:numId w:val="53"/>
              </w:numPr>
              <w:autoSpaceDE w:val="0"/>
              <w:autoSpaceDN w:val="0"/>
              <w:adjustRightInd w:val="0"/>
              <w:spacing w:line="276" w:lineRule="auto"/>
              <w:ind w:left="306" w:hanging="284"/>
              <w:contextualSpacing/>
              <w:jc w:val="both"/>
              <w:rPr>
                <w:rFonts w:ascii="Times New Roman" w:eastAsia="Aptos" w:hAnsi="Times New Roman" w:cs="Times New Roman"/>
                <w:i/>
                <w:iCs/>
                <w:kern w:val="0"/>
              </w:rPr>
            </w:pPr>
            <w:r w:rsidRPr="001D0854">
              <w:rPr>
                <w:rFonts w:ascii="Times New Roman" w:eastAsia="Aptos" w:hAnsi="Times New Roman" w:cs="Times New Roman"/>
                <w:b/>
                <w:bCs/>
                <w:i/>
                <w:iCs/>
                <w:kern w:val="0"/>
              </w:rPr>
              <w:t xml:space="preserve">Naturalne eksperymenty </w:t>
            </w:r>
            <w:r w:rsidRPr="001D0854">
              <w:rPr>
                <w:rFonts w:ascii="Times New Roman" w:eastAsia="Aptos" w:hAnsi="Times New Roman" w:cs="Times New Roman"/>
                <w:i/>
                <w:iCs/>
                <w:kern w:val="0"/>
              </w:rPr>
              <w:t>(ang. natural experiments) – eksperymenty, w których  po interwencji jednorodna grupa sprzed interwencji jest podzielona na część poddaną interwencji i nie poddaną jej. Podział odbywa się w sposób samoczynny bez interwencji eksperymentatora.</w:t>
            </w:r>
          </w:p>
          <w:p w14:paraId="1B382B6D" w14:textId="77777777" w:rsidR="001D0854" w:rsidRPr="001D0854" w:rsidRDefault="001D0854" w:rsidP="001D0854">
            <w:pPr>
              <w:numPr>
                <w:ilvl w:val="0"/>
                <w:numId w:val="53"/>
              </w:numPr>
              <w:autoSpaceDE w:val="0"/>
              <w:autoSpaceDN w:val="0"/>
              <w:adjustRightInd w:val="0"/>
              <w:spacing w:line="276" w:lineRule="auto"/>
              <w:ind w:left="306" w:hanging="284"/>
              <w:contextualSpacing/>
              <w:jc w:val="both"/>
              <w:rPr>
                <w:rFonts w:ascii="Times New Roman" w:eastAsia="Aptos" w:hAnsi="Times New Roman" w:cs="Times New Roman"/>
              </w:rPr>
            </w:pPr>
            <w:r w:rsidRPr="001D0854">
              <w:rPr>
                <w:rFonts w:ascii="Times New Roman" w:eastAsia="Aptos" w:hAnsi="Times New Roman" w:cs="Times New Roman"/>
                <w:b/>
                <w:bCs/>
                <w:i/>
                <w:iCs/>
                <w:kern w:val="0"/>
              </w:rPr>
              <w:t xml:space="preserve">Eksperymenty randomizowan </w:t>
            </w:r>
            <w:r w:rsidRPr="001D0854">
              <w:rPr>
                <w:rFonts w:ascii="Times New Roman" w:eastAsia="Aptos" w:hAnsi="Times New Roman" w:cs="Times New Roman"/>
                <w:i/>
                <w:iCs/>
                <w:kern w:val="0"/>
              </w:rPr>
              <w:t>(ang. randomised experiments</w:t>
            </w:r>
            <w:r w:rsidRPr="001D0854">
              <w:rPr>
                <w:rFonts w:ascii="Times New Roman" w:eastAsia="Aptos" w:hAnsi="Times New Roman" w:cs="Times New Roman"/>
                <w:b/>
                <w:bCs/>
                <w:i/>
                <w:iCs/>
                <w:kern w:val="0"/>
              </w:rPr>
              <w:t>)</w:t>
            </w:r>
            <w:r w:rsidRPr="001D0854">
              <w:rPr>
                <w:rFonts w:ascii="Times New Roman" w:eastAsia="Aptos" w:hAnsi="Times New Roman" w:cs="Times New Roman"/>
                <w:i/>
                <w:iCs/>
                <w:kern w:val="0"/>
              </w:rPr>
              <w:t xml:space="preserve"> - eksperymenty, w których jednostki są w sposób losowy przydzielone do grup poddanych różnym oddziaływaniom (ang. treatment groups). Brak kontroli oznacza, ze inne czynniki które mogą wpływać na wynik eksperymentu niekoniecznie są równe pomiędzy grupami.</w:t>
            </w:r>
          </w:p>
          <w:p w14:paraId="54E6BD21" w14:textId="77777777" w:rsidR="001D0854" w:rsidRPr="001D0854" w:rsidRDefault="001D0854" w:rsidP="001D0854">
            <w:pPr>
              <w:numPr>
                <w:ilvl w:val="0"/>
                <w:numId w:val="53"/>
              </w:numPr>
              <w:autoSpaceDE w:val="0"/>
              <w:autoSpaceDN w:val="0"/>
              <w:adjustRightInd w:val="0"/>
              <w:spacing w:line="276" w:lineRule="auto"/>
              <w:ind w:left="306" w:hanging="284"/>
              <w:contextualSpacing/>
              <w:jc w:val="both"/>
              <w:rPr>
                <w:rFonts w:ascii="Times New Roman" w:eastAsia="Aptos" w:hAnsi="Times New Roman" w:cs="Times New Roman"/>
              </w:rPr>
            </w:pPr>
            <w:r w:rsidRPr="001D0854">
              <w:rPr>
                <w:rFonts w:ascii="Times New Roman" w:eastAsia="Aptos" w:hAnsi="Times New Roman" w:cs="Times New Roman"/>
                <w:b/>
                <w:bCs/>
                <w:i/>
                <w:iCs/>
                <w:kern w:val="0"/>
              </w:rPr>
              <w:t>Randomizowane kontrolowane badania kliniczne (</w:t>
            </w:r>
            <w:r w:rsidRPr="001D0854">
              <w:rPr>
                <w:rFonts w:ascii="Times New Roman" w:eastAsia="Aptos" w:hAnsi="Times New Roman" w:cs="Times New Roman"/>
                <w:i/>
                <w:iCs/>
                <w:kern w:val="0"/>
              </w:rPr>
              <w:t xml:space="preserve">ang. Randomised Control Trials, RCT) to typ ilościowych, porównawczych kontrolowanych eksperymentów  (stosowane w naukach medycznych, np. w farmakologii), w których rozmiar efektu oddziaływania może być ustalony z mniejszym obciążeniem niż w badaniach obserwacyjnych. W RCT przeprowadzana jest randomizacja, tj. podział losowy uczestników na min. 2 grupy, w tym eksperymentalnej, porównawczej/kontrolnej. </w:t>
            </w:r>
            <w:r w:rsidRPr="001D0854">
              <w:rPr>
                <w:rFonts w:ascii="Times New Roman" w:eastAsia="Aptos" w:hAnsi="Times New Roman" w:cs="Times New Roman"/>
                <w:i/>
                <w:iCs/>
                <w:kern w:val="0"/>
                <w:u w:val="single"/>
              </w:rPr>
              <w:t>Zapewnia to, że średnio pozostałe czynniki są równe między grupami, a zatem różnice w wyniku mogą być przypisane do interwencji (oddziaływania) Randomizacja usuwa obciążenie związane z selekcją i pozwala na wykorzystanie klasycznych metod wnioskowania statystycznego.</w:t>
            </w:r>
          </w:p>
        </w:tc>
      </w:tr>
    </w:tbl>
    <w:p w14:paraId="197BC612" w14:textId="77777777" w:rsidR="001D0854" w:rsidRPr="000A2DCE" w:rsidRDefault="001D0854" w:rsidP="001D0854">
      <w:pPr>
        <w:spacing w:line="259" w:lineRule="auto"/>
        <w:rPr>
          <w:rFonts w:ascii="Times New Roman" w:eastAsia="Aptos" w:hAnsi="Times New Roman" w:cs="Times New Roman"/>
          <w:i/>
          <w:iCs/>
        </w:rPr>
      </w:pPr>
      <w:r w:rsidRPr="000A2DCE">
        <w:rPr>
          <w:rFonts w:ascii="Times New Roman" w:eastAsia="Aptos" w:hAnsi="Times New Roman" w:cs="Times New Roman"/>
          <w:i/>
          <w:iCs/>
        </w:rPr>
        <w:t>Źródło: adaptacja Strawiński (2024).</w:t>
      </w:r>
    </w:p>
    <w:p w14:paraId="3C6A64F3"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Randomizacja (ang. </w:t>
      </w:r>
      <w:r w:rsidRPr="001D0854">
        <w:rPr>
          <w:rFonts w:ascii="Times New Roman" w:eastAsia="Aptos" w:hAnsi="Times New Roman" w:cs="Times New Roman"/>
          <w:i/>
          <w:iCs/>
          <w:sz w:val="28"/>
          <w:szCs w:val="28"/>
        </w:rPr>
        <w:t>random</w:t>
      </w:r>
      <w:r w:rsidRPr="001D0854">
        <w:rPr>
          <w:rFonts w:ascii="Times New Roman" w:eastAsia="Aptos" w:hAnsi="Times New Roman" w:cs="Times New Roman"/>
          <w:sz w:val="28"/>
          <w:szCs w:val="28"/>
        </w:rPr>
        <w:t xml:space="preserve"> – przypadkowy) jest to, najogólniej rzecz biorąc, metodą przypisywania jednostek do różnych oddziaływań</w:t>
      </w:r>
      <w:r w:rsidRPr="001D0854">
        <w:rPr>
          <w:rFonts w:ascii="Times New Roman" w:eastAsia="Aptos" w:hAnsi="Times New Roman" w:cs="Times New Roman"/>
          <w:sz w:val="28"/>
          <w:szCs w:val="28"/>
          <w:vertAlign w:val="superscript"/>
        </w:rPr>
        <w:footnoteReference w:id="1"/>
      </w:r>
      <w:r w:rsidRPr="001D0854">
        <w:rPr>
          <w:rFonts w:ascii="Times New Roman" w:eastAsia="Aptos" w:hAnsi="Times New Roman" w:cs="Times New Roman"/>
          <w:sz w:val="28"/>
          <w:szCs w:val="28"/>
        </w:rPr>
        <w:t xml:space="preserve">. Bierze one swoje korzenie m.in. z  nauk klinicznych.  Kukowska, Dziaduszko i Jassem (2005) za Buysem (2000) wskazują, że wśród stosowanych metod „przydzielania chorym określonego rodzaju leczenia, lub inaczej, przypisywania chorych do jednej z porównywanych w badaniu grup”  dominują techniki  opierające  się na doborze losowym, które w terminologii badań klinicznych noszą ogólną nazwę randomizacji. Ma to bardzo istotne znaczenie, gdyż przydział „chorych do poszczególnych grup powinien  mieć charakter losowy oraz być niezależny od woli zarówno </w:t>
      </w:r>
      <w:r w:rsidRPr="001D0854">
        <w:rPr>
          <w:rFonts w:ascii="Times New Roman" w:eastAsia="Aptos" w:hAnsi="Times New Roman" w:cs="Times New Roman"/>
          <w:sz w:val="28"/>
          <w:szCs w:val="28"/>
        </w:rPr>
        <w:lastRenderedPageBreak/>
        <w:t>samego chorego, jak i badacza” (Kukowska i in., 2005, s. 152).  Należy tu wskazać dwa rodzaje błędów doboru (Ibidem):</w:t>
      </w:r>
    </w:p>
    <w:p w14:paraId="58AF91E5" w14:textId="77777777" w:rsidR="001D0854" w:rsidRPr="001D0854" w:rsidRDefault="001D0854" w:rsidP="001D0854">
      <w:pPr>
        <w:numPr>
          <w:ilvl w:val="0"/>
          <w:numId w:val="52"/>
        </w:numPr>
        <w:spacing w:line="259" w:lineRule="auto"/>
        <w:contextualSpacing/>
        <w:jc w:val="both"/>
        <w:rPr>
          <w:rFonts w:ascii="Times New Roman" w:eastAsia="Aptos" w:hAnsi="Times New Roman" w:cs="Times New Roman"/>
          <w:sz w:val="28"/>
          <w:szCs w:val="28"/>
        </w:rPr>
      </w:pPr>
      <w:r w:rsidRPr="001D0854">
        <w:rPr>
          <w:rFonts w:ascii="Times New Roman" w:eastAsia="Aptos" w:hAnsi="Times New Roman" w:cs="Times New Roman"/>
          <w:i/>
          <w:iCs/>
          <w:sz w:val="28"/>
          <w:szCs w:val="28"/>
        </w:rPr>
        <w:t>selection bias</w:t>
      </w:r>
      <w:r w:rsidRPr="001D0854">
        <w:rPr>
          <w:rFonts w:ascii="Times New Roman" w:eastAsia="Aptos" w:hAnsi="Times New Roman" w:cs="Times New Roman"/>
          <w:sz w:val="28"/>
          <w:szCs w:val="28"/>
        </w:rPr>
        <w:t xml:space="preserve"> – wybiórczy dobór osób, np.  przypisanie do grupy „doświadczalnej” /badanej osób, u których spodziewamy się lepszego efektu terapeutycznego;</w:t>
      </w:r>
    </w:p>
    <w:p w14:paraId="627CF34D" w14:textId="77777777" w:rsidR="001D0854" w:rsidRPr="001D0854" w:rsidRDefault="001D0854" w:rsidP="001D0854">
      <w:pPr>
        <w:numPr>
          <w:ilvl w:val="0"/>
          <w:numId w:val="52"/>
        </w:numPr>
        <w:spacing w:line="259" w:lineRule="auto"/>
        <w:contextualSpacing/>
        <w:jc w:val="both"/>
        <w:rPr>
          <w:rFonts w:ascii="Times New Roman" w:eastAsia="Aptos" w:hAnsi="Times New Roman" w:cs="Times New Roman"/>
          <w:sz w:val="28"/>
          <w:szCs w:val="28"/>
        </w:rPr>
      </w:pPr>
      <w:r w:rsidRPr="001D0854">
        <w:rPr>
          <w:rFonts w:ascii="Times New Roman" w:eastAsia="Aptos" w:hAnsi="Times New Roman" w:cs="Times New Roman"/>
          <w:i/>
          <w:iCs/>
          <w:sz w:val="28"/>
          <w:szCs w:val="28"/>
        </w:rPr>
        <w:t>accidental bias</w:t>
      </w:r>
      <w:r w:rsidRPr="001D0854">
        <w:rPr>
          <w:rFonts w:ascii="Times New Roman" w:eastAsia="Aptos" w:hAnsi="Times New Roman" w:cs="Times New Roman"/>
          <w:sz w:val="28"/>
          <w:szCs w:val="28"/>
        </w:rPr>
        <w:t xml:space="preserve"> – przypadkowe, nierównomierne rozłożenie czynników dla danych pacjentów, co przekłada się na lepszą korzyść kliniczną wynikającą np. z większego udziału osób charakteryzujących się bardziej korzystnymi czynnikami rokowniczymi.</w:t>
      </w:r>
    </w:p>
    <w:p w14:paraId="6E8ECD80"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Procedury randomizacji zostały zaadaptowane do nauk społecznych, w przypadku zaś części dyscyplin stosowane jest podejście eksperymentalne (np. ekonomia behawioralna). Randomizacja ma na celu zredukowanie  wpływu niekontrolowanych  przez eksperymentatora zmiennych na wyniki eksperymentu. </w:t>
      </w:r>
    </w:p>
    <w:p w14:paraId="776EA35A" w14:textId="4DDA5511" w:rsidR="001D0854" w:rsidRP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Na schemacie blokowym (rysunek </w:t>
      </w:r>
      <w:r w:rsidR="00DD0E2F">
        <w:rPr>
          <w:rFonts w:ascii="Times New Roman" w:eastAsia="Aptos" w:hAnsi="Times New Roman" w:cs="Times New Roman"/>
          <w:sz w:val="28"/>
          <w:szCs w:val="28"/>
        </w:rPr>
        <w:t>1</w:t>
      </w:r>
      <w:r w:rsidRPr="001D0854">
        <w:rPr>
          <w:rFonts w:ascii="Times New Roman" w:eastAsia="Aptos" w:hAnsi="Times New Roman" w:cs="Times New Roman"/>
          <w:sz w:val="28"/>
          <w:szCs w:val="28"/>
        </w:rPr>
        <w:t>1) przedstawione zostały podstawowe fazy RCT. Grupa badawcza jest poddawana interwencji medycznej (np. zastosowanie nowego leku czy nowej formy terapii), grupa kontrolna  podlega oddziaływaniu interwencji o znanej skuteczności lub też w formie placebo.  Przedstawiony schemat opiera się na zaleceniach z raportu CONSORT, w którym ważną rolę odgrywa przydział uczestników od fazy 2 (allocation).</w:t>
      </w:r>
    </w:p>
    <w:p w14:paraId="6A7DBDA3" w14:textId="77777777" w:rsidR="001D0854" w:rsidRPr="001D0854" w:rsidRDefault="001D0854" w:rsidP="001D0854">
      <w:pPr>
        <w:spacing w:line="259" w:lineRule="auto"/>
        <w:rPr>
          <w:rFonts w:ascii="Times New Roman" w:eastAsia="Aptos" w:hAnsi="Times New Roman" w:cs="Times New Roman"/>
          <w:sz w:val="28"/>
          <w:szCs w:val="28"/>
        </w:rPr>
      </w:pPr>
    </w:p>
    <w:p w14:paraId="74E0FF7C" w14:textId="77777777" w:rsidR="001D0854" w:rsidRDefault="001D0854" w:rsidP="001D0854">
      <w:pPr>
        <w:spacing w:line="259" w:lineRule="auto"/>
        <w:rPr>
          <w:rFonts w:ascii="Aptos" w:eastAsia="Aptos" w:hAnsi="Aptos" w:cs="Times New Roman"/>
          <w:noProof/>
          <w:sz w:val="22"/>
          <w:szCs w:val="22"/>
        </w:rPr>
      </w:pPr>
    </w:p>
    <w:p w14:paraId="652799FD" w14:textId="77777777" w:rsidR="001D0854" w:rsidRDefault="001D0854" w:rsidP="001D0854">
      <w:pPr>
        <w:spacing w:line="259" w:lineRule="auto"/>
        <w:rPr>
          <w:rFonts w:ascii="Aptos" w:eastAsia="Aptos" w:hAnsi="Aptos" w:cs="Times New Roman"/>
          <w:noProof/>
          <w:sz w:val="22"/>
          <w:szCs w:val="22"/>
        </w:rPr>
      </w:pPr>
    </w:p>
    <w:p w14:paraId="59FC5158" w14:textId="77777777" w:rsidR="001D0854" w:rsidRDefault="001D0854" w:rsidP="001D0854">
      <w:pPr>
        <w:spacing w:line="259" w:lineRule="auto"/>
        <w:rPr>
          <w:rFonts w:ascii="Aptos" w:eastAsia="Aptos" w:hAnsi="Aptos" w:cs="Times New Roman"/>
          <w:noProof/>
          <w:sz w:val="22"/>
          <w:szCs w:val="22"/>
        </w:rPr>
      </w:pPr>
    </w:p>
    <w:p w14:paraId="315258AE" w14:textId="77777777" w:rsidR="001D0854" w:rsidRDefault="001D0854" w:rsidP="001D0854">
      <w:pPr>
        <w:spacing w:line="259" w:lineRule="auto"/>
        <w:rPr>
          <w:rFonts w:ascii="Aptos" w:eastAsia="Aptos" w:hAnsi="Aptos" w:cs="Times New Roman"/>
          <w:noProof/>
          <w:sz w:val="22"/>
          <w:szCs w:val="22"/>
        </w:rPr>
      </w:pPr>
    </w:p>
    <w:p w14:paraId="698791D8" w14:textId="77777777" w:rsidR="001D0854" w:rsidRDefault="001D0854" w:rsidP="001D0854">
      <w:pPr>
        <w:spacing w:line="259" w:lineRule="auto"/>
        <w:rPr>
          <w:rFonts w:ascii="Aptos" w:eastAsia="Aptos" w:hAnsi="Aptos" w:cs="Times New Roman"/>
          <w:noProof/>
          <w:sz w:val="22"/>
          <w:szCs w:val="22"/>
        </w:rPr>
      </w:pPr>
    </w:p>
    <w:p w14:paraId="54E5F03F" w14:textId="77777777" w:rsidR="001D0854" w:rsidRDefault="001D0854" w:rsidP="001D0854">
      <w:pPr>
        <w:spacing w:line="259" w:lineRule="auto"/>
        <w:rPr>
          <w:rFonts w:ascii="Aptos" w:eastAsia="Aptos" w:hAnsi="Aptos" w:cs="Times New Roman"/>
          <w:noProof/>
          <w:sz w:val="22"/>
          <w:szCs w:val="22"/>
        </w:rPr>
      </w:pPr>
    </w:p>
    <w:p w14:paraId="3AFA0EA0" w14:textId="77777777" w:rsidR="001D0854" w:rsidRDefault="001D0854" w:rsidP="001D0854">
      <w:pPr>
        <w:spacing w:line="259" w:lineRule="auto"/>
        <w:rPr>
          <w:rFonts w:ascii="Aptos" w:eastAsia="Aptos" w:hAnsi="Aptos" w:cs="Times New Roman"/>
          <w:noProof/>
          <w:sz w:val="22"/>
          <w:szCs w:val="22"/>
        </w:rPr>
      </w:pPr>
    </w:p>
    <w:p w14:paraId="48595F64" w14:textId="77777777" w:rsidR="001D0854" w:rsidRDefault="001D0854" w:rsidP="001D0854">
      <w:pPr>
        <w:spacing w:line="259" w:lineRule="auto"/>
        <w:rPr>
          <w:rFonts w:ascii="Aptos" w:eastAsia="Aptos" w:hAnsi="Aptos" w:cs="Times New Roman"/>
          <w:noProof/>
          <w:sz w:val="22"/>
          <w:szCs w:val="22"/>
        </w:rPr>
      </w:pPr>
    </w:p>
    <w:p w14:paraId="3E992B6F" w14:textId="77777777" w:rsidR="001D0854" w:rsidRDefault="001D0854" w:rsidP="001D0854">
      <w:pPr>
        <w:spacing w:line="259" w:lineRule="auto"/>
        <w:rPr>
          <w:rFonts w:ascii="Aptos" w:eastAsia="Aptos" w:hAnsi="Aptos" w:cs="Times New Roman"/>
          <w:noProof/>
          <w:sz w:val="22"/>
          <w:szCs w:val="22"/>
        </w:rPr>
      </w:pPr>
    </w:p>
    <w:p w14:paraId="248C336F" w14:textId="77777777" w:rsidR="001D0854" w:rsidRDefault="001D0854" w:rsidP="001D0854">
      <w:pPr>
        <w:spacing w:line="259" w:lineRule="auto"/>
        <w:rPr>
          <w:rFonts w:ascii="Aptos" w:eastAsia="Aptos" w:hAnsi="Aptos" w:cs="Times New Roman"/>
          <w:noProof/>
          <w:sz w:val="22"/>
          <w:szCs w:val="22"/>
        </w:rPr>
      </w:pPr>
    </w:p>
    <w:p w14:paraId="116E67AA" w14:textId="77777777" w:rsidR="001D0854" w:rsidRDefault="001D0854" w:rsidP="001D0854">
      <w:pPr>
        <w:spacing w:line="259" w:lineRule="auto"/>
        <w:rPr>
          <w:rFonts w:ascii="Aptos" w:eastAsia="Aptos" w:hAnsi="Aptos" w:cs="Times New Roman"/>
          <w:noProof/>
          <w:sz w:val="22"/>
          <w:szCs w:val="22"/>
        </w:rPr>
      </w:pPr>
    </w:p>
    <w:p w14:paraId="2D1CCA51" w14:textId="77777777" w:rsidR="001D0854" w:rsidRPr="001D0854" w:rsidRDefault="001D0854" w:rsidP="001D0854">
      <w:pPr>
        <w:spacing w:line="259" w:lineRule="auto"/>
        <w:rPr>
          <w:rFonts w:ascii="Aptos" w:eastAsia="Aptos" w:hAnsi="Aptos" w:cs="Times New Roman"/>
          <w:noProof/>
          <w:sz w:val="22"/>
          <w:szCs w:val="22"/>
        </w:rPr>
      </w:pPr>
    </w:p>
    <w:p w14:paraId="76B6401D" w14:textId="77777777" w:rsidR="001D0854" w:rsidRPr="001D0854" w:rsidRDefault="001D0854" w:rsidP="001D0854">
      <w:pPr>
        <w:spacing w:line="259" w:lineRule="auto"/>
        <w:rPr>
          <w:rFonts w:ascii="Aptos" w:eastAsia="Aptos" w:hAnsi="Aptos" w:cs="Times New Roman"/>
          <w:noProof/>
          <w:sz w:val="22"/>
          <w:szCs w:val="22"/>
        </w:rPr>
      </w:pPr>
    </w:p>
    <w:p w14:paraId="48C69358" w14:textId="77777777" w:rsidR="001D0854" w:rsidRPr="001D0854" w:rsidRDefault="001D0854" w:rsidP="001D0854">
      <w:pPr>
        <w:spacing w:line="259" w:lineRule="auto"/>
        <w:rPr>
          <w:rFonts w:ascii="Aptos" w:eastAsia="Aptos" w:hAnsi="Aptos" w:cs="Times New Roman"/>
          <w:noProof/>
          <w:sz w:val="22"/>
          <w:szCs w:val="22"/>
        </w:rPr>
      </w:pPr>
    </w:p>
    <w:p w14:paraId="050F65B9" w14:textId="72CBAD64" w:rsidR="001D0854" w:rsidRPr="00DF0783" w:rsidRDefault="001D0854" w:rsidP="001D0854">
      <w:pPr>
        <w:spacing w:line="259" w:lineRule="auto"/>
        <w:rPr>
          <w:rFonts w:ascii="Times New Roman" w:eastAsia="Aptos" w:hAnsi="Times New Roman" w:cs="Times New Roman"/>
          <w:noProof/>
          <w:sz w:val="28"/>
          <w:szCs w:val="28"/>
        </w:rPr>
      </w:pPr>
      <w:r w:rsidRPr="000A2DCE">
        <w:rPr>
          <w:rFonts w:ascii="Times New Roman" w:eastAsia="Aptos" w:hAnsi="Times New Roman" w:cs="Times New Roman"/>
          <w:b/>
          <w:bCs/>
          <w:noProof/>
          <w:sz w:val="28"/>
          <w:szCs w:val="28"/>
        </w:rPr>
        <w:lastRenderedPageBreak/>
        <w:t xml:space="preserve">Rysunek </w:t>
      </w:r>
      <w:r w:rsidR="00DD0E2F">
        <w:rPr>
          <w:rFonts w:ascii="Times New Roman" w:eastAsia="Aptos" w:hAnsi="Times New Roman" w:cs="Times New Roman"/>
          <w:b/>
          <w:bCs/>
          <w:noProof/>
          <w:sz w:val="28"/>
          <w:szCs w:val="28"/>
        </w:rPr>
        <w:t>11</w:t>
      </w:r>
      <w:r w:rsidRPr="000A2DCE">
        <w:rPr>
          <w:rFonts w:ascii="Times New Roman" w:eastAsia="Aptos" w:hAnsi="Times New Roman" w:cs="Times New Roman"/>
          <w:b/>
          <w:bCs/>
          <w:noProof/>
          <w:sz w:val="28"/>
          <w:szCs w:val="28"/>
        </w:rPr>
        <w:t>.</w:t>
      </w:r>
      <w:r w:rsidRPr="00DF0783">
        <w:rPr>
          <w:rFonts w:ascii="Times New Roman" w:eastAsia="Aptos" w:hAnsi="Times New Roman" w:cs="Times New Roman"/>
          <w:noProof/>
          <w:sz w:val="28"/>
          <w:szCs w:val="28"/>
        </w:rPr>
        <w:t xml:space="preserve"> Schemat ideowy randomizowanych badań kontrolnych</w:t>
      </w:r>
    </w:p>
    <w:p w14:paraId="3ABE1A03" w14:textId="77777777" w:rsidR="001D0854" w:rsidRPr="001D0854" w:rsidRDefault="001D0854" w:rsidP="001D0854">
      <w:pPr>
        <w:spacing w:line="259" w:lineRule="auto"/>
        <w:rPr>
          <w:rFonts w:ascii="Times New Roman" w:eastAsia="Aptos" w:hAnsi="Times New Roman" w:cs="Times New Roman"/>
          <w:sz w:val="28"/>
          <w:szCs w:val="28"/>
        </w:rPr>
      </w:pPr>
      <w:r w:rsidRPr="001D0854">
        <w:rPr>
          <w:rFonts w:ascii="Aptos" w:eastAsia="Aptos" w:hAnsi="Aptos" w:cs="Times New Roman"/>
          <w:noProof/>
          <w:sz w:val="22"/>
          <w:szCs w:val="22"/>
        </w:rPr>
        <w:drawing>
          <wp:inline distT="0" distB="0" distL="0" distR="0" wp14:anchorId="552FAE6B" wp14:editId="214325E6">
            <wp:extent cx="5609524" cy="6323809"/>
            <wp:effectExtent l="0" t="0" r="0" b="1270"/>
            <wp:docPr id="1816590680" name="Obraz 1" descr="Obraz zawierający tekst, diagram, zrzut ekranu,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90680" name="Obraz 1" descr="Obraz zawierający tekst, diagram, zrzut ekranu, Równolegle&#10;&#10;Opis wygenerowany automatycznie"/>
                    <pic:cNvPicPr/>
                  </pic:nvPicPr>
                  <pic:blipFill>
                    <a:blip r:embed="rId243"/>
                    <a:stretch>
                      <a:fillRect/>
                    </a:stretch>
                  </pic:blipFill>
                  <pic:spPr>
                    <a:xfrm>
                      <a:off x="0" y="0"/>
                      <a:ext cx="5609524" cy="6323809"/>
                    </a:xfrm>
                    <a:prstGeom prst="rect">
                      <a:avLst/>
                    </a:prstGeom>
                  </pic:spPr>
                </pic:pic>
              </a:graphicData>
            </a:graphic>
          </wp:inline>
        </w:drawing>
      </w:r>
    </w:p>
    <w:p w14:paraId="29F8BA96" w14:textId="77777777" w:rsidR="001D0854" w:rsidRPr="001D0854" w:rsidRDefault="001D0854" w:rsidP="001D0854">
      <w:pPr>
        <w:spacing w:line="259" w:lineRule="auto"/>
        <w:rPr>
          <w:rFonts w:ascii="Times New Roman" w:eastAsia="Aptos" w:hAnsi="Times New Roman" w:cs="Times New Roman"/>
          <w:sz w:val="28"/>
          <w:szCs w:val="28"/>
          <w:lang w:val="en-US"/>
        </w:rPr>
      </w:pPr>
    </w:p>
    <w:p w14:paraId="461AC9A2" w14:textId="77777777" w:rsidR="001D0854" w:rsidRPr="000A2DCE" w:rsidRDefault="001D0854" w:rsidP="003C4C6E">
      <w:pPr>
        <w:autoSpaceDE w:val="0"/>
        <w:autoSpaceDN w:val="0"/>
        <w:adjustRightInd w:val="0"/>
        <w:spacing w:after="0" w:line="240" w:lineRule="auto"/>
        <w:jc w:val="both"/>
        <w:rPr>
          <w:rFonts w:ascii="Times New Roman" w:eastAsia="Aptos" w:hAnsi="Times New Roman" w:cs="Times New Roman"/>
          <w:i/>
          <w:iCs/>
          <w:sz w:val="22"/>
          <w:szCs w:val="22"/>
          <w:lang w:val="en-US"/>
        </w:rPr>
      </w:pPr>
      <w:r w:rsidRPr="000A2DCE">
        <w:rPr>
          <w:rFonts w:ascii="Times New Roman" w:eastAsia="Aptos" w:hAnsi="Times New Roman" w:cs="Times New Roman"/>
          <w:i/>
          <w:iCs/>
          <w:sz w:val="22"/>
          <w:szCs w:val="22"/>
          <w:lang w:val="en-US"/>
        </w:rPr>
        <w:t>Źródło: adaptacja  schemata  pt.: Flow diagram of the progress through the phases of a parallel randomised trial of two groups (that is, enrolment, intervention allocation, follow-up, and data analysis) (</w:t>
      </w:r>
      <w:hyperlink r:id="rId244" w:history="1">
        <w:r w:rsidRPr="000A2DCE">
          <w:rPr>
            <w:rFonts w:ascii="Times New Roman" w:eastAsia="Aptos" w:hAnsi="Times New Roman" w:cs="Times New Roman"/>
            <w:i/>
            <w:iCs/>
            <w:sz w:val="22"/>
            <w:szCs w:val="22"/>
            <w:lang w:val="en-US"/>
          </w:rPr>
          <w:t>http://www.bmj.com/content/vol340/issuemar23_1/images/large/schk712109.f1_default.jpeg</w:t>
        </w:r>
      </w:hyperlink>
      <w:r w:rsidRPr="000A2DCE">
        <w:rPr>
          <w:rFonts w:ascii="Times New Roman" w:eastAsia="Aptos" w:hAnsi="Times New Roman" w:cs="Times New Roman"/>
          <w:i/>
          <w:iCs/>
          <w:sz w:val="22"/>
          <w:szCs w:val="22"/>
          <w:lang w:val="en-US"/>
        </w:rPr>
        <w:t>), przedstawionego na łamach:</w:t>
      </w:r>
    </w:p>
    <w:p w14:paraId="0CB62E16" w14:textId="77777777" w:rsidR="001D0854" w:rsidRPr="000A2DCE" w:rsidRDefault="001D0854" w:rsidP="003C4C6E">
      <w:pPr>
        <w:autoSpaceDE w:val="0"/>
        <w:autoSpaceDN w:val="0"/>
        <w:adjustRightInd w:val="0"/>
        <w:spacing w:after="0" w:line="240" w:lineRule="auto"/>
        <w:jc w:val="both"/>
        <w:rPr>
          <w:rFonts w:ascii="Times New Roman" w:eastAsia="Aptos" w:hAnsi="Times New Roman" w:cs="Times New Roman"/>
          <w:i/>
          <w:iCs/>
          <w:sz w:val="22"/>
          <w:szCs w:val="22"/>
          <w:lang w:val="sv-SE"/>
        </w:rPr>
      </w:pPr>
      <w:r w:rsidRPr="000A2DCE">
        <w:rPr>
          <w:rFonts w:ascii="Times New Roman" w:eastAsia="Aptos" w:hAnsi="Times New Roman" w:cs="Times New Roman"/>
          <w:i/>
          <w:iCs/>
          <w:sz w:val="22"/>
          <w:szCs w:val="22"/>
          <w:lang w:val="en-US"/>
        </w:rPr>
        <w:t xml:space="preserve">Schulz KF, Altman DG, Moher D; for the CONSORT Group. CONSORT 2010 Statement: updated guidelines for reporting parallel group randomised trials. </w:t>
      </w:r>
      <w:r w:rsidRPr="000A2DCE">
        <w:rPr>
          <w:rFonts w:ascii="Times New Roman" w:eastAsia="Aptos" w:hAnsi="Times New Roman" w:cs="Times New Roman"/>
          <w:i/>
          <w:iCs/>
          <w:sz w:val="22"/>
          <w:szCs w:val="22"/>
          <w:lang w:val="sv-SE"/>
        </w:rPr>
        <w:t>BMJ. 2010 Mar 23;340:c332. doi: 10.1136/bmj.c332. (</w:t>
      </w:r>
      <w:hyperlink r:id="rId245" w:history="1">
        <w:r w:rsidRPr="000A2DCE">
          <w:rPr>
            <w:rFonts w:ascii="Times New Roman" w:eastAsia="Aptos" w:hAnsi="Times New Roman" w:cs="Times New Roman"/>
            <w:i/>
            <w:iCs/>
            <w:sz w:val="22"/>
            <w:szCs w:val="22"/>
            <w:lang w:val="sv-SE"/>
          </w:rPr>
          <w:t>http://www.bmj.com/cgi/content/full/340/mar23_1/c332</w:t>
        </w:r>
      </w:hyperlink>
      <w:r w:rsidRPr="000A2DCE">
        <w:rPr>
          <w:rFonts w:ascii="Times New Roman" w:eastAsia="Aptos" w:hAnsi="Times New Roman" w:cs="Times New Roman"/>
          <w:i/>
          <w:iCs/>
          <w:sz w:val="22"/>
          <w:szCs w:val="22"/>
          <w:lang w:val="sv-SE"/>
        </w:rPr>
        <w:t>)</w:t>
      </w:r>
    </w:p>
    <w:p w14:paraId="4412BA7D" w14:textId="77777777" w:rsidR="001D0854" w:rsidRPr="001D0854" w:rsidRDefault="001D0854" w:rsidP="001D0854">
      <w:pPr>
        <w:spacing w:line="259" w:lineRule="auto"/>
        <w:rPr>
          <w:rFonts w:ascii="Times New Roman" w:eastAsia="Aptos" w:hAnsi="Times New Roman" w:cs="Times New Roman"/>
          <w:sz w:val="28"/>
          <w:szCs w:val="28"/>
          <w:lang w:val="sv-SE"/>
        </w:rPr>
      </w:pPr>
    </w:p>
    <w:p w14:paraId="1D89259A" w14:textId="77777777" w:rsidR="001D0854" w:rsidRPr="005D76BC" w:rsidRDefault="001D0854" w:rsidP="001D0854">
      <w:pPr>
        <w:spacing w:line="259" w:lineRule="auto"/>
        <w:ind w:firstLine="709"/>
        <w:jc w:val="both"/>
        <w:rPr>
          <w:rFonts w:ascii="Times New Roman" w:eastAsia="Aptos" w:hAnsi="Times New Roman" w:cs="Times New Roman"/>
          <w:spacing w:val="-2"/>
          <w:sz w:val="28"/>
          <w:szCs w:val="28"/>
        </w:rPr>
      </w:pPr>
      <w:r w:rsidRPr="005D76BC">
        <w:rPr>
          <w:rFonts w:ascii="Times New Roman" w:eastAsia="Aptos" w:hAnsi="Times New Roman" w:cs="Times New Roman"/>
          <w:spacing w:val="-2"/>
          <w:sz w:val="28"/>
          <w:szCs w:val="28"/>
        </w:rPr>
        <w:lastRenderedPageBreak/>
        <w:t>Zalążkiem metody PSM jest dorobek doświadczalnictwa rolniczego, w tym z wyraźnym polskim akcentem położonym przez zespół J. Spławy-Neymana (1990).  Pracę  Spławy-Neymana i in. należy uznać na pewien kamień milowy, gdyż wprowadza pojęcie wielkości kontrfaktycznej (w oryginalnym brzmieniu: „prawdziwej wartości”). Zespół Spławy-Neymana zaproponował relatywnie szereg prostych założeń statystycznych do pomiaru plonów dwóch upraw na pewnej liczbie działek. Osiągnieciem  było wyprowadzenie wzoru na wariancję różnicy średnich plonów dwóch odmian, a także zdefiniowanie „prawdziwej wartości plonu” jako „wartości oczekiwanej ciągu niezależnych zmiennych losowych o identycznych rozkładach odpowiadających różnym pomiarom tego plonu:</w:t>
      </w:r>
    </w:p>
    <w:p w14:paraId="317456C5" w14:textId="77777777" w:rsidR="001D0854" w:rsidRPr="001D0854" w:rsidRDefault="001D0854" w:rsidP="001D0854">
      <w:pPr>
        <w:spacing w:line="259" w:lineRule="auto"/>
        <w:rPr>
          <w:rFonts w:ascii="Times New Roman" w:eastAsia="Aptos" w:hAnsi="Times New Roman" w:cs="Times New Roman"/>
          <w:sz w:val="28"/>
          <w:szCs w:val="28"/>
        </w:rPr>
      </w:pPr>
      <w:r w:rsidRPr="001D0854">
        <w:rPr>
          <w:rFonts w:ascii="Times New Roman" w:eastAsia="Aptos" w:hAnsi="Times New Roman" w:cs="Times New Roman"/>
          <w:noProof/>
          <w:color w:val="FF0000"/>
          <w:sz w:val="28"/>
          <w:szCs w:val="28"/>
        </w:rPr>
        <w:drawing>
          <wp:inline distT="0" distB="0" distL="0" distR="0" wp14:anchorId="2811B908" wp14:editId="7B4EA5B5">
            <wp:extent cx="2836786" cy="410845"/>
            <wp:effectExtent l="0" t="0" r="1905" b="8255"/>
            <wp:docPr id="14125686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858338" cy="413966"/>
                    </a:xfrm>
                    <a:prstGeom prst="rect">
                      <a:avLst/>
                    </a:prstGeom>
                    <a:noFill/>
                    <a:ln>
                      <a:noFill/>
                    </a:ln>
                  </pic:spPr>
                </pic:pic>
              </a:graphicData>
            </a:graphic>
          </wp:inline>
        </w:drawing>
      </w:r>
      <w:r w:rsidRPr="001D0854">
        <w:rPr>
          <w:rFonts w:ascii="Times New Roman" w:eastAsia="Aptos" w:hAnsi="Times New Roman" w:cs="Times New Roman"/>
          <w:sz w:val="28"/>
          <w:szCs w:val="28"/>
        </w:rPr>
        <w:t>=</w:t>
      </w:r>
      <w:r w:rsidRPr="001D0854">
        <w:rPr>
          <w:rFonts w:ascii="Times New Roman" w:eastAsia="Aptos" w:hAnsi="Times New Roman" w:cs="Times New Roman"/>
          <w:noProof/>
          <w:color w:val="FF0000"/>
          <w:sz w:val="28"/>
          <w:szCs w:val="28"/>
        </w:rPr>
        <w:drawing>
          <wp:inline distT="0" distB="0" distL="0" distR="0" wp14:anchorId="12440AD8" wp14:editId="6D9B6772">
            <wp:extent cx="2838450" cy="566534"/>
            <wp:effectExtent l="0" t="0" r="0" b="5080"/>
            <wp:docPr id="77916220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888101" cy="576444"/>
                    </a:xfrm>
                    <a:prstGeom prst="rect">
                      <a:avLst/>
                    </a:prstGeom>
                    <a:noFill/>
                    <a:ln>
                      <a:noFill/>
                    </a:ln>
                  </pic:spPr>
                </pic:pic>
              </a:graphicData>
            </a:graphic>
          </wp:inline>
        </w:drawing>
      </w:r>
    </w:p>
    <w:p w14:paraId="57318487"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gdzie: m – liczba działek; </w:t>
      </w:r>
      <m:oMath>
        <m:sSubSup>
          <m:sSubSupPr>
            <m:ctrlPr>
              <w:rPr>
                <w:rFonts w:ascii="Cambria Math" w:eastAsia="Aptos" w:hAnsi="Cambria Math" w:cs="Times New Roman"/>
                <w:i/>
                <w:sz w:val="28"/>
                <w:szCs w:val="28"/>
              </w:rPr>
            </m:ctrlPr>
          </m:sSubSupPr>
          <m:e>
            <m:r>
              <w:rPr>
                <w:rFonts w:ascii="Cambria Math" w:eastAsia="Aptos" w:hAnsi="Cambria Math" w:cs="Times New Roman"/>
                <w:sz w:val="28"/>
                <w:szCs w:val="28"/>
              </w:rPr>
              <m:t>σ</m:t>
            </m:r>
          </m:e>
          <m:sub>
            <m:r>
              <w:rPr>
                <w:rFonts w:ascii="Cambria Math" w:eastAsia="Aptos" w:hAnsi="Cambria Math" w:cs="Times New Roman"/>
                <w:sz w:val="28"/>
                <w:szCs w:val="28"/>
              </w:rPr>
              <m:t>i</m:t>
            </m:r>
          </m:sub>
          <m:sup>
            <m:r>
              <w:rPr>
                <w:rFonts w:ascii="Cambria Math" w:eastAsia="Aptos" w:hAnsi="Cambria Math" w:cs="Times New Roman"/>
                <w:sz w:val="28"/>
                <w:szCs w:val="28"/>
              </w:rPr>
              <m:t>2</m:t>
            </m:r>
          </m:sup>
        </m:sSubSup>
      </m:oMath>
      <w:r w:rsidRPr="001D0854">
        <w:rPr>
          <w:rFonts w:ascii="Times New Roman" w:eastAsia="Times New Roman" w:hAnsi="Times New Roman" w:cs="Times New Roman"/>
          <w:sz w:val="28"/>
          <w:szCs w:val="28"/>
        </w:rPr>
        <w:t xml:space="preserve">- odchylenie standardowy odmiany </w:t>
      </w:r>
      <w:r w:rsidRPr="001D0854">
        <w:rPr>
          <w:rFonts w:ascii="Times New Roman" w:eastAsia="Times New Roman" w:hAnsi="Times New Roman" w:cs="Times New Roman"/>
          <w:i/>
          <w:iCs/>
          <w:sz w:val="28"/>
          <w:szCs w:val="28"/>
        </w:rPr>
        <w:t>i</w:t>
      </w:r>
      <w:r w:rsidRPr="001D0854">
        <w:rPr>
          <w:rFonts w:ascii="Times New Roman" w:eastAsia="Times New Roman" w:hAnsi="Times New Roman" w:cs="Times New Roman"/>
          <w:sz w:val="28"/>
          <w:szCs w:val="28"/>
        </w:rPr>
        <w:t xml:space="preserve">; </w:t>
      </w:r>
      <w:r w:rsidRPr="001D0854">
        <w:rPr>
          <w:rFonts w:ascii="Times New Roman" w:eastAsia="Aptos" w:hAnsi="Times New Roman" w:cs="Times New Roman"/>
          <w:i/>
          <w:iCs/>
          <w:sz w:val="28"/>
          <w:szCs w:val="28"/>
        </w:rPr>
        <w:t>x</w:t>
      </w:r>
      <w:r w:rsidRPr="001D0854">
        <w:rPr>
          <w:rFonts w:ascii="Times New Roman" w:eastAsia="Aptos" w:hAnsi="Times New Roman" w:cs="Times New Roman"/>
          <w:i/>
          <w:iCs/>
          <w:sz w:val="28"/>
          <w:szCs w:val="28"/>
          <w:vertAlign w:val="subscript"/>
        </w:rPr>
        <w:t>i</w:t>
      </w:r>
      <w:r w:rsidRPr="001D0854">
        <w:rPr>
          <w:rFonts w:ascii="Times New Roman" w:eastAsia="Aptos" w:hAnsi="Times New Roman" w:cs="Times New Roman"/>
          <w:i/>
          <w:iCs/>
          <w:sz w:val="28"/>
          <w:szCs w:val="28"/>
        </w:rPr>
        <w:t xml:space="preserve"> </w:t>
      </w:r>
      <w:r w:rsidRPr="001D0854">
        <w:rPr>
          <w:rFonts w:ascii="Times New Roman" w:eastAsia="Aptos" w:hAnsi="Times New Roman" w:cs="Times New Roman"/>
          <w:sz w:val="28"/>
          <w:szCs w:val="28"/>
        </w:rPr>
        <w:t xml:space="preserve">-  średnia wartość  pomiarów odnoszących się do odmiany </w:t>
      </w:r>
      <w:r w:rsidRPr="001D0854">
        <w:rPr>
          <w:rFonts w:ascii="Times New Roman" w:eastAsia="Aptos" w:hAnsi="Times New Roman" w:cs="Times New Roman"/>
          <w:i/>
          <w:iCs/>
          <w:sz w:val="28"/>
          <w:szCs w:val="28"/>
        </w:rPr>
        <w:t xml:space="preserve">i; </w:t>
      </w:r>
      <w:r w:rsidRPr="001D0854">
        <w:rPr>
          <w:rFonts w:ascii="Times New Roman" w:eastAsia="Aptos" w:hAnsi="Times New Roman" w:cs="Times New Roman"/>
          <w:sz w:val="28"/>
          <w:szCs w:val="28"/>
        </w:rPr>
        <w:t xml:space="preserve"> </w:t>
      </w:r>
      <w:r w:rsidRPr="001D0854">
        <w:rPr>
          <w:rFonts w:ascii="Times New Roman" w:eastAsia="Aptos" w:hAnsi="Times New Roman" w:cs="Times New Roman"/>
          <w:i/>
          <w:iCs/>
          <w:sz w:val="28"/>
          <w:szCs w:val="28"/>
        </w:rPr>
        <w:t>x</w:t>
      </w:r>
      <w:r w:rsidRPr="001D0854">
        <w:rPr>
          <w:rFonts w:ascii="Times New Roman" w:eastAsia="Aptos" w:hAnsi="Times New Roman" w:cs="Times New Roman"/>
          <w:i/>
          <w:iCs/>
          <w:sz w:val="28"/>
          <w:szCs w:val="28"/>
          <w:vertAlign w:val="subscript"/>
        </w:rPr>
        <w:t>j</w:t>
      </w:r>
      <w:r w:rsidRPr="001D0854">
        <w:rPr>
          <w:rFonts w:ascii="Times New Roman" w:eastAsia="Aptos" w:hAnsi="Times New Roman" w:cs="Times New Roman"/>
          <w:i/>
          <w:iCs/>
          <w:sz w:val="28"/>
          <w:szCs w:val="28"/>
        </w:rPr>
        <w:t xml:space="preserve"> </w:t>
      </w:r>
      <w:r w:rsidRPr="001D0854">
        <w:rPr>
          <w:rFonts w:ascii="Times New Roman" w:eastAsia="Aptos" w:hAnsi="Times New Roman" w:cs="Times New Roman"/>
          <w:sz w:val="28"/>
          <w:szCs w:val="28"/>
        </w:rPr>
        <w:t>-  średnia wartość pomiarów odnoszących się do odmiany</w:t>
      </w:r>
      <w:r w:rsidRPr="001D0854">
        <w:rPr>
          <w:rFonts w:ascii="Times New Roman" w:eastAsia="Aptos" w:hAnsi="Times New Roman" w:cs="Times New Roman"/>
          <w:i/>
          <w:iCs/>
          <w:sz w:val="28"/>
          <w:szCs w:val="28"/>
        </w:rPr>
        <w:t xml:space="preserve"> j</w:t>
      </w:r>
      <w:r w:rsidRPr="001D0854">
        <w:rPr>
          <w:rFonts w:ascii="Times New Roman" w:eastAsia="Aptos" w:hAnsi="Times New Roman" w:cs="Times New Roman"/>
          <w:sz w:val="28"/>
          <w:szCs w:val="28"/>
        </w:rPr>
        <w:t xml:space="preserve">; </w:t>
      </w:r>
      <w:r w:rsidRPr="001D0854">
        <w:rPr>
          <w:rFonts w:ascii="Times New Roman" w:eastAsia="Aptos" w:hAnsi="Times New Roman" w:cs="Times New Roman"/>
          <w:i/>
          <w:iCs/>
          <w:sz w:val="28"/>
          <w:szCs w:val="28"/>
        </w:rPr>
        <w:t>E(y)-</w:t>
      </w:r>
      <w:r w:rsidRPr="001D0854">
        <w:rPr>
          <w:rFonts w:ascii="Times New Roman" w:eastAsia="Aptos" w:hAnsi="Times New Roman" w:cs="Times New Roman"/>
          <w:sz w:val="28"/>
          <w:szCs w:val="28"/>
        </w:rPr>
        <w:t xml:space="preserve"> wartość oczekiwana prawdziwego wyniku; </w:t>
      </w:r>
      <w:r w:rsidRPr="001D0854">
        <w:rPr>
          <w:rFonts w:ascii="Times New Roman" w:eastAsia="Aptos" w:hAnsi="Times New Roman" w:cs="Times New Roman"/>
          <w:i/>
          <w:iCs/>
          <w:sz w:val="28"/>
          <w:szCs w:val="28"/>
        </w:rPr>
        <w:t xml:space="preserve">r </w:t>
      </w:r>
      <w:r w:rsidRPr="001D0854">
        <w:rPr>
          <w:rFonts w:ascii="Times New Roman" w:eastAsia="Aptos" w:hAnsi="Times New Roman" w:cs="Times New Roman"/>
          <w:sz w:val="28"/>
          <w:szCs w:val="28"/>
        </w:rPr>
        <w:t>– wartość współczynnika korelacji pomiędzy plonami dwóch odmian na tej samej działce.</w:t>
      </w:r>
    </w:p>
    <w:p w14:paraId="21B61B64" w14:textId="30760C83" w:rsidR="001D0854" w:rsidRP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W tabeli </w:t>
      </w:r>
      <w:r w:rsidR="00707523">
        <w:rPr>
          <w:rFonts w:ascii="Times New Roman" w:eastAsia="Aptos" w:hAnsi="Times New Roman" w:cs="Times New Roman"/>
          <w:sz w:val="28"/>
          <w:szCs w:val="28"/>
        </w:rPr>
        <w:t>3</w:t>
      </w:r>
      <w:r w:rsidRPr="001D0854">
        <w:rPr>
          <w:rFonts w:ascii="Times New Roman" w:eastAsia="Aptos" w:hAnsi="Times New Roman" w:cs="Times New Roman"/>
          <w:sz w:val="28"/>
          <w:szCs w:val="28"/>
        </w:rPr>
        <w:t xml:space="preserve"> przedstawiono syntetycznie cechy doświadczenia  idealnego i porównano je z doświadczeniem nie-idealnym (tabela </w:t>
      </w:r>
      <w:r w:rsidR="00707523">
        <w:rPr>
          <w:rFonts w:ascii="Times New Roman" w:eastAsia="Aptos" w:hAnsi="Times New Roman" w:cs="Times New Roman"/>
          <w:sz w:val="28"/>
          <w:szCs w:val="28"/>
        </w:rPr>
        <w:t>3</w:t>
      </w:r>
      <w:r w:rsidRPr="001D0854">
        <w:rPr>
          <w:rFonts w:ascii="Times New Roman" w:eastAsia="Aptos" w:hAnsi="Times New Roman" w:cs="Times New Roman"/>
          <w:sz w:val="28"/>
          <w:szCs w:val="28"/>
        </w:rPr>
        <w:t xml:space="preserve">). </w:t>
      </w:r>
      <w:r w:rsidRPr="001D0854">
        <w:rPr>
          <w:rFonts w:ascii="Times New Roman" w:eastAsia="Aptos" w:hAnsi="Times New Roman" w:cs="Times New Roman"/>
          <w:i/>
          <w:iCs/>
          <w:sz w:val="28"/>
          <w:szCs w:val="28"/>
        </w:rPr>
        <w:t>Ergo,</w:t>
      </w:r>
      <w:r w:rsidRPr="001D0854">
        <w:rPr>
          <w:rFonts w:ascii="Times New Roman" w:eastAsia="Aptos" w:hAnsi="Times New Roman" w:cs="Times New Roman"/>
          <w:sz w:val="28"/>
          <w:szCs w:val="28"/>
        </w:rPr>
        <w:t xml:space="preserve"> katalog założeń, które musi spełnić doświadczenie, aby był określane, jako „idealne” jest dość długi. W istocie, w większości przypadku mamy do czynienia z doświadczeniami quasi-idealnymi, które z reguły charakteryzują się większością cech typowych dla doświadczeń idealnych (np. ilościowy charakter, efekt spill-over). </w:t>
      </w:r>
    </w:p>
    <w:p w14:paraId="624597D4"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p>
    <w:p w14:paraId="22DE8B51"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p>
    <w:p w14:paraId="4E935A19"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p>
    <w:p w14:paraId="05F4495A"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p>
    <w:p w14:paraId="07AEB420"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p>
    <w:p w14:paraId="5440EC77"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p>
    <w:p w14:paraId="59BC7DF3"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p>
    <w:p w14:paraId="2F38C29F" w14:textId="77777777" w:rsidR="001D0854" w:rsidRDefault="001D0854" w:rsidP="001D0854">
      <w:pPr>
        <w:spacing w:line="259" w:lineRule="auto"/>
        <w:ind w:firstLine="709"/>
        <w:jc w:val="both"/>
        <w:rPr>
          <w:rFonts w:ascii="Times New Roman" w:eastAsia="Aptos" w:hAnsi="Times New Roman" w:cs="Times New Roman"/>
          <w:sz w:val="28"/>
          <w:szCs w:val="28"/>
        </w:rPr>
      </w:pPr>
    </w:p>
    <w:p w14:paraId="423BDD63" w14:textId="77777777" w:rsidR="00163E78" w:rsidRDefault="00163E78" w:rsidP="001D0854">
      <w:pPr>
        <w:spacing w:line="259" w:lineRule="auto"/>
        <w:jc w:val="both"/>
        <w:rPr>
          <w:rFonts w:ascii="Times New Roman" w:eastAsia="Aptos" w:hAnsi="Times New Roman" w:cs="Times New Roman"/>
        </w:rPr>
      </w:pPr>
    </w:p>
    <w:p w14:paraId="2F8F2475" w14:textId="4F161162" w:rsidR="001D0854" w:rsidRPr="00CB1749" w:rsidRDefault="001D0854" w:rsidP="001D0854">
      <w:pPr>
        <w:spacing w:line="259" w:lineRule="auto"/>
        <w:jc w:val="both"/>
        <w:rPr>
          <w:rFonts w:ascii="Times New Roman" w:eastAsia="Aptos" w:hAnsi="Times New Roman" w:cs="Times New Roman"/>
          <w:sz w:val="28"/>
          <w:szCs w:val="28"/>
        </w:rPr>
      </w:pPr>
      <w:r w:rsidRPr="00F202F0">
        <w:rPr>
          <w:rFonts w:ascii="Times New Roman" w:eastAsia="Aptos" w:hAnsi="Times New Roman" w:cs="Times New Roman"/>
          <w:b/>
          <w:bCs/>
          <w:sz w:val="28"/>
          <w:szCs w:val="28"/>
        </w:rPr>
        <w:lastRenderedPageBreak/>
        <w:t xml:space="preserve">Tabela </w:t>
      </w:r>
      <w:r w:rsidR="00707523">
        <w:rPr>
          <w:rFonts w:ascii="Times New Roman" w:eastAsia="Aptos" w:hAnsi="Times New Roman" w:cs="Times New Roman"/>
          <w:b/>
          <w:bCs/>
          <w:sz w:val="28"/>
          <w:szCs w:val="28"/>
        </w:rPr>
        <w:t>3</w:t>
      </w:r>
      <w:r w:rsidRPr="00F202F0">
        <w:rPr>
          <w:rFonts w:ascii="Times New Roman" w:eastAsia="Aptos" w:hAnsi="Times New Roman" w:cs="Times New Roman"/>
          <w:b/>
          <w:bCs/>
          <w:sz w:val="28"/>
          <w:szCs w:val="28"/>
        </w:rPr>
        <w:t>.</w:t>
      </w:r>
      <w:r w:rsidRPr="00CB1749">
        <w:rPr>
          <w:rFonts w:ascii="Times New Roman" w:eastAsia="Aptos" w:hAnsi="Times New Roman" w:cs="Times New Roman"/>
          <w:sz w:val="28"/>
          <w:szCs w:val="28"/>
        </w:rPr>
        <w:t xml:space="preserve"> Doświadczenia idealne vs. nieidealne</w:t>
      </w:r>
    </w:p>
    <w:tbl>
      <w:tblPr>
        <w:tblStyle w:val="Tabela-Siatka"/>
        <w:tblW w:w="0" w:type="auto"/>
        <w:tblLook w:val="04A0" w:firstRow="1" w:lastRow="0" w:firstColumn="1" w:lastColumn="0" w:noHBand="0" w:noVBand="1"/>
      </w:tblPr>
      <w:tblGrid>
        <w:gridCol w:w="2122"/>
        <w:gridCol w:w="3260"/>
        <w:gridCol w:w="3680"/>
      </w:tblGrid>
      <w:tr w:rsidR="001D0854" w:rsidRPr="001D0854" w14:paraId="26FF43EE" w14:textId="77777777" w:rsidTr="003A6330">
        <w:tc>
          <w:tcPr>
            <w:tcW w:w="2122" w:type="dxa"/>
          </w:tcPr>
          <w:p w14:paraId="2176560D"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rPr>
              <w:t>Cecha</w:t>
            </w:r>
          </w:p>
        </w:tc>
        <w:tc>
          <w:tcPr>
            <w:tcW w:w="3260" w:type="dxa"/>
          </w:tcPr>
          <w:p w14:paraId="53CFF761"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rPr>
              <w:t>Idealne</w:t>
            </w:r>
          </w:p>
        </w:tc>
        <w:tc>
          <w:tcPr>
            <w:tcW w:w="3680" w:type="dxa"/>
          </w:tcPr>
          <w:p w14:paraId="6C522917" w14:textId="1CA5AEE0"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rPr>
              <w:t>Nieidealne</w:t>
            </w:r>
          </w:p>
        </w:tc>
      </w:tr>
      <w:tr w:rsidR="001D0854" w:rsidRPr="001D0854" w14:paraId="0F1538F9" w14:textId="77777777" w:rsidTr="003A6330">
        <w:tc>
          <w:tcPr>
            <w:tcW w:w="2122" w:type="dxa"/>
          </w:tcPr>
          <w:p w14:paraId="29DDBC95"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rPr>
              <w:t>Rozróżnienie miedzy różnymi hipotezami</w:t>
            </w:r>
          </w:p>
        </w:tc>
        <w:tc>
          <w:tcPr>
            <w:tcW w:w="3260" w:type="dxa"/>
          </w:tcPr>
          <w:p w14:paraId="3A985FAB"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 (bardzo klarowne)</w:t>
            </w:r>
          </w:p>
        </w:tc>
        <w:tc>
          <w:tcPr>
            <w:tcW w:w="3680" w:type="dxa"/>
          </w:tcPr>
          <w:p w14:paraId="029AFE2A"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w:t>
            </w:r>
          </w:p>
        </w:tc>
      </w:tr>
      <w:tr w:rsidR="001D0854" w:rsidRPr="001D0854" w14:paraId="42A5F7AF" w14:textId="77777777" w:rsidTr="003A6330">
        <w:tc>
          <w:tcPr>
            <w:tcW w:w="2122" w:type="dxa"/>
          </w:tcPr>
          <w:p w14:paraId="3C376647"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rPr>
              <w:t>Powtarzalność (replikowalność)</w:t>
            </w:r>
          </w:p>
        </w:tc>
        <w:tc>
          <w:tcPr>
            <w:tcW w:w="3260" w:type="dxa"/>
          </w:tcPr>
          <w:p w14:paraId="345B76A7"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w:t>
            </w:r>
          </w:p>
        </w:tc>
        <w:tc>
          <w:tcPr>
            <w:tcW w:w="3680" w:type="dxa"/>
          </w:tcPr>
          <w:p w14:paraId="33E3BBBC"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w:t>
            </w:r>
          </w:p>
        </w:tc>
      </w:tr>
      <w:tr w:rsidR="001D0854" w:rsidRPr="001D0854" w14:paraId="2EB1FFB1" w14:textId="77777777" w:rsidTr="003A6330">
        <w:tc>
          <w:tcPr>
            <w:tcW w:w="2122" w:type="dxa"/>
          </w:tcPr>
          <w:p w14:paraId="741BCCFD"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rPr>
              <w:t>Wynik doświadczenia</w:t>
            </w:r>
          </w:p>
        </w:tc>
        <w:tc>
          <w:tcPr>
            <w:tcW w:w="3260" w:type="dxa"/>
          </w:tcPr>
          <w:p w14:paraId="6993ECA2"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Możliwy do zmierzenia dokładnie, a także precyzyjnie</w:t>
            </w:r>
          </w:p>
        </w:tc>
        <w:tc>
          <w:tcPr>
            <w:tcW w:w="3680" w:type="dxa"/>
          </w:tcPr>
          <w:p w14:paraId="6AEA0440"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Trudności ze zmierzeniem wyników doświadczenia dokładnie, a także precyzyjnie</w:t>
            </w:r>
          </w:p>
        </w:tc>
      </w:tr>
      <w:tr w:rsidR="001D0854" w:rsidRPr="001D0854" w14:paraId="1889399B" w14:textId="77777777" w:rsidTr="003A6330">
        <w:tc>
          <w:tcPr>
            <w:tcW w:w="2122" w:type="dxa"/>
          </w:tcPr>
          <w:p w14:paraId="7DAAE743"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rPr>
              <w:t>Precyzja pomiaru</w:t>
            </w:r>
          </w:p>
        </w:tc>
        <w:tc>
          <w:tcPr>
            <w:tcW w:w="3260" w:type="dxa"/>
          </w:tcPr>
          <w:p w14:paraId="2076FDDD"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Metoda pomiaru pozwala na uchwycenie różnic miedzy grupami poddanymi róznym oddziaływaniom (ang. treatments) jeżeli one występują.</w:t>
            </w:r>
          </w:p>
        </w:tc>
        <w:tc>
          <w:tcPr>
            <w:tcW w:w="3680" w:type="dxa"/>
          </w:tcPr>
          <w:p w14:paraId="0FF5B8F7"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Metoda pomiaru nie pozwala w pełni na uchwycenie różnic między grupami poddanymi różnym oddziaływaniom (ang. treatments), jeżeli</w:t>
            </w:r>
          </w:p>
          <w:p w14:paraId="60C59F9D"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one występują.</w:t>
            </w:r>
          </w:p>
        </w:tc>
      </w:tr>
      <w:tr w:rsidR="001D0854" w:rsidRPr="001D0854" w14:paraId="10C27640" w14:textId="77777777" w:rsidTr="003A6330">
        <w:tc>
          <w:tcPr>
            <w:tcW w:w="2122" w:type="dxa"/>
          </w:tcPr>
          <w:p w14:paraId="6373B48A"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rPr>
              <w:t>Dokładność doświadczenia</w:t>
            </w:r>
          </w:p>
        </w:tc>
        <w:tc>
          <w:tcPr>
            <w:tcW w:w="3260" w:type="dxa"/>
          </w:tcPr>
          <w:p w14:paraId="68E20C0A"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Średni wyniki powinien być nieobciążony</w:t>
            </w:r>
          </w:p>
        </w:tc>
        <w:tc>
          <w:tcPr>
            <w:tcW w:w="3680" w:type="dxa"/>
          </w:tcPr>
          <w:p w14:paraId="42F4C9C7"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Trudności z nieobciążeniem wyniku.</w:t>
            </w:r>
          </w:p>
          <w:p w14:paraId="43EDB195" w14:textId="77777777" w:rsidR="001D0854" w:rsidRPr="001D0854" w:rsidRDefault="001D0854" w:rsidP="001D0854">
            <w:pPr>
              <w:rPr>
                <w:rFonts w:ascii="Times New Roman" w:eastAsia="Aptos" w:hAnsi="Times New Roman" w:cs="Times New Roman"/>
              </w:rPr>
            </w:pPr>
          </w:p>
        </w:tc>
      </w:tr>
      <w:tr w:rsidR="001D0854" w:rsidRPr="001D0854" w14:paraId="07FF7AEC" w14:textId="77777777" w:rsidTr="003A6330">
        <w:tc>
          <w:tcPr>
            <w:tcW w:w="2122" w:type="dxa"/>
          </w:tcPr>
          <w:p w14:paraId="0F3F35EB"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rPr>
              <w:t>Dobre zdefiniowanie interwencji</w:t>
            </w:r>
          </w:p>
        </w:tc>
        <w:tc>
          <w:tcPr>
            <w:tcW w:w="3260" w:type="dxa"/>
          </w:tcPr>
          <w:p w14:paraId="0704227C"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w:t>
            </w:r>
          </w:p>
        </w:tc>
        <w:tc>
          <w:tcPr>
            <w:tcW w:w="3680" w:type="dxa"/>
          </w:tcPr>
          <w:p w14:paraId="44ABA5AB"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w:t>
            </w:r>
          </w:p>
        </w:tc>
      </w:tr>
      <w:tr w:rsidR="001D0854" w:rsidRPr="001D0854" w14:paraId="597C8CDF" w14:textId="77777777" w:rsidTr="003A6330">
        <w:tc>
          <w:tcPr>
            <w:tcW w:w="2122" w:type="dxa"/>
          </w:tcPr>
          <w:p w14:paraId="6F1B757D"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rPr>
              <w:t>Niezależność interwencji –</w:t>
            </w:r>
          </w:p>
        </w:tc>
        <w:tc>
          <w:tcPr>
            <w:tcW w:w="3260" w:type="dxa"/>
          </w:tcPr>
          <w:p w14:paraId="0B7740BD"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Nie bierze się pod uwagę oddziaływania ze zmienną dawką.</w:t>
            </w:r>
          </w:p>
        </w:tc>
        <w:tc>
          <w:tcPr>
            <w:tcW w:w="3680" w:type="dxa"/>
          </w:tcPr>
          <w:p w14:paraId="78FB3DBE"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w:t>
            </w:r>
          </w:p>
        </w:tc>
      </w:tr>
      <w:tr w:rsidR="001D0854" w:rsidRPr="001D0854" w14:paraId="4E22F24A" w14:textId="77777777" w:rsidTr="003A6330">
        <w:tc>
          <w:tcPr>
            <w:tcW w:w="2122" w:type="dxa"/>
          </w:tcPr>
          <w:p w14:paraId="1A3521C1"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rPr>
              <w:t>Ilościowy charakter wyniku doświadczenia</w:t>
            </w:r>
          </w:p>
        </w:tc>
        <w:tc>
          <w:tcPr>
            <w:tcW w:w="3260" w:type="dxa"/>
          </w:tcPr>
          <w:p w14:paraId="035C9B52"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w:t>
            </w:r>
          </w:p>
        </w:tc>
        <w:tc>
          <w:tcPr>
            <w:tcW w:w="3680" w:type="dxa"/>
          </w:tcPr>
          <w:p w14:paraId="12BF40BB"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w:t>
            </w:r>
          </w:p>
        </w:tc>
      </w:tr>
      <w:tr w:rsidR="001D0854" w:rsidRPr="001D0854" w14:paraId="412B405E" w14:textId="77777777" w:rsidTr="003A6330">
        <w:tc>
          <w:tcPr>
            <w:tcW w:w="2122" w:type="dxa"/>
          </w:tcPr>
          <w:p w14:paraId="2DB5EF1B"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rPr>
              <w:t>Odpowiedni przydział obiektu do odpowiednich grup</w:t>
            </w:r>
          </w:p>
        </w:tc>
        <w:tc>
          <w:tcPr>
            <w:tcW w:w="3260" w:type="dxa"/>
          </w:tcPr>
          <w:p w14:paraId="37A299B4"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w:t>
            </w:r>
          </w:p>
        </w:tc>
        <w:tc>
          <w:tcPr>
            <w:tcW w:w="3680" w:type="dxa"/>
          </w:tcPr>
          <w:p w14:paraId="73EF5F63"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w:t>
            </w:r>
          </w:p>
        </w:tc>
      </w:tr>
      <w:tr w:rsidR="001D0854" w:rsidRPr="001D0854" w14:paraId="7681F0AA" w14:textId="77777777" w:rsidTr="003A6330">
        <w:tc>
          <w:tcPr>
            <w:tcW w:w="2122" w:type="dxa"/>
          </w:tcPr>
          <w:p w14:paraId="3351231A"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rPr>
              <w:t>Efekt spillover*</w:t>
            </w:r>
          </w:p>
        </w:tc>
        <w:tc>
          <w:tcPr>
            <w:tcW w:w="3260" w:type="dxa"/>
          </w:tcPr>
          <w:p w14:paraId="4ABC64D3"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w:t>
            </w:r>
          </w:p>
        </w:tc>
        <w:tc>
          <w:tcPr>
            <w:tcW w:w="3680" w:type="dxa"/>
          </w:tcPr>
          <w:p w14:paraId="3874DE53"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w:t>
            </w:r>
          </w:p>
        </w:tc>
      </w:tr>
    </w:tbl>
    <w:p w14:paraId="71FA93C7" w14:textId="77777777" w:rsidR="001D0854" w:rsidRPr="001D0854" w:rsidRDefault="001D0854" w:rsidP="001D0854">
      <w:pPr>
        <w:spacing w:line="259" w:lineRule="auto"/>
        <w:rPr>
          <w:rFonts w:ascii="Times New Roman" w:eastAsia="Aptos" w:hAnsi="Times New Roman" w:cs="Times New Roman"/>
        </w:rPr>
      </w:pPr>
      <w:r w:rsidRPr="001D0854">
        <w:rPr>
          <w:rFonts w:ascii="Times New Roman" w:eastAsia="Aptos" w:hAnsi="Times New Roman" w:cs="Times New Roman"/>
        </w:rPr>
        <w:t>Objaśnienie: * wynik  oddziaływaniu nie zależy od liczby jednostek/obiektów poddanych temu oddziaływaniu.</w:t>
      </w:r>
    </w:p>
    <w:p w14:paraId="35043A65" w14:textId="607799AF" w:rsidR="001D0854" w:rsidRPr="00F202F0" w:rsidRDefault="001D0854" w:rsidP="001D0854">
      <w:pPr>
        <w:spacing w:line="259" w:lineRule="auto"/>
        <w:rPr>
          <w:rFonts w:ascii="Times New Roman" w:eastAsia="Aptos" w:hAnsi="Times New Roman" w:cs="Times New Roman"/>
          <w:i/>
          <w:iCs/>
          <w:lang w:val="en-GB"/>
        </w:rPr>
      </w:pPr>
      <w:r w:rsidRPr="00F202F0">
        <w:rPr>
          <w:rFonts w:ascii="Times New Roman" w:eastAsia="Aptos" w:hAnsi="Times New Roman" w:cs="Times New Roman"/>
          <w:i/>
          <w:iCs/>
        </w:rPr>
        <w:t xml:space="preserve">Źródło:   opracowanie własne na podstawie:  Strawiński P. (2024). </w:t>
      </w:r>
      <w:r w:rsidRPr="00F202F0">
        <w:rPr>
          <w:rFonts w:ascii="Times New Roman" w:eastAsia="Aptos" w:hAnsi="Times New Roman" w:cs="Times New Roman"/>
          <w:i/>
          <w:iCs/>
          <w:lang w:val="en-GB"/>
        </w:rPr>
        <w:t>Propensity Score Matching, https://coin.wne.uw.edu.pl/pstrawinski/dydaktyka.html (dostęp: 1.09.2024).</w:t>
      </w:r>
    </w:p>
    <w:p w14:paraId="7E410D54" w14:textId="77777777" w:rsidR="001D0854" w:rsidRPr="001D0854" w:rsidRDefault="001D0854" w:rsidP="001D0854">
      <w:pPr>
        <w:spacing w:line="259" w:lineRule="auto"/>
        <w:jc w:val="both"/>
        <w:rPr>
          <w:rFonts w:ascii="Times New Roman" w:eastAsia="Aptos" w:hAnsi="Times New Roman" w:cs="Times New Roman"/>
          <w:b/>
          <w:bCs/>
          <w:sz w:val="28"/>
          <w:szCs w:val="28"/>
        </w:rPr>
      </w:pPr>
      <w:r w:rsidRPr="001D0854">
        <w:rPr>
          <w:rFonts w:ascii="Times New Roman" w:eastAsia="Aptos" w:hAnsi="Times New Roman" w:cs="Times New Roman"/>
          <w:b/>
          <w:bCs/>
          <w:sz w:val="28"/>
          <w:szCs w:val="28"/>
        </w:rPr>
        <w:t>5.2. Ogólne założenia PSM</w:t>
      </w:r>
    </w:p>
    <w:p w14:paraId="20A94B26"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Za twórców koncepcji PSM uznaje się P.R. </w:t>
      </w:r>
      <w:bookmarkStart w:id="17" w:name="_Hlk111802338"/>
      <w:bookmarkStart w:id="18" w:name="_Hlk111802495"/>
      <w:r w:rsidRPr="001D0854">
        <w:rPr>
          <w:rFonts w:ascii="Times New Roman" w:eastAsia="Aptos" w:hAnsi="Times New Roman" w:cs="Times New Roman"/>
          <w:sz w:val="28"/>
          <w:szCs w:val="28"/>
        </w:rPr>
        <w:t xml:space="preserve">Rosenbauma i D.B. Rubina, którzy w 1983 roku opublikowali artykuł pt. </w:t>
      </w:r>
      <w:r w:rsidRPr="001D0854">
        <w:rPr>
          <w:rFonts w:ascii="Times New Roman" w:eastAsia="Aptos" w:hAnsi="Times New Roman" w:cs="Times New Roman"/>
          <w:sz w:val="28"/>
          <w:szCs w:val="28"/>
          <w:lang w:val="en-US"/>
        </w:rPr>
        <w:t xml:space="preserve">The central role of the propensity score i observational studies for causal effects (Rosenbaum i Rubin, 1983). </w:t>
      </w:r>
      <w:r w:rsidRPr="001D0854">
        <w:rPr>
          <w:rFonts w:ascii="Times New Roman" w:eastAsia="Aptos" w:hAnsi="Times New Roman" w:cs="Times New Roman"/>
          <w:sz w:val="28"/>
          <w:szCs w:val="28"/>
        </w:rPr>
        <w:t xml:space="preserve">Przybliżmy poniżej tylko zastosowane przez nich definicje i podstawowe założenia teoretyczne. Zgodnie z tym jednostka </w:t>
      </w:r>
      <w:r w:rsidRPr="001D0854">
        <w:rPr>
          <w:rFonts w:ascii="Times New Roman" w:eastAsia="Aptos" w:hAnsi="Times New Roman" w:cs="Times New Roman"/>
          <w:i/>
          <w:iCs/>
          <w:sz w:val="28"/>
          <w:szCs w:val="28"/>
        </w:rPr>
        <w:t>i</w:t>
      </w:r>
      <w:r w:rsidRPr="001D0854">
        <w:rPr>
          <w:rFonts w:ascii="Times New Roman" w:eastAsia="Aptos" w:hAnsi="Times New Roman" w:cs="Times New Roman"/>
          <w:sz w:val="28"/>
          <w:szCs w:val="28"/>
        </w:rPr>
        <w:t xml:space="preserve"> ze zbioru N może być przedmiotem jakiegoś oddziaływania/traktowania, oznaczonego indeksem 1, lub nie, otrzymując wtedy oznaczenie 0. W ślad za tym możemy mieć dwa typy reakcji: </w:t>
      </w:r>
      <w:r w:rsidRPr="001D0854">
        <w:rPr>
          <w:rFonts w:ascii="Times New Roman" w:eastAsia="Aptos" w:hAnsi="Times New Roman" w:cs="Times New Roman"/>
          <w:position w:val="-12"/>
          <w:sz w:val="28"/>
          <w:szCs w:val="28"/>
        </w:rPr>
        <w:object w:dxaOrig="240" w:dyaOrig="360" w14:anchorId="6ED36C49">
          <v:shape id="_x0000_i1138" type="#_x0000_t75" style="width:12pt;height:18pt" o:ole="">
            <v:imagedata r:id="rId248" o:title=""/>
          </v:shape>
          <o:OLEObject Type="Embed" ProgID="Equation.DSMT4" ShapeID="_x0000_i1138" DrawAspect="Content" ObjectID="_1799840709" r:id="rId249"/>
        </w:object>
      </w:r>
      <w:r w:rsidRPr="001D0854">
        <w:rPr>
          <w:rFonts w:ascii="Times New Roman" w:eastAsia="Aptos" w:hAnsi="Times New Roman" w:cs="Times New Roman"/>
          <w:sz w:val="28"/>
          <w:szCs w:val="28"/>
        </w:rPr>
        <w:t xml:space="preserve"> oraz </w:t>
      </w:r>
      <w:r w:rsidRPr="001D0854">
        <w:rPr>
          <w:rFonts w:ascii="Times New Roman" w:eastAsia="Aptos" w:hAnsi="Times New Roman" w:cs="Times New Roman"/>
          <w:position w:val="-12"/>
          <w:sz w:val="28"/>
          <w:szCs w:val="28"/>
        </w:rPr>
        <w:object w:dxaOrig="260" w:dyaOrig="360" w14:anchorId="3FEE1DD0">
          <v:shape id="_x0000_i1139" type="#_x0000_t75" style="width:13pt;height:18pt" o:ole="">
            <v:imagedata r:id="rId250" o:title=""/>
          </v:shape>
          <o:OLEObject Type="Embed" ProgID="Equation.DSMT4" ShapeID="_x0000_i1139" DrawAspect="Content" ObjectID="_1799840710" r:id="rId251"/>
        </w:object>
      </w:r>
      <w:r w:rsidRPr="001D0854">
        <w:rPr>
          <w:rFonts w:ascii="Times New Roman" w:eastAsia="Aptos" w:hAnsi="Times New Roman" w:cs="Times New Roman"/>
          <w:sz w:val="28"/>
          <w:szCs w:val="28"/>
        </w:rPr>
        <w:t>. Efekt przyczynowy interwencji może być wyrażony w postaci różnicy</w:t>
      </w:r>
      <w:r w:rsidRPr="001D0854">
        <w:rPr>
          <w:rFonts w:ascii="Times New Roman" w:eastAsia="Aptos" w:hAnsi="Times New Roman" w:cs="Times New Roman"/>
          <w:position w:val="-12"/>
          <w:sz w:val="28"/>
          <w:szCs w:val="28"/>
        </w:rPr>
        <w:object w:dxaOrig="660" w:dyaOrig="360" w14:anchorId="2CFA809E">
          <v:shape id="_x0000_i1140" type="#_x0000_t75" style="width:32pt;height:17.5pt" o:ole="">
            <v:imagedata r:id="rId252" o:title=""/>
          </v:shape>
          <o:OLEObject Type="Embed" ProgID="Equation.DSMT4" ShapeID="_x0000_i1140" DrawAspect="Content" ObjectID="_1799840711" r:id="rId253"/>
        </w:object>
      </w:r>
      <w:r w:rsidRPr="001D0854">
        <w:rPr>
          <w:rFonts w:ascii="Times New Roman" w:eastAsia="Aptos" w:hAnsi="Times New Roman" w:cs="Times New Roman"/>
          <w:sz w:val="28"/>
          <w:szCs w:val="28"/>
        </w:rPr>
        <w:t xml:space="preserve"> albo ilorazu: </w:t>
      </w:r>
      <w:r w:rsidRPr="001D0854">
        <w:rPr>
          <w:rFonts w:ascii="Times New Roman" w:eastAsia="Aptos" w:hAnsi="Times New Roman" w:cs="Times New Roman"/>
          <w:position w:val="-12"/>
          <w:sz w:val="28"/>
          <w:szCs w:val="28"/>
        </w:rPr>
        <w:object w:dxaOrig="620" w:dyaOrig="360" w14:anchorId="2124EEE3">
          <v:shape id="_x0000_i1141" type="#_x0000_t75" style="width:31.5pt;height:18pt" o:ole="">
            <v:imagedata r:id="rId254" o:title=""/>
          </v:shape>
          <o:OLEObject Type="Embed" ProgID="Equation.DSMT4" ShapeID="_x0000_i1141" DrawAspect="Content" ObjectID="_1799840712" r:id="rId255"/>
        </w:object>
      </w:r>
      <w:r w:rsidRPr="001D0854">
        <w:rPr>
          <w:rFonts w:ascii="Times New Roman" w:eastAsia="Aptos" w:hAnsi="Times New Roman" w:cs="Times New Roman"/>
          <w:sz w:val="28"/>
          <w:szCs w:val="28"/>
        </w:rPr>
        <w:t xml:space="preserve">. Niestety, jednostka </w:t>
      </w:r>
      <w:r w:rsidRPr="001D0854">
        <w:rPr>
          <w:rFonts w:ascii="Times New Roman" w:eastAsia="Aptos" w:hAnsi="Times New Roman" w:cs="Times New Roman"/>
          <w:i/>
          <w:iCs/>
          <w:sz w:val="28"/>
          <w:szCs w:val="28"/>
        </w:rPr>
        <w:t>i</w:t>
      </w:r>
      <w:r w:rsidRPr="001D0854">
        <w:rPr>
          <w:rFonts w:ascii="Times New Roman" w:eastAsia="Aptos" w:hAnsi="Times New Roman" w:cs="Times New Roman"/>
          <w:sz w:val="28"/>
          <w:szCs w:val="28"/>
        </w:rPr>
        <w:t xml:space="preserve"> może znajdywać się tylko w jednym z tych dwóch stanów. Dlatego też problem ustalenia efektu przyczynowego musi być rozwiązany w ramach </w:t>
      </w:r>
      <w:r w:rsidRPr="001D0854">
        <w:rPr>
          <w:rFonts w:ascii="Times New Roman" w:eastAsia="Aptos" w:hAnsi="Times New Roman" w:cs="Times New Roman"/>
          <w:i/>
          <w:iCs/>
          <w:sz w:val="28"/>
          <w:szCs w:val="28"/>
        </w:rPr>
        <w:t>a missing data</w:t>
      </w:r>
      <w:r w:rsidRPr="001D0854">
        <w:rPr>
          <w:rFonts w:ascii="Times New Roman" w:eastAsia="Aptos" w:hAnsi="Times New Roman" w:cs="Times New Roman"/>
          <w:sz w:val="28"/>
          <w:szCs w:val="28"/>
        </w:rPr>
        <w:t xml:space="preserve">, ale w badaniu eksperymentalnym. Podejście to nie nadaje się jednak, gdy pojawi się już inna jednostka </w:t>
      </w:r>
      <w:r w:rsidRPr="001D0854">
        <w:rPr>
          <w:rFonts w:ascii="Times New Roman" w:eastAsia="Aptos" w:hAnsi="Times New Roman" w:cs="Times New Roman"/>
          <w:i/>
          <w:iCs/>
          <w:sz w:val="28"/>
          <w:szCs w:val="28"/>
        </w:rPr>
        <w:t>j</w:t>
      </w:r>
      <w:r w:rsidRPr="001D0854">
        <w:rPr>
          <w:rFonts w:ascii="Times New Roman" w:eastAsia="Aptos" w:hAnsi="Times New Roman" w:cs="Times New Roman"/>
          <w:sz w:val="28"/>
          <w:szCs w:val="28"/>
        </w:rPr>
        <w:t xml:space="preserve"> konkurująca o te </w:t>
      </w:r>
      <w:r w:rsidRPr="001D0854">
        <w:rPr>
          <w:rFonts w:ascii="Times New Roman" w:eastAsia="Aptos" w:hAnsi="Times New Roman" w:cs="Times New Roman"/>
          <w:sz w:val="28"/>
          <w:szCs w:val="28"/>
        </w:rPr>
        <w:lastRenderedPageBreak/>
        <w:t xml:space="preserve">same zasoby co jednostka </w:t>
      </w:r>
      <w:r w:rsidRPr="001D0854">
        <w:rPr>
          <w:rFonts w:ascii="Times New Roman" w:eastAsia="Aptos" w:hAnsi="Times New Roman" w:cs="Times New Roman"/>
          <w:i/>
          <w:iCs/>
          <w:sz w:val="28"/>
          <w:szCs w:val="28"/>
        </w:rPr>
        <w:t>i</w:t>
      </w:r>
      <w:r w:rsidRPr="001D0854">
        <w:rPr>
          <w:rFonts w:ascii="Times New Roman" w:eastAsia="Aptos" w:hAnsi="Times New Roman" w:cs="Times New Roman"/>
          <w:sz w:val="28"/>
          <w:szCs w:val="28"/>
        </w:rPr>
        <w:t xml:space="preserve">. Rosenbaum i Rubin sytuację tą nazywają </w:t>
      </w:r>
      <w:r w:rsidRPr="001D0854">
        <w:rPr>
          <w:rFonts w:ascii="Times New Roman" w:eastAsia="Aptos" w:hAnsi="Times New Roman" w:cs="Times New Roman"/>
          <w:i/>
          <w:iCs/>
          <w:sz w:val="28"/>
          <w:szCs w:val="28"/>
        </w:rPr>
        <w:t>the stable unit-treatment value asumption</w:t>
      </w:r>
      <w:r w:rsidRPr="001D0854">
        <w:rPr>
          <w:rFonts w:ascii="Times New Roman" w:eastAsia="Aptos" w:hAnsi="Times New Roman" w:cs="Times New Roman"/>
          <w:sz w:val="28"/>
          <w:szCs w:val="28"/>
        </w:rPr>
        <w:t xml:space="preserve"> i dalej tylko nią się zajmują.</w:t>
      </w:r>
    </w:p>
    <w:p w14:paraId="19B4BF8F"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Jeśli zbiór N jednostek wyznaczony został jako prosta próba losowa z pewnej populacji, to średni efekt przyczynowy (</w:t>
      </w:r>
      <w:r w:rsidRPr="001D0854">
        <w:rPr>
          <w:rFonts w:ascii="Times New Roman" w:eastAsia="Aptos" w:hAnsi="Times New Roman" w:cs="Times New Roman"/>
          <w:i/>
          <w:iCs/>
          <w:sz w:val="28"/>
          <w:szCs w:val="28"/>
        </w:rPr>
        <w:t>the average treatment effect</w:t>
      </w:r>
      <w:r w:rsidRPr="001D0854">
        <w:rPr>
          <w:rFonts w:ascii="Times New Roman" w:eastAsia="Aptos" w:hAnsi="Times New Roman" w:cs="Times New Roman"/>
          <w:sz w:val="28"/>
          <w:szCs w:val="28"/>
        </w:rPr>
        <w:t>, ATE) definiuje się jako:</w:t>
      </w:r>
    </w:p>
    <w:p w14:paraId="462580C1" w14:textId="77777777" w:rsidR="001D0854" w:rsidRPr="001D0854" w:rsidRDefault="001D0854" w:rsidP="001D0854">
      <w:pPr>
        <w:spacing w:line="259" w:lineRule="auto"/>
        <w:jc w:val="both"/>
        <w:rPr>
          <w:rFonts w:ascii="Times New Roman" w:eastAsia="Aptos" w:hAnsi="Times New Roman" w:cs="Times New Roman"/>
          <w:sz w:val="28"/>
          <w:szCs w:val="28"/>
        </w:rPr>
      </w:pPr>
    </w:p>
    <w:p w14:paraId="27C9419C" w14:textId="77777777" w:rsidR="001D0854" w:rsidRPr="001D0854" w:rsidRDefault="001D0854" w:rsidP="001D0854">
      <w:pPr>
        <w:tabs>
          <w:tab w:val="left" w:pos="3993"/>
        </w:tabs>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ab/>
      </w:r>
      <w:r w:rsidRPr="001D0854">
        <w:rPr>
          <w:rFonts w:ascii="Times New Roman" w:eastAsia="Aptos" w:hAnsi="Times New Roman" w:cs="Times New Roman"/>
          <w:position w:val="-14"/>
          <w:sz w:val="28"/>
          <w:szCs w:val="28"/>
        </w:rPr>
        <w:object w:dxaOrig="1440" w:dyaOrig="400" w14:anchorId="20ED4ADD">
          <v:shape id="_x0000_i1142" type="#_x0000_t75" style="width:1in;height:20.5pt" o:ole="">
            <v:imagedata r:id="rId256" o:title=""/>
          </v:shape>
          <o:OLEObject Type="Embed" ProgID="Equation.DSMT4" ShapeID="_x0000_i1142" DrawAspect="Content" ObjectID="_1799840713" r:id="rId257"/>
        </w:object>
      </w:r>
    </w:p>
    <w:p w14:paraId="6EE6BAD0" w14:textId="77777777" w:rsidR="001D0854" w:rsidRPr="001D0854" w:rsidRDefault="001D0854" w:rsidP="001D0854">
      <w:pPr>
        <w:spacing w:line="259" w:lineRule="auto"/>
        <w:jc w:val="both"/>
        <w:rPr>
          <w:rFonts w:ascii="Times New Roman" w:eastAsia="Aptos" w:hAnsi="Times New Roman" w:cs="Times New Roman"/>
          <w:sz w:val="28"/>
          <w:szCs w:val="28"/>
        </w:rPr>
      </w:pPr>
    </w:p>
    <w:p w14:paraId="24999FCC" w14:textId="77777777" w:rsidR="001D0854" w:rsidRPr="001D0854" w:rsidRDefault="001D0854" w:rsidP="001D0854">
      <w:pPr>
        <w:tabs>
          <w:tab w:val="left" w:pos="1870"/>
        </w:tabs>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gdzie: E oznacza wartość oczekiwaną w populacji.</w:t>
      </w:r>
    </w:p>
    <w:p w14:paraId="34940DAE"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Oznaczmy dalej przez </w:t>
      </w:r>
      <w:r w:rsidRPr="001D0854">
        <w:rPr>
          <w:rFonts w:ascii="Times New Roman" w:eastAsia="Aptos" w:hAnsi="Times New Roman" w:cs="Times New Roman"/>
          <w:i/>
          <w:iCs/>
          <w:sz w:val="28"/>
          <w:szCs w:val="28"/>
        </w:rPr>
        <w:t>x</w:t>
      </w:r>
      <w:r w:rsidRPr="001D0854">
        <w:rPr>
          <w:rFonts w:ascii="Times New Roman" w:eastAsia="Aptos" w:hAnsi="Times New Roman" w:cs="Times New Roman"/>
          <w:i/>
          <w:iCs/>
          <w:sz w:val="28"/>
          <w:szCs w:val="28"/>
          <w:vertAlign w:val="subscript"/>
        </w:rPr>
        <w:t>i</w:t>
      </w:r>
      <w:r w:rsidRPr="001D0854">
        <w:rPr>
          <w:rFonts w:ascii="Times New Roman" w:eastAsia="Aptos" w:hAnsi="Times New Roman" w:cs="Times New Roman"/>
          <w:sz w:val="28"/>
          <w:szCs w:val="28"/>
        </w:rPr>
        <w:t xml:space="preserve"> = 1 przydzielenie jednostki </w:t>
      </w:r>
      <w:r w:rsidRPr="001D0854">
        <w:rPr>
          <w:rFonts w:ascii="Times New Roman" w:eastAsia="Aptos" w:hAnsi="Times New Roman" w:cs="Times New Roman"/>
          <w:i/>
          <w:iCs/>
          <w:sz w:val="28"/>
          <w:szCs w:val="28"/>
        </w:rPr>
        <w:t>i</w:t>
      </w:r>
      <w:r w:rsidRPr="001D0854">
        <w:rPr>
          <w:rFonts w:ascii="Times New Roman" w:eastAsia="Aptos" w:hAnsi="Times New Roman" w:cs="Times New Roman"/>
          <w:sz w:val="28"/>
          <w:szCs w:val="28"/>
        </w:rPr>
        <w:t xml:space="preserve"> do grupy badanej/eksperymentalnej, a przez </w:t>
      </w:r>
      <w:r w:rsidRPr="001D0854">
        <w:rPr>
          <w:rFonts w:ascii="Times New Roman" w:eastAsia="Aptos" w:hAnsi="Times New Roman" w:cs="Times New Roman"/>
          <w:i/>
          <w:iCs/>
          <w:sz w:val="28"/>
          <w:szCs w:val="28"/>
        </w:rPr>
        <w:t>z</w:t>
      </w:r>
      <w:r w:rsidRPr="001D0854">
        <w:rPr>
          <w:rFonts w:ascii="Times New Roman" w:eastAsia="Aptos" w:hAnsi="Times New Roman" w:cs="Times New Roman"/>
          <w:sz w:val="28"/>
          <w:szCs w:val="28"/>
          <w:vertAlign w:val="subscript"/>
        </w:rPr>
        <w:t>i</w:t>
      </w:r>
      <w:r w:rsidRPr="001D0854">
        <w:rPr>
          <w:rFonts w:ascii="Times New Roman" w:eastAsia="Aptos" w:hAnsi="Times New Roman" w:cs="Times New Roman"/>
          <w:sz w:val="28"/>
          <w:szCs w:val="28"/>
        </w:rPr>
        <w:t xml:space="preserve"> = 0 znalezienie się jej w grupie kontrolnej. Z kolei niech  x</w:t>
      </w:r>
      <w:r w:rsidRPr="001D0854">
        <w:rPr>
          <w:rFonts w:ascii="Times New Roman" w:eastAsia="Aptos" w:hAnsi="Times New Roman" w:cs="Times New Roman"/>
          <w:sz w:val="28"/>
          <w:szCs w:val="28"/>
          <w:vertAlign w:val="subscript"/>
        </w:rPr>
        <w:t>i</w:t>
      </w:r>
      <w:r w:rsidRPr="001D0854">
        <w:rPr>
          <w:rFonts w:ascii="Times New Roman" w:eastAsia="Aptos" w:hAnsi="Times New Roman" w:cs="Times New Roman"/>
          <w:sz w:val="28"/>
          <w:szCs w:val="28"/>
        </w:rPr>
        <w:t xml:space="preserve"> będzie wektorem charakterystyk jednostki </w:t>
      </w:r>
      <w:r w:rsidRPr="001D0854">
        <w:rPr>
          <w:rFonts w:ascii="Times New Roman" w:eastAsia="Aptos" w:hAnsi="Times New Roman" w:cs="Times New Roman"/>
          <w:i/>
          <w:iCs/>
          <w:sz w:val="28"/>
          <w:szCs w:val="28"/>
        </w:rPr>
        <w:t>i</w:t>
      </w:r>
      <w:r w:rsidRPr="001D0854">
        <w:rPr>
          <w:rFonts w:ascii="Times New Roman" w:eastAsia="Aptos" w:hAnsi="Times New Roman" w:cs="Times New Roman"/>
          <w:sz w:val="28"/>
          <w:szCs w:val="28"/>
        </w:rPr>
        <w:t xml:space="preserve"> przed eksperymentem lub zbiorem zmiennych dodatkowych/bilansujących jej dotyczących. Dodajmy, że w eksperymentach randomizowanych można bez zastrzeżeń bezpośrednio szacować ATE, bo jednostki w obydwu grupach znalazły się w nich w sposób losowy i są przez to do siebie podobne. Inaczej jest w eksperymentach nierandomizowanych. Trzeba wówczas skorzystać z </w:t>
      </w:r>
      <w:r w:rsidRPr="001D0854">
        <w:rPr>
          <w:rFonts w:ascii="Times New Roman" w:eastAsia="Aptos" w:hAnsi="Times New Roman" w:cs="Times New Roman"/>
          <w:i/>
          <w:iCs/>
          <w:sz w:val="28"/>
          <w:szCs w:val="28"/>
        </w:rPr>
        <w:t>balancing scoring</w:t>
      </w:r>
      <w:r w:rsidRPr="001D0854">
        <w:rPr>
          <w:rFonts w:ascii="Times New Roman" w:eastAsia="Aptos" w:hAnsi="Times New Roman" w:cs="Times New Roman"/>
          <w:sz w:val="28"/>
          <w:szCs w:val="28"/>
        </w:rPr>
        <w:t xml:space="preserve">, czyli wektora/skalara bilansującego. Rosenbaum i Rubin oznaczyli go przez b(x). Jest to funkcja obserwowanych zmiennych dodatkowych </w:t>
      </w:r>
      <w:r w:rsidRPr="001D0854">
        <w:rPr>
          <w:rFonts w:ascii="Times New Roman" w:eastAsia="Aptos" w:hAnsi="Times New Roman" w:cs="Times New Roman"/>
          <w:i/>
          <w:iCs/>
          <w:sz w:val="28"/>
          <w:szCs w:val="28"/>
        </w:rPr>
        <w:t>x</w:t>
      </w:r>
      <w:r w:rsidRPr="001D0854">
        <w:rPr>
          <w:rFonts w:ascii="Times New Roman" w:eastAsia="Aptos" w:hAnsi="Times New Roman" w:cs="Times New Roman"/>
          <w:sz w:val="28"/>
          <w:szCs w:val="28"/>
        </w:rPr>
        <w:t xml:space="preserve"> taka, że warunkowy ich rozkład dla danego b(x) jest taki sam dla grupy badanej i kontrolnej. Formalnie wyraża to poniższy zapis: </w:t>
      </w:r>
    </w:p>
    <w:p w14:paraId="2EDDAB5F" w14:textId="77777777" w:rsidR="001D0854" w:rsidRPr="001D0854" w:rsidRDefault="001D0854" w:rsidP="005D76BC">
      <w:pPr>
        <w:spacing w:line="259" w:lineRule="auto"/>
        <w:jc w:val="center"/>
        <w:rPr>
          <w:rFonts w:ascii="Times New Roman" w:eastAsia="Aptos" w:hAnsi="Times New Roman" w:cs="Times New Roman"/>
          <w:sz w:val="28"/>
          <w:szCs w:val="28"/>
        </w:rPr>
      </w:pPr>
      <w:r w:rsidRPr="001D0854">
        <w:rPr>
          <w:rFonts w:ascii="Times New Roman" w:eastAsia="Aptos" w:hAnsi="Times New Roman" w:cs="Times New Roman"/>
          <w:position w:val="-16"/>
          <w:sz w:val="28"/>
          <w:szCs w:val="28"/>
        </w:rPr>
        <w:object w:dxaOrig="1100" w:dyaOrig="440" w14:anchorId="4A5DD64D">
          <v:shape id="_x0000_i1143" type="#_x0000_t75" style="width:54.5pt;height:22pt" o:ole="">
            <v:imagedata r:id="rId258" o:title=""/>
          </v:shape>
          <o:OLEObject Type="Embed" ProgID="Equation.DSMT4" ShapeID="_x0000_i1143" DrawAspect="Content" ObjectID="_1799840714" r:id="rId259"/>
        </w:object>
      </w:r>
      <w:r w:rsidRPr="001D0854">
        <w:rPr>
          <w:rFonts w:ascii="Times New Roman" w:eastAsia="Aptos" w:hAnsi="Times New Roman" w:cs="Times New Roman"/>
          <w:sz w:val="28"/>
          <w:szCs w:val="28"/>
        </w:rPr>
        <w:t>.</w:t>
      </w:r>
    </w:p>
    <w:p w14:paraId="09042937" w14:textId="77777777" w:rsidR="001D0854" w:rsidRPr="001D0854" w:rsidRDefault="001D0854" w:rsidP="001D0854">
      <w:pPr>
        <w:tabs>
          <w:tab w:val="left" w:pos="1924"/>
        </w:tabs>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Zapis powyższy traktuje się jako warunkową niezależność statystyczną.</w:t>
      </w:r>
    </w:p>
    <w:p w14:paraId="7FADE450"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W najprostszym ujęciu wektorem/skalarem bilansującym jest b(x) = x. Istnieje jednak znacznie więcej bardziej interesujących funkcji, które Rosenbaum i Rubin nazywają </w:t>
      </w:r>
      <w:r w:rsidRPr="001D0854">
        <w:rPr>
          <w:rFonts w:ascii="Times New Roman" w:eastAsia="Aptos" w:hAnsi="Times New Roman" w:cs="Times New Roman"/>
          <w:i/>
          <w:iCs/>
          <w:sz w:val="28"/>
          <w:szCs w:val="28"/>
        </w:rPr>
        <w:t>the propensity score</w:t>
      </w:r>
      <w:r w:rsidRPr="001D0854">
        <w:rPr>
          <w:rFonts w:ascii="Times New Roman" w:eastAsia="Aptos" w:hAnsi="Times New Roman" w:cs="Times New Roman"/>
          <w:sz w:val="28"/>
          <w:szCs w:val="28"/>
        </w:rPr>
        <w:t xml:space="preserve">, czyli tendencją do znalezienia się w grupie jednostek badanych. Ważne jest przy tym to, że możemy teraz ignorować sposób przydzielenia jednostek do grupy badanej dla danych </w:t>
      </w:r>
      <w:r w:rsidRPr="001D0854">
        <w:rPr>
          <w:rFonts w:ascii="Times New Roman" w:eastAsia="Aptos" w:hAnsi="Times New Roman" w:cs="Times New Roman"/>
          <w:i/>
          <w:iCs/>
          <w:sz w:val="28"/>
          <w:szCs w:val="28"/>
        </w:rPr>
        <w:t>x</w:t>
      </w:r>
      <w:r w:rsidRPr="001D0854">
        <w:rPr>
          <w:rFonts w:ascii="Times New Roman" w:eastAsia="Aptos" w:hAnsi="Times New Roman" w:cs="Times New Roman"/>
          <w:sz w:val="28"/>
          <w:szCs w:val="28"/>
        </w:rPr>
        <w:t xml:space="preserve">. Możemy teraz szacować ATE jako wielkość nieobciążoną statystycznie. W wyrażeniu formalnym </w:t>
      </w:r>
      <w:r w:rsidRPr="001D0854">
        <w:rPr>
          <w:rFonts w:ascii="Times New Roman" w:eastAsia="Aptos" w:hAnsi="Times New Roman" w:cs="Times New Roman"/>
          <w:i/>
          <w:iCs/>
          <w:sz w:val="28"/>
          <w:szCs w:val="28"/>
        </w:rPr>
        <w:t>the propensity score</w:t>
      </w:r>
      <w:r w:rsidRPr="001D0854">
        <w:rPr>
          <w:rFonts w:ascii="Times New Roman" w:eastAsia="Aptos" w:hAnsi="Times New Roman" w:cs="Times New Roman"/>
          <w:sz w:val="28"/>
          <w:szCs w:val="28"/>
        </w:rPr>
        <w:t xml:space="preserve"> jest następującą funkcją: </w:t>
      </w:r>
      <w:bookmarkEnd w:id="17"/>
      <w:bookmarkEnd w:id="18"/>
    </w:p>
    <w:p w14:paraId="4D1CE040" w14:textId="77777777" w:rsidR="001D0854" w:rsidRPr="001D0854" w:rsidRDefault="001D0854" w:rsidP="001D0854">
      <w:pPr>
        <w:spacing w:line="259" w:lineRule="auto"/>
        <w:jc w:val="both"/>
        <w:rPr>
          <w:rFonts w:ascii="Times New Roman" w:eastAsia="Aptos" w:hAnsi="Times New Roman" w:cs="Times New Roman"/>
          <w:sz w:val="28"/>
          <w:szCs w:val="28"/>
        </w:rPr>
      </w:pPr>
    </w:p>
    <w:p w14:paraId="67D3D595" w14:textId="77777777" w:rsidR="001D0854" w:rsidRPr="001D0854" w:rsidRDefault="001D0854" w:rsidP="001D0854">
      <w:pPr>
        <w:tabs>
          <w:tab w:val="left" w:pos="3181"/>
        </w:tabs>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ab/>
      </w:r>
      <w:r w:rsidRPr="001D0854">
        <w:rPr>
          <w:rFonts w:ascii="Times New Roman" w:eastAsia="Aptos" w:hAnsi="Times New Roman" w:cs="Times New Roman"/>
          <w:position w:val="-16"/>
          <w:sz w:val="28"/>
          <w:szCs w:val="28"/>
        </w:rPr>
        <w:object w:dxaOrig="1939" w:dyaOrig="440" w14:anchorId="0CF335E5">
          <v:shape id="_x0000_i1144" type="#_x0000_t75" style="width:96.5pt;height:22pt" o:ole="">
            <v:imagedata r:id="rId260" o:title=""/>
          </v:shape>
          <o:OLEObject Type="Embed" ProgID="Equation.DSMT4" ShapeID="_x0000_i1144" DrawAspect="Content" ObjectID="_1799840715" r:id="rId261"/>
        </w:object>
      </w:r>
    </w:p>
    <w:p w14:paraId="44B5A945" w14:textId="77777777" w:rsidR="001D0854" w:rsidRPr="001D0854" w:rsidRDefault="001D0854" w:rsidP="001D0854">
      <w:pPr>
        <w:tabs>
          <w:tab w:val="left" w:pos="1977"/>
        </w:tabs>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gdzie: </w:t>
      </w:r>
      <w:r w:rsidRPr="001D0854">
        <w:rPr>
          <w:rFonts w:ascii="Times New Roman" w:eastAsia="Aptos" w:hAnsi="Times New Roman" w:cs="Times New Roman"/>
          <w:position w:val="-28"/>
          <w:sz w:val="28"/>
          <w:szCs w:val="28"/>
        </w:rPr>
        <w:object w:dxaOrig="4560" w:dyaOrig="680" w14:anchorId="69675793">
          <v:shape id="_x0000_i1145" type="#_x0000_t75" style="width:228.5pt;height:33pt" o:ole="">
            <v:imagedata r:id="rId262" o:title=""/>
          </v:shape>
          <o:OLEObject Type="Embed" ProgID="Equation.DSMT4" ShapeID="_x0000_i1145" DrawAspect="Content" ObjectID="_1799840716" r:id="rId263"/>
        </w:object>
      </w:r>
      <w:r w:rsidRPr="001D0854">
        <w:rPr>
          <w:rFonts w:ascii="Times New Roman" w:eastAsia="Aptos" w:hAnsi="Times New Roman" w:cs="Times New Roman"/>
          <w:sz w:val="28"/>
          <w:szCs w:val="28"/>
        </w:rPr>
        <w:t>.</w:t>
      </w:r>
    </w:p>
    <w:p w14:paraId="082B8460"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lastRenderedPageBreak/>
        <w:t xml:space="preserve">Wybór funkcji e(x) inaczej odbywa się w eksperymentach randomizowanych (losowych) niż w nierandomizowanych. W tych pierwszych funkcja powyższa jest znana i wystarczy jedna jej specyfikacja, natomiast w drugich praktycznie nigdy jej nie znamy. Stąd też z reguły trzeba sięgać wtedy do danych obserwacyjnych i oszacować ją np. za pomocą modelu logitowego. W eksperymentach randomizowanych zbiór </w:t>
      </w:r>
      <w:r w:rsidRPr="001D0854">
        <w:rPr>
          <w:rFonts w:ascii="Times New Roman" w:eastAsia="Aptos" w:hAnsi="Times New Roman" w:cs="Times New Roman"/>
          <w:i/>
          <w:iCs/>
          <w:sz w:val="28"/>
          <w:szCs w:val="28"/>
        </w:rPr>
        <w:t>x</w:t>
      </w:r>
      <w:r w:rsidRPr="001D0854">
        <w:rPr>
          <w:rFonts w:ascii="Times New Roman" w:eastAsia="Aptos" w:hAnsi="Times New Roman" w:cs="Times New Roman"/>
          <w:sz w:val="28"/>
          <w:szCs w:val="28"/>
        </w:rPr>
        <w:t xml:space="preserve"> jest znany i zawiera wszystkie zmienne dodatkowe potrzebne do przydzielenia jednostek do grupy badanej i określenia reakcji (efektów) danej interwencji. Rosenbaum i Rubin ustalenie to zapisują następująco:</w:t>
      </w:r>
    </w:p>
    <w:p w14:paraId="08821538" w14:textId="77777777" w:rsidR="001D0854" w:rsidRPr="001D0854" w:rsidRDefault="001D0854" w:rsidP="001D0854">
      <w:pPr>
        <w:tabs>
          <w:tab w:val="left" w:pos="3772"/>
        </w:tabs>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ab/>
      </w:r>
      <w:r w:rsidRPr="001D0854">
        <w:rPr>
          <w:rFonts w:ascii="Times New Roman" w:eastAsia="Aptos" w:hAnsi="Times New Roman" w:cs="Times New Roman"/>
          <w:position w:val="-14"/>
          <w:sz w:val="28"/>
          <w:szCs w:val="28"/>
        </w:rPr>
        <w:object w:dxaOrig="1219" w:dyaOrig="400" w14:anchorId="3C9783E2">
          <v:shape id="_x0000_i1146" type="#_x0000_t75" style="width:60pt;height:20pt" o:ole="">
            <v:imagedata r:id="rId264" o:title=""/>
          </v:shape>
          <o:OLEObject Type="Embed" ProgID="Equation.DSMT4" ShapeID="_x0000_i1146" DrawAspect="Content" ObjectID="_1799840717" r:id="rId265"/>
        </w:object>
      </w:r>
      <w:r w:rsidRPr="001D0854">
        <w:rPr>
          <w:rFonts w:ascii="Times New Roman" w:eastAsia="Aptos" w:hAnsi="Times New Roman" w:cs="Times New Roman"/>
          <w:sz w:val="28"/>
          <w:szCs w:val="28"/>
        </w:rPr>
        <w:t>.</w:t>
      </w:r>
    </w:p>
    <w:p w14:paraId="0174BD9E"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Warunku powyższego zazwyczaj nie znamy w eksperymentach nierandomizowanych. Poza tym w eksperymentach losowych każda jednostka może znaleźć się w grupie badanej. Dlatego też Rosenbaum i Rubin sytuację tą nazywają „</w:t>
      </w:r>
      <w:r w:rsidRPr="001D0854">
        <w:rPr>
          <w:rFonts w:ascii="Times New Roman" w:eastAsia="Aptos" w:hAnsi="Times New Roman" w:cs="Times New Roman"/>
          <w:i/>
          <w:iCs/>
          <w:sz w:val="28"/>
          <w:szCs w:val="28"/>
        </w:rPr>
        <w:t>a strongly ignorable treatment assignmen</w:t>
      </w:r>
      <w:r w:rsidRPr="001D0854">
        <w:rPr>
          <w:rFonts w:ascii="Times New Roman" w:eastAsia="Aptos" w:hAnsi="Times New Roman" w:cs="Times New Roman"/>
          <w:sz w:val="28"/>
          <w:szCs w:val="28"/>
        </w:rPr>
        <w:t xml:space="preserve">t”. Po wprowadzeniu wektora </w:t>
      </w:r>
      <w:r w:rsidRPr="001D0854">
        <w:rPr>
          <w:rFonts w:ascii="Times New Roman" w:eastAsia="Aptos" w:hAnsi="Times New Roman" w:cs="Times New Roman"/>
          <w:i/>
          <w:iCs/>
          <w:sz w:val="28"/>
          <w:szCs w:val="28"/>
        </w:rPr>
        <w:t>v</w:t>
      </w:r>
      <w:r w:rsidRPr="001D0854">
        <w:rPr>
          <w:rFonts w:ascii="Times New Roman" w:eastAsia="Aptos" w:hAnsi="Times New Roman" w:cs="Times New Roman"/>
          <w:sz w:val="28"/>
          <w:szCs w:val="28"/>
        </w:rPr>
        <w:t xml:space="preserve"> dla zbioru </w:t>
      </w:r>
      <w:r w:rsidRPr="001D0854">
        <w:rPr>
          <w:rFonts w:ascii="Times New Roman" w:eastAsia="Aptos" w:hAnsi="Times New Roman" w:cs="Times New Roman"/>
          <w:i/>
          <w:iCs/>
          <w:sz w:val="28"/>
          <w:szCs w:val="28"/>
        </w:rPr>
        <w:t>x</w:t>
      </w:r>
      <w:r w:rsidRPr="001D0854">
        <w:rPr>
          <w:rFonts w:ascii="Times New Roman" w:eastAsia="Aptos" w:hAnsi="Times New Roman" w:cs="Times New Roman"/>
          <w:sz w:val="28"/>
          <w:szCs w:val="28"/>
        </w:rPr>
        <w:t xml:space="preserve"> formalnie oddaje to kolejny wzór:</w:t>
      </w:r>
    </w:p>
    <w:p w14:paraId="769B19AE"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position w:val="-16"/>
          <w:sz w:val="28"/>
          <w:szCs w:val="28"/>
        </w:rPr>
        <w:object w:dxaOrig="3180" w:dyaOrig="440" w14:anchorId="1BAB5B02">
          <v:shape id="_x0000_i1147" type="#_x0000_t75" style="width:159pt;height:22pt" o:ole="">
            <v:imagedata r:id="rId266" o:title=""/>
          </v:shape>
          <o:OLEObject Type="Embed" ProgID="Equation.DSMT4" ShapeID="_x0000_i1147" DrawAspect="Content" ObjectID="_1799840718" r:id="rId267"/>
        </w:object>
      </w:r>
      <w:r w:rsidRPr="001D0854">
        <w:rPr>
          <w:rFonts w:ascii="Times New Roman" w:eastAsia="Aptos" w:hAnsi="Times New Roman" w:cs="Times New Roman"/>
          <w:sz w:val="28"/>
          <w:szCs w:val="28"/>
        </w:rPr>
        <w:t xml:space="preserve">  dla wszystkich υ.</w:t>
      </w:r>
    </w:p>
    <w:p w14:paraId="37352CC3"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Swą propozycję jako teorię Rosenbaum i Rubin opisują za pomocą pięciu twierdzeń:</w:t>
      </w:r>
    </w:p>
    <w:p w14:paraId="0E03004C" w14:textId="77777777" w:rsidR="001D0854" w:rsidRPr="001D0854" w:rsidRDefault="001D0854" w:rsidP="001D0854">
      <w:pPr>
        <w:tabs>
          <w:tab w:val="num" w:pos="360"/>
        </w:tabs>
        <w:spacing w:after="0" w:line="264" w:lineRule="auto"/>
        <w:ind w:left="360" w:hanging="360"/>
        <w:jc w:val="both"/>
        <w:rPr>
          <w:rFonts w:ascii="Times New Roman" w:eastAsia="Times New Roman" w:hAnsi="Times New Roman" w:cs="Times New Roman"/>
          <w:bCs/>
          <w:kern w:val="0"/>
          <w:sz w:val="28"/>
          <w:szCs w:val="28"/>
          <w:lang w:eastAsia="pl-PL"/>
          <w14:ligatures w14:val="none"/>
        </w:rPr>
      </w:pPr>
      <w:r w:rsidRPr="001D0854">
        <w:rPr>
          <w:rFonts w:ascii="Times New Roman" w:eastAsia="Times New Roman" w:hAnsi="Times New Roman" w:cs="Times New Roman"/>
          <w:bCs/>
          <w:i/>
          <w:iCs/>
          <w:kern w:val="0"/>
          <w:sz w:val="28"/>
          <w:szCs w:val="28"/>
          <w:lang w:eastAsia="pl-PL"/>
          <w14:ligatures w14:val="none"/>
        </w:rPr>
        <w:t>Propensity score</w:t>
      </w:r>
      <w:r w:rsidRPr="001D0854">
        <w:rPr>
          <w:rFonts w:ascii="Times New Roman" w:eastAsia="Times New Roman" w:hAnsi="Times New Roman" w:cs="Times New Roman"/>
          <w:bCs/>
          <w:kern w:val="0"/>
          <w:sz w:val="28"/>
          <w:szCs w:val="28"/>
          <w:lang w:eastAsia="pl-PL"/>
          <w14:ligatures w14:val="none"/>
        </w:rPr>
        <w:t xml:space="preserve"> e(x) jest wektorem lub skalarem równoważącym.</w:t>
      </w:r>
    </w:p>
    <w:p w14:paraId="242F13B7" w14:textId="77777777" w:rsidR="001D0854" w:rsidRPr="001D0854" w:rsidRDefault="001D0854" w:rsidP="001D0854">
      <w:pPr>
        <w:tabs>
          <w:tab w:val="num" w:pos="0"/>
        </w:tabs>
        <w:spacing w:after="0" w:line="264" w:lineRule="auto"/>
        <w:jc w:val="both"/>
        <w:rPr>
          <w:rFonts w:ascii="Times New Roman" w:eastAsia="Times New Roman" w:hAnsi="Times New Roman" w:cs="Times New Roman"/>
          <w:bCs/>
          <w:kern w:val="0"/>
          <w:sz w:val="28"/>
          <w:szCs w:val="28"/>
          <w:lang w:eastAsia="pl-PL"/>
          <w14:ligatures w14:val="none"/>
        </w:rPr>
      </w:pPr>
      <w:r w:rsidRPr="001D0854">
        <w:rPr>
          <w:rFonts w:ascii="Times New Roman" w:eastAsia="Times New Roman" w:hAnsi="Times New Roman" w:cs="Times New Roman"/>
          <w:bCs/>
          <w:kern w:val="0"/>
          <w:sz w:val="28"/>
          <w:szCs w:val="28"/>
          <w:lang w:eastAsia="pl-PL"/>
          <w14:ligatures w14:val="none"/>
        </w:rPr>
        <w:t xml:space="preserve">Dowolna liczba, która jest „lepsza” niż </w:t>
      </w:r>
      <w:r w:rsidRPr="001D0854">
        <w:rPr>
          <w:rFonts w:ascii="Times New Roman" w:eastAsia="Times New Roman" w:hAnsi="Times New Roman" w:cs="Times New Roman"/>
          <w:bCs/>
          <w:i/>
          <w:iCs/>
          <w:kern w:val="0"/>
          <w:sz w:val="28"/>
          <w:szCs w:val="28"/>
          <w:lang w:eastAsia="pl-PL"/>
          <w14:ligatures w14:val="none"/>
        </w:rPr>
        <w:t>propensity score</w:t>
      </w:r>
      <w:r w:rsidRPr="001D0854">
        <w:rPr>
          <w:rFonts w:ascii="Times New Roman" w:eastAsia="Times New Roman" w:hAnsi="Times New Roman" w:cs="Times New Roman"/>
          <w:bCs/>
          <w:kern w:val="0"/>
          <w:sz w:val="28"/>
          <w:szCs w:val="28"/>
          <w:lang w:eastAsia="pl-PL"/>
          <w14:ligatures w14:val="none"/>
        </w:rPr>
        <w:t xml:space="preserve">, jest wektorem lub skalarem równoważącym, tj. e(x) = f(b(x)) dla pewnej funkcji f. </w:t>
      </w:r>
      <w:r w:rsidRPr="001D0854">
        <w:rPr>
          <w:rFonts w:ascii="Times New Roman" w:eastAsia="Times New Roman" w:hAnsi="Times New Roman" w:cs="Times New Roman"/>
          <w:bCs/>
          <w:i/>
          <w:iCs/>
          <w:kern w:val="0"/>
          <w:sz w:val="28"/>
          <w:szCs w:val="28"/>
          <w:lang w:eastAsia="pl-PL"/>
          <w14:ligatures w14:val="none"/>
        </w:rPr>
        <w:t>Propensity score</w:t>
      </w:r>
      <w:r w:rsidRPr="001D0854">
        <w:rPr>
          <w:rFonts w:ascii="Times New Roman" w:eastAsia="Times New Roman" w:hAnsi="Times New Roman" w:cs="Times New Roman"/>
          <w:bCs/>
          <w:kern w:val="0"/>
          <w:sz w:val="28"/>
          <w:szCs w:val="28"/>
          <w:lang w:eastAsia="pl-PL"/>
          <w14:ligatures w14:val="none"/>
        </w:rPr>
        <w:t xml:space="preserve"> jest poślednią funkcją wektora/skalara równoważącego, bo transformuje wielowymiarowe charakterystyki X</w:t>
      </w:r>
      <w:r w:rsidRPr="001D0854">
        <w:rPr>
          <w:rFonts w:ascii="Times New Roman" w:eastAsia="Times New Roman" w:hAnsi="Times New Roman" w:cs="Times New Roman"/>
          <w:bCs/>
          <w:kern w:val="0"/>
          <w:sz w:val="28"/>
          <w:szCs w:val="28"/>
          <w:vertAlign w:val="subscript"/>
          <w:lang w:eastAsia="pl-PL"/>
          <w14:ligatures w14:val="none"/>
        </w:rPr>
        <w:t>i</w:t>
      </w:r>
      <w:r w:rsidRPr="001D0854">
        <w:rPr>
          <w:rFonts w:ascii="Times New Roman" w:eastAsia="Times New Roman" w:hAnsi="Times New Roman" w:cs="Times New Roman"/>
          <w:bCs/>
          <w:kern w:val="0"/>
          <w:sz w:val="28"/>
          <w:szCs w:val="28"/>
          <w:lang w:eastAsia="pl-PL"/>
          <w14:ligatures w14:val="none"/>
        </w:rPr>
        <w:t xml:space="preserve"> w charakterystyki jednowymiarowe. Natomiast b(x) = x jest wynikiem najlepszym.</w:t>
      </w:r>
    </w:p>
    <w:p w14:paraId="3D141E7C" w14:textId="77777777" w:rsidR="001D0854" w:rsidRPr="001D0854" w:rsidRDefault="001D0854" w:rsidP="001D0854">
      <w:pPr>
        <w:tabs>
          <w:tab w:val="num" w:pos="360"/>
        </w:tabs>
        <w:spacing w:after="0" w:line="264" w:lineRule="auto"/>
        <w:ind w:left="360" w:hanging="360"/>
        <w:jc w:val="both"/>
        <w:rPr>
          <w:rFonts w:ascii="Times New Roman" w:eastAsia="Times New Roman" w:hAnsi="Times New Roman" w:cs="Times New Roman"/>
          <w:bCs/>
          <w:kern w:val="0"/>
          <w:sz w:val="28"/>
          <w:szCs w:val="28"/>
          <w:lang w:eastAsia="pl-PL"/>
          <w14:ligatures w14:val="none"/>
        </w:rPr>
      </w:pPr>
      <w:r w:rsidRPr="001D0854">
        <w:rPr>
          <w:rFonts w:ascii="Times New Roman" w:eastAsia="Times New Roman" w:hAnsi="Times New Roman" w:cs="Times New Roman"/>
          <w:bCs/>
          <w:kern w:val="0"/>
          <w:sz w:val="28"/>
          <w:szCs w:val="28"/>
          <w:lang w:eastAsia="pl-PL"/>
          <w14:ligatures w14:val="none"/>
        </w:rPr>
        <w:t xml:space="preserve">Jeśli przydzielenie do grupy badanej jest mocno ignorowalne dla danego </w:t>
      </w:r>
      <w:r w:rsidRPr="001D0854">
        <w:rPr>
          <w:rFonts w:ascii="Times New Roman" w:eastAsia="Times New Roman" w:hAnsi="Times New Roman" w:cs="Times New Roman"/>
          <w:bCs/>
          <w:i/>
          <w:iCs/>
          <w:kern w:val="0"/>
          <w:sz w:val="28"/>
          <w:szCs w:val="28"/>
          <w:lang w:eastAsia="pl-PL"/>
          <w14:ligatures w14:val="none"/>
        </w:rPr>
        <w:t>x</w:t>
      </w:r>
      <w:r w:rsidRPr="001D0854">
        <w:rPr>
          <w:rFonts w:ascii="Times New Roman" w:eastAsia="Times New Roman" w:hAnsi="Times New Roman" w:cs="Times New Roman"/>
          <w:bCs/>
          <w:kern w:val="0"/>
          <w:sz w:val="28"/>
          <w:szCs w:val="28"/>
          <w:lang w:eastAsia="pl-PL"/>
          <w14:ligatures w14:val="none"/>
        </w:rPr>
        <w:t>, to jest także ignorowalne dla dowolnego wektora/skalara równoważącego:</w:t>
      </w:r>
    </w:p>
    <w:p w14:paraId="47E24E11" w14:textId="77777777" w:rsidR="001D0854" w:rsidRPr="001D0854" w:rsidRDefault="001D0854" w:rsidP="001D0854">
      <w:pPr>
        <w:spacing w:after="0" w:line="264" w:lineRule="auto"/>
        <w:ind w:left="360"/>
        <w:jc w:val="both"/>
        <w:rPr>
          <w:rFonts w:ascii="Times New Roman" w:eastAsia="Times New Roman" w:hAnsi="Times New Roman" w:cs="Times New Roman"/>
          <w:bCs/>
          <w:kern w:val="0"/>
          <w:sz w:val="28"/>
          <w:szCs w:val="28"/>
          <w:lang w:eastAsia="pl-PL"/>
          <w14:ligatures w14:val="none"/>
        </w:rPr>
      </w:pPr>
    </w:p>
    <w:p w14:paraId="4FD9C5E8" w14:textId="77777777" w:rsidR="001D0854" w:rsidRPr="001D0854" w:rsidRDefault="001D0854" w:rsidP="001D0854">
      <w:pPr>
        <w:tabs>
          <w:tab w:val="left" w:pos="3987"/>
        </w:tabs>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ab/>
      </w:r>
      <w:r w:rsidRPr="001D0854">
        <w:rPr>
          <w:rFonts w:ascii="Times New Roman" w:eastAsia="Aptos" w:hAnsi="Times New Roman" w:cs="Times New Roman"/>
          <w:position w:val="-16"/>
          <w:sz w:val="28"/>
          <w:szCs w:val="28"/>
        </w:rPr>
        <w:object w:dxaOrig="1540" w:dyaOrig="440" w14:anchorId="17CF1067">
          <v:shape id="_x0000_i1148" type="#_x0000_t75" style="width:76.5pt;height:22pt" o:ole="">
            <v:imagedata r:id="rId268" o:title=""/>
          </v:shape>
          <o:OLEObject Type="Embed" ProgID="Equation.DSMT4" ShapeID="_x0000_i1148" DrawAspect="Content" ObjectID="_1799840719" r:id="rId269"/>
        </w:object>
      </w:r>
      <w:r w:rsidRPr="001D0854">
        <w:rPr>
          <w:rFonts w:ascii="Times New Roman" w:eastAsia="Aptos" w:hAnsi="Times New Roman" w:cs="Times New Roman"/>
          <w:sz w:val="28"/>
          <w:szCs w:val="28"/>
        </w:rPr>
        <w:t>.</w:t>
      </w:r>
    </w:p>
    <w:p w14:paraId="708A260D" w14:textId="77777777" w:rsidR="001D0854" w:rsidRPr="001D0854" w:rsidRDefault="001D0854" w:rsidP="001D0854">
      <w:pPr>
        <w:spacing w:after="0" w:line="264" w:lineRule="auto"/>
        <w:jc w:val="both"/>
        <w:rPr>
          <w:rFonts w:ascii="Times New Roman" w:eastAsia="Times New Roman" w:hAnsi="Times New Roman" w:cs="Times New Roman"/>
          <w:bCs/>
          <w:kern w:val="0"/>
          <w:sz w:val="28"/>
          <w:szCs w:val="28"/>
          <w:lang w:eastAsia="pl-PL"/>
          <w14:ligatures w14:val="none"/>
        </w:rPr>
      </w:pPr>
      <w:r w:rsidRPr="001D0854">
        <w:rPr>
          <w:rFonts w:ascii="Times New Roman" w:eastAsia="Times New Roman" w:hAnsi="Times New Roman" w:cs="Times New Roman"/>
          <w:bCs/>
          <w:kern w:val="0"/>
          <w:sz w:val="28"/>
          <w:szCs w:val="28"/>
          <w:lang w:eastAsia="pl-PL"/>
          <w14:ligatures w14:val="none"/>
        </w:rPr>
        <w:t>Dla dowolnej wartości wektora/skalara bilansującego różnica między średnimi dla grup badanej i kontrolnej jest nieobciążonym oszacowaniem ATE dla tej wartości, jeśli przydzielenie jednostek do grupy badanej jest ignorowalne w sensie mocnym. W konsekwencji dopasowanie parami wektora/skalara bilansującego oraz ich podklasy i ich skorygowanej kowariancji jest również nieobciążonym estymatorem ATE.</w:t>
      </w:r>
    </w:p>
    <w:p w14:paraId="7EE2B994" w14:textId="77777777" w:rsidR="001D0854" w:rsidRPr="001D0854" w:rsidRDefault="001D0854" w:rsidP="001D0854">
      <w:pPr>
        <w:tabs>
          <w:tab w:val="num" w:pos="360"/>
        </w:tabs>
        <w:spacing w:after="0" w:line="264" w:lineRule="auto"/>
        <w:ind w:left="360" w:hanging="360"/>
        <w:jc w:val="both"/>
        <w:rPr>
          <w:rFonts w:ascii="Times New Roman" w:eastAsia="Times New Roman" w:hAnsi="Times New Roman" w:cs="Times New Roman"/>
          <w:bCs/>
          <w:kern w:val="0"/>
          <w:sz w:val="28"/>
          <w:lang w:eastAsia="pl-PL"/>
          <w14:ligatures w14:val="none"/>
        </w:rPr>
      </w:pPr>
      <w:r w:rsidRPr="001D0854">
        <w:rPr>
          <w:rFonts w:ascii="Times New Roman" w:eastAsia="Times New Roman" w:hAnsi="Times New Roman" w:cs="Times New Roman"/>
          <w:bCs/>
          <w:kern w:val="0"/>
          <w:sz w:val="28"/>
          <w:lang w:eastAsia="pl-PL"/>
          <w14:ligatures w14:val="none"/>
        </w:rPr>
        <w:t xml:space="preserve">Używanie wektora/skalara bilansującego opartego o próbę jednostek może dawać zrównoważenie próby stworzonej w oparciu o </w:t>
      </w:r>
      <w:r w:rsidRPr="001D0854">
        <w:rPr>
          <w:rFonts w:ascii="Times New Roman" w:eastAsia="Times New Roman" w:hAnsi="Times New Roman" w:cs="Times New Roman"/>
          <w:bCs/>
          <w:i/>
          <w:iCs/>
          <w:kern w:val="0"/>
          <w:sz w:val="28"/>
          <w:lang w:eastAsia="pl-PL"/>
          <w14:ligatures w14:val="none"/>
        </w:rPr>
        <w:t>x</w:t>
      </w:r>
      <w:r w:rsidRPr="001D0854">
        <w:rPr>
          <w:rFonts w:ascii="Times New Roman" w:eastAsia="Times New Roman" w:hAnsi="Times New Roman" w:cs="Times New Roman"/>
          <w:bCs/>
          <w:kern w:val="0"/>
          <w:sz w:val="28"/>
          <w:lang w:eastAsia="pl-PL"/>
          <w14:ligatures w14:val="none"/>
        </w:rPr>
        <w:t>.</w:t>
      </w:r>
    </w:p>
    <w:p w14:paraId="5AF66284" w14:textId="77777777" w:rsidR="001D0854" w:rsidRPr="001D0854" w:rsidRDefault="001D0854" w:rsidP="001D0854">
      <w:pPr>
        <w:spacing w:line="259" w:lineRule="auto"/>
        <w:ind w:firstLine="709"/>
        <w:jc w:val="both"/>
        <w:rPr>
          <w:rFonts w:ascii="Times New Roman" w:eastAsia="Aptos" w:hAnsi="Times New Roman" w:cs="Times New Roman"/>
          <w:sz w:val="28"/>
          <w:szCs w:val="28"/>
          <w:u w:val="single"/>
        </w:rPr>
      </w:pPr>
      <w:r w:rsidRPr="001D0854">
        <w:rPr>
          <w:rFonts w:ascii="Times New Roman" w:eastAsia="Aptos" w:hAnsi="Times New Roman" w:cs="Times New Roman"/>
          <w:sz w:val="28"/>
          <w:szCs w:val="28"/>
        </w:rPr>
        <w:lastRenderedPageBreak/>
        <w:t xml:space="preserve">P. Strawiński (2024), odwołując się do  pracy J.D. Angrista i J-D. Pischkego (2009), odniósł się do zależności między regresją liniową a PSM. Ekonometrycy przywołani w pozycji źródłowej z 2009 r.  rozważyli oddziaływanie za pomocą zmiennej binarnej </w:t>
      </w:r>
      <w:r w:rsidRPr="001D0854">
        <w:rPr>
          <w:rFonts w:ascii="Times New Roman" w:eastAsia="Aptos" w:hAnsi="Times New Roman" w:cs="Times New Roman"/>
          <w:i/>
          <w:iCs/>
          <w:sz w:val="28"/>
          <w:szCs w:val="28"/>
        </w:rPr>
        <w:t>T</w:t>
      </w:r>
      <w:r w:rsidRPr="001D0854">
        <w:rPr>
          <w:rFonts w:ascii="Times New Roman" w:eastAsia="Aptos" w:hAnsi="Times New Roman" w:cs="Times New Roman"/>
          <w:sz w:val="28"/>
          <w:szCs w:val="28"/>
        </w:rPr>
        <w:t xml:space="preserve">. </w:t>
      </w:r>
      <w:r w:rsidRPr="001D0854">
        <w:rPr>
          <w:rFonts w:ascii="Times New Roman" w:eastAsia="Aptos" w:hAnsi="Times New Roman" w:cs="Times New Roman"/>
          <w:kern w:val="0"/>
          <w:sz w:val="28"/>
          <w:szCs w:val="28"/>
        </w:rPr>
        <w:t xml:space="preserve">Rezultat oddziaływania dla obiektu </w:t>
      </w:r>
      <w:r w:rsidRPr="001D0854">
        <w:rPr>
          <w:rFonts w:ascii="Times New Roman" w:eastAsia="Aptos" w:hAnsi="Times New Roman" w:cs="Times New Roman"/>
          <w:i/>
          <w:iCs/>
          <w:kern w:val="0"/>
          <w:sz w:val="28"/>
          <w:szCs w:val="28"/>
        </w:rPr>
        <w:t>i</w:t>
      </w:r>
      <w:r w:rsidRPr="001D0854">
        <w:rPr>
          <w:rFonts w:ascii="Times New Roman" w:eastAsia="Aptos" w:hAnsi="Times New Roman" w:cs="Times New Roman"/>
          <w:kern w:val="0"/>
          <w:sz w:val="28"/>
          <w:szCs w:val="28"/>
        </w:rPr>
        <w:t xml:space="preserve"> jest oznaczony </w:t>
      </w:r>
      <w:r w:rsidRPr="001D0854">
        <w:rPr>
          <w:rFonts w:ascii="Times New Roman" w:eastAsia="Aptos" w:hAnsi="Times New Roman" w:cs="Times New Roman"/>
          <w:i/>
          <w:iCs/>
          <w:kern w:val="0"/>
          <w:sz w:val="28"/>
          <w:szCs w:val="28"/>
        </w:rPr>
        <w:t>Y</w:t>
      </w:r>
      <w:r w:rsidRPr="001D0854">
        <w:rPr>
          <w:rFonts w:ascii="Times New Roman" w:eastAsia="Aptos" w:hAnsi="Times New Roman" w:cs="Times New Roman"/>
          <w:i/>
          <w:iCs/>
          <w:kern w:val="0"/>
          <w:sz w:val="28"/>
          <w:szCs w:val="28"/>
          <w:vertAlign w:val="subscript"/>
        </w:rPr>
        <w:t>i</w:t>
      </w:r>
      <w:r w:rsidRPr="001D0854">
        <w:rPr>
          <w:rFonts w:ascii="Times New Roman" w:eastAsia="Aptos" w:hAnsi="Times New Roman" w:cs="Times New Roman"/>
          <w:kern w:val="0"/>
          <w:sz w:val="28"/>
          <w:szCs w:val="28"/>
        </w:rPr>
        <w:t xml:space="preserve">. Pojawia się pytanie badawcze: czy oddziaływanie </w:t>
      </w:r>
      <w:r w:rsidRPr="001D0854">
        <w:rPr>
          <w:rFonts w:ascii="Times New Roman" w:eastAsia="Aptos" w:hAnsi="Times New Roman" w:cs="Times New Roman"/>
          <w:i/>
          <w:iCs/>
          <w:kern w:val="0"/>
          <w:sz w:val="28"/>
          <w:szCs w:val="28"/>
        </w:rPr>
        <w:t xml:space="preserve">T </w:t>
      </w:r>
      <w:r w:rsidRPr="001D0854">
        <w:rPr>
          <w:rFonts w:ascii="Times New Roman" w:eastAsia="Aptos" w:hAnsi="Times New Roman" w:cs="Times New Roman"/>
          <w:kern w:val="0"/>
          <w:sz w:val="28"/>
          <w:szCs w:val="28"/>
        </w:rPr>
        <w:t xml:space="preserve">wpływa na rezultat </w:t>
      </w:r>
      <w:r w:rsidRPr="001D0854">
        <w:rPr>
          <w:rFonts w:ascii="Times New Roman" w:eastAsia="Aptos" w:hAnsi="Times New Roman" w:cs="Times New Roman"/>
          <w:i/>
          <w:iCs/>
          <w:kern w:val="0"/>
          <w:sz w:val="28"/>
          <w:szCs w:val="28"/>
        </w:rPr>
        <w:t>Y</w:t>
      </w:r>
      <w:r w:rsidRPr="001D0854">
        <w:rPr>
          <w:rFonts w:ascii="Times New Roman" w:eastAsia="Aptos" w:hAnsi="Times New Roman" w:cs="Times New Roman"/>
          <w:i/>
          <w:iCs/>
          <w:kern w:val="0"/>
          <w:sz w:val="28"/>
          <w:szCs w:val="28"/>
          <w:vertAlign w:val="subscript"/>
        </w:rPr>
        <w:t>i</w:t>
      </w:r>
      <w:r w:rsidRPr="001D0854">
        <w:rPr>
          <w:rFonts w:ascii="Times New Roman" w:eastAsia="Aptos" w:hAnsi="Times New Roman" w:cs="Times New Roman"/>
          <w:kern w:val="0"/>
          <w:sz w:val="28"/>
          <w:szCs w:val="28"/>
        </w:rPr>
        <w:t>? Dla każdego obiektu są dwa potencjalne rezultaty oddziaływania:</w:t>
      </w:r>
    </w:p>
    <w:p w14:paraId="392E569E" w14:textId="77777777" w:rsidR="001D0854" w:rsidRPr="001D0854" w:rsidRDefault="00000000" w:rsidP="001D0854">
      <w:pPr>
        <w:spacing w:line="259" w:lineRule="auto"/>
        <w:jc w:val="both"/>
        <w:rPr>
          <w:rFonts w:ascii="Times New Roman" w:eastAsia="Aptos" w:hAnsi="Times New Roman" w:cs="Times New Roman"/>
          <w:sz w:val="36"/>
          <w:szCs w:val="36"/>
          <w:u w:val="single"/>
        </w:rPr>
      </w:pPr>
      <m:oMathPara>
        <m:oMath>
          <m:sSub>
            <m:sSubPr>
              <m:ctrlPr>
                <w:rPr>
                  <w:rFonts w:ascii="Cambria Math" w:eastAsia="Aptos" w:hAnsi="Cambria Math" w:cs="Times New Roman"/>
                  <w:i/>
                  <w:kern w:val="0"/>
                  <w:sz w:val="28"/>
                  <w:szCs w:val="28"/>
                  <w14:ligatures w14:val="none"/>
                </w:rPr>
              </m:ctrlPr>
            </m:sSubPr>
            <m:e>
              <m:r>
                <w:rPr>
                  <w:rFonts w:ascii="Cambria Math" w:eastAsia="Aptos" w:hAnsi="Aptos" w:cs="Times New Roman"/>
                  <w:kern w:val="0"/>
                  <w:sz w:val="28"/>
                  <w:szCs w:val="28"/>
                  <w14:ligatures w14:val="none"/>
                </w:rPr>
                <m:t>Y</m:t>
              </m:r>
            </m:e>
            <m:sub>
              <m:r>
                <w:rPr>
                  <w:rFonts w:ascii="Cambria Math" w:eastAsia="Aptos" w:hAnsi="Aptos" w:cs="Times New Roman"/>
                  <w:kern w:val="0"/>
                  <w:sz w:val="28"/>
                  <w:szCs w:val="28"/>
                  <w14:ligatures w14:val="none"/>
                </w:rPr>
                <m:t>i</m:t>
              </m:r>
            </m:sub>
          </m:sSub>
          <m:r>
            <w:rPr>
              <w:rFonts w:ascii="Cambria Math" w:eastAsia="Aptos" w:hAnsi="Aptos" w:cs="Times New Roman"/>
              <w:kern w:val="0"/>
              <w:sz w:val="28"/>
              <w:szCs w:val="28"/>
              <w14:ligatures w14:val="none"/>
            </w:rPr>
            <m:t>=</m:t>
          </m:r>
          <m:d>
            <m:dPr>
              <m:begChr m:val="{"/>
              <m:endChr m:val=""/>
              <m:ctrlPr>
                <w:rPr>
                  <w:rFonts w:ascii="Cambria Math" w:eastAsia="Aptos" w:hAnsi="Cambria Math" w:cs="Times New Roman"/>
                  <w:i/>
                  <w:kern w:val="0"/>
                  <w:sz w:val="28"/>
                  <w:szCs w:val="28"/>
                  <w14:ligatures w14:val="none"/>
                </w:rPr>
              </m:ctrlPr>
            </m:dPr>
            <m:e>
              <m:eqArr>
                <m:eqArrPr>
                  <m:ctrlPr>
                    <w:rPr>
                      <w:rFonts w:ascii="Cambria Math" w:eastAsia="Aptos" w:hAnsi="Cambria Math" w:cs="Times New Roman"/>
                      <w:i/>
                      <w:kern w:val="0"/>
                      <w:sz w:val="28"/>
                      <w:szCs w:val="28"/>
                      <w14:ligatures w14:val="none"/>
                    </w:rPr>
                  </m:ctrlPr>
                </m:eqArrPr>
                <m:e>
                  <m:r>
                    <w:rPr>
                      <w:rFonts w:ascii="Cambria Math" w:eastAsia="Aptos" w:hAnsi="Aptos" w:cs="Times New Roman"/>
                      <w:kern w:val="0"/>
                      <w:sz w:val="28"/>
                      <w:szCs w:val="28"/>
                      <w14:ligatures w14:val="none"/>
                    </w:rPr>
                    <m:t>&amp;</m:t>
                  </m:r>
                  <m:sSub>
                    <m:sSubPr>
                      <m:ctrlPr>
                        <w:rPr>
                          <w:rFonts w:ascii="Cambria Math" w:eastAsia="Aptos" w:hAnsi="Cambria Math" w:cs="Times New Roman"/>
                          <w:i/>
                          <w:kern w:val="0"/>
                          <w:sz w:val="28"/>
                          <w:szCs w:val="28"/>
                          <w14:ligatures w14:val="none"/>
                        </w:rPr>
                      </m:ctrlPr>
                    </m:sSubPr>
                    <m:e>
                      <m:r>
                        <w:rPr>
                          <w:rFonts w:ascii="Cambria Math" w:eastAsia="Aptos" w:hAnsi="Aptos" w:cs="Times New Roman"/>
                          <w:kern w:val="0"/>
                          <w:sz w:val="28"/>
                          <w:szCs w:val="28"/>
                          <w14:ligatures w14:val="none"/>
                        </w:rPr>
                        <m:t>Y</m:t>
                      </m:r>
                    </m:e>
                    <m:sub>
                      <m:r>
                        <w:rPr>
                          <w:rFonts w:ascii="Cambria Math" w:eastAsia="Aptos" w:hAnsi="Aptos" w:cs="Times New Roman"/>
                          <w:kern w:val="0"/>
                          <w:sz w:val="28"/>
                          <w:szCs w:val="28"/>
                          <w14:ligatures w14:val="none"/>
                        </w:rPr>
                        <m:t>1i</m:t>
                      </m:r>
                    </m:sub>
                  </m:sSub>
                  <m:r>
                    <w:rPr>
                      <w:rFonts w:ascii="Cambria Math" w:eastAsia="Aptos" w:hAnsi="Aptos" w:cs="Times New Roman"/>
                      <w:kern w:val="0"/>
                      <w:sz w:val="28"/>
                      <w:szCs w:val="28"/>
                      <w14:ligatures w14:val="none"/>
                    </w:rPr>
                    <m:t xml:space="preserve"> je</m:t>
                  </m:r>
                  <m:r>
                    <w:rPr>
                      <w:rFonts w:ascii="Cambria Math" w:eastAsia="Aptos" w:hAnsi="Aptos" w:cs="Times New Roman"/>
                      <w:kern w:val="0"/>
                      <w:sz w:val="28"/>
                      <w:szCs w:val="28"/>
                      <w14:ligatures w14:val="none"/>
                    </w:rPr>
                    <m:t>ż</m:t>
                  </m:r>
                  <m:r>
                    <w:rPr>
                      <w:rFonts w:ascii="Cambria Math" w:eastAsia="Aptos" w:hAnsi="Aptos" w:cs="Times New Roman"/>
                      <w:kern w:val="0"/>
                      <w:sz w:val="28"/>
                      <w:szCs w:val="28"/>
                      <w14:ligatures w14:val="none"/>
                    </w:rPr>
                    <m:t xml:space="preserve">eli </m:t>
                  </m:r>
                  <m:sSub>
                    <m:sSubPr>
                      <m:ctrlPr>
                        <w:rPr>
                          <w:rFonts w:ascii="Cambria Math" w:eastAsia="Aptos" w:hAnsi="Cambria Math" w:cs="Times New Roman"/>
                          <w:i/>
                          <w:kern w:val="0"/>
                          <w:sz w:val="28"/>
                          <w:szCs w:val="28"/>
                          <w14:ligatures w14:val="none"/>
                        </w:rPr>
                      </m:ctrlPr>
                    </m:sSubPr>
                    <m:e>
                      <m:r>
                        <w:rPr>
                          <w:rFonts w:ascii="Cambria Math" w:eastAsia="Aptos" w:hAnsi="Aptos" w:cs="Times New Roman"/>
                          <w:kern w:val="0"/>
                          <w:sz w:val="28"/>
                          <w:szCs w:val="28"/>
                          <w14:ligatures w14:val="none"/>
                        </w:rPr>
                        <m:t>T</m:t>
                      </m:r>
                    </m:e>
                    <m:sub>
                      <m:r>
                        <w:rPr>
                          <w:rFonts w:ascii="Cambria Math" w:eastAsia="Aptos" w:hAnsi="Aptos" w:cs="Times New Roman"/>
                          <w:kern w:val="0"/>
                          <w:sz w:val="28"/>
                          <w:szCs w:val="28"/>
                          <w14:ligatures w14:val="none"/>
                        </w:rPr>
                        <m:t>i</m:t>
                      </m:r>
                    </m:sub>
                  </m:sSub>
                  <m:r>
                    <w:rPr>
                      <w:rFonts w:ascii="Cambria Math" w:eastAsia="Aptos" w:hAnsi="Aptos" w:cs="Times New Roman"/>
                      <w:kern w:val="0"/>
                      <w:sz w:val="28"/>
                      <w:szCs w:val="28"/>
                      <w14:ligatures w14:val="none"/>
                    </w:rPr>
                    <m:t>=1</m:t>
                  </m:r>
                </m:e>
                <m:e>
                  <m:r>
                    <w:rPr>
                      <w:rFonts w:ascii="Cambria Math" w:eastAsia="Aptos" w:hAnsi="Aptos" w:cs="Times New Roman"/>
                      <w:kern w:val="0"/>
                      <w:sz w:val="28"/>
                      <w:szCs w:val="28"/>
                      <w14:ligatures w14:val="none"/>
                    </w:rPr>
                    <m:t>&amp;</m:t>
                  </m:r>
                  <m:sSub>
                    <m:sSubPr>
                      <m:ctrlPr>
                        <w:rPr>
                          <w:rFonts w:ascii="Cambria Math" w:eastAsia="Aptos" w:hAnsi="Cambria Math" w:cs="Times New Roman"/>
                          <w:i/>
                          <w:kern w:val="0"/>
                          <w:sz w:val="28"/>
                          <w:szCs w:val="28"/>
                          <w14:ligatures w14:val="none"/>
                        </w:rPr>
                      </m:ctrlPr>
                    </m:sSubPr>
                    <m:e>
                      <m:r>
                        <w:rPr>
                          <w:rFonts w:ascii="Cambria Math" w:eastAsia="Aptos" w:hAnsi="Aptos" w:cs="Times New Roman"/>
                          <w:kern w:val="0"/>
                          <w:sz w:val="28"/>
                          <w:szCs w:val="28"/>
                          <w14:ligatures w14:val="none"/>
                        </w:rPr>
                        <m:t>Y</m:t>
                      </m:r>
                    </m:e>
                    <m:sub>
                      <m:r>
                        <w:rPr>
                          <w:rFonts w:ascii="Cambria Math" w:eastAsia="Aptos" w:hAnsi="Aptos" w:cs="Times New Roman"/>
                          <w:kern w:val="0"/>
                          <w:sz w:val="28"/>
                          <w:szCs w:val="28"/>
                          <w14:ligatures w14:val="none"/>
                        </w:rPr>
                        <m:t>0i</m:t>
                      </m:r>
                    </m:sub>
                  </m:sSub>
                  <m:r>
                    <w:rPr>
                      <w:rFonts w:ascii="Cambria Math" w:eastAsia="Aptos" w:hAnsi="Aptos" w:cs="Times New Roman"/>
                      <w:kern w:val="0"/>
                      <w:sz w:val="28"/>
                      <w:szCs w:val="28"/>
                      <w14:ligatures w14:val="none"/>
                    </w:rPr>
                    <m:t xml:space="preserve"> je</m:t>
                  </m:r>
                  <m:r>
                    <w:rPr>
                      <w:rFonts w:ascii="Cambria Math" w:eastAsia="Aptos" w:hAnsi="Aptos" w:cs="Times New Roman"/>
                      <w:kern w:val="0"/>
                      <w:sz w:val="28"/>
                      <w:szCs w:val="28"/>
                      <w14:ligatures w14:val="none"/>
                    </w:rPr>
                    <m:t>ż</m:t>
                  </m:r>
                  <m:r>
                    <w:rPr>
                      <w:rFonts w:ascii="Cambria Math" w:eastAsia="Aptos" w:hAnsi="Aptos" w:cs="Times New Roman"/>
                      <w:kern w:val="0"/>
                      <w:sz w:val="28"/>
                      <w:szCs w:val="28"/>
                      <w14:ligatures w14:val="none"/>
                    </w:rPr>
                    <m:t>eli</m:t>
                  </m:r>
                  <m:sSub>
                    <m:sSubPr>
                      <m:ctrlPr>
                        <w:rPr>
                          <w:rFonts w:ascii="Cambria Math" w:eastAsia="Aptos" w:hAnsi="Cambria Math" w:cs="Times New Roman"/>
                          <w:i/>
                          <w:kern w:val="0"/>
                          <w:sz w:val="28"/>
                          <w:szCs w:val="28"/>
                          <w14:ligatures w14:val="none"/>
                        </w:rPr>
                      </m:ctrlPr>
                    </m:sSubPr>
                    <m:e>
                      <m:r>
                        <w:rPr>
                          <w:rFonts w:ascii="Cambria Math" w:eastAsia="Aptos" w:hAnsi="Aptos" w:cs="Times New Roman"/>
                          <w:kern w:val="0"/>
                          <w:sz w:val="28"/>
                          <w:szCs w:val="28"/>
                          <w14:ligatures w14:val="none"/>
                        </w:rPr>
                        <m:t xml:space="preserve"> T</m:t>
                      </m:r>
                    </m:e>
                    <m:sub>
                      <m:r>
                        <w:rPr>
                          <w:rFonts w:ascii="Cambria Math" w:eastAsia="Aptos" w:hAnsi="Aptos" w:cs="Times New Roman"/>
                          <w:kern w:val="0"/>
                          <w:sz w:val="28"/>
                          <w:szCs w:val="28"/>
                          <w14:ligatures w14:val="none"/>
                        </w:rPr>
                        <m:t>i</m:t>
                      </m:r>
                    </m:sub>
                  </m:sSub>
                  <m:r>
                    <w:rPr>
                      <w:rFonts w:ascii="Cambria Math" w:eastAsia="Aptos" w:hAnsi="Aptos" w:cs="Times New Roman"/>
                      <w:kern w:val="0"/>
                      <w:sz w:val="28"/>
                      <w:szCs w:val="28"/>
                      <w14:ligatures w14:val="none"/>
                    </w:rPr>
                    <m:t>=0</m:t>
                  </m:r>
                </m:e>
              </m:eqArr>
            </m:e>
          </m:d>
        </m:oMath>
      </m:oMathPara>
    </w:p>
    <w:p w14:paraId="41BDBE1F"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Wykorzystując model „przełacznikowy” zaproponowany przez Quandta z 1972, można zapisać formalnie zależność  miedzy obserwowanym rezultatem oddziaływania a rezultatami potencjalnymi </w:t>
      </w:r>
    </w:p>
    <w:p w14:paraId="2733731F" w14:textId="77777777" w:rsidR="001D0854" w:rsidRPr="001D0854" w:rsidRDefault="001D0854" w:rsidP="001D0854">
      <w:pPr>
        <w:spacing w:line="259" w:lineRule="auto"/>
        <w:jc w:val="both"/>
        <w:rPr>
          <w:rFonts w:ascii="Times New Roman" w:eastAsia="Aptos" w:hAnsi="Times New Roman" w:cs="Times New Roman"/>
          <w:sz w:val="28"/>
          <w:szCs w:val="28"/>
        </w:rPr>
      </w:pPr>
    </w:p>
    <w:p w14:paraId="7BD42727" w14:textId="77777777" w:rsidR="001D0854" w:rsidRPr="001D0854" w:rsidRDefault="00000000" w:rsidP="001D0854">
      <w:pPr>
        <w:spacing w:line="259" w:lineRule="auto"/>
        <w:jc w:val="both"/>
        <w:rPr>
          <w:rFonts w:ascii="Times New Roman" w:eastAsia="Aptos" w:hAnsi="Times New Roman" w:cs="Times New Roman"/>
          <w:sz w:val="36"/>
          <w:szCs w:val="36"/>
        </w:rPr>
      </w:pPr>
      <m:oMathPara>
        <m:oMath>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i</m:t>
              </m:r>
            </m:sub>
          </m:sSub>
          <m:r>
            <w:rPr>
              <w:rFonts w:ascii="Cambria Math" w:eastAsia="Aptos" w:hAnsi="Times New Roman" w:cs="Times New Roman"/>
              <w:kern w:val="0"/>
              <w:sz w:val="28"/>
              <w:szCs w:val="28"/>
              <w14:ligatures w14:val="none"/>
            </w:rPr>
            <m:t>=</m:t>
          </m:r>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1i</m:t>
              </m:r>
            </m:sub>
          </m:sSub>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T</m:t>
              </m:r>
            </m:e>
            <m:sub>
              <m:r>
                <w:rPr>
                  <w:rFonts w:ascii="Cambria Math" w:eastAsia="Aptos" w:hAnsi="Times New Roman" w:cs="Times New Roman"/>
                  <w:kern w:val="0"/>
                  <w:sz w:val="28"/>
                  <w:szCs w:val="28"/>
                  <w14:ligatures w14:val="none"/>
                </w:rPr>
                <m:t>i</m:t>
              </m:r>
            </m:sub>
          </m:sSub>
          <m:r>
            <w:rPr>
              <w:rFonts w:ascii="Cambria Math" w:eastAsia="Aptos" w:hAnsi="Times New Roman" w:cs="Times New Roman"/>
              <w:kern w:val="0"/>
              <w:sz w:val="28"/>
              <w:szCs w:val="28"/>
              <w14:ligatures w14:val="none"/>
            </w:rPr>
            <m:t>+</m:t>
          </m:r>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0i</m:t>
              </m:r>
            </m:sub>
          </m:sSub>
          <m:d>
            <m:dPr>
              <m:ctrlPr>
                <w:rPr>
                  <w:rFonts w:ascii="Cambria Math" w:eastAsia="Aptos" w:hAnsi="Times New Roman" w:cs="Times New Roman"/>
                  <w:i/>
                  <w:kern w:val="0"/>
                  <w:sz w:val="28"/>
                  <w:szCs w:val="28"/>
                  <w14:ligatures w14:val="none"/>
                </w:rPr>
              </m:ctrlPr>
            </m:dPr>
            <m:e>
              <m:r>
                <w:rPr>
                  <w:rFonts w:ascii="Cambria Math" w:eastAsia="Aptos" w:hAnsi="Times New Roman" w:cs="Times New Roman"/>
                  <w:kern w:val="0"/>
                  <w:sz w:val="28"/>
                  <w:szCs w:val="28"/>
                  <w14:ligatures w14:val="none"/>
                </w:rPr>
                <m:t>1</m:t>
              </m:r>
              <m:r>
                <w:rPr>
                  <w:rFonts w:ascii="Cambria Math" w:eastAsia="Aptos" w:hAnsi="Times New Roman" w:cs="Times New Roman"/>
                  <w:kern w:val="0"/>
                  <w:sz w:val="28"/>
                  <w:szCs w:val="28"/>
                  <w14:ligatures w14:val="none"/>
                </w:rPr>
                <m:t>-</m:t>
              </m:r>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T</m:t>
                  </m:r>
                </m:e>
                <m:sub>
                  <m:r>
                    <w:rPr>
                      <w:rFonts w:ascii="Cambria Math" w:eastAsia="Aptos" w:hAnsi="Times New Roman" w:cs="Times New Roman"/>
                      <w:kern w:val="0"/>
                      <w:sz w:val="28"/>
                      <w:szCs w:val="28"/>
                      <w14:ligatures w14:val="none"/>
                    </w:rPr>
                    <m:t>i</m:t>
                  </m:r>
                </m:sub>
              </m:sSub>
              <m:ctrlPr>
                <w:rPr>
                  <w:rFonts w:ascii="Cambria Math" w:eastAsia="Aptos" w:hAnsi="Cambria Math" w:cs="Times New Roman"/>
                  <w:i/>
                  <w:kern w:val="0"/>
                  <w:sz w:val="28"/>
                  <w:szCs w:val="28"/>
                  <w14:ligatures w14:val="none"/>
                </w:rPr>
              </m:ctrlPr>
            </m:e>
          </m:d>
        </m:oMath>
      </m:oMathPara>
    </w:p>
    <w:p w14:paraId="14EEFA88"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i dalej po przekształceniu:</w:t>
      </w:r>
    </w:p>
    <w:p w14:paraId="2F0DF485" w14:textId="77777777" w:rsidR="001D0854" w:rsidRPr="001D0854" w:rsidRDefault="00000000" w:rsidP="001D0854">
      <w:pPr>
        <w:spacing w:line="259" w:lineRule="auto"/>
        <w:jc w:val="both"/>
        <w:rPr>
          <w:rFonts w:ascii="Times New Roman" w:eastAsia="Aptos" w:hAnsi="Times New Roman" w:cs="Times New Roman"/>
          <w:sz w:val="36"/>
          <w:szCs w:val="36"/>
        </w:rPr>
      </w:pPr>
      <m:oMathPara>
        <m:oMath>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i</m:t>
              </m:r>
            </m:sub>
          </m:sSub>
          <m:r>
            <w:rPr>
              <w:rFonts w:ascii="Cambria Math" w:eastAsia="Aptos" w:hAnsi="Times New Roman" w:cs="Times New Roman"/>
              <w:kern w:val="0"/>
              <w:sz w:val="28"/>
              <w:szCs w:val="28"/>
              <w14:ligatures w14:val="none"/>
            </w:rPr>
            <m:t>=</m:t>
          </m:r>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0i</m:t>
              </m:r>
            </m:sub>
          </m:sSub>
          <m:r>
            <w:rPr>
              <w:rFonts w:ascii="Cambria Math" w:eastAsia="Aptos" w:hAnsi="Times New Roman" w:cs="Times New Roman"/>
              <w:kern w:val="0"/>
              <w:sz w:val="28"/>
              <w:szCs w:val="28"/>
              <w14:ligatures w14:val="none"/>
            </w:rPr>
            <m:t>+</m:t>
          </m:r>
          <m:d>
            <m:dPr>
              <m:ctrlPr>
                <w:rPr>
                  <w:rFonts w:ascii="Cambria Math" w:eastAsia="Aptos" w:hAnsi="Times New Roman" w:cs="Times New Roman"/>
                  <w:i/>
                  <w:kern w:val="0"/>
                  <w:sz w:val="28"/>
                  <w:szCs w:val="28"/>
                  <w14:ligatures w14:val="none"/>
                </w:rPr>
              </m:ctrlPr>
            </m:dPr>
            <m:e>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1i</m:t>
                  </m:r>
                </m:sub>
              </m:sSub>
              <m:r>
                <w:rPr>
                  <w:rFonts w:ascii="Cambria Math" w:eastAsia="Aptos" w:hAnsi="Times New Roman" w:cs="Times New Roman"/>
                  <w:kern w:val="0"/>
                  <w:sz w:val="28"/>
                  <w:szCs w:val="28"/>
                  <w14:ligatures w14:val="none"/>
                </w:rPr>
                <m:t>-</m:t>
              </m:r>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0i</m:t>
                  </m:r>
                </m:sub>
              </m:sSub>
              <m:ctrlPr>
                <w:rPr>
                  <w:rFonts w:ascii="Cambria Math" w:eastAsia="Aptos" w:hAnsi="Cambria Math" w:cs="Times New Roman"/>
                  <w:i/>
                  <w:kern w:val="0"/>
                  <w:sz w:val="28"/>
                  <w:szCs w:val="28"/>
                  <w14:ligatures w14:val="none"/>
                </w:rPr>
              </m:ctrlPr>
            </m:e>
          </m:d>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T</m:t>
              </m:r>
            </m:e>
            <m:sub>
              <m:r>
                <w:rPr>
                  <w:rFonts w:ascii="Cambria Math" w:eastAsia="Aptos" w:hAnsi="Times New Roman" w:cs="Times New Roman"/>
                  <w:kern w:val="0"/>
                  <w:sz w:val="28"/>
                  <w:szCs w:val="28"/>
                  <w14:ligatures w14:val="none"/>
                </w:rPr>
                <m:t>i</m:t>
              </m:r>
            </m:sub>
          </m:sSub>
        </m:oMath>
      </m:oMathPara>
    </w:p>
    <w:p w14:paraId="456A663C" w14:textId="77777777" w:rsidR="001D0854" w:rsidRPr="001D0854" w:rsidRDefault="001D0854" w:rsidP="001D0854">
      <w:pPr>
        <w:spacing w:line="259" w:lineRule="auto"/>
        <w:jc w:val="both"/>
        <w:rPr>
          <w:rFonts w:ascii="Times New Roman" w:eastAsia="Aptos" w:hAnsi="Times New Roman" w:cs="Times New Roman"/>
          <w:sz w:val="28"/>
          <w:szCs w:val="28"/>
        </w:rPr>
      </w:pPr>
    </w:p>
    <w:p w14:paraId="1DE0F66C" w14:textId="77777777" w:rsidR="001D0854" w:rsidRPr="001D0854" w:rsidRDefault="001D0854" w:rsidP="001D0854">
      <w:pPr>
        <w:spacing w:line="259" w:lineRule="auto"/>
        <w:jc w:val="both"/>
        <w:rPr>
          <w:rFonts w:ascii="Times New Roman" w:eastAsia="Times New Roman" w:hAnsi="Times New Roman" w:cs="Times New Roman"/>
          <w:kern w:val="0"/>
          <w:sz w:val="28"/>
          <w:szCs w:val="28"/>
          <w14:ligatures w14:val="none"/>
        </w:rPr>
      </w:pPr>
      <w:r w:rsidRPr="001D0854">
        <w:rPr>
          <w:rFonts w:ascii="Times New Roman" w:eastAsia="Aptos" w:hAnsi="Times New Roman" w:cs="Times New Roman"/>
          <w:sz w:val="28"/>
          <w:szCs w:val="28"/>
        </w:rPr>
        <w:t xml:space="preserve">gdzie: </w:t>
      </w:r>
      <w:r w:rsidRPr="001D0854">
        <w:rPr>
          <w:rFonts w:ascii="Times New Roman" w:eastAsia="Times New Roman" w:hAnsi="Times New Roman" w:cs="Times New Roman"/>
          <w:kern w:val="0"/>
          <w:sz w:val="28"/>
          <w:szCs w:val="28"/>
          <w14:ligatures w14:val="none"/>
        </w:rPr>
        <w:t xml:space="preserve">różnica </w:t>
      </w:r>
      <m:oMath>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1i</m:t>
            </m:r>
          </m:sub>
        </m:sSub>
        <m:r>
          <w:rPr>
            <w:rFonts w:ascii="Cambria Math" w:eastAsia="Aptos" w:hAnsi="Times New Roman" w:cs="Times New Roman"/>
            <w:kern w:val="0"/>
            <w:sz w:val="28"/>
            <w:szCs w:val="28"/>
            <w14:ligatures w14:val="none"/>
          </w:rPr>
          <m:t>-</m:t>
        </m:r>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0i</m:t>
            </m:r>
          </m:sub>
        </m:sSub>
      </m:oMath>
      <w:r w:rsidRPr="001D0854">
        <w:rPr>
          <w:rFonts w:ascii="Times New Roman" w:eastAsia="Times New Roman" w:hAnsi="Times New Roman" w:cs="Times New Roman"/>
          <w:kern w:val="0"/>
          <w:sz w:val="28"/>
          <w:szCs w:val="28"/>
          <w14:ligatures w14:val="none"/>
        </w:rPr>
        <w:t xml:space="preserve"> – efekt przyczynowy oddziaływania T.</w:t>
      </w:r>
    </w:p>
    <w:p w14:paraId="5A5A52EB" w14:textId="77777777" w:rsidR="001D0854" w:rsidRPr="001D0854" w:rsidRDefault="001D0854" w:rsidP="001D0854">
      <w:pPr>
        <w:spacing w:line="259" w:lineRule="auto"/>
        <w:jc w:val="both"/>
        <w:rPr>
          <w:rFonts w:ascii="Times New Roman" w:eastAsia="Times New Roman" w:hAnsi="Times New Roman" w:cs="Times New Roman"/>
          <w:kern w:val="0"/>
          <w:sz w:val="28"/>
          <w:szCs w:val="28"/>
          <w14:ligatures w14:val="none"/>
        </w:rPr>
      </w:pPr>
      <w:r w:rsidRPr="001D0854">
        <w:rPr>
          <w:rFonts w:ascii="Times New Roman" w:eastAsia="Times New Roman" w:hAnsi="Times New Roman" w:cs="Times New Roman"/>
          <w:kern w:val="0"/>
          <w:sz w:val="28"/>
          <w:szCs w:val="28"/>
          <w14:ligatures w14:val="none"/>
        </w:rPr>
        <w:t>Obserwowana różnica jest sumą ATT i obciążenia, wynikającego z odmienności w cechach obiektów między grupą eksperymentalną  i kontrolną:</w:t>
      </w:r>
    </w:p>
    <w:p w14:paraId="562BD85D" w14:textId="77777777" w:rsidR="001D0854" w:rsidRPr="001D0854" w:rsidRDefault="001D0854" w:rsidP="001D0854">
      <w:pPr>
        <w:spacing w:line="259" w:lineRule="auto"/>
        <w:jc w:val="both"/>
        <w:rPr>
          <w:rFonts w:ascii="Times New Roman" w:eastAsia="Times New Roman" w:hAnsi="Times New Roman" w:cs="Times New Roman"/>
          <w:kern w:val="0"/>
          <w:sz w:val="28"/>
          <w:szCs w:val="28"/>
          <w14:ligatures w14:val="none"/>
        </w:rPr>
      </w:pPr>
    </w:p>
    <w:p w14:paraId="6B183D33" w14:textId="77777777" w:rsidR="001D0854" w:rsidRPr="001D0854" w:rsidRDefault="00000000" w:rsidP="001D0854">
      <w:pPr>
        <w:spacing w:line="259" w:lineRule="auto"/>
        <w:jc w:val="both"/>
        <w:rPr>
          <w:rFonts w:ascii="Times New Roman" w:eastAsia="Times New Roman" w:hAnsi="Times New Roman" w:cs="Times New Roman"/>
          <w:kern w:val="0"/>
          <w:sz w:val="28"/>
          <w:szCs w:val="28"/>
          <w14:ligatures w14:val="none"/>
        </w:rPr>
      </w:pPr>
      <m:oMathPara>
        <m:oMath>
          <m:limLow>
            <m:limLowPr>
              <m:ctrlPr>
                <w:rPr>
                  <w:rFonts w:ascii="Cambria Math" w:eastAsia="Aptos" w:hAnsi="Times New Roman" w:cs="Times New Roman"/>
                  <w:i/>
                  <w:kern w:val="0"/>
                  <w:sz w:val="28"/>
                  <w:szCs w:val="28"/>
                  <w14:ligatures w14:val="none"/>
                </w:rPr>
              </m:ctrlPr>
            </m:limLowPr>
            <m:e>
              <m:groupChr>
                <m:groupChrPr>
                  <m:ctrlPr>
                    <w:rPr>
                      <w:rFonts w:ascii="Cambria Math" w:eastAsia="Aptos" w:hAnsi="Times New Roman" w:cs="Times New Roman"/>
                      <w:i/>
                      <w:kern w:val="0"/>
                      <w:sz w:val="28"/>
                      <w:szCs w:val="28"/>
                      <w14:ligatures w14:val="none"/>
                    </w:rPr>
                  </m:ctrlPr>
                </m:groupChrPr>
                <m:e>
                  <m:r>
                    <m:rPr>
                      <m:scr m:val="double-struck"/>
                    </m:rPr>
                    <w:rPr>
                      <w:rFonts w:ascii="Cambria Math" w:eastAsia="Aptos" w:hAnsi="Times New Roman" w:cs="Times New Roman"/>
                      <w:kern w:val="0"/>
                      <w:sz w:val="28"/>
                      <w:szCs w:val="28"/>
                      <w14:ligatures w14:val="none"/>
                    </w:rPr>
                    <m:t>E</m:t>
                  </m:r>
                  <m:d>
                    <m:dPr>
                      <m:ctrlPr>
                        <w:rPr>
                          <w:rFonts w:ascii="Cambria Math" w:eastAsia="Aptos" w:hAnsi="Times New Roman" w:cs="Times New Roman"/>
                          <w:i/>
                          <w:kern w:val="0"/>
                          <w:sz w:val="28"/>
                          <w:szCs w:val="28"/>
                          <w14:ligatures w14:val="none"/>
                        </w:rPr>
                      </m:ctrlPr>
                    </m:dPr>
                    <m:e>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i</m:t>
                          </m:r>
                        </m:sub>
                      </m:sSub>
                      <m:d>
                        <m:dPr>
                          <m:begChr m:val="|"/>
                          <m:endChr m:val=""/>
                          <m:ctrlPr>
                            <w:rPr>
                              <w:rFonts w:ascii="Cambria Math" w:eastAsia="Aptos" w:hAnsi="Times New Roman" w:cs="Times New Roman"/>
                              <w:i/>
                              <w:kern w:val="0"/>
                              <w:sz w:val="28"/>
                              <w:szCs w:val="28"/>
                              <w14:ligatures w14:val="none"/>
                            </w:rPr>
                          </m:ctrlPr>
                        </m:dPr>
                        <m:e>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T</m:t>
                              </m:r>
                            </m:e>
                            <m:sub>
                              <m:r>
                                <w:rPr>
                                  <w:rFonts w:ascii="Cambria Math" w:eastAsia="Aptos" w:hAnsi="Times New Roman" w:cs="Times New Roman"/>
                                  <w:kern w:val="0"/>
                                  <w:sz w:val="28"/>
                                  <w:szCs w:val="28"/>
                                  <w14:ligatures w14:val="none"/>
                                </w:rPr>
                                <m:t>i</m:t>
                              </m:r>
                            </m:sub>
                          </m:sSub>
                          <m:r>
                            <w:rPr>
                              <w:rFonts w:ascii="Cambria Math" w:eastAsia="Aptos" w:hAnsi="Times New Roman" w:cs="Times New Roman"/>
                              <w:kern w:val="0"/>
                              <w:sz w:val="28"/>
                              <w:szCs w:val="28"/>
                              <w14:ligatures w14:val="none"/>
                            </w:rPr>
                            <m:t>=1</m:t>
                          </m:r>
                        </m:e>
                      </m:d>
                      <m:ctrlPr>
                        <w:rPr>
                          <w:rFonts w:ascii="Cambria Math" w:eastAsia="Aptos" w:hAnsi="Cambria Math" w:cs="Times New Roman"/>
                          <w:i/>
                          <w:kern w:val="0"/>
                          <w:sz w:val="28"/>
                          <w:szCs w:val="28"/>
                          <w14:ligatures w14:val="none"/>
                        </w:rPr>
                      </m:ctrlPr>
                    </m:e>
                  </m:d>
                  <m:r>
                    <w:rPr>
                      <w:rFonts w:ascii="Cambria Math" w:eastAsia="Aptos" w:hAnsi="Times New Roman" w:cs="Times New Roman"/>
                      <w:kern w:val="0"/>
                      <w:sz w:val="28"/>
                      <w:szCs w:val="28"/>
                      <w14:ligatures w14:val="none"/>
                    </w:rPr>
                    <m:t>-</m:t>
                  </m:r>
                  <m:r>
                    <m:rPr>
                      <m:scr m:val="double-struck"/>
                    </m:rPr>
                    <w:rPr>
                      <w:rFonts w:ascii="Cambria Math" w:eastAsia="Aptos" w:hAnsi="Times New Roman" w:cs="Times New Roman"/>
                      <w:kern w:val="0"/>
                      <w:sz w:val="28"/>
                      <w:szCs w:val="28"/>
                      <w14:ligatures w14:val="none"/>
                    </w:rPr>
                    <m:t>E</m:t>
                  </m:r>
                  <m:d>
                    <m:dPr>
                      <m:ctrlPr>
                        <w:rPr>
                          <w:rFonts w:ascii="Cambria Math" w:eastAsia="Aptos" w:hAnsi="Times New Roman" w:cs="Times New Roman"/>
                          <w:i/>
                          <w:kern w:val="0"/>
                          <w:sz w:val="28"/>
                          <w:szCs w:val="28"/>
                          <w14:ligatures w14:val="none"/>
                        </w:rPr>
                      </m:ctrlPr>
                    </m:dPr>
                    <m:e>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i</m:t>
                          </m:r>
                        </m:sub>
                      </m:sSub>
                      <m:d>
                        <m:dPr>
                          <m:begChr m:val="|"/>
                          <m:endChr m:val=""/>
                          <m:ctrlPr>
                            <w:rPr>
                              <w:rFonts w:ascii="Cambria Math" w:eastAsia="Aptos" w:hAnsi="Times New Roman" w:cs="Times New Roman"/>
                              <w:i/>
                              <w:kern w:val="0"/>
                              <w:sz w:val="28"/>
                              <w:szCs w:val="28"/>
                              <w14:ligatures w14:val="none"/>
                            </w:rPr>
                          </m:ctrlPr>
                        </m:dPr>
                        <m:e>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T</m:t>
                              </m:r>
                            </m:e>
                            <m:sub>
                              <m:r>
                                <w:rPr>
                                  <w:rFonts w:ascii="Cambria Math" w:eastAsia="Aptos" w:hAnsi="Times New Roman" w:cs="Times New Roman"/>
                                  <w:kern w:val="0"/>
                                  <w:sz w:val="28"/>
                                  <w:szCs w:val="28"/>
                                  <w14:ligatures w14:val="none"/>
                                </w:rPr>
                                <m:t>i</m:t>
                              </m:r>
                            </m:sub>
                          </m:sSub>
                          <m:r>
                            <w:rPr>
                              <w:rFonts w:ascii="Cambria Math" w:eastAsia="Aptos" w:hAnsi="Times New Roman" w:cs="Times New Roman"/>
                              <w:kern w:val="0"/>
                              <w:sz w:val="28"/>
                              <w:szCs w:val="28"/>
                              <w14:ligatures w14:val="none"/>
                            </w:rPr>
                            <m:t>=0</m:t>
                          </m:r>
                        </m:e>
                      </m:d>
                      <m:ctrlPr>
                        <w:rPr>
                          <w:rFonts w:ascii="Cambria Math" w:eastAsia="Aptos" w:hAnsi="Cambria Math" w:cs="Times New Roman"/>
                          <w:i/>
                          <w:kern w:val="0"/>
                          <w:sz w:val="28"/>
                          <w:szCs w:val="28"/>
                          <w14:ligatures w14:val="none"/>
                        </w:rPr>
                      </m:ctrlPr>
                    </m:e>
                  </m:d>
                  <m:ctrlPr>
                    <w:rPr>
                      <w:rFonts w:ascii="Cambria Math" w:eastAsia="Aptos" w:hAnsi="Cambria Math" w:cs="Times New Roman"/>
                      <w:i/>
                      <w:kern w:val="0"/>
                      <w:sz w:val="28"/>
                      <w:szCs w:val="28"/>
                      <w14:ligatures w14:val="none"/>
                    </w:rPr>
                  </m:ctrlPr>
                </m:e>
              </m:groupChr>
            </m:e>
            <m:lim>
              <m:r>
                <w:rPr>
                  <w:rFonts w:ascii="Cambria Math" w:eastAsia="Aptos" w:hAnsi="Times New Roman" w:cs="Times New Roman"/>
                  <w:kern w:val="0"/>
                  <w:sz w:val="28"/>
                  <w:szCs w:val="28"/>
                  <w14:ligatures w14:val="none"/>
                </w:rPr>
                <m:t>Obserwowana r</m:t>
              </m:r>
              <m:r>
                <w:rPr>
                  <w:rFonts w:ascii="Cambria Math" w:eastAsia="Aptos" w:hAnsi="Times New Roman" w:cs="Times New Roman"/>
                  <w:kern w:val="0"/>
                  <w:sz w:val="28"/>
                  <w:szCs w:val="28"/>
                  <w14:ligatures w14:val="none"/>
                </w:rPr>
                <m:t>óż</m:t>
              </m:r>
              <m:r>
                <w:rPr>
                  <w:rFonts w:ascii="Cambria Math" w:eastAsia="Aptos" w:hAnsi="Times New Roman" w:cs="Times New Roman"/>
                  <w:kern w:val="0"/>
                  <w:sz w:val="28"/>
                  <w:szCs w:val="28"/>
                  <w14:ligatures w14:val="none"/>
                </w:rPr>
                <m:t>nica</m:t>
              </m:r>
            </m:lim>
          </m:limLow>
          <m:r>
            <w:rPr>
              <w:rFonts w:ascii="Cambria Math" w:eastAsia="Aptos" w:hAnsi="Times New Roman" w:cs="Times New Roman"/>
              <w:kern w:val="0"/>
              <w:sz w:val="28"/>
              <w:szCs w:val="28"/>
              <w14:ligatures w14:val="none"/>
            </w:rPr>
            <m:t>=</m:t>
          </m:r>
          <m:r>
            <m:rPr>
              <m:sty m:val="p"/>
            </m:rPr>
            <w:rPr>
              <w:rFonts w:ascii="Cambria Math" w:eastAsia="Aptos" w:hAnsi="Times New Roman" w:cs="Times New Roman"/>
              <w:kern w:val="0"/>
              <w:sz w:val="28"/>
              <w:szCs w:val="28"/>
              <w14:ligatures w14:val="none"/>
            </w:rPr>
            <w:br/>
          </m:r>
        </m:oMath>
        <m:oMath>
          <m:limLow>
            <m:limLowPr>
              <m:ctrlPr>
                <w:rPr>
                  <w:rFonts w:ascii="Cambria Math" w:eastAsia="Aptos" w:hAnsi="Times New Roman" w:cs="Times New Roman"/>
                  <w:i/>
                  <w:kern w:val="0"/>
                  <w:sz w:val="28"/>
                  <w:szCs w:val="28"/>
                  <w14:ligatures w14:val="none"/>
                </w:rPr>
              </m:ctrlPr>
            </m:limLowPr>
            <m:e>
              <m:groupChr>
                <m:groupChrPr>
                  <m:ctrlPr>
                    <w:rPr>
                      <w:rFonts w:ascii="Cambria Math" w:eastAsia="Aptos" w:hAnsi="Times New Roman" w:cs="Times New Roman"/>
                      <w:i/>
                      <w:kern w:val="0"/>
                      <w:sz w:val="28"/>
                      <w:szCs w:val="28"/>
                      <w14:ligatures w14:val="none"/>
                    </w:rPr>
                  </m:ctrlPr>
                </m:groupChrPr>
                <m:e>
                  <m:r>
                    <m:rPr>
                      <m:scr m:val="double-struck"/>
                    </m:rPr>
                    <w:rPr>
                      <w:rFonts w:ascii="Cambria Math" w:eastAsia="Aptos" w:hAnsi="Times New Roman" w:cs="Times New Roman"/>
                      <w:kern w:val="0"/>
                      <w:sz w:val="28"/>
                      <w:szCs w:val="28"/>
                      <w14:ligatures w14:val="none"/>
                    </w:rPr>
                    <m:t>E</m:t>
                  </m:r>
                  <m:d>
                    <m:dPr>
                      <m:ctrlPr>
                        <w:rPr>
                          <w:rFonts w:ascii="Cambria Math" w:eastAsia="Aptos" w:hAnsi="Times New Roman" w:cs="Times New Roman"/>
                          <w:i/>
                          <w:kern w:val="0"/>
                          <w:sz w:val="28"/>
                          <w:szCs w:val="28"/>
                          <w14:ligatures w14:val="none"/>
                        </w:rPr>
                      </m:ctrlPr>
                    </m:dPr>
                    <m:e>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1i</m:t>
                          </m:r>
                        </m:sub>
                      </m:sSub>
                      <m:d>
                        <m:dPr>
                          <m:begChr m:val="|"/>
                          <m:endChr m:val=""/>
                          <m:ctrlPr>
                            <w:rPr>
                              <w:rFonts w:ascii="Cambria Math" w:eastAsia="Aptos" w:hAnsi="Times New Roman" w:cs="Times New Roman"/>
                              <w:i/>
                              <w:kern w:val="0"/>
                              <w:sz w:val="28"/>
                              <w:szCs w:val="28"/>
                              <w14:ligatures w14:val="none"/>
                            </w:rPr>
                          </m:ctrlPr>
                        </m:dPr>
                        <m:e>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T</m:t>
                              </m:r>
                            </m:e>
                            <m:sub>
                              <m:r>
                                <w:rPr>
                                  <w:rFonts w:ascii="Cambria Math" w:eastAsia="Aptos" w:hAnsi="Times New Roman" w:cs="Times New Roman"/>
                                  <w:kern w:val="0"/>
                                  <w:sz w:val="28"/>
                                  <w:szCs w:val="28"/>
                                  <w14:ligatures w14:val="none"/>
                                </w:rPr>
                                <m:t>i</m:t>
                              </m:r>
                            </m:sub>
                          </m:sSub>
                          <m:r>
                            <w:rPr>
                              <w:rFonts w:ascii="Cambria Math" w:eastAsia="Aptos" w:hAnsi="Times New Roman" w:cs="Times New Roman"/>
                              <w:kern w:val="0"/>
                              <w:sz w:val="28"/>
                              <w:szCs w:val="28"/>
                              <w14:ligatures w14:val="none"/>
                            </w:rPr>
                            <m:t>=1</m:t>
                          </m:r>
                        </m:e>
                      </m:d>
                      <m:ctrlPr>
                        <w:rPr>
                          <w:rFonts w:ascii="Cambria Math" w:eastAsia="Aptos" w:hAnsi="Cambria Math" w:cs="Times New Roman"/>
                          <w:i/>
                          <w:kern w:val="0"/>
                          <w:sz w:val="28"/>
                          <w:szCs w:val="28"/>
                          <w14:ligatures w14:val="none"/>
                        </w:rPr>
                      </m:ctrlPr>
                    </m:e>
                  </m:d>
                  <m:r>
                    <w:rPr>
                      <w:rFonts w:ascii="Cambria Math" w:eastAsia="Aptos" w:hAnsi="Times New Roman" w:cs="Times New Roman"/>
                      <w:kern w:val="0"/>
                      <w:sz w:val="28"/>
                      <w:szCs w:val="28"/>
                      <w14:ligatures w14:val="none"/>
                    </w:rPr>
                    <m:t>-</m:t>
                  </m:r>
                  <m:r>
                    <m:rPr>
                      <m:scr m:val="double-struck"/>
                    </m:rPr>
                    <w:rPr>
                      <w:rFonts w:ascii="Cambria Math" w:eastAsia="Aptos" w:hAnsi="Times New Roman" w:cs="Times New Roman"/>
                      <w:kern w:val="0"/>
                      <w:sz w:val="28"/>
                      <w:szCs w:val="28"/>
                      <w14:ligatures w14:val="none"/>
                    </w:rPr>
                    <m:t>E</m:t>
                  </m:r>
                  <m:d>
                    <m:dPr>
                      <m:ctrlPr>
                        <w:rPr>
                          <w:rFonts w:ascii="Cambria Math" w:eastAsia="Aptos" w:hAnsi="Times New Roman" w:cs="Times New Roman"/>
                          <w:i/>
                          <w:kern w:val="0"/>
                          <w:sz w:val="28"/>
                          <w:szCs w:val="28"/>
                          <w14:ligatures w14:val="none"/>
                        </w:rPr>
                      </m:ctrlPr>
                    </m:dPr>
                    <m:e>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0i</m:t>
                          </m:r>
                        </m:sub>
                      </m:sSub>
                      <m:d>
                        <m:dPr>
                          <m:begChr m:val="|"/>
                          <m:endChr m:val=""/>
                          <m:ctrlPr>
                            <w:rPr>
                              <w:rFonts w:ascii="Cambria Math" w:eastAsia="Aptos" w:hAnsi="Times New Roman" w:cs="Times New Roman"/>
                              <w:i/>
                              <w:kern w:val="0"/>
                              <w:sz w:val="28"/>
                              <w:szCs w:val="28"/>
                              <w14:ligatures w14:val="none"/>
                            </w:rPr>
                          </m:ctrlPr>
                        </m:dPr>
                        <m:e>
                          <m:r>
                            <w:rPr>
                              <w:rFonts w:ascii="Cambria Math" w:eastAsia="Aptos" w:hAnsi="Times New Roman" w:cs="Times New Roman"/>
                              <w:kern w:val="0"/>
                              <w:sz w:val="28"/>
                              <w:szCs w:val="28"/>
                              <w14:ligatures w14:val="none"/>
                            </w:rPr>
                            <m:t>T=</m:t>
                          </m:r>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1</m:t>
                              </m:r>
                            </m:e>
                            <m:sub>
                              <m:r>
                                <w:rPr>
                                  <w:rFonts w:ascii="Cambria Math" w:eastAsia="Aptos" w:hAnsi="Times New Roman" w:cs="Times New Roman"/>
                                  <w:kern w:val="0"/>
                                  <w:sz w:val="28"/>
                                  <w:szCs w:val="28"/>
                                  <w14:ligatures w14:val="none"/>
                                </w:rPr>
                                <m:t>i</m:t>
                              </m:r>
                            </m:sub>
                          </m:sSub>
                          <m:ctrlPr>
                            <w:rPr>
                              <w:rFonts w:ascii="Cambria Math" w:eastAsia="Aptos" w:hAnsi="Cambria Math" w:cs="Times New Roman"/>
                              <w:i/>
                              <w:kern w:val="0"/>
                              <w:sz w:val="28"/>
                              <w:szCs w:val="28"/>
                              <w14:ligatures w14:val="none"/>
                            </w:rPr>
                          </m:ctrlPr>
                        </m:e>
                      </m:d>
                      <m:ctrlPr>
                        <w:rPr>
                          <w:rFonts w:ascii="Cambria Math" w:eastAsia="Aptos" w:hAnsi="Cambria Math" w:cs="Times New Roman"/>
                          <w:i/>
                          <w:kern w:val="0"/>
                          <w:sz w:val="28"/>
                          <w:szCs w:val="28"/>
                          <w14:ligatures w14:val="none"/>
                        </w:rPr>
                      </m:ctrlPr>
                    </m:e>
                  </m:d>
                  <m:ctrlPr>
                    <w:rPr>
                      <w:rFonts w:ascii="Cambria Math" w:eastAsia="Aptos" w:hAnsi="Cambria Math" w:cs="Times New Roman"/>
                      <w:i/>
                      <w:kern w:val="0"/>
                      <w:sz w:val="28"/>
                      <w:szCs w:val="28"/>
                      <w14:ligatures w14:val="none"/>
                    </w:rPr>
                  </m:ctrlPr>
                </m:e>
              </m:groupChr>
            </m:e>
            <m:lim>
              <m:r>
                <w:rPr>
                  <w:rFonts w:ascii="Cambria Math" w:eastAsia="Aptos" w:hAnsi="Times New Roman" w:cs="Times New Roman"/>
                  <w:kern w:val="0"/>
                  <w:sz w:val="28"/>
                  <w:szCs w:val="28"/>
                  <w14:ligatures w14:val="none"/>
                </w:rPr>
                <m:t>ATT</m:t>
              </m:r>
            </m:lim>
          </m:limLow>
          <m:r>
            <w:rPr>
              <w:rFonts w:ascii="Cambria Math" w:eastAsia="Aptos" w:hAnsi="Times New Roman" w:cs="Times New Roman"/>
              <w:kern w:val="0"/>
              <w:sz w:val="28"/>
              <w:szCs w:val="28"/>
              <w14:ligatures w14:val="none"/>
            </w:rPr>
            <m:t>+</m:t>
          </m:r>
          <m:r>
            <m:rPr>
              <m:sty m:val="p"/>
            </m:rPr>
            <w:rPr>
              <w:rFonts w:ascii="Cambria Math" w:eastAsia="Aptos" w:hAnsi="Times New Roman" w:cs="Times New Roman"/>
              <w:kern w:val="0"/>
              <w:sz w:val="28"/>
              <w:szCs w:val="28"/>
              <w14:ligatures w14:val="none"/>
            </w:rPr>
            <w:br/>
          </m:r>
        </m:oMath>
      </m:oMathPara>
      <m:oMath>
        <m:limLow>
          <m:limLowPr>
            <m:ctrlPr>
              <w:rPr>
                <w:rFonts w:ascii="Cambria Math" w:eastAsia="Aptos" w:hAnsi="Times New Roman" w:cs="Times New Roman"/>
                <w:i/>
                <w:kern w:val="0"/>
                <w:sz w:val="28"/>
                <w:szCs w:val="28"/>
                <w14:ligatures w14:val="none"/>
              </w:rPr>
            </m:ctrlPr>
          </m:limLowPr>
          <m:e>
            <m:groupChr>
              <m:groupChrPr>
                <m:ctrlPr>
                  <w:rPr>
                    <w:rFonts w:ascii="Cambria Math" w:eastAsia="Aptos" w:hAnsi="Times New Roman" w:cs="Times New Roman"/>
                    <w:i/>
                    <w:kern w:val="0"/>
                    <w:sz w:val="28"/>
                    <w:szCs w:val="28"/>
                    <w14:ligatures w14:val="none"/>
                  </w:rPr>
                </m:ctrlPr>
              </m:groupChrPr>
              <m:e>
                <m:r>
                  <m:rPr>
                    <m:scr m:val="double-struck"/>
                  </m:rPr>
                  <w:rPr>
                    <w:rFonts w:ascii="Cambria Math" w:eastAsia="Aptos" w:hAnsi="Times New Roman" w:cs="Times New Roman"/>
                    <w:kern w:val="0"/>
                    <w:sz w:val="28"/>
                    <w:szCs w:val="28"/>
                    <w14:ligatures w14:val="none"/>
                  </w:rPr>
                  <m:t>E</m:t>
                </m:r>
                <m:d>
                  <m:dPr>
                    <m:ctrlPr>
                      <w:rPr>
                        <w:rFonts w:ascii="Cambria Math" w:eastAsia="Aptos" w:hAnsi="Times New Roman" w:cs="Times New Roman"/>
                        <w:i/>
                        <w:kern w:val="0"/>
                        <w:sz w:val="28"/>
                        <w:szCs w:val="28"/>
                        <w14:ligatures w14:val="none"/>
                      </w:rPr>
                    </m:ctrlPr>
                  </m:dPr>
                  <m:e>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0i</m:t>
                        </m:r>
                      </m:sub>
                    </m:sSub>
                    <m:d>
                      <m:dPr>
                        <m:begChr m:val="|"/>
                        <m:endChr m:val=""/>
                        <m:ctrlPr>
                          <w:rPr>
                            <w:rFonts w:ascii="Cambria Math" w:eastAsia="Aptos" w:hAnsi="Times New Roman" w:cs="Times New Roman"/>
                            <w:i/>
                            <w:kern w:val="0"/>
                            <w:sz w:val="28"/>
                            <w:szCs w:val="28"/>
                            <w14:ligatures w14:val="none"/>
                          </w:rPr>
                        </m:ctrlPr>
                      </m:dPr>
                      <m:e>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T</m:t>
                            </m:r>
                          </m:e>
                          <m:sub>
                            <m:r>
                              <w:rPr>
                                <w:rFonts w:ascii="Cambria Math" w:eastAsia="Aptos" w:hAnsi="Times New Roman" w:cs="Times New Roman"/>
                                <w:kern w:val="0"/>
                                <w:sz w:val="28"/>
                                <w:szCs w:val="28"/>
                                <w14:ligatures w14:val="none"/>
                              </w:rPr>
                              <m:t>i</m:t>
                            </m:r>
                          </m:sub>
                        </m:sSub>
                        <m:r>
                          <w:rPr>
                            <w:rFonts w:ascii="Cambria Math" w:eastAsia="Aptos" w:hAnsi="Times New Roman" w:cs="Times New Roman"/>
                            <w:kern w:val="0"/>
                            <w:sz w:val="28"/>
                            <w:szCs w:val="28"/>
                            <w14:ligatures w14:val="none"/>
                          </w:rPr>
                          <m:t>=1</m:t>
                        </m:r>
                      </m:e>
                    </m:d>
                    <m:ctrlPr>
                      <w:rPr>
                        <w:rFonts w:ascii="Cambria Math" w:eastAsia="Aptos" w:hAnsi="Cambria Math" w:cs="Times New Roman"/>
                        <w:i/>
                        <w:kern w:val="0"/>
                        <w:sz w:val="28"/>
                        <w:szCs w:val="28"/>
                        <w14:ligatures w14:val="none"/>
                      </w:rPr>
                    </m:ctrlPr>
                  </m:e>
                </m:d>
                <m:r>
                  <w:rPr>
                    <w:rFonts w:ascii="Cambria Math" w:eastAsia="Aptos" w:hAnsi="Times New Roman" w:cs="Times New Roman"/>
                    <w:kern w:val="0"/>
                    <w:sz w:val="28"/>
                    <w:szCs w:val="28"/>
                    <w14:ligatures w14:val="none"/>
                  </w:rPr>
                  <m:t>-</m:t>
                </m:r>
                <m:r>
                  <m:rPr>
                    <m:scr m:val="double-struck"/>
                  </m:rPr>
                  <w:rPr>
                    <w:rFonts w:ascii="Cambria Math" w:eastAsia="Aptos" w:hAnsi="Times New Roman" w:cs="Times New Roman"/>
                    <w:kern w:val="0"/>
                    <w:sz w:val="28"/>
                    <w:szCs w:val="28"/>
                    <w14:ligatures w14:val="none"/>
                  </w:rPr>
                  <m:t>E</m:t>
                </m:r>
                <m:d>
                  <m:dPr>
                    <m:ctrlPr>
                      <w:rPr>
                        <w:rFonts w:ascii="Cambria Math" w:eastAsia="Aptos" w:hAnsi="Times New Roman" w:cs="Times New Roman"/>
                        <w:i/>
                        <w:kern w:val="0"/>
                        <w:sz w:val="28"/>
                        <w:szCs w:val="28"/>
                        <w14:ligatures w14:val="none"/>
                      </w:rPr>
                    </m:ctrlPr>
                  </m:dPr>
                  <m:e>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Y</m:t>
                        </m:r>
                      </m:e>
                      <m:sub>
                        <m:r>
                          <w:rPr>
                            <w:rFonts w:ascii="Cambria Math" w:eastAsia="Aptos" w:hAnsi="Times New Roman" w:cs="Times New Roman"/>
                            <w:kern w:val="0"/>
                            <w:sz w:val="28"/>
                            <w:szCs w:val="28"/>
                            <w14:ligatures w14:val="none"/>
                          </w:rPr>
                          <m:t>0i</m:t>
                        </m:r>
                      </m:sub>
                    </m:sSub>
                    <m:d>
                      <m:dPr>
                        <m:begChr m:val="|"/>
                        <m:endChr m:val=""/>
                        <m:ctrlPr>
                          <w:rPr>
                            <w:rFonts w:ascii="Cambria Math" w:eastAsia="Aptos" w:hAnsi="Times New Roman" w:cs="Times New Roman"/>
                            <w:i/>
                            <w:kern w:val="0"/>
                            <w:sz w:val="28"/>
                            <w:szCs w:val="28"/>
                            <w14:ligatures w14:val="none"/>
                          </w:rPr>
                        </m:ctrlPr>
                      </m:dPr>
                      <m:e>
                        <m:sSub>
                          <m:sSubPr>
                            <m:ctrlPr>
                              <w:rPr>
                                <w:rFonts w:ascii="Cambria Math" w:eastAsia="Aptos" w:hAnsi="Times New Roman" w:cs="Times New Roman"/>
                                <w:i/>
                                <w:kern w:val="0"/>
                                <w:sz w:val="28"/>
                                <w:szCs w:val="28"/>
                                <w14:ligatures w14:val="none"/>
                              </w:rPr>
                            </m:ctrlPr>
                          </m:sSubPr>
                          <m:e>
                            <m:r>
                              <w:rPr>
                                <w:rFonts w:ascii="Cambria Math" w:eastAsia="Aptos" w:hAnsi="Times New Roman" w:cs="Times New Roman"/>
                                <w:kern w:val="0"/>
                                <w:sz w:val="28"/>
                                <w:szCs w:val="28"/>
                                <w14:ligatures w14:val="none"/>
                              </w:rPr>
                              <m:t>T</m:t>
                            </m:r>
                          </m:e>
                          <m:sub>
                            <m:r>
                              <w:rPr>
                                <w:rFonts w:ascii="Cambria Math" w:eastAsia="Aptos" w:hAnsi="Times New Roman" w:cs="Times New Roman"/>
                                <w:kern w:val="0"/>
                                <w:sz w:val="28"/>
                                <w:szCs w:val="28"/>
                                <w14:ligatures w14:val="none"/>
                              </w:rPr>
                              <m:t>i</m:t>
                            </m:r>
                          </m:sub>
                        </m:sSub>
                        <m:r>
                          <w:rPr>
                            <w:rFonts w:ascii="Cambria Math" w:eastAsia="Aptos" w:hAnsi="Times New Roman" w:cs="Times New Roman"/>
                            <w:kern w:val="0"/>
                            <w:sz w:val="28"/>
                            <w:szCs w:val="28"/>
                            <w14:ligatures w14:val="none"/>
                          </w:rPr>
                          <m:t>=0</m:t>
                        </m:r>
                      </m:e>
                    </m:d>
                    <m:ctrlPr>
                      <w:rPr>
                        <w:rFonts w:ascii="Cambria Math" w:eastAsia="Aptos" w:hAnsi="Cambria Math" w:cs="Times New Roman"/>
                        <w:i/>
                        <w:kern w:val="0"/>
                        <w:sz w:val="28"/>
                        <w:szCs w:val="28"/>
                        <w14:ligatures w14:val="none"/>
                      </w:rPr>
                    </m:ctrlPr>
                  </m:e>
                </m:d>
                <m:ctrlPr>
                  <w:rPr>
                    <w:rFonts w:ascii="Cambria Math" w:eastAsia="Aptos" w:hAnsi="Cambria Math" w:cs="Times New Roman"/>
                    <w:i/>
                    <w:kern w:val="0"/>
                    <w:sz w:val="28"/>
                    <w:szCs w:val="28"/>
                    <w14:ligatures w14:val="none"/>
                  </w:rPr>
                </m:ctrlPr>
              </m:e>
            </m:groupChr>
          </m:e>
          <m:lim>
            <m:r>
              <w:rPr>
                <w:rFonts w:ascii="Cambria Math" w:eastAsia="Aptos" w:hAnsi="Times New Roman" w:cs="Times New Roman"/>
                <w:kern w:val="0"/>
                <w:sz w:val="28"/>
                <w:szCs w:val="28"/>
                <w14:ligatures w14:val="none"/>
              </w:rPr>
              <m:t>obci</m:t>
            </m:r>
            <m:r>
              <w:rPr>
                <w:rFonts w:ascii="Cambria Math" w:eastAsia="Aptos" w:hAnsi="Times New Roman" w:cs="Times New Roman"/>
                <w:kern w:val="0"/>
                <w:sz w:val="28"/>
                <w:szCs w:val="28"/>
                <w14:ligatures w14:val="none"/>
              </w:rPr>
              <m:t>ąż</m:t>
            </m:r>
            <m:r>
              <w:rPr>
                <w:rFonts w:ascii="Cambria Math" w:eastAsia="Aptos" w:hAnsi="Times New Roman" w:cs="Times New Roman"/>
                <w:kern w:val="0"/>
                <w:sz w:val="28"/>
                <w:szCs w:val="28"/>
                <w14:ligatures w14:val="none"/>
              </w:rPr>
              <m:t>enie</m:t>
            </m:r>
          </m:lim>
        </m:limLow>
      </m:oMath>
      <w:r w:rsidR="001D0854" w:rsidRPr="001D0854">
        <w:rPr>
          <w:rFonts w:ascii="Times New Roman" w:eastAsia="Times New Roman" w:hAnsi="Times New Roman" w:cs="Times New Roman"/>
          <w:kern w:val="0"/>
          <w:sz w:val="28"/>
          <w:szCs w:val="28"/>
          <w14:ligatures w14:val="none"/>
        </w:rPr>
        <w:t>.</w:t>
      </w:r>
    </w:p>
    <w:p w14:paraId="1BF0D06E" w14:textId="77777777" w:rsidR="001D0854" w:rsidRPr="001D0854" w:rsidRDefault="001D0854" w:rsidP="001D0854">
      <w:pPr>
        <w:spacing w:line="259" w:lineRule="auto"/>
        <w:jc w:val="both"/>
        <w:rPr>
          <w:rFonts w:ascii="Times New Roman" w:eastAsia="Times New Roman" w:hAnsi="Times New Roman" w:cs="Times New Roman"/>
          <w:kern w:val="0"/>
          <w:sz w:val="28"/>
          <w:szCs w:val="28"/>
          <w14:ligatures w14:val="none"/>
        </w:rPr>
      </w:pPr>
      <w:r w:rsidRPr="001D0854">
        <w:rPr>
          <w:rFonts w:ascii="Times New Roman" w:eastAsia="Times New Roman" w:hAnsi="Times New Roman" w:cs="Times New Roman"/>
          <w:kern w:val="0"/>
          <w:sz w:val="28"/>
          <w:szCs w:val="28"/>
          <w14:ligatures w14:val="none"/>
        </w:rPr>
        <w:t>Wykorzystując model regresji liniowej, w którym efekt oddziaływania jest identyczny dla każdego obiektu, można dojść do formuły:</w:t>
      </w:r>
    </w:p>
    <w:p w14:paraId="0078CC07" w14:textId="77777777" w:rsidR="001D0854" w:rsidRPr="001D0854" w:rsidRDefault="001D0854" w:rsidP="001D0854">
      <w:pPr>
        <w:spacing w:line="259" w:lineRule="auto"/>
        <w:jc w:val="both"/>
        <w:rPr>
          <w:rFonts w:ascii="Times New Roman" w:eastAsia="Times New Roman" w:hAnsi="Times New Roman" w:cs="Times New Roman"/>
          <w:kern w:val="0"/>
          <w:sz w:val="28"/>
          <w:szCs w:val="28"/>
          <w14:ligatures w14:val="none"/>
        </w:rPr>
      </w:pPr>
    </w:p>
    <w:p w14:paraId="3537E7A2" w14:textId="77777777" w:rsidR="001D0854" w:rsidRPr="001D0854" w:rsidRDefault="001D0854" w:rsidP="001D0854">
      <w:pPr>
        <w:spacing w:line="259" w:lineRule="auto"/>
        <w:jc w:val="both"/>
        <w:rPr>
          <w:rFonts w:ascii="Times New Roman" w:eastAsia="Times New Roman" w:hAnsi="Times New Roman" w:cs="Times New Roman"/>
          <w:kern w:val="0"/>
          <w:sz w:val="28"/>
          <w:szCs w:val="28"/>
          <w14:ligatures w14:val="none"/>
        </w:rPr>
      </w:pPr>
      <m:oMathPara>
        <m:oMath>
          <m:r>
            <m:rPr>
              <m:scr m:val="double-struck"/>
            </m:rPr>
            <w:rPr>
              <w:rFonts w:ascii="Cambria Math" w:eastAsia="Aptos" w:hAnsi="Aptos" w:cs="Times New Roman"/>
              <w:kern w:val="0"/>
              <w:sz w:val="28"/>
              <w:szCs w:val="28"/>
              <w14:ligatures w14:val="none"/>
            </w:rPr>
            <m:t>E</m:t>
          </m:r>
          <m:d>
            <m:dPr>
              <m:ctrlPr>
                <w:rPr>
                  <w:rFonts w:ascii="Cambria Math" w:eastAsia="Aptos" w:hAnsi="Cambria Math" w:cs="Times New Roman"/>
                  <w:i/>
                  <w:kern w:val="0"/>
                  <w:sz w:val="28"/>
                  <w:szCs w:val="28"/>
                  <w14:ligatures w14:val="none"/>
                </w:rPr>
              </m:ctrlPr>
            </m:dPr>
            <m:e>
              <m:sSub>
                <m:sSubPr>
                  <m:ctrlPr>
                    <w:rPr>
                      <w:rFonts w:ascii="Cambria Math" w:eastAsia="Aptos" w:hAnsi="Cambria Math" w:cs="Times New Roman"/>
                      <w:i/>
                      <w:kern w:val="0"/>
                      <w:sz w:val="28"/>
                      <w:szCs w:val="28"/>
                      <w14:ligatures w14:val="none"/>
                    </w:rPr>
                  </m:ctrlPr>
                </m:sSubPr>
                <m:e>
                  <m:r>
                    <w:rPr>
                      <w:rFonts w:ascii="Cambria Math" w:eastAsia="Aptos" w:hAnsi="Aptos" w:cs="Times New Roman"/>
                      <w:kern w:val="0"/>
                      <w:sz w:val="28"/>
                      <w:szCs w:val="28"/>
                      <w14:ligatures w14:val="none"/>
                    </w:rPr>
                    <m:t>Y</m:t>
                  </m:r>
                </m:e>
                <m:sub>
                  <m:r>
                    <w:rPr>
                      <w:rFonts w:ascii="Cambria Math" w:eastAsia="Aptos" w:hAnsi="Aptos" w:cs="Times New Roman"/>
                      <w:kern w:val="0"/>
                      <w:sz w:val="28"/>
                      <w:szCs w:val="28"/>
                      <w14:ligatures w14:val="none"/>
                    </w:rPr>
                    <m:t>i</m:t>
                  </m:r>
                </m:sub>
              </m:sSub>
              <m:d>
                <m:dPr>
                  <m:begChr m:val="|"/>
                  <m:endChr m:val=""/>
                  <m:ctrlPr>
                    <w:rPr>
                      <w:rFonts w:ascii="Cambria Math" w:eastAsia="Aptos" w:hAnsi="Cambria Math" w:cs="Times New Roman"/>
                      <w:i/>
                      <w:kern w:val="0"/>
                      <w:sz w:val="28"/>
                      <w:szCs w:val="28"/>
                      <w14:ligatures w14:val="none"/>
                    </w:rPr>
                  </m:ctrlPr>
                </m:dPr>
                <m:e>
                  <m:sSub>
                    <m:sSubPr>
                      <m:ctrlPr>
                        <w:rPr>
                          <w:rFonts w:ascii="Cambria Math" w:eastAsia="Aptos" w:hAnsi="Cambria Math" w:cs="Times New Roman"/>
                          <w:i/>
                          <w:kern w:val="0"/>
                          <w:sz w:val="28"/>
                          <w:szCs w:val="28"/>
                          <w14:ligatures w14:val="none"/>
                        </w:rPr>
                      </m:ctrlPr>
                    </m:sSubPr>
                    <m:e>
                      <m:r>
                        <w:rPr>
                          <w:rFonts w:ascii="Cambria Math" w:eastAsia="Aptos" w:hAnsi="Aptos" w:cs="Times New Roman"/>
                          <w:kern w:val="0"/>
                          <w:sz w:val="28"/>
                          <w:szCs w:val="28"/>
                          <w14:ligatures w14:val="none"/>
                        </w:rPr>
                        <m:t>T</m:t>
                      </m:r>
                    </m:e>
                    <m:sub>
                      <m:r>
                        <w:rPr>
                          <w:rFonts w:ascii="Cambria Math" w:eastAsia="Aptos" w:hAnsi="Aptos" w:cs="Times New Roman"/>
                          <w:kern w:val="0"/>
                          <w:sz w:val="28"/>
                          <w:szCs w:val="28"/>
                          <w14:ligatures w14:val="none"/>
                        </w:rPr>
                        <m:t>i</m:t>
                      </m:r>
                    </m:sub>
                  </m:sSub>
                  <m:r>
                    <w:rPr>
                      <w:rFonts w:ascii="Cambria Math" w:eastAsia="Aptos" w:hAnsi="Aptos" w:cs="Times New Roman"/>
                      <w:kern w:val="0"/>
                      <w:sz w:val="28"/>
                      <w:szCs w:val="28"/>
                      <w14:ligatures w14:val="none"/>
                    </w:rPr>
                    <m:t>=1</m:t>
                  </m:r>
                </m:e>
              </m:d>
            </m:e>
          </m:d>
          <m:r>
            <w:rPr>
              <w:rFonts w:ascii="Cambria Math" w:eastAsia="Aptos" w:hAnsi="Aptos" w:cs="Times New Roman"/>
              <w:kern w:val="0"/>
              <w:sz w:val="28"/>
              <w:szCs w:val="28"/>
              <w14:ligatures w14:val="none"/>
            </w:rPr>
            <m:t>-</m:t>
          </m:r>
          <m:r>
            <m:rPr>
              <m:scr m:val="double-struck"/>
            </m:rPr>
            <w:rPr>
              <w:rFonts w:ascii="Cambria Math" w:eastAsia="Aptos" w:hAnsi="Aptos" w:cs="Times New Roman"/>
              <w:kern w:val="0"/>
              <w:sz w:val="28"/>
              <w:szCs w:val="28"/>
              <w14:ligatures w14:val="none"/>
            </w:rPr>
            <m:t>E</m:t>
          </m:r>
          <m:d>
            <m:dPr>
              <m:ctrlPr>
                <w:rPr>
                  <w:rFonts w:ascii="Cambria Math" w:eastAsia="Aptos" w:hAnsi="Cambria Math" w:cs="Times New Roman"/>
                  <w:i/>
                  <w:kern w:val="0"/>
                  <w:sz w:val="28"/>
                  <w:szCs w:val="28"/>
                  <w14:ligatures w14:val="none"/>
                </w:rPr>
              </m:ctrlPr>
            </m:dPr>
            <m:e>
              <m:sSub>
                <m:sSubPr>
                  <m:ctrlPr>
                    <w:rPr>
                      <w:rFonts w:ascii="Cambria Math" w:eastAsia="Aptos" w:hAnsi="Cambria Math" w:cs="Times New Roman"/>
                      <w:i/>
                      <w:kern w:val="0"/>
                      <w:sz w:val="28"/>
                      <w:szCs w:val="28"/>
                      <w14:ligatures w14:val="none"/>
                    </w:rPr>
                  </m:ctrlPr>
                </m:sSubPr>
                <m:e>
                  <m:r>
                    <w:rPr>
                      <w:rFonts w:ascii="Cambria Math" w:eastAsia="Aptos" w:hAnsi="Aptos" w:cs="Times New Roman"/>
                      <w:kern w:val="0"/>
                      <w:sz w:val="28"/>
                      <w:szCs w:val="28"/>
                      <w14:ligatures w14:val="none"/>
                    </w:rPr>
                    <m:t>Y</m:t>
                  </m:r>
                </m:e>
                <m:sub>
                  <m:r>
                    <w:rPr>
                      <w:rFonts w:ascii="Cambria Math" w:eastAsia="Aptos" w:hAnsi="Aptos" w:cs="Times New Roman"/>
                      <w:kern w:val="0"/>
                      <w:sz w:val="28"/>
                      <w:szCs w:val="28"/>
                      <w14:ligatures w14:val="none"/>
                    </w:rPr>
                    <m:t>i</m:t>
                  </m:r>
                </m:sub>
              </m:sSub>
              <m:d>
                <m:dPr>
                  <m:begChr m:val="|"/>
                  <m:endChr m:val=""/>
                  <m:ctrlPr>
                    <w:rPr>
                      <w:rFonts w:ascii="Cambria Math" w:eastAsia="Aptos" w:hAnsi="Cambria Math" w:cs="Times New Roman"/>
                      <w:i/>
                      <w:kern w:val="0"/>
                      <w:sz w:val="28"/>
                      <w:szCs w:val="28"/>
                      <w14:ligatures w14:val="none"/>
                    </w:rPr>
                  </m:ctrlPr>
                </m:dPr>
                <m:e>
                  <m:sSub>
                    <m:sSubPr>
                      <m:ctrlPr>
                        <w:rPr>
                          <w:rFonts w:ascii="Cambria Math" w:eastAsia="Aptos" w:hAnsi="Cambria Math" w:cs="Times New Roman"/>
                          <w:i/>
                          <w:kern w:val="0"/>
                          <w:sz w:val="28"/>
                          <w:szCs w:val="28"/>
                          <w14:ligatures w14:val="none"/>
                        </w:rPr>
                      </m:ctrlPr>
                    </m:sSubPr>
                    <m:e>
                      <m:r>
                        <w:rPr>
                          <w:rFonts w:ascii="Cambria Math" w:eastAsia="Aptos" w:hAnsi="Aptos" w:cs="Times New Roman"/>
                          <w:kern w:val="0"/>
                          <w:sz w:val="28"/>
                          <w:szCs w:val="28"/>
                          <w14:ligatures w14:val="none"/>
                        </w:rPr>
                        <m:t>T</m:t>
                      </m:r>
                    </m:e>
                    <m:sub>
                      <m:r>
                        <w:rPr>
                          <w:rFonts w:ascii="Cambria Math" w:eastAsia="Aptos" w:hAnsi="Aptos" w:cs="Times New Roman"/>
                          <w:kern w:val="0"/>
                          <w:sz w:val="28"/>
                          <w:szCs w:val="28"/>
                          <w14:ligatures w14:val="none"/>
                        </w:rPr>
                        <m:t>i</m:t>
                      </m:r>
                    </m:sub>
                  </m:sSub>
                  <m:r>
                    <w:rPr>
                      <w:rFonts w:ascii="Cambria Math" w:eastAsia="Aptos" w:hAnsi="Aptos" w:cs="Times New Roman"/>
                      <w:kern w:val="0"/>
                      <w:sz w:val="28"/>
                      <w:szCs w:val="28"/>
                      <w14:ligatures w14:val="none"/>
                    </w:rPr>
                    <m:t>=0</m:t>
                  </m:r>
                </m:e>
              </m:d>
            </m:e>
          </m:d>
          <m:r>
            <w:rPr>
              <w:rFonts w:ascii="Cambria Math" w:eastAsia="Aptos" w:hAnsi="Aptos" w:cs="Times New Roman"/>
              <w:kern w:val="0"/>
              <w:sz w:val="28"/>
              <w:szCs w:val="28"/>
              <w14:ligatures w14:val="none"/>
            </w:rPr>
            <m:t>=</m:t>
          </m:r>
          <m:limLow>
            <m:limLowPr>
              <m:ctrlPr>
                <w:rPr>
                  <w:rFonts w:ascii="Cambria Math" w:eastAsia="Aptos" w:hAnsi="Cambria Math" w:cs="Times New Roman"/>
                  <w:i/>
                  <w:kern w:val="0"/>
                  <w:sz w:val="28"/>
                  <w:szCs w:val="28"/>
                  <w14:ligatures w14:val="none"/>
                </w:rPr>
              </m:ctrlPr>
            </m:limLowPr>
            <m:e>
              <m:groupChr>
                <m:groupChrPr>
                  <m:ctrlPr>
                    <w:rPr>
                      <w:rFonts w:ascii="Cambria Math" w:eastAsia="Aptos" w:hAnsi="Cambria Math" w:cs="Times New Roman"/>
                      <w:i/>
                      <w:kern w:val="0"/>
                      <w:sz w:val="28"/>
                      <w:szCs w:val="28"/>
                      <w14:ligatures w14:val="none"/>
                    </w:rPr>
                  </m:ctrlPr>
                </m:groupChrPr>
                <m:e>
                  <m:r>
                    <w:rPr>
                      <w:rFonts w:ascii="Cambria Math" w:eastAsia="Aptos" w:hAnsi="Aptos" w:cs="Times New Roman"/>
                      <w:kern w:val="0"/>
                      <w:sz w:val="28"/>
                      <w:szCs w:val="28"/>
                      <w14:ligatures w14:val="none"/>
                    </w:rPr>
                    <m:t>ρ</m:t>
                  </m:r>
                </m:e>
              </m:groupChr>
            </m:e>
            <m:lim>
              <m:r>
                <w:rPr>
                  <w:rFonts w:ascii="Cambria Math" w:eastAsia="Aptos" w:hAnsi="Aptos" w:cs="Times New Roman"/>
                  <w:kern w:val="0"/>
                  <w:sz w:val="28"/>
                  <w:szCs w:val="28"/>
                  <w14:ligatures w14:val="none"/>
                </w:rPr>
                <m:t>ATT</m:t>
              </m:r>
            </m:lim>
          </m:limLow>
          <m:r>
            <w:rPr>
              <w:rFonts w:ascii="Cambria Math" w:eastAsia="Aptos" w:hAnsi="Aptos" w:cs="Times New Roman"/>
              <w:kern w:val="0"/>
              <w:sz w:val="28"/>
              <w:szCs w:val="28"/>
              <w14:ligatures w14:val="none"/>
            </w:rPr>
            <m:t>+</m:t>
          </m:r>
          <m:limLow>
            <m:limLowPr>
              <m:ctrlPr>
                <w:rPr>
                  <w:rFonts w:ascii="Cambria Math" w:eastAsia="Aptos" w:hAnsi="Cambria Math" w:cs="Times New Roman"/>
                  <w:i/>
                  <w:kern w:val="0"/>
                  <w:sz w:val="28"/>
                  <w:szCs w:val="28"/>
                  <w14:ligatures w14:val="none"/>
                </w:rPr>
              </m:ctrlPr>
            </m:limLowPr>
            <m:e>
              <m:groupChr>
                <m:groupChrPr>
                  <m:ctrlPr>
                    <w:rPr>
                      <w:rFonts w:ascii="Cambria Math" w:eastAsia="Aptos" w:hAnsi="Cambria Math" w:cs="Times New Roman"/>
                      <w:i/>
                      <w:kern w:val="0"/>
                      <w:sz w:val="28"/>
                      <w:szCs w:val="28"/>
                      <w14:ligatures w14:val="none"/>
                    </w:rPr>
                  </m:ctrlPr>
                </m:groupChrPr>
                <m:e>
                  <m:r>
                    <m:rPr>
                      <m:scr m:val="double-struck"/>
                    </m:rPr>
                    <w:rPr>
                      <w:rFonts w:ascii="Cambria Math" w:eastAsia="Aptos" w:hAnsi="Aptos" w:cs="Times New Roman"/>
                      <w:kern w:val="0"/>
                      <w:sz w:val="28"/>
                      <w:szCs w:val="28"/>
                      <w14:ligatures w14:val="none"/>
                    </w:rPr>
                    <m:t>E</m:t>
                  </m:r>
                  <m:d>
                    <m:dPr>
                      <m:ctrlPr>
                        <w:rPr>
                          <w:rFonts w:ascii="Cambria Math" w:eastAsia="Aptos" w:hAnsi="Cambria Math" w:cs="Times New Roman"/>
                          <w:i/>
                          <w:kern w:val="0"/>
                          <w:sz w:val="28"/>
                          <w:szCs w:val="28"/>
                          <w14:ligatures w14:val="none"/>
                        </w:rPr>
                      </m:ctrlPr>
                    </m:dPr>
                    <m:e>
                      <m:sSub>
                        <m:sSubPr>
                          <m:ctrlPr>
                            <w:rPr>
                              <w:rFonts w:ascii="Cambria Math" w:eastAsia="Aptos" w:hAnsi="Cambria Math" w:cs="Times New Roman"/>
                              <w:i/>
                              <w:kern w:val="0"/>
                              <w:sz w:val="28"/>
                              <w:szCs w:val="28"/>
                              <w14:ligatures w14:val="none"/>
                            </w:rPr>
                          </m:ctrlPr>
                        </m:sSubPr>
                        <m:e>
                          <m:r>
                            <w:rPr>
                              <w:rFonts w:ascii="Cambria Math" w:eastAsia="Aptos" w:hAnsi="Aptos" w:cs="Times New Roman"/>
                              <w:kern w:val="0"/>
                              <w:sz w:val="28"/>
                              <w:szCs w:val="28"/>
                              <w14:ligatures w14:val="none"/>
                            </w:rPr>
                            <m:t>ε</m:t>
                          </m:r>
                        </m:e>
                        <m:sub>
                          <m:r>
                            <w:rPr>
                              <w:rFonts w:ascii="Cambria Math" w:eastAsia="Aptos" w:hAnsi="Aptos" w:cs="Times New Roman"/>
                              <w:kern w:val="0"/>
                              <w:sz w:val="28"/>
                              <w:szCs w:val="28"/>
                              <w14:ligatures w14:val="none"/>
                            </w:rPr>
                            <m:t>i</m:t>
                          </m:r>
                        </m:sub>
                      </m:sSub>
                      <m:d>
                        <m:dPr>
                          <m:begChr m:val="|"/>
                          <m:endChr m:val=""/>
                          <m:ctrlPr>
                            <w:rPr>
                              <w:rFonts w:ascii="Cambria Math" w:eastAsia="Aptos" w:hAnsi="Cambria Math" w:cs="Times New Roman"/>
                              <w:i/>
                              <w:kern w:val="0"/>
                              <w:sz w:val="28"/>
                              <w:szCs w:val="28"/>
                              <w14:ligatures w14:val="none"/>
                            </w:rPr>
                          </m:ctrlPr>
                        </m:dPr>
                        <m:e>
                          <m:sSub>
                            <m:sSubPr>
                              <m:ctrlPr>
                                <w:rPr>
                                  <w:rFonts w:ascii="Cambria Math" w:eastAsia="Aptos" w:hAnsi="Cambria Math" w:cs="Times New Roman"/>
                                  <w:i/>
                                  <w:kern w:val="0"/>
                                  <w:sz w:val="28"/>
                                  <w:szCs w:val="28"/>
                                  <w14:ligatures w14:val="none"/>
                                </w:rPr>
                              </m:ctrlPr>
                            </m:sSubPr>
                            <m:e>
                              <m:r>
                                <w:rPr>
                                  <w:rFonts w:ascii="Cambria Math" w:eastAsia="Aptos" w:hAnsi="Aptos" w:cs="Times New Roman"/>
                                  <w:kern w:val="0"/>
                                  <w:sz w:val="28"/>
                                  <w:szCs w:val="28"/>
                                  <w14:ligatures w14:val="none"/>
                                </w:rPr>
                                <m:t>T</m:t>
                              </m:r>
                            </m:e>
                            <m:sub>
                              <m:r>
                                <w:rPr>
                                  <w:rFonts w:ascii="Cambria Math" w:eastAsia="Aptos" w:hAnsi="Aptos" w:cs="Times New Roman"/>
                                  <w:kern w:val="0"/>
                                  <w:sz w:val="28"/>
                                  <w:szCs w:val="28"/>
                                  <w14:ligatures w14:val="none"/>
                                </w:rPr>
                                <m:t>i</m:t>
                              </m:r>
                            </m:sub>
                          </m:sSub>
                          <m:r>
                            <w:rPr>
                              <w:rFonts w:ascii="Cambria Math" w:eastAsia="Aptos" w:hAnsi="Aptos" w:cs="Times New Roman"/>
                              <w:kern w:val="0"/>
                              <w:sz w:val="28"/>
                              <w:szCs w:val="28"/>
                              <w14:ligatures w14:val="none"/>
                            </w:rPr>
                            <m:t>=1</m:t>
                          </m:r>
                        </m:e>
                      </m:d>
                    </m:e>
                  </m:d>
                  <m:r>
                    <w:rPr>
                      <w:rFonts w:ascii="Cambria Math" w:eastAsia="Aptos" w:hAnsi="Aptos" w:cs="Times New Roman"/>
                      <w:kern w:val="0"/>
                      <w:sz w:val="28"/>
                      <w:szCs w:val="28"/>
                      <w14:ligatures w14:val="none"/>
                    </w:rPr>
                    <m:t>-</m:t>
                  </m:r>
                  <m:r>
                    <m:rPr>
                      <m:scr m:val="double-struck"/>
                    </m:rPr>
                    <w:rPr>
                      <w:rFonts w:ascii="Cambria Math" w:eastAsia="Aptos" w:hAnsi="Aptos" w:cs="Times New Roman"/>
                      <w:kern w:val="0"/>
                      <w:sz w:val="28"/>
                      <w:szCs w:val="28"/>
                      <w14:ligatures w14:val="none"/>
                    </w:rPr>
                    <m:t>E</m:t>
                  </m:r>
                  <m:d>
                    <m:dPr>
                      <m:ctrlPr>
                        <w:rPr>
                          <w:rFonts w:ascii="Cambria Math" w:eastAsia="Aptos" w:hAnsi="Cambria Math" w:cs="Times New Roman"/>
                          <w:i/>
                          <w:kern w:val="0"/>
                          <w:sz w:val="28"/>
                          <w:szCs w:val="28"/>
                          <w14:ligatures w14:val="none"/>
                        </w:rPr>
                      </m:ctrlPr>
                    </m:dPr>
                    <m:e>
                      <m:sSub>
                        <m:sSubPr>
                          <m:ctrlPr>
                            <w:rPr>
                              <w:rFonts w:ascii="Cambria Math" w:eastAsia="Aptos" w:hAnsi="Cambria Math" w:cs="Times New Roman"/>
                              <w:i/>
                              <w:kern w:val="0"/>
                              <w:sz w:val="28"/>
                              <w:szCs w:val="28"/>
                              <w14:ligatures w14:val="none"/>
                            </w:rPr>
                          </m:ctrlPr>
                        </m:sSubPr>
                        <m:e>
                          <m:r>
                            <w:rPr>
                              <w:rFonts w:ascii="Cambria Math" w:eastAsia="Aptos" w:hAnsi="Aptos" w:cs="Times New Roman"/>
                              <w:kern w:val="0"/>
                              <w:sz w:val="28"/>
                              <w:szCs w:val="28"/>
                              <w14:ligatures w14:val="none"/>
                            </w:rPr>
                            <m:t>ε</m:t>
                          </m:r>
                        </m:e>
                        <m:sub>
                          <m:r>
                            <w:rPr>
                              <w:rFonts w:ascii="Cambria Math" w:eastAsia="Aptos" w:hAnsi="Aptos" w:cs="Times New Roman"/>
                              <w:kern w:val="0"/>
                              <w:sz w:val="28"/>
                              <w:szCs w:val="28"/>
                              <w14:ligatures w14:val="none"/>
                            </w:rPr>
                            <m:t>i</m:t>
                          </m:r>
                        </m:sub>
                      </m:sSub>
                      <m:d>
                        <m:dPr>
                          <m:begChr m:val="|"/>
                          <m:endChr m:val=""/>
                          <m:ctrlPr>
                            <w:rPr>
                              <w:rFonts w:ascii="Cambria Math" w:eastAsia="Aptos" w:hAnsi="Cambria Math" w:cs="Times New Roman"/>
                              <w:i/>
                              <w:kern w:val="0"/>
                              <w:sz w:val="28"/>
                              <w:szCs w:val="28"/>
                              <w14:ligatures w14:val="none"/>
                            </w:rPr>
                          </m:ctrlPr>
                        </m:dPr>
                        <m:e>
                          <m:sSub>
                            <m:sSubPr>
                              <m:ctrlPr>
                                <w:rPr>
                                  <w:rFonts w:ascii="Cambria Math" w:eastAsia="Aptos" w:hAnsi="Cambria Math" w:cs="Times New Roman"/>
                                  <w:i/>
                                  <w:kern w:val="0"/>
                                  <w:sz w:val="28"/>
                                  <w:szCs w:val="28"/>
                                  <w14:ligatures w14:val="none"/>
                                </w:rPr>
                              </m:ctrlPr>
                            </m:sSubPr>
                            <m:e>
                              <m:r>
                                <w:rPr>
                                  <w:rFonts w:ascii="Cambria Math" w:eastAsia="Aptos" w:hAnsi="Aptos" w:cs="Times New Roman"/>
                                  <w:kern w:val="0"/>
                                  <w:sz w:val="28"/>
                                  <w:szCs w:val="28"/>
                                  <w14:ligatures w14:val="none"/>
                                </w:rPr>
                                <m:t>T</m:t>
                              </m:r>
                            </m:e>
                            <m:sub>
                              <m:r>
                                <w:rPr>
                                  <w:rFonts w:ascii="Cambria Math" w:eastAsia="Aptos" w:hAnsi="Aptos" w:cs="Times New Roman"/>
                                  <w:kern w:val="0"/>
                                  <w:sz w:val="28"/>
                                  <w:szCs w:val="28"/>
                                  <w14:ligatures w14:val="none"/>
                                </w:rPr>
                                <m:t>i</m:t>
                              </m:r>
                            </m:sub>
                          </m:sSub>
                          <m:r>
                            <w:rPr>
                              <w:rFonts w:ascii="Cambria Math" w:eastAsia="Aptos" w:hAnsi="Aptos" w:cs="Times New Roman"/>
                              <w:kern w:val="0"/>
                              <w:sz w:val="28"/>
                              <w:szCs w:val="28"/>
                              <w14:ligatures w14:val="none"/>
                            </w:rPr>
                            <m:t>=0</m:t>
                          </m:r>
                        </m:e>
                      </m:d>
                    </m:e>
                  </m:d>
                </m:e>
              </m:groupChr>
              <m:ctrlPr>
                <w:rPr>
                  <w:rFonts w:ascii="Cambria Math" w:eastAsia="Aptos" w:hAnsi="Cambria Math" w:cs="Times New Roman"/>
                  <w:kern w:val="0"/>
                  <w:sz w:val="28"/>
                  <w:szCs w:val="28"/>
                  <w14:ligatures w14:val="none"/>
                </w:rPr>
              </m:ctrlPr>
            </m:e>
            <m:lim>
              <m:r>
                <m:rPr>
                  <m:nor/>
                </m:rPr>
                <w:rPr>
                  <w:rFonts w:ascii="Cambria Math" w:eastAsia="Aptos" w:hAnsi="Aptos" w:cs="Times New Roman"/>
                  <w:kern w:val="0"/>
                  <w:sz w:val="28"/>
                  <w:szCs w:val="28"/>
                  <w14:ligatures w14:val="none"/>
                </w:rPr>
                <m:t>obci</m:t>
              </m:r>
              <m:r>
                <m:rPr>
                  <m:nor/>
                </m:rPr>
                <w:rPr>
                  <w:rFonts w:ascii="Cambria Math" w:eastAsia="Aptos" w:hAnsi="Aptos" w:cs="Times New Roman"/>
                  <w:kern w:val="0"/>
                  <w:sz w:val="28"/>
                  <w:szCs w:val="28"/>
                  <w14:ligatures w14:val="none"/>
                </w:rPr>
                <m:t>ąż</m:t>
              </m:r>
              <m:r>
                <m:rPr>
                  <m:nor/>
                </m:rPr>
                <w:rPr>
                  <w:rFonts w:ascii="Cambria Math" w:eastAsia="Aptos" w:hAnsi="Aptos" w:cs="Times New Roman"/>
                  <w:kern w:val="0"/>
                  <w:sz w:val="28"/>
                  <w:szCs w:val="28"/>
                  <w14:ligatures w14:val="none"/>
                </w:rPr>
                <m:t>enie</m:t>
              </m:r>
              <m:ctrlPr>
                <w:rPr>
                  <w:rFonts w:ascii="Cambria Math" w:eastAsia="Aptos" w:hAnsi="Cambria Math" w:cs="Times New Roman"/>
                  <w:kern w:val="0"/>
                  <w:sz w:val="28"/>
                  <w:szCs w:val="28"/>
                  <w14:ligatures w14:val="none"/>
                </w:rPr>
              </m:ctrlPr>
            </m:lim>
          </m:limLow>
        </m:oMath>
      </m:oMathPara>
    </w:p>
    <w:p w14:paraId="3CBE0972" w14:textId="77777777" w:rsidR="001D0854" w:rsidRPr="001D0854" w:rsidRDefault="001D0854" w:rsidP="001D0854">
      <w:pPr>
        <w:spacing w:line="259" w:lineRule="auto"/>
        <w:jc w:val="both"/>
        <w:rPr>
          <w:rFonts w:ascii="Times New Roman" w:eastAsia="Times New Roman" w:hAnsi="Times New Roman" w:cs="Times New Roman"/>
          <w:kern w:val="0"/>
          <w:sz w:val="28"/>
          <w:szCs w:val="28"/>
          <w14:ligatures w14:val="none"/>
        </w:rPr>
      </w:pPr>
      <w:r w:rsidRPr="001D0854">
        <w:rPr>
          <w:rFonts w:ascii="Times New Roman" w:eastAsia="Times New Roman" w:hAnsi="Times New Roman" w:cs="Times New Roman"/>
          <w:kern w:val="0"/>
          <w:sz w:val="28"/>
          <w:szCs w:val="28"/>
          <w14:ligatures w14:val="none"/>
        </w:rPr>
        <w:t xml:space="preserve">Obciążenie związane z selekcją   jest rezultatem korelacji miedzy błędem losowym </w:t>
      </w:r>
      <m:oMath>
        <m:sSub>
          <m:sSubPr>
            <m:ctrlPr>
              <w:rPr>
                <w:rFonts w:ascii="Cambria Math" w:eastAsia="Times New Roman" w:hAnsi="Times New Roman" w:cs="Times New Roman"/>
                <w:kern w:val="0"/>
                <w:sz w:val="28"/>
                <w:szCs w:val="28"/>
                <w14:ligatures w14:val="none"/>
              </w:rPr>
            </m:ctrlPr>
          </m:sSubPr>
          <m:e>
            <m:r>
              <w:rPr>
                <w:rFonts w:ascii="Cambria Math" w:eastAsia="Times New Roman" w:hAnsi="Times New Roman" w:cs="Times New Roman"/>
                <w:kern w:val="0"/>
                <w:sz w:val="28"/>
                <w:szCs w:val="28"/>
                <w14:ligatures w14:val="none"/>
              </w:rPr>
              <m:t>ε</m:t>
            </m:r>
          </m:e>
          <m:sub>
            <m:r>
              <w:rPr>
                <w:rFonts w:ascii="Cambria Math" w:eastAsia="Times New Roman" w:hAnsi="Times New Roman" w:cs="Times New Roman"/>
                <w:kern w:val="0"/>
                <w:sz w:val="28"/>
                <w:szCs w:val="28"/>
                <w14:ligatures w14:val="none"/>
              </w:rPr>
              <m:t>i</m:t>
            </m:r>
          </m:sub>
        </m:sSub>
        <m:r>
          <m:rPr>
            <m:sty m:val="p"/>
          </m:rPr>
          <w:rPr>
            <w:rFonts w:ascii="Cambria Math" w:eastAsia="Times New Roman" w:hAnsi="Times New Roman" w:cs="Times New Roman"/>
            <w:kern w:val="0"/>
            <w:sz w:val="28"/>
            <w:szCs w:val="28"/>
            <w14:ligatures w14:val="none"/>
          </w:rPr>
          <m:t xml:space="preserve"> </m:t>
        </m:r>
      </m:oMath>
      <w:r w:rsidRPr="001D0854">
        <w:rPr>
          <w:rFonts w:ascii="Times New Roman" w:eastAsia="Times New Roman" w:hAnsi="Times New Roman" w:cs="Times New Roman"/>
          <w:kern w:val="0"/>
          <w:sz w:val="28"/>
          <w:szCs w:val="28"/>
          <w14:ligatures w14:val="none"/>
        </w:rPr>
        <w:t xml:space="preserve"> i oddziaływaniem  </w:t>
      </w:r>
      <m:oMath>
        <m:sSub>
          <m:sSubPr>
            <m:ctrlPr>
              <w:rPr>
                <w:rFonts w:ascii="Cambria Math" w:eastAsia="Times New Roman" w:hAnsi="Times New Roman" w:cs="Times New Roman"/>
                <w:kern w:val="0"/>
                <w:sz w:val="28"/>
                <w:szCs w:val="28"/>
                <w14:ligatures w14:val="none"/>
              </w:rPr>
            </m:ctrlPr>
          </m:sSubPr>
          <m:e>
            <m:r>
              <w:rPr>
                <w:rFonts w:ascii="Cambria Math" w:eastAsia="Times New Roman" w:hAnsi="Times New Roman" w:cs="Times New Roman"/>
                <w:kern w:val="0"/>
                <w:sz w:val="28"/>
                <w:szCs w:val="28"/>
                <w14:ligatures w14:val="none"/>
              </w:rPr>
              <m:t>T</m:t>
            </m:r>
          </m:e>
          <m:sub>
            <m:r>
              <w:rPr>
                <w:rFonts w:ascii="Cambria Math" w:eastAsia="Times New Roman" w:hAnsi="Times New Roman" w:cs="Times New Roman"/>
                <w:kern w:val="0"/>
                <w:sz w:val="28"/>
                <w:szCs w:val="28"/>
                <w14:ligatures w14:val="none"/>
              </w:rPr>
              <m:t>i</m:t>
            </m:r>
          </m:sub>
        </m:sSub>
      </m:oMath>
      <w:r w:rsidRPr="001D0854">
        <w:rPr>
          <w:rFonts w:ascii="Times New Roman" w:eastAsia="Times New Roman" w:hAnsi="Times New Roman" w:cs="Times New Roman"/>
          <w:kern w:val="0"/>
          <w:sz w:val="28"/>
          <w:szCs w:val="28"/>
          <w14:ligatures w14:val="none"/>
        </w:rPr>
        <w:t xml:space="preserve">. Co więcej, korelacja miedzy ww. błędem losowym  </w:t>
      </w:r>
      <w:r w:rsidRPr="001D0854">
        <w:rPr>
          <w:rFonts w:ascii="Times New Roman" w:eastAsia="Times New Roman" w:hAnsi="Times New Roman" w:cs="Times New Roman"/>
          <w:kern w:val="0"/>
          <w:sz w:val="28"/>
          <w:szCs w:val="28"/>
          <w14:ligatures w14:val="none"/>
        </w:rPr>
        <w:lastRenderedPageBreak/>
        <w:t>i oddziaływaniem odzwierciedla różnice miedzy obiektami z grupy eksperymentalnej i kontrolnej.</w:t>
      </w:r>
    </w:p>
    <w:p w14:paraId="617D265A"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Zakładając, że na podstawie tego samego zbioru danych szacowany jest model regresji liniowej z wykorzystaniem OLS (ang. ordinary least squares, pol. klasycznej metody najmniejszych kwadratów, KMNK)  oraz PSM, zazwyczaj występują różnice w oszacowaniach punktowych efektu między modelami (nie są jednak istotne statystycznie). Wynika to z tego, że regresja też jest sposobem łączenia danych, natomiast w PSM zmienna wynikowa ważona jest rozkładem cech jednostek z grupy eksperymetnalnej (Strawiński, 2024). </w:t>
      </w:r>
    </w:p>
    <w:p w14:paraId="19353B3E" w14:textId="77777777" w:rsidR="001D0854" w:rsidRPr="001D0854" w:rsidRDefault="001D0854" w:rsidP="001D0854">
      <w:pPr>
        <w:spacing w:line="259" w:lineRule="auto"/>
        <w:jc w:val="both"/>
        <w:rPr>
          <w:rFonts w:ascii="Times New Roman" w:eastAsia="Aptos" w:hAnsi="Times New Roman" w:cs="Times New Roman"/>
          <w:b/>
          <w:bCs/>
          <w:sz w:val="28"/>
          <w:szCs w:val="28"/>
        </w:rPr>
      </w:pPr>
    </w:p>
    <w:p w14:paraId="2A2E6642" w14:textId="6D64178B" w:rsidR="001D0854" w:rsidRPr="001D0854" w:rsidRDefault="00E2771F" w:rsidP="00E2771F">
      <w:pPr>
        <w:spacing w:line="259" w:lineRule="auto"/>
        <w:jc w:val="both"/>
        <w:rPr>
          <w:rFonts w:ascii="Times New Roman" w:eastAsia="Aptos" w:hAnsi="Times New Roman" w:cs="Times New Roman"/>
          <w:b/>
          <w:bCs/>
          <w:sz w:val="28"/>
          <w:szCs w:val="28"/>
        </w:rPr>
      </w:pPr>
      <w:r>
        <w:rPr>
          <w:rFonts w:ascii="Times New Roman" w:eastAsia="Aptos" w:hAnsi="Times New Roman" w:cs="Times New Roman"/>
          <w:b/>
          <w:bCs/>
          <w:sz w:val="28"/>
          <w:szCs w:val="28"/>
        </w:rPr>
        <w:t xml:space="preserve">5.3. </w:t>
      </w:r>
      <w:r w:rsidR="001D0854" w:rsidRPr="001D0854">
        <w:rPr>
          <w:rFonts w:ascii="Times New Roman" w:eastAsia="Aptos" w:hAnsi="Times New Roman" w:cs="Times New Roman"/>
          <w:b/>
          <w:bCs/>
          <w:sz w:val="28"/>
          <w:szCs w:val="28"/>
        </w:rPr>
        <w:t>Istota i używane procedury, mocne i słabe strony</w:t>
      </w:r>
    </w:p>
    <w:p w14:paraId="5115B64F"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Ł. Deryło (2024)  przedstawił istotę PSM, odwołując się do problemów aplikacyjnych stosowanych chociażby w doświadczalnictwie biologicznym czy medycznym (Stuart, 2008; Austin, 2009; Belitser i in., 2011; Thoemmes i Kim, 2011; Zakrison, Austin i McCredie, 2018).  Według autorów niniejszej ekspertyzy, procedurę PSM można zdekomponować w następujący sposób  (Deryło, 2004):</w:t>
      </w:r>
    </w:p>
    <w:p w14:paraId="48FFE7B7" w14:textId="77777777" w:rsidR="001D0854" w:rsidRPr="001D0854" w:rsidRDefault="001D0854" w:rsidP="001D0854">
      <w:pPr>
        <w:numPr>
          <w:ilvl w:val="0"/>
          <w:numId w:val="48"/>
        </w:numPr>
        <w:spacing w:line="259" w:lineRule="auto"/>
        <w:contextualSpacing/>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Wybór grupy kontrolnej do eksperymentu.</w:t>
      </w:r>
    </w:p>
    <w:p w14:paraId="1C692A5B" w14:textId="77777777" w:rsidR="001D0854" w:rsidRPr="001D0854" w:rsidRDefault="001D0854" w:rsidP="001D0854">
      <w:pPr>
        <w:numPr>
          <w:ilvl w:val="0"/>
          <w:numId w:val="48"/>
        </w:numPr>
        <w:spacing w:line="259" w:lineRule="auto"/>
        <w:contextualSpacing/>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Określenie propensity score (PS).</w:t>
      </w:r>
    </w:p>
    <w:p w14:paraId="098A947E" w14:textId="77777777" w:rsidR="001D0854" w:rsidRPr="001D0854" w:rsidRDefault="001D0854" w:rsidP="001D0854">
      <w:pPr>
        <w:numPr>
          <w:ilvl w:val="0"/>
          <w:numId w:val="48"/>
        </w:numPr>
        <w:spacing w:line="259" w:lineRule="auto"/>
        <w:contextualSpacing/>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Dobór obiektów do grupy kontrolnej.</w:t>
      </w:r>
    </w:p>
    <w:p w14:paraId="246F586D" w14:textId="77777777" w:rsidR="001D0854" w:rsidRPr="001D0854" w:rsidRDefault="001D0854" w:rsidP="001D0854">
      <w:pPr>
        <w:numPr>
          <w:ilvl w:val="0"/>
          <w:numId w:val="48"/>
        </w:numPr>
        <w:spacing w:line="259" w:lineRule="auto"/>
        <w:contextualSpacing/>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Ocena podobieństwa grupy.</w:t>
      </w:r>
    </w:p>
    <w:p w14:paraId="5EA01F58"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u w:val="single"/>
        </w:rPr>
        <w:t>Ad. 1.</w:t>
      </w:r>
      <w:r w:rsidRPr="001D0854">
        <w:rPr>
          <w:rFonts w:ascii="Times New Roman" w:eastAsia="Aptos" w:hAnsi="Times New Roman" w:cs="Times New Roman"/>
          <w:sz w:val="28"/>
          <w:szCs w:val="28"/>
        </w:rPr>
        <w:t xml:space="preserve"> Załóżmy, że planujemy eksperyment porównujący dwie grupy, gdzie  dobór obiektów do jednej grupy jest relatywnie łatwy, a do drugiej zdecydowanie trudniejszy. Przykładem takich badań jest porównanie zadowolenia klientów, którzy wybrali niestandardową ofertę, z tymi, którzy wybrali ofertę standardową. Do grupy badanej „rekrutujemy” wszystkich spełniających kryteria, natomiast w łatwiejszej grupie, zwanej grupą kontrolną, mamy wielu „kandydatów”. Zadanie polega na wybraniu grupy kontrolnej, która będzie możliwie „podobna” do grupy badanej.  „Podobna” oznacza podobieństwo pod względem określonych cech, takich jak cechy demograficzne (wiek, płeć) oraz inne cechy wpływające na badane zjawisko społeczno-gospodarcze (np. stopień subsydiowania). Cechy te nazywamy kontrolowanymi, ponieważ staramy się kontrolować ich rozkład w grupach.</w:t>
      </w:r>
    </w:p>
    <w:p w14:paraId="3FDF5354"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u w:val="single"/>
        </w:rPr>
        <w:t>Ad. 2.</w:t>
      </w:r>
      <w:r w:rsidRPr="001D0854">
        <w:rPr>
          <w:rFonts w:ascii="Times New Roman" w:eastAsia="Aptos" w:hAnsi="Times New Roman" w:cs="Times New Roman"/>
          <w:sz w:val="28"/>
          <w:szCs w:val="28"/>
        </w:rPr>
        <w:t xml:space="preserve"> Dla każdej obserwacji, zarówno z grupy badanej, jak i  potencjalnych do grupy kontrolnej, określany jest propensity score (PS), tzn.  prawdopodobieństwo przynależności do grupy badanej, szacowane w regresji logistycznej, gdzie przynależność do grupy jest zmienną zależną, a cechy kontrolowane są zmiennymi niezależnymi. Obserwacja  może przynależeć do grupy kontrolnej, gdy jest </w:t>
      </w:r>
      <w:r w:rsidRPr="001D0854">
        <w:rPr>
          <w:rFonts w:ascii="Times New Roman" w:eastAsia="Aptos" w:hAnsi="Times New Roman" w:cs="Times New Roman"/>
          <w:sz w:val="28"/>
          <w:szCs w:val="28"/>
        </w:rPr>
        <w:lastRenderedPageBreak/>
        <w:t>podobna do obserwacji z grupy badanej, co oznacza wysokie prawdopodobieństwo przynależności do grupy badanej.</w:t>
      </w:r>
    </w:p>
    <w:p w14:paraId="758C879E"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u w:val="single"/>
        </w:rPr>
        <w:t>Ad. 3.</w:t>
      </w:r>
      <w:r w:rsidRPr="001D0854">
        <w:rPr>
          <w:rFonts w:ascii="Times New Roman" w:eastAsia="Aptos" w:hAnsi="Times New Roman" w:cs="Times New Roman"/>
          <w:sz w:val="28"/>
          <w:szCs w:val="28"/>
        </w:rPr>
        <w:t xml:space="preserve"> Następnie obserwacje z grupy badanej wybierają po jednej obserwacji „kandydatki” do grupy kontrolnej, tak aby różnica w  PS była jak najmniejsza. Proces zaczyna się od obserwacji z najwyższym PS, ponieważ najtrudniej jest znaleźć dla niej odpowiednią parę. Kolejne obserwacje są dobierane w ten sam sposób, aż do obserwacji z najniższym PS. Każda „kandydatka” do grupy kontrolnej może być wybrana tylko raz.  Wybrana w ten sposób grupa kontrolna ma tę samą liczebność co grupa badana i wykazuje szereg pożądanych cech.</w:t>
      </w:r>
    </w:p>
    <w:p w14:paraId="2B3BAAE4" w14:textId="77777777" w:rsidR="001D0854" w:rsidRPr="001D0854" w:rsidRDefault="001D0854" w:rsidP="001D0854">
      <w:pPr>
        <w:spacing w:line="259" w:lineRule="auto"/>
        <w:ind w:firstLine="426"/>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Algorytm przypisujący obserwacjom z grupy badanej „kandydatki” do grupy kontrolnej można wzbogacić o dodatkowe restrykcje. Podstawowa restrykcja dotyczy zgodności pewnych zmiennych, np. rozkładu płci. W razie nieznalezienia idealnej pary obserwacje z grupy badanej są usuwane. Jeśli chcemy wymusić zgodność dla więcej niż jednej zmiennej (np. płci, wykształcenia i miejsca zamieszkania), musimy poszukiwać par zgadzających się jednocześnie co do wszystkich tych zmiennych. Idealna zgodność jest trudna do osiągnięcia dla cech ilościowych, takich jak wiek czy poziom cholesterolu. Można zażądać, aby połączone w parę obserwacje nie różniły się na danej cesze o więcej niż zadany próg tolerancji (np. nie różniły się o więcej niż 10 lat). Zbyt wiele restrykcji może spowodować usunięcie znaczącej liczby obserwacji z grupy badanej.</w:t>
      </w:r>
    </w:p>
    <w:p w14:paraId="2B17B549" w14:textId="77777777" w:rsidR="001D0854" w:rsidRPr="001D0854" w:rsidRDefault="001D0854" w:rsidP="001D0854">
      <w:pPr>
        <w:spacing w:line="259" w:lineRule="auto"/>
        <w:ind w:firstLine="426"/>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Stosunek wielkości grup nie musi wynosić 1:1. Jeśli mamy odpowiednią liczbę kandydatów do grupy kontrolnej, może być ona dwukrotnie, trzykrotnie lub więcej razy większa od grupy badanej. Algorytm wyboru obserwacji do grupy kontrolnej działa wtedy tak, że najpierw wszystkie obserwacje z grupy badanej wybierają po jednym najlepszym „towarzyszu”. Potem wybierają po drugim towarzyszu, potem po trzecim itd. Kolejni towarzysze są coraz mniej podobni do wybierających je obserwacji z grupy badanej. Nie należy więc przesadzać z konstruowaniem grup kontrolnych wielokrotnie większych od grupy badanej.</w:t>
      </w:r>
    </w:p>
    <w:p w14:paraId="47927DCC" w14:textId="77777777" w:rsidR="001D0854" w:rsidRPr="001D0854" w:rsidRDefault="001D0854" w:rsidP="001D0854">
      <w:pPr>
        <w:spacing w:line="259" w:lineRule="auto"/>
        <w:ind w:firstLine="426"/>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To, że dzięki propensity score matching (PSM) możemy dobrać grupę kontrolną podobną do badanej, nie oznacza, że grupy te nie będą się różnić. Może się zdarzyć, że w grupie badanej są obserwacje, dla których trudno znaleźć odpowiednie pary w grupie kontrolnej. W takiej sytuacji, mimo starań algorytmu, grupy mogą pozostać niepodobne. Rozwiązaniem jest usunięcie kilku obserwacji z grupy badanej w sposób systematyczny.</w:t>
      </w:r>
    </w:p>
    <w:p w14:paraId="59F0D180"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u w:val="single"/>
        </w:rPr>
        <w:t>Ad. 4.</w:t>
      </w:r>
      <w:r w:rsidRPr="001D0854">
        <w:rPr>
          <w:rFonts w:ascii="Times New Roman" w:eastAsia="Aptos" w:hAnsi="Times New Roman" w:cs="Times New Roman"/>
          <w:sz w:val="28"/>
          <w:szCs w:val="28"/>
        </w:rPr>
        <w:t xml:space="preserve"> Jak zmierzyć podobieństwo grup? Popularne testy statystyczne, takie jak chi-kwadrat, t-Studenta czy Manna-Whitney’a, zależą od liczebności grup. Na dużych grupach nawet niewielkie różnice są istotne statystycznie, podczas gdy na </w:t>
      </w:r>
      <w:r w:rsidRPr="001D0854">
        <w:rPr>
          <w:rFonts w:ascii="Times New Roman" w:eastAsia="Aptos" w:hAnsi="Times New Roman" w:cs="Times New Roman"/>
          <w:sz w:val="28"/>
          <w:szCs w:val="28"/>
        </w:rPr>
        <w:lastRenderedPageBreak/>
        <w:t>małych te same różnice mogą nie być istotne. Aby ocenić podobieństwo grup niezależnie od ich liczebności, stosuje się dwa współczynniki:</w:t>
      </w:r>
    </w:p>
    <w:p w14:paraId="06A205E7" w14:textId="77777777" w:rsidR="001D0854" w:rsidRPr="001D0854" w:rsidRDefault="001D0854" w:rsidP="001D0854">
      <w:pPr>
        <w:numPr>
          <w:ilvl w:val="0"/>
          <w:numId w:val="49"/>
        </w:numPr>
        <w:spacing w:line="259" w:lineRule="auto"/>
        <w:contextualSpacing/>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Standaryzowana różnica średnich (SMD): różnica między średnimi z obu grup podzielona przez odchylenie standardowe z grupy badanej. Im mniejsze SMD, tym bardziej podobne są grupy. Najczęściej stosowane punkty odcięcia to 0,05 i 0,1.</w:t>
      </w:r>
    </w:p>
    <w:p w14:paraId="10C91FB3" w14:textId="77777777" w:rsidR="001D0854" w:rsidRPr="001D0854" w:rsidRDefault="001D0854" w:rsidP="001D0854">
      <w:pPr>
        <w:numPr>
          <w:ilvl w:val="0"/>
          <w:numId w:val="49"/>
        </w:numPr>
        <w:spacing w:line="259" w:lineRule="auto"/>
        <w:contextualSpacing/>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Stosunek wariancji (Variance Ratio): iloraz wariancji w obu grupach. Wartość 1 oznacza idealnie dobrane grupy. Variance Ratio w przedziale od 0,5 do 2 wskazuje na „rozsądne” podobieństwo grup.</w:t>
      </w:r>
    </w:p>
    <w:p w14:paraId="0ED1D306"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Oba wskaźniki są wyliczane osobno dla każdej cechy kontrolowanej, co pozwala zobaczyć, która cecha nie spełnia warunków i nałożyć odpowiednie restrykcje.</w:t>
      </w:r>
    </w:p>
    <w:p w14:paraId="22993B1D"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Reasumując, PSM jest metodą quasi-eksperymentalną, w której badacz wykorzystuje techniki statystyczne do stworzenia sztucznej grupy kontrolnej poprzez dopasowanie każdej jednostki objętej programem do jednostki nieobjętej programem o podobnych cechach. W szczególności PSM oblicza prawdopodobieństwo, że jednostka uczestniczyć będzie w programie na podstawie obserwowanych cech.  Tym wskaźnikiem jest  PS. Następnie PSM dopasowuje jednostki </w:t>
      </w:r>
      <w:r w:rsidRPr="001D0854">
        <w:rPr>
          <w:rFonts w:ascii="Times New Roman" w:eastAsia="Aptos" w:hAnsi="Times New Roman" w:cs="Times New Roman"/>
          <w:i/>
          <w:iCs/>
          <w:sz w:val="28"/>
          <w:szCs w:val="28"/>
        </w:rPr>
        <w:t>treated</w:t>
      </w:r>
      <w:r w:rsidRPr="001D0854">
        <w:rPr>
          <w:rFonts w:ascii="Times New Roman" w:eastAsia="Aptos" w:hAnsi="Times New Roman" w:cs="Times New Roman"/>
          <w:sz w:val="28"/>
          <w:szCs w:val="28"/>
        </w:rPr>
        <w:t xml:space="preserve"> do jednostek </w:t>
      </w:r>
      <w:r w:rsidRPr="001D0854">
        <w:rPr>
          <w:rFonts w:ascii="Times New Roman" w:eastAsia="Aptos" w:hAnsi="Times New Roman" w:cs="Times New Roman"/>
          <w:i/>
          <w:iCs/>
          <w:sz w:val="28"/>
          <w:szCs w:val="28"/>
        </w:rPr>
        <w:t>non-treated</w:t>
      </w:r>
      <w:r w:rsidRPr="001D0854">
        <w:rPr>
          <w:rFonts w:ascii="Times New Roman" w:eastAsia="Aptos" w:hAnsi="Times New Roman" w:cs="Times New Roman"/>
          <w:sz w:val="28"/>
          <w:szCs w:val="28"/>
        </w:rPr>
        <w:t xml:space="preserve"> w oparciu o PS. PSM opiera się na założeniu, że w zależności od pewnych obserwowalnych cech, jednostki</w:t>
      </w:r>
      <w:r w:rsidRPr="001D0854">
        <w:rPr>
          <w:rFonts w:ascii="Times New Roman" w:eastAsia="Aptos" w:hAnsi="Times New Roman" w:cs="Times New Roman"/>
          <w:i/>
          <w:iCs/>
          <w:sz w:val="28"/>
          <w:szCs w:val="28"/>
        </w:rPr>
        <w:t xml:space="preserve"> treated</w:t>
      </w:r>
      <w:r w:rsidRPr="001D0854">
        <w:rPr>
          <w:rFonts w:ascii="Times New Roman" w:eastAsia="Aptos" w:hAnsi="Times New Roman" w:cs="Times New Roman"/>
          <w:sz w:val="28"/>
          <w:szCs w:val="28"/>
        </w:rPr>
        <w:t xml:space="preserve"> mogą być porównywane z jednostkami  </w:t>
      </w:r>
      <w:r w:rsidRPr="001D0854">
        <w:rPr>
          <w:rFonts w:ascii="Times New Roman" w:eastAsia="Aptos" w:hAnsi="Times New Roman" w:cs="Times New Roman"/>
          <w:i/>
          <w:iCs/>
          <w:sz w:val="28"/>
          <w:szCs w:val="28"/>
        </w:rPr>
        <w:t>non-treated,</w:t>
      </w:r>
      <w:r w:rsidRPr="001D0854">
        <w:rPr>
          <w:rFonts w:ascii="Times New Roman" w:eastAsia="Aptos" w:hAnsi="Times New Roman" w:cs="Times New Roman"/>
          <w:sz w:val="28"/>
          <w:szCs w:val="28"/>
        </w:rPr>
        <w:t xml:space="preserve"> tak jakby np. oddziaływanie programu (w naszym przypadku subsydiowanych ubezpieczeń upraw i zwierząt gospodarskich) było w pełni randomizowane. Ergo: PSM stara się „naśladować” randomizację, aby przezwyciężyć problem </w:t>
      </w:r>
      <w:r w:rsidRPr="001D0854">
        <w:rPr>
          <w:rFonts w:ascii="Times New Roman" w:eastAsia="Aptos" w:hAnsi="Times New Roman" w:cs="Times New Roman"/>
          <w:i/>
          <w:iCs/>
          <w:sz w:val="28"/>
          <w:szCs w:val="28"/>
        </w:rPr>
        <w:t>selection bias</w:t>
      </w:r>
      <w:r w:rsidRPr="001D0854">
        <w:rPr>
          <w:rFonts w:ascii="Times New Roman" w:eastAsia="Aptos" w:hAnsi="Times New Roman" w:cs="Times New Roman"/>
          <w:sz w:val="28"/>
          <w:szCs w:val="28"/>
        </w:rPr>
        <w:t xml:space="preserve">. Algorytm procedury badawczej PSM przedstawiono na  ramce 2. </w:t>
      </w:r>
    </w:p>
    <w:p w14:paraId="681C0207" w14:textId="77777777" w:rsidR="001D0854" w:rsidRPr="001D0854" w:rsidRDefault="001D0854" w:rsidP="001D0854">
      <w:pPr>
        <w:spacing w:line="259" w:lineRule="auto"/>
        <w:rPr>
          <w:rFonts w:ascii="Times New Roman" w:eastAsia="Aptos" w:hAnsi="Times New Roman" w:cs="Times New Roman"/>
        </w:rPr>
      </w:pPr>
      <w:r w:rsidRPr="00966380">
        <w:rPr>
          <w:rFonts w:ascii="Times New Roman" w:eastAsia="Aptos" w:hAnsi="Times New Roman" w:cs="Times New Roman"/>
          <w:b/>
          <w:bCs/>
        </w:rPr>
        <w:t>Ramka 2.</w:t>
      </w:r>
      <w:r w:rsidRPr="001D0854">
        <w:rPr>
          <w:rFonts w:ascii="Times New Roman" w:eastAsia="Aptos" w:hAnsi="Times New Roman" w:cs="Times New Roman"/>
        </w:rPr>
        <w:t xml:space="preserve"> Algorytm procedury badawczej PSM</w:t>
      </w:r>
    </w:p>
    <w:tbl>
      <w:tblPr>
        <w:tblStyle w:val="Tabela-Siatka"/>
        <w:tblW w:w="0" w:type="auto"/>
        <w:shd w:val="clear" w:color="auto" w:fill="D9D9D9"/>
        <w:tblLook w:val="04A0" w:firstRow="1" w:lastRow="0" w:firstColumn="1" w:lastColumn="0" w:noHBand="0" w:noVBand="1"/>
      </w:tblPr>
      <w:tblGrid>
        <w:gridCol w:w="9062"/>
      </w:tblGrid>
      <w:tr w:rsidR="001D0854" w:rsidRPr="001D0854" w14:paraId="40F47C03" w14:textId="77777777" w:rsidTr="001D0854">
        <w:tc>
          <w:tcPr>
            <w:tcW w:w="9212" w:type="dxa"/>
            <w:shd w:val="clear" w:color="auto" w:fill="D9D9D9"/>
          </w:tcPr>
          <w:p w14:paraId="1586A46E" w14:textId="77777777" w:rsidR="001D0854" w:rsidRPr="001D0854" w:rsidRDefault="001D0854" w:rsidP="001D0854">
            <w:pPr>
              <w:numPr>
                <w:ilvl w:val="0"/>
                <w:numId w:val="50"/>
              </w:numPr>
              <w:spacing w:line="276" w:lineRule="auto"/>
              <w:ind w:left="459" w:hanging="425"/>
              <w:contextualSpacing/>
              <w:jc w:val="both"/>
              <w:rPr>
                <w:rFonts w:ascii="Times New Roman" w:eastAsia="Aptos" w:hAnsi="Times New Roman" w:cs="Times New Roman"/>
                <w:b/>
                <w:bCs/>
              </w:rPr>
            </w:pPr>
            <w:r w:rsidRPr="001D0854">
              <w:rPr>
                <w:rFonts w:ascii="Times New Roman" w:eastAsia="Aptos" w:hAnsi="Times New Roman" w:cs="Times New Roman"/>
                <w:b/>
                <w:bCs/>
              </w:rPr>
              <w:t xml:space="preserve">Zgromadzenie i przetworzenie danych. </w:t>
            </w:r>
          </w:p>
          <w:p w14:paraId="695EDA4A" w14:textId="77777777" w:rsidR="001D0854" w:rsidRPr="001D0854" w:rsidRDefault="001D0854" w:rsidP="001D0854">
            <w:pPr>
              <w:numPr>
                <w:ilvl w:val="0"/>
                <w:numId w:val="51"/>
              </w:numPr>
              <w:spacing w:line="276" w:lineRule="auto"/>
              <w:contextualSpacing/>
              <w:jc w:val="both"/>
              <w:rPr>
                <w:rFonts w:ascii="Times New Roman" w:eastAsia="Aptos" w:hAnsi="Times New Roman" w:cs="Times New Roman"/>
              </w:rPr>
            </w:pPr>
            <w:r w:rsidRPr="001D0854">
              <w:rPr>
                <w:rFonts w:ascii="Times New Roman" w:eastAsia="Aptos" w:hAnsi="Times New Roman" w:cs="Times New Roman"/>
              </w:rPr>
              <w:t xml:space="preserve">Należy jednoznacznie określić kryteria przynależności obiektów do podzbiorów:  </w:t>
            </w:r>
            <w:r w:rsidRPr="001D0854">
              <w:rPr>
                <w:rFonts w:ascii="Times New Roman" w:eastAsia="Aptos" w:hAnsi="Times New Roman" w:cs="Times New Roman"/>
                <w:i/>
                <w:iCs/>
              </w:rPr>
              <w:t>treted/ non-treated</w:t>
            </w:r>
            <w:r w:rsidRPr="001D0854">
              <w:rPr>
                <w:rFonts w:ascii="Times New Roman" w:eastAsia="Aptos" w:hAnsi="Times New Roman" w:cs="Times New Roman"/>
              </w:rPr>
              <w:t>, a także wszystkie cechy istotne z punktu widzenia uczestnictwa w programie.</w:t>
            </w:r>
          </w:p>
          <w:p w14:paraId="76E929E9" w14:textId="77777777" w:rsidR="001D0854" w:rsidRPr="001D0854" w:rsidRDefault="001D0854" w:rsidP="001D0854">
            <w:pPr>
              <w:numPr>
                <w:ilvl w:val="0"/>
                <w:numId w:val="50"/>
              </w:numPr>
              <w:spacing w:line="276" w:lineRule="auto"/>
              <w:ind w:left="459" w:hanging="425"/>
              <w:contextualSpacing/>
              <w:jc w:val="both"/>
              <w:rPr>
                <w:rFonts w:ascii="Times New Roman" w:eastAsia="Aptos" w:hAnsi="Times New Roman" w:cs="Times New Roman"/>
                <w:b/>
                <w:bCs/>
              </w:rPr>
            </w:pPr>
            <w:r w:rsidRPr="001D0854">
              <w:rPr>
                <w:rFonts w:ascii="Times New Roman" w:eastAsia="Aptos" w:hAnsi="Times New Roman" w:cs="Times New Roman"/>
                <w:b/>
                <w:bCs/>
              </w:rPr>
              <w:t xml:space="preserve">Oszacowanie PS za pomocą modelu dyskretnego wyboru (tj. logit albo probit). </w:t>
            </w:r>
          </w:p>
          <w:p w14:paraId="69F9D876" w14:textId="77777777" w:rsidR="001D0854" w:rsidRPr="001D0854" w:rsidRDefault="001D0854" w:rsidP="001D0854">
            <w:pPr>
              <w:numPr>
                <w:ilvl w:val="0"/>
                <w:numId w:val="51"/>
              </w:numPr>
              <w:spacing w:line="276" w:lineRule="auto"/>
              <w:contextualSpacing/>
              <w:jc w:val="both"/>
              <w:rPr>
                <w:rFonts w:ascii="Times New Roman" w:eastAsia="Aptos" w:hAnsi="Times New Roman" w:cs="Times New Roman"/>
              </w:rPr>
            </w:pPr>
            <w:r w:rsidRPr="001D0854">
              <w:rPr>
                <w:rFonts w:ascii="Times New Roman" w:eastAsia="Aptos" w:hAnsi="Times New Roman" w:cs="Times New Roman"/>
              </w:rPr>
              <w:t xml:space="preserve">Funkcja powinna obejmować wszystkie istotne  kowariaty (zmienne „towarzyszące” związane z uczestnictwie w programie i jego wynikami), które powinny być cechami wyjściowymi, na które  program nie ma wpływu. Następnie należy użyć przewidywanych wartości z funkcji, aby wygenerować PS. Należy pamiętać, że o ile uwzględnienie wielu kowariatów może zaostrzyć  problemu braku „common suport” (pkt. 3) lub niewystarczające nakładanie się rozkładów PS grup </w:t>
            </w:r>
            <w:r w:rsidRPr="001D0854">
              <w:rPr>
                <w:rFonts w:ascii="Times New Roman" w:eastAsia="Aptos" w:hAnsi="Times New Roman" w:cs="Times New Roman"/>
                <w:i/>
                <w:iCs/>
              </w:rPr>
              <w:t xml:space="preserve">treated </w:t>
            </w:r>
            <w:r w:rsidRPr="001D0854">
              <w:rPr>
                <w:rFonts w:ascii="Times New Roman" w:eastAsia="Aptos" w:hAnsi="Times New Roman" w:cs="Times New Roman"/>
              </w:rPr>
              <w:t>i</w:t>
            </w:r>
            <w:r w:rsidRPr="001D0854">
              <w:rPr>
                <w:rFonts w:ascii="Times New Roman" w:eastAsia="Aptos" w:hAnsi="Times New Roman" w:cs="Times New Roman"/>
                <w:i/>
                <w:iCs/>
              </w:rPr>
              <w:t xml:space="preserve"> non-treated</w:t>
            </w:r>
            <w:r w:rsidRPr="001D0854">
              <w:rPr>
                <w:rFonts w:ascii="Times New Roman" w:eastAsia="Aptos" w:hAnsi="Times New Roman" w:cs="Times New Roman"/>
              </w:rPr>
              <w:t>, o tyle uwzględnienie zbyt małej liczby zmiennych towarzyszących może naruszyć założenie o nieograniczoności.</w:t>
            </w:r>
          </w:p>
          <w:p w14:paraId="30F21AC8" w14:textId="77777777" w:rsidR="001D0854" w:rsidRPr="001D0854" w:rsidRDefault="001D0854" w:rsidP="001D0854">
            <w:pPr>
              <w:numPr>
                <w:ilvl w:val="0"/>
                <w:numId w:val="50"/>
              </w:numPr>
              <w:spacing w:line="276" w:lineRule="auto"/>
              <w:ind w:left="459" w:hanging="425"/>
              <w:contextualSpacing/>
              <w:jc w:val="both"/>
              <w:rPr>
                <w:rFonts w:ascii="Times New Roman" w:eastAsia="Aptos" w:hAnsi="Times New Roman" w:cs="Times New Roman"/>
                <w:b/>
                <w:bCs/>
              </w:rPr>
            </w:pPr>
            <w:r w:rsidRPr="001D0854">
              <w:rPr>
                <w:rFonts w:ascii="Times New Roman" w:eastAsia="Aptos" w:hAnsi="Times New Roman" w:cs="Times New Roman"/>
                <w:b/>
                <w:bCs/>
              </w:rPr>
              <w:t>Ograniczenie próby  do obiektów mających wspólną dziedzinę/podporę  funkcji (common suport).</w:t>
            </w:r>
          </w:p>
          <w:p w14:paraId="52FA446B" w14:textId="77777777" w:rsidR="001D0854" w:rsidRPr="001D0854" w:rsidRDefault="001D0854" w:rsidP="001D0854">
            <w:pPr>
              <w:numPr>
                <w:ilvl w:val="0"/>
                <w:numId w:val="51"/>
              </w:numPr>
              <w:spacing w:line="276" w:lineRule="auto"/>
              <w:contextualSpacing/>
              <w:jc w:val="both"/>
              <w:rPr>
                <w:rFonts w:ascii="Times New Roman" w:eastAsia="Aptos" w:hAnsi="Times New Roman" w:cs="Times New Roman"/>
              </w:rPr>
            </w:pPr>
            <w:r w:rsidRPr="001D0854">
              <w:rPr>
                <w:rFonts w:ascii="Times New Roman" w:eastAsia="Aptos" w:hAnsi="Times New Roman" w:cs="Times New Roman"/>
              </w:rPr>
              <w:lastRenderedPageBreak/>
              <w:t xml:space="preserve">Zapewnia to, że jednostki o tych samych wartościach zmiennych mają dodatnie prawdopodobieństwo  znalezienia się w grupie </w:t>
            </w:r>
            <w:r w:rsidRPr="001D0854">
              <w:rPr>
                <w:rFonts w:ascii="Times New Roman" w:eastAsia="Aptos" w:hAnsi="Times New Roman" w:cs="Times New Roman"/>
                <w:i/>
                <w:iCs/>
              </w:rPr>
              <w:t>treated</w:t>
            </w:r>
            <w:r w:rsidRPr="001D0854">
              <w:rPr>
                <w:rFonts w:ascii="Times New Roman" w:eastAsia="Aptos" w:hAnsi="Times New Roman" w:cs="Times New Roman"/>
              </w:rPr>
              <w:t xml:space="preserve"> i </w:t>
            </w:r>
            <w:r w:rsidRPr="001D0854">
              <w:rPr>
                <w:rFonts w:ascii="Times New Roman" w:eastAsia="Aptos" w:hAnsi="Times New Roman" w:cs="Times New Roman"/>
                <w:i/>
                <w:iCs/>
              </w:rPr>
              <w:t xml:space="preserve">non-treated.  </w:t>
            </w:r>
            <w:r w:rsidRPr="001D0854">
              <w:rPr>
                <w:rFonts w:ascii="Times New Roman" w:eastAsia="Aptos" w:hAnsi="Times New Roman" w:cs="Times New Roman"/>
              </w:rPr>
              <w:t xml:space="preserve">Warto  dokonać wizualizacji rozkładów jednostek, które  zostały wykluczone z procedury PSM. </w:t>
            </w:r>
          </w:p>
          <w:p w14:paraId="661FADF0" w14:textId="77777777" w:rsidR="001D0854" w:rsidRPr="001D0854" w:rsidRDefault="001D0854" w:rsidP="001D0854">
            <w:pPr>
              <w:numPr>
                <w:ilvl w:val="0"/>
                <w:numId w:val="50"/>
              </w:numPr>
              <w:spacing w:line="276" w:lineRule="auto"/>
              <w:ind w:left="459" w:hanging="425"/>
              <w:contextualSpacing/>
              <w:jc w:val="both"/>
              <w:rPr>
                <w:rFonts w:ascii="Times New Roman" w:eastAsia="Aptos" w:hAnsi="Times New Roman" w:cs="Times New Roman"/>
                <w:b/>
                <w:bCs/>
              </w:rPr>
            </w:pPr>
            <w:r w:rsidRPr="001D0854">
              <w:rPr>
                <w:rFonts w:ascii="Times New Roman" w:eastAsia="Aptos" w:hAnsi="Times New Roman" w:cs="Times New Roman"/>
                <w:b/>
                <w:bCs/>
              </w:rPr>
              <w:t>Wybór i zaimplementowanie odpowiedniej metody łączenia , aby dopasować jednostki</w:t>
            </w:r>
            <w:r w:rsidRPr="001D0854">
              <w:rPr>
                <w:rFonts w:ascii="Times New Roman" w:eastAsia="Aptos" w:hAnsi="Times New Roman" w:cs="Times New Roman"/>
                <w:b/>
                <w:bCs/>
                <w:i/>
                <w:iCs/>
              </w:rPr>
              <w:t xml:space="preserve"> treated</w:t>
            </w:r>
            <w:r w:rsidRPr="001D0854">
              <w:rPr>
                <w:rFonts w:ascii="Times New Roman" w:eastAsia="Aptos" w:hAnsi="Times New Roman" w:cs="Times New Roman"/>
                <w:b/>
                <w:bCs/>
              </w:rPr>
              <w:t xml:space="preserve"> i </w:t>
            </w:r>
            <w:r w:rsidRPr="001D0854">
              <w:rPr>
                <w:rFonts w:ascii="Times New Roman" w:eastAsia="Aptos" w:hAnsi="Times New Roman" w:cs="Times New Roman"/>
                <w:b/>
                <w:bCs/>
                <w:i/>
                <w:iCs/>
              </w:rPr>
              <w:t>non-treated.</w:t>
            </w:r>
          </w:p>
          <w:p w14:paraId="6860ADB2" w14:textId="77777777" w:rsidR="001D0854" w:rsidRPr="001D0854" w:rsidRDefault="001D0854" w:rsidP="001D0854">
            <w:pPr>
              <w:numPr>
                <w:ilvl w:val="0"/>
                <w:numId w:val="50"/>
              </w:numPr>
              <w:spacing w:line="276" w:lineRule="auto"/>
              <w:ind w:left="459" w:hanging="425"/>
              <w:contextualSpacing/>
              <w:jc w:val="both"/>
              <w:rPr>
                <w:rFonts w:ascii="Times New Roman" w:eastAsia="Aptos" w:hAnsi="Times New Roman" w:cs="Times New Roman"/>
                <w:b/>
                <w:bCs/>
              </w:rPr>
            </w:pPr>
            <w:r w:rsidRPr="001D0854">
              <w:rPr>
                <w:rFonts w:ascii="Times New Roman" w:eastAsia="Aptos" w:hAnsi="Times New Roman" w:cs="Times New Roman"/>
                <w:b/>
                <w:bCs/>
              </w:rPr>
              <w:t xml:space="preserve">Oszacowanie oddziaływania  interwencji z dopasowaną próbą i obliczenie  błędów standardowych. </w:t>
            </w:r>
          </w:p>
          <w:p w14:paraId="5FF479E0" w14:textId="77777777" w:rsidR="001D0854" w:rsidRPr="001D0854" w:rsidRDefault="001D0854" w:rsidP="001D0854">
            <w:pPr>
              <w:numPr>
                <w:ilvl w:val="0"/>
                <w:numId w:val="51"/>
              </w:numPr>
              <w:spacing w:line="276" w:lineRule="auto"/>
              <w:contextualSpacing/>
              <w:jc w:val="both"/>
              <w:rPr>
                <w:rFonts w:ascii="Aptos" w:eastAsia="Aptos" w:hAnsi="Aptos" w:cs="Times New Roman"/>
              </w:rPr>
            </w:pPr>
            <w:r w:rsidRPr="001D0854">
              <w:rPr>
                <w:rFonts w:ascii="Times New Roman" w:eastAsia="Aptos" w:hAnsi="Times New Roman" w:cs="Times New Roman"/>
              </w:rPr>
              <w:t xml:space="preserve">Średnia różnica w wynikach między  </w:t>
            </w:r>
            <w:r w:rsidRPr="001D0854">
              <w:rPr>
                <w:rFonts w:ascii="Times New Roman" w:eastAsia="Aptos" w:hAnsi="Times New Roman" w:cs="Times New Roman"/>
                <w:i/>
                <w:iCs/>
              </w:rPr>
              <w:t xml:space="preserve">treated </w:t>
            </w:r>
            <w:r w:rsidRPr="001D0854">
              <w:rPr>
                <w:rFonts w:ascii="Times New Roman" w:eastAsia="Aptos" w:hAnsi="Times New Roman" w:cs="Times New Roman"/>
              </w:rPr>
              <w:t xml:space="preserve">a </w:t>
            </w:r>
            <w:r w:rsidRPr="001D0854">
              <w:rPr>
                <w:rFonts w:ascii="Times New Roman" w:eastAsia="Aptos" w:hAnsi="Times New Roman" w:cs="Times New Roman"/>
                <w:i/>
                <w:iCs/>
              </w:rPr>
              <w:t>non-treated</w:t>
            </w:r>
            <w:r w:rsidRPr="001D0854">
              <w:rPr>
                <w:rFonts w:ascii="Times New Roman" w:eastAsia="Aptos" w:hAnsi="Times New Roman" w:cs="Times New Roman"/>
              </w:rPr>
              <w:t xml:space="preserve"> jest szacowanym oddziaływaniem interwencji.</w:t>
            </w:r>
          </w:p>
        </w:tc>
      </w:tr>
    </w:tbl>
    <w:p w14:paraId="7E465FAB" w14:textId="77777777" w:rsidR="001D0854" w:rsidRPr="00966380" w:rsidRDefault="001D0854" w:rsidP="001D0854">
      <w:pPr>
        <w:spacing w:line="259" w:lineRule="auto"/>
        <w:jc w:val="both"/>
        <w:rPr>
          <w:rFonts w:ascii="Times New Roman" w:eastAsia="Aptos" w:hAnsi="Times New Roman" w:cs="Times New Roman"/>
          <w:i/>
          <w:iCs/>
        </w:rPr>
      </w:pPr>
      <w:r w:rsidRPr="00966380">
        <w:rPr>
          <w:rFonts w:ascii="Times New Roman" w:eastAsia="Aptos" w:hAnsi="Times New Roman" w:cs="Times New Roman"/>
          <w:i/>
          <w:iCs/>
        </w:rPr>
        <w:lastRenderedPageBreak/>
        <w:t>Źródło: badania własne na podstawie przeglądu literatury.</w:t>
      </w:r>
    </w:p>
    <w:p w14:paraId="6CD1287E" w14:textId="77777777" w:rsidR="001D0854" w:rsidRPr="001D0854" w:rsidRDefault="001D0854" w:rsidP="001D0854">
      <w:pPr>
        <w:spacing w:line="259" w:lineRule="auto"/>
        <w:jc w:val="both"/>
        <w:rPr>
          <w:rFonts w:ascii="Times New Roman" w:eastAsia="Aptos" w:hAnsi="Times New Roman" w:cs="Times New Roman"/>
          <w:sz w:val="28"/>
          <w:szCs w:val="28"/>
        </w:rPr>
      </w:pPr>
    </w:p>
    <w:p w14:paraId="2F0B4FE7"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Austin (2014)  przedstawił kompleksowe porównanie i ocenę  12 różnych algorytmów wykorzystywanych jako metody łączenia. Austin zastosował symulację Monte Carlo, której celem  było zmniejszenie zakłóceń podczas szacowania przyczynowego wpływu leczenia (w przypadku nauk społecznych:  programu  lub interwencji)  na wyniki.  Różna była precyzja szacowania efektów interwencji.  Wyniki Austina wskazują, że „suwmiarkowa” metoda łączenia , tj.  Caliper Matching, może być preferowaną metodą dopasowania  w PSM  w wielu sytuacjach, ponieważ zapewnia dobry kompromis między redukcją zakłóceń a precyzją oszacowania efektu leczenia.  Ma nawet zdecydowaną przewagę nad metodą najbliższego sąsiada (Nearest Neighbour Matching).</w:t>
      </w:r>
    </w:p>
    <w:p w14:paraId="60051A92" w14:textId="57C0359D" w:rsid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W tabeli </w:t>
      </w:r>
      <w:r w:rsidR="00AB5CF6">
        <w:rPr>
          <w:rFonts w:ascii="Times New Roman" w:eastAsia="Aptos" w:hAnsi="Times New Roman" w:cs="Times New Roman"/>
          <w:sz w:val="28"/>
          <w:szCs w:val="28"/>
        </w:rPr>
        <w:t>4</w:t>
      </w:r>
      <w:r w:rsidRPr="001D0854">
        <w:rPr>
          <w:rFonts w:ascii="Times New Roman" w:eastAsia="Aptos" w:hAnsi="Times New Roman" w:cs="Times New Roman"/>
          <w:sz w:val="28"/>
          <w:szCs w:val="28"/>
        </w:rPr>
        <w:t xml:space="preserve"> zestawiono wady i zalety metod  łączenia  (doboru grupy kontrolnej) w PSM, a także dokonano oceny ich użyteczności, biorąc pod uwagę wykorzystanie danych Polskiego FADN.   Biorąc pod uwagę charakter zasobów danych FADN, metody łączenia: Stratification/Interval Matching i Kernel Matching wydają się szczególnie użyteczne do zastosowania w PSM we właściwym rpovesie ewaluacji subsydiowanych ubezpieczeń upraw i zwierząt gospodarskich. Dwie pierwsze z wymienionych metod  można potraktować niemal jako „złoty środek” między prostotą a efektywnością, szczególnie przy dużych zbiorach danych charakterystycznych dla FADN. Jeśli zasoby obliczeniowe są ograniczone, Stratification/Interval Matching może być preferowana ze względu na swoją efektywność i łatwość wdrożenia.  Natomiast, jeżeli pożądane byłoby bardziej szczegółowe i skomplikowane dopasowania, a zasoby na to pozwalają, Kernel Matching  byłby bardziej adekwatną metodą łączenia.</w:t>
      </w:r>
    </w:p>
    <w:p w14:paraId="083C67B1" w14:textId="77777777" w:rsidR="00B75278" w:rsidRDefault="00B75278" w:rsidP="001D0854">
      <w:pPr>
        <w:spacing w:line="259" w:lineRule="auto"/>
        <w:ind w:firstLine="709"/>
        <w:jc w:val="both"/>
        <w:rPr>
          <w:rFonts w:ascii="Times New Roman" w:eastAsia="Aptos" w:hAnsi="Times New Roman" w:cs="Times New Roman"/>
          <w:sz w:val="28"/>
          <w:szCs w:val="28"/>
        </w:rPr>
      </w:pPr>
    </w:p>
    <w:p w14:paraId="685E8125" w14:textId="77777777" w:rsidR="00184BAB" w:rsidRDefault="00184BAB" w:rsidP="001D0854">
      <w:pPr>
        <w:spacing w:line="259" w:lineRule="auto"/>
        <w:ind w:firstLine="709"/>
        <w:jc w:val="both"/>
        <w:rPr>
          <w:rFonts w:ascii="Times New Roman" w:eastAsia="Aptos" w:hAnsi="Times New Roman" w:cs="Times New Roman"/>
          <w:sz w:val="28"/>
          <w:szCs w:val="28"/>
        </w:rPr>
      </w:pPr>
    </w:p>
    <w:p w14:paraId="22CFCED9" w14:textId="77777777" w:rsidR="00184BAB" w:rsidRDefault="00184BAB" w:rsidP="001D0854">
      <w:pPr>
        <w:spacing w:line="259" w:lineRule="auto"/>
        <w:ind w:firstLine="709"/>
        <w:jc w:val="both"/>
        <w:rPr>
          <w:rFonts w:ascii="Times New Roman" w:eastAsia="Aptos" w:hAnsi="Times New Roman" w:cs="Times New Roman"/>
          <w:sz w:val="28"/>
          <w:szCs w:val="28"/>
        </w:rPr>
      </w:pPr>
    </w:p>
    <w:p w14:paraId="3ED94215" w14:textId="37258F3C" w:rsidR="001D0854" w:rsidRPr="0014089E" w:rsidRDefault="001D0854" w:rsidP="001D0854">
      <w:pPr>
        <w:spacing w:line="259" w:lineRule="auto"/>
        <w:jc w:val="both"/>
        <w:rPr>
          <w:rFonts w:ascii="Times New Roman" w:eastAsia="Aptos" w:hAnsi="Times New Roman" w:cs="Times New Roman"/>
          <w:sz w:val="28"/>
          <w:szCs w:val="28"/>
        </w:rPr>
      </w:pPr>
      <w:r w:rsidRPr="00321F1B">
        <w:rPr>
          <w:rFonts w:ascii="Times New Roman" w:eastAsia="Aptos" w:hAnsi="Times New Roman" w:cs="Times New Roman"/>
          <w:b/>
          <w:bCs/>
          <w:sz w:val="28"/>
          <w:szCs w:val="28"/>
        </w:rPr>
        <w:lastRenderedPageBreak/>
        <w:t xml:space="preserve">Tabela </w:t>
      </w:r>
      <w:r w:rsidR="00AB5CF6">
        <w:rPr>
          <w:rFonts w:ascii="Times New Roman" w:eastAsia="Aptos" w:hAnsi="Times New Roman" w:cs="Times New Roman"/>
          <w:b/>
          <w:bCs/>
          <w:sz w:val="28"/>
          <w:szCs w:val="28"/>
        </w:rPr>
        <w:t>4</w:t>
      </w:r>
      <w:r w:rsidRPr="00321F1B">
        <w:rPr>
          <w:rFonts w:ascii="Times New Roman" w:eastAsia="Aptos" w:hAnsi="Times New Roman" w:cs="Times New Roman"/>
          <w:b/>
          <w:bCs/>
          <w:sz w:val="28"/>
          <w:szCs w:val="28"/>
        </w:rPr>
        <w:t>.</w:t>
      </w:r>
      <w:r w:rsidRPr="0014089E">
        <w:rPr>
          <w:rFonts w:ascii="Times New Roman" w:eastAsia="Aptos" w:hAnsi="Times New Roman" w:cs="Times New Roman"/>
          <w:sz w:val="28"/>
          <w:szCs w:val="28"/>
        </w:rPr>
        <w:t xml:space="preserve"> Wady, zalety, a także możliwości zastosowania metod (algorytmów) </w:t>
      </w:r>
      <w:r w:rsidR="0014089E">
        <w:rPr>
          <w:rFonts w:ascii="Times New Roman" w:eastAsia="Aptos" w:hAnsi="Times New Roman" w:cs="Times New Roman"/>
          <w:sz w:val="28"/>
          <w:szCs w:val="28"/>
        </w:rPr>
        <w:br/>
      </w:r>
      <w:r w:rsidRPr="0014089E">
        <w:rPr>
          <w:rFonts w:ascii="Times New Roman" w:eastAsia="Aptos" w:hAnsi="Times New Roman" w:cs="Times New Roman"/>
          <w:sz w:val="28"/>
          <w:szCs w:val="28"/>
        </w:rPr>
        <w:t>łączenia w PSM</w:t>
      </w:r>
    </w:p>
    <w:tbl>
      <w:tblPr>
        <w:tblStyle w:val="Tabela-Siatka"/>
        <w:tblW w:w="0" w:type="auto"/>
        <w:tblLook w:val="04A0" w:firstRow="1" w:lastRow="0" w:firstColumn="1" w:lastColumn="0" w:noHBand="0" w:noVBand="1"/>
      </w:tblPr>
      <w:tblGrid>
        <w:gridCol w:w="1980"/>
        <w:gridCol w:w="2835"/>
        <w:gridCol w:w="2307"/>
        <w:gridCol w:w="1940"/>
      </w:tblGrid>
      <w:tr w:rsidR="001D0854" w:rsidRPr="001D0854" w14:paraId="3459B3D4" w14:textId="77777777" w:rsidTr="003A6330">
        <w:tc>
          <w:tcPr>
            <w:tcW w:w="1980" w:type="dxa"/>
            <w:vAlign w:val="center"/>
          </w:tcPr>
          <w:p w14:paraId="2FC900D0" w14:textId="77777777" w:rsidR="001D0854" w:rsidRPr="001D0854" w:rsidRDefault="001D0854" w:rsidP="001D0854">
            <w:pPr>
              <w:jc w:val="center"/>
              <w:rPr>
                <w:rFonts w:ascii="Times New Roman" w:eastAsia="Aptos" w:hAnsi="Times New Roman" w:cs="Times New Roman"/>
                <w:b/>
                <w:bCs/>
                <w:sz w:val="19"/>
                <w:szCs w:val="19"/>
              </w:rPr>
            </w:pPr>
            <w:r w:rsidRPr="001D0854">
              <w:rPr>
                <w:rFonts w:ascii="Times New Roman" w:eastAsia="Aptos" w:hAnsi="Times New Roman" w:cs="Times New Roman"/>
                <w:b/>
                <w:bCs/>
                <w:sz w:val="19"/>
                <w:szCs w:val="19"/>
              </w:rPr>
              <w:t>Wyszczególnienie*</w:t>
            </w:r>
          </w:p>
        </w:tc>
        <w:tc>
          <w:tcPr>
            <w:tcW w:w="2835" w:type="dxa"/>
            <w:vAlign w:val="center"/>
          </w:tcPr>
          <w:p w14:paraId="4D30F597" w14:textId="77777777" w:rsidR="001D0854" w:rsidRPr="001D0854" w:rsidRDefault="001D0854" w:rsidP="001D0854">
            <w:pPr>
              <w:jc w:val="center"/>
              <w:rPr>
                <w:rFonts w:ascii="Times New Roman" w:eastAsia="Aptos" w:hAnsi="Times New Roman" w:cs="Times New Roman"/>
                <w:b/>
                <w:bCs/>
                <w:sz w:val="19"/>
                <w:szCs w:val="19"/>
              </w:rPr>
            </w:pPr>
            <w:r w:rsidRPr="001D0854">
              <w:rPr>
                <w:rFonts w:ascii="Times New Roman" w:eastAsia="Aptos" w:hAnsi="Times New Roman" w:cs="Times New Roman"/>
                <w:b/>
                <w:bCs/>
                <w:sz w:val="19"/>
                <w:szCs w:val="19"/>
              </w:rPr>
              <w:t>Zalety</w:t>
            </w:r>
          </w:p>
        </w:tc>
        <w:tc>
          <w:tcPr>
            <w:tcW w:w="2307" w:type="dxa"/>
            <w:vAlign w:val="center"/>
          </w:tcPr>
          <w:p w14:paraId="6A4A8D60" w14:textId="77777777" w:rsidR="001D0854" w:rsidRPr="001D0854" w:rsidRDefault="001D0854" w:rsidP="001D0854">
            <w:pPr>
              <w:jc w:val="center"/>
              <w:rPr>
                <w:rFonts w:ascii="Times New Roman" w:eastAsia="Aptos" w:hAnsi="Times New Roman" w:cs="Times New Roman"/>
                <w:b/>
                <w:bCs/>
                <w:sz w:val="19"/>
                <w:szCs w:val="19"/>
              </w:rPr>
            </w:pPr>
            <w:r w:rsidRPr="001D0854">
              <w:rPr>
                <w:rFonts w:ascii="Times New Roman" w:eastAsia="Aptos" w:hAnsi="Times New Roman" w:cs="Times New Roman"/>
                <w:b/>
                <w:bCs/>
                <w:sz w:val="19"/>
                <w:szCs w:val="19"/>
              </w:rPr>
              <w:t>Wady</w:t>
            </w:r>
          </w:p>
        </w:tc>
        <w:tc>
          <w:tcPr>
            <w:tcW w:w="1940" w:type="dxa"/>
            <w:vAlign w:val="center"/>
          </w:tcPr>
          <w:p w14:paraId="491E8ED1" w14:textId="77777777" w:rsidR="001D0854" w:rsidRPr="001D0854" w:rsidRDefault="001D0854" w:rsidP="001D0854">
            <w:pPr>
              <w:jc w:val="center"/>
              <w:rPr>
                <w:rFonts w:ascii="Times New Roman" w:eastAsia="Aptos" w:hAnsi="Times New Roman" w:cs="Times New Roman"/>
                <w:b/>
                <w:bCs/>
                <w:sz w:val="19"/>
                <w:szCs w:val="19"/>
              </w:rPr>
            </w:pPr>
            <w:r w:rsidRPr="001D0854">
              <w:rPr>
                <w:rFonts w:ascii="Times New Roman" w:eastAsia="Aptos" w:hAnsi="Times New Roman" w:cs="Times New Roman"/>
                <w:b/>
                <w:bCs/>
                <w:sz w:val="19"/>
                <w:szCs w:val="19"/>
              </w:rPr>
              <w:t>Zastosowanie w FADN**</w:t>
            </w:r>
          </w:p>
        </w:tc>
      </w:tr>
      <w:tr w:rsidR="001D0854" w:rsidRPr="001D0854" w14:paraId="0CE87C41" w14:textId="77777777" w:rsidTr="003A6330">
        <w:tc>
          <w:tcPr>
            <w:tcW w:w="1980" w:type="dxa"/>
          </w:tcPr>
          <w:p w14:paraId="7054A5ED" w14:textId="77777777" w:rsidR="001D0854" w:rsidRPr="001D0854" w:rsidRDefault="001D0854" w:rsidP="001D0854">
            <w:pPr>
              <w:rPr>
                <w:rFonts w:ascii="Times New Roman" w:eastAsia="Aptos" w:hAnsi="Times New Roman" w:cs="Times New Roman"/>
                <w:sz w:val="19"/>
                <w:szCs w:val="19"/>
                <w:lang w:val="en-US"/>
              </w:rPr>
            </w:pPr>
            <w:r w:rsidRPr="001D0854">
              <w:rPr>
                <w:rFonts w:ascii="Times New Roman" w:eastAsia="Aptos" w:hAnsi="Times New Roman" w:cs="Times New Roman"/>
                <w:sz w:val="19"/>
                <w:szCs w:val="19"/>
                <w:lang w:val="en-GB"/>
              </w:rPr>
              <w:t>Nearest Neighbor Matching (NNM) (pol. metoda najbliższego sąsiada)</w:t>
            </w:r>
          </w:p>
        </w:tc>
        <w:tc>
          <w:tcPr>
            <w:tcW w:w="2835" w:type="dxa"/>
          </w:tcPr>
          <w:p w14:paraId="7A6E7419"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Prostota i zrozumiałość.</w:t>
            </w:r>
          </w:p>
          <w:p w14:paraId="7A68DEC9"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 xml:space="preserve">Łatwa do wdrożenia i interpretacji. </w:t>
            </w:r>
          </w:p>
          <w:p w14:paraId="2437C107"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Pozwala na dopasowanie jednej jednostki z grupy kontrolnej do wielu jednostek „treated”,  co może poprawić jakość dopasowań.</w:t>
            </w:r>
          </w:p>
        </w:tc>
        <w:tc>
          <w:tcPr>
            <w:tcW w:w="2307" w:type="dxa"/>
          </w:tcPr>
          <w:p w14:paraId="09F4F4B3"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Jeśli „najbliższy sąsiad” nie jest wystarczająco podobny, może to prowadzić do  błędów selekcji.</w:t>
            </w:r>
          </w:p>
        </w:tc>
        <w:tc>
          <w:tcPr>
            <w:tcW w:w="1940" w:type="dxa"/>
          </w:tcPr>
          <w:p w14:paraId="155C31A0"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Zapewnia przejrzystość i interpretowalność często wymaganą w ocenach polityki.</w:t>
            </w:r>
          </w:p>
        </w:tc>
      </w:tr>
      <w:tr w:rsidR="001D0854" w:rsidRPr="001D0854" w14:paraId="11309E5A" w14:textId="77777777" w:rsidTr="003A6330">
        <w:tc>
          <w:tcPr>
            <w:tcW w:w="1980" w:type="dxa"/>
          </w:tcPr>
          <w:p w14:paraId="4DF374C5" w14:textId="77777777" w:rsidR="001D0854" w:rsidRPr="001D0854" w:rsidRDefault="001D0854" w:rsidP="001D0854">
            <w:pPr>
              <w:rPr>
                <w:rFonts w:ascii="Times New Roman" w:eastAsia="Aptos" w:hAnsi="Times New Roman" w:cs="Times New Roman"/>
                <w:sz w:val="19"/>
                <w:szCs w:val="19"/>
                <w:lang w:val="en-US"/>
              </w:rPr>
            </w:pPr>
            <w:r w:rsidRPr="001D0854">
              <w:rPr>
                <w:rFonts w:ascii="Times New Roman" w:eastAsia="Aptos" w:hAnsi="Times New Roman" w:cs="Times New Roman"/>
                <w:sz w:val="19"/>
                <w:szCs w:val="19"/>
                <w:lang w:val="en-US"/>
              </w:rPr>
              <w:t>Caliper/Radius Matching (pol. metoda suwmiarki)</w:t>
            </w:r>
          </w:p>
          <w:p w14:paraId="0FD39B63" w14:textId="77777777" w:rsidR="001D0854" w:rsidRPr="001D0854" w:rsidRDefault="001D0854" w:rsidP="001D0854">
            <w:pPr>
              <w:rPr>
                <w:rFonts w:ascii="Times New Roman" w:eastAsia="Aptos" w:hAnsi="Times New Roman" w:cs="Times New Roman"/>
                <w:sz w:val="19"/>
                <w:szCs w:val="19"/>
                <w:lang w:val="en-US"/>
              </w:rPr>
            </w:pPr>
          </w:p>
        </w:tc>
        <w:tc>
          <w:tcPr>
            <w:tcW w:w="2835" w:type="dxa"/>
          </w:tcPr>
          <w:p w14:paraId="43FCD512"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Poprawiona jakość dopasowania się.</w:t>
            </w:r>
          </w:p>
          <w:p w14:paraId="5586DE8B"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Ograniczając dopasowania do określonego zakresu, zapewnia lepszą porównywalność między jednostkami   „treated”  a kontrolnymi.</w:t>
            </w:r>
          </w:p>
        </w:tc>
        <w:tc>
          <w:tcPr>
            <w:tcW w:w="2307" w:type="dxa"/>
          </w:tcPr>
          <w:p w14:paraId="32144D85"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Potencjalnie odrzuca jednostki „treated”, jeśli nie znaleziono odpowiedniego dopasowania w określonym zakresie.</w:t>
            </w:r>
          </w:p>
        </w:tc>
        <w:tc>
          <w:tcPr>
            <w:tcW w:w="1940" w:type="dxa"/>
          </w:tcPr>
          <w:p w14:paraId="4FEEA4AF"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Przydatna, gdy występuje stosunkowa duża liczbę obserwacji   może zapewnić wysoką jakość dopasowania.</w:t>
            </w:r>
          </w:p>
        </w:tc>
      </w:tr>
      <w:tr w:rsidR="001D0854" w:rsidRPr="001D0854" w14:paraId="5E715E0F" w14:textId="77777777" w:rsidTr="003A6330">
        <w:tc>
          <w:tcPr>
            <w:tcW w:w="1980" w:type="dxa"/>
          </w:tcPr>
          <w:p w14:paraId="11378ED5"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Stratification/Interval Matching (SIM)</w:t>
            </w:r>
          </w:p>
          <w:p w14:paraId="1B6F3455" w14:textId="77777777" w:rsidR="001D0854" w:rsidRPr="001D0854" w:rsidRDefault="001D0854" w:rsidP="001D0854">
            <w:pPr>
              <w:rPr>
                <w:rFonts w:ascii="Times New Roman" w:eastAsia="Aptos" w:hAnsi="Times New Roman" w:cs="Times New Roman"/>
                <w:sz w:val="19"/>
                <w:szCs w:val="19"/>
              </w:rPr>
            </w:pPr>
          </w:p>
        </w:tc>
        <w:tc>
          <w:tcPr>
            <w:tcW w:w="2835" w:type="dxa"/>
          </w:tcPr>
          <w:p w14:paraId="14376824"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 xml:space="preserve">Efektywnie radzi sobie z dużymi zbiorami danych, redukując złożoność problemu. </w:t>
            </w:r>
          </w:p>
          <w:p w14:paraId="2CA2D697"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Łatwość wdrożenia.</w:t>
            </w:r>
          </w:p>
          <w:p w14:paraId="7E0F2A74"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Intuicyjna do wdrożenia i interpretacji.</w:t>
            </w:r>
          </w:p>
        </w:tc>
        <w:tc>
          <w:tcPr>
            <w:tcW w:w="2307" w:type="dxa"/>
          </w:tcPr>
          <w:p w14:paraId="26DCAEE9"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Zakłada równowagę w przedziałach.</w:t>
            </w:r>
          </w:p>
          <w:p w14:paraId="7B2EE367"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Różnice w kowariatach w ramach zastosowanych przedziałów mogą nadal istnieć.</w:t>
            </w:r>
          </w:p>
        </w:tc>
        <w:tc>
          <w:tcPr>
            <w:tcW w:w="1940" w:type="dxa"/>
          </w:tcPr>
          <w:p w14:paraId="50D6E08D"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Skuteczna dla dużych zbiorów danych FADN. Zapewnia, że w każdym przedziale jednostki z grupy badanej i kontrolnej są porównywalne, co czyni ją praktyczną dla analizy polityki na dużą skalę.</w:t>
            </w:r>
          </w:p>
        </w:tc>
      </w:tr>
      <w:tr w:rsidR="001D0854" w:rsidRPr="001D0854" w14:paraId="50077713" w14:textId="77777777" w:rsidTr="003A6330">
        <w:tc>
          <w:tcPr>
            <w:tcW w:w="1980" w:type="dxa"/>
          </w:tcPr>
          <w:p w14:paraId="3E324150"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Kernel Matching</w:t>
            </w:r>
          </w:p>
        </w:tc>
        <w:tc>
          <w:tcPr>
            <w:tcW w:w="2835" w:type="dxa"/>
          </w:tcPr>
          <w:p w14:paraId="29006811"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Wykorzystuje wszystkie dostępne punkty danych do skonstruowania ważonych średnich, zapewniając, że żadne dane nie są marnowane.</w:t>
            </w:r>
          </w:p>
        </w:tc>
        <w:tc>
          <w:tcPr>
            <w:tcW w:w="2307" w:type="dxa"/>
          </w:tcPr>
          <w:p w14:paraId="0FA50B07"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Wymagające obliczeniowo; wybór szerokości „pasma” (a bandwith) wpływa na wyniki.</w:t>
            </w:r>
          </w:p>
        </w:tc>
        <w:tc>
          <w:tcPr>
            <w:tcW w:w="1940" w:type="dxa"/>
          </w:tcPr>
          <w:p w14:paraId="49A4BD85"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Możliwe zakłócenia związane z ograniczeniami wynikającym z liczebności próby np. dla typów TF14 i województw.</w:t>
            </w:r>
          </w:p>
        </w:tc>
      </w:tr>
      <w:tr w:rsidR="001D0854" w:rsidRPr="001D0854" w14:paraId="2DACE16E" w14:textId="77777777" w:rsidTr="003A6330">
        <w:tc>
          <w:tcPr>
            <w:tcW w:w="1980" w:type="dxa"/>
          </w:tcPr>
          <w:p w14:paraId="496FF2FC" w14:textId="77777777" w:rsidR="001D0854" w:rsidRPr="001D0854" w:rsidRDefault="001D0854" w:rsidP="001D0854">
            <w:pPr>
              <w:rPr>
                <w:rFonts w:ascii="Times New Roman" w:eastAsia="Aptos" w:hAnsi="Times New Roman" w:cs="Times New Roman"/>
                <w:sz w:val="19"/>
                <w:szCs w:val="19"/>
                <w:lang w:val="en-GB"/>
              </w:rPr>
            </w:pPr>
            <w:r w:rsidRPr="001D0854">
              <w:rPr>
                <w:rFonts w:ascii="Times New Roman" w:eastAsia="Aptos" w:hAnsi="Times New Roman" w:cs="Times New Roman"/>
                <w:sz w:val="19"/>
                <w:szCs w:val="19"/>
                <w:lang w:val="en-GB"/>
              </w:rPr>
              <w:t>Coarsened Exact Matching (CEM)</w:t>
            </w:r>
          </w:p>
          <w:p w14:paraId="66C99AA4" w14:textId="77777777" w:rsidR="001D0854" w:rsidRPr="001D0854" w:rsidRDefault="001D0854" w:rsidP="001D0854">
            <w:pPr>
              <w:rPr>
                <w:rFonts w:ascii="Times New Roman" w:eastAsia="Aptos" w:hAnsi="Times New Roman" w:cs="Times New Roman"/>
                <w:sz w:val="19"/>
                <w:szCs w:val="19"/>
              </w:rPr>
            </w:pPr>
          </w:p>
        </w:tc>
        <w:tc>
          <w:tcPr>
            <w:tcW w:w="2835" w:type="dxa"/>
          </w:tcPr>
          <w:p w14:paraId="5F3E7166"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CEM może być stosowana w różnych typach rozkładów danych.</w:t>
            </w:r>
          </w:p>
        </w:tc>
        <w:tc>
          <w:tcPr>
            <w:tcW w:w="2307" w:type="dxa"/>
          </w:tcPr>
          <w:p w14:paraId="79913E80"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Potencjalna znaczna utrata  specyfiki danych, jeśli przyjęto nadmierną agregację (np. w przypadku przedziałów dla wieku respondenta).</w:t>
            </w:r>
          </w:p>
        </w:tc>
        <w:tc>
          <w:tcPr>
            <w:tcW w:w="1940" w:type="dxa"/>
          </w:tcPr>
          <w:p w14:paraId="5417BCA5"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Dobrze nadaje się do kompleksowej analizy, gdzie zasoby obliczeniowe nie są ograniczeniem.</w:t>
            </w:r>
          </w:p>
        </w:tc>
      </w:tr>
      <w:tr w:rsidR="001D0854" w:rsidRPr="001D0854" w14:paraId="3577C11B" w14:textId="77777777" w:rsidTr="003A6330">
        <w:tc>
          <w:tcPr>
            <w:tcW w:w="1980" w:type="dxa"/>
          </w:tcPr>
          <w:p w14:paraId="5C510A7B" w14:textId="77777777" w:rsidR="001D0854" w:rsidRPr="001D0854" w:rsidRDefault="001D0854" w:rsidP="001D0854">
            <w:pPr>
              <w:rPr>
                <w:rFonts w:ascii="Times New Roman" w:eastAsia="Aptos" w:hAnsi="Times New Roman" w:cs="Times New Roman"/>
                <w:sz w:val="19"/>
                <w:szCs w:val="19"/>
                <w:lang w:val="en-GB"/>
              </w:rPr>
            </w:pPr>
            <w:r w:rsidRPr="001D0854">
              <w:rPr>
                <w:rFonts w:ascii="Times New Roman" w:eastAsia="Aptos" w:hAnsi="Times New Roman" w:cs="Times New Roman"/>
                <w:sz w:val="19"/>
                <w:szCs w:val="19"/>
                <w:lang w:val="en-GB"/>
              </w:rPr>
              <w:t>Genetic Matching</w:t>
            </w:r>
          </w:p>
        </w:tc>
        <w:tc>
          <w:tcPr>
            <w:tcW w:w="2835" w:type="dxa"/>
          </w:tcPr>
          <w:p w14:paraId="2C0C0280"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Wykorzystanie algorytmów genetycznych wymaga dość znaczących zasobów obliczeniowych.</w:t>
            </w:r>
          </w:p>
        </w:tc>
        <w:tc>
          <w:tcPr>
            <w:tcW w:w="2307" w:type="dxa"/>
          </w:tcPr>
          <w:p w14:paraId="63C8BEF7"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Bardzo duża pracochłonność, a także  problematyczność związana z doborem parametrów.</w:t>
            </w:r>
          </w:p>
        </w:tc>
        <w:tc>
          <w:tcPr>
            <w:tcW w:w="1940" w:type="dxa"/>
          </w:tcPr>
          <w:p w14:paraId="2752FB19" w14:textId="77777777" w:rsidR="001D0854" w:rsidRPr="001D0854" w:rsidRDefault="001D0854" w:rsidP="001D0854">
            <w:pPr>
              <w:rPr>
                <w:rFonts w:ascii="Times New Roman" w:eastAsia="Aptos" w:hAnsi="Times New Roman" w:cs="Times New Roman"/>
                <w:sz w:val="19"/>
                <w:szCs w:val="19"/>
              </w:rPr>
            </w:pPr>
            <w:r w:rsidRPr="001D0854">
              <w:rPr>
                <w:rFonts w:ascii="Times New Roman" w:eastAsia="Aptos" w:hAnsi="Times New Roman" w:cs="Times New Roman"/>
                <w:sz w:val="19"/>
                <w:szCs w:val="19"/>
              </w:rPr>
              <w:t>Ograniczenia infrastrukturalne związane z zasobami sprzętowymi IERIGŻ-PIB.</w:t>
            </w:r>
          </w:p>
        </w:tc>
      </w:tr>
    </w:tbl>
    <w:p w14:paraId="4E37E62D" w14:textId="77777777" w:rsidR="001D0854" w:rsidRPr="001D0854" w:rsidRDefault="001D0854" w:rsidP="001D0854">
      <w:pPr>
        <w:spacing w:after="0" w:line="240" w:lineRule="auto"/>
        <w:jc w:val="both"/>
        <w:rPr>
          <w:rFonts w:ascii="Times New Roman" w:eastAsia="Aptos" w:hAnsi="Times New Roman" w:cs="Times New Roman"/>
          <w:sz w:val="22"/>
          <w:szCs w:val="22"/>
        </w:rPr>
      </w:pPr>
      <w:r w:rsidRPr="001D0854">
        <w:rPr>
          <w:rFonts w:ascii="Times New Roman" w:eastAsia="Aptos" w:hAnsi="Times New Roman" w:cs="Times New Roman"/>
          <w:sz w:val="22"/>
          <w:szCs w:val="22"/>
        </w:rPr>
        <w:t>Objaśnienie: * tylko dla niektórych metod można znaleźć odpowiedniki w języku polskim, ** w opinii autorów ekspertyzy.</w:t>
      </w:r>
    </w:p>
    <w:p w14:paraId="51861D1F" w14:textId="77777777" w:rsidR="001D0854" w:rsidRPr="00321F1B" w:rsidRDefault="001D0854" w:rsidP="001D0854">
      <w:pPr>
        <w:spacing w:after="0" w:line="240" w:lineRule="auto"/>
        <w:jc w:val="both"/>
        <w:rPr>
          <w:rFonts w:ascii="Times New Roman" w:eastAsia="Aptos" w:hAnsi="Times New Roman" w:cs="Times New Roman"/>
          <w:i/>
          <w:iCs/>
        </w:rPr>
      </w:pPr>
      <w:r w:rsidRPr="00321F1B">
        <w:rPr>
          <w:rFonts w:ascii="Times New Roman" w:eastAsia="Aptos" w:hAnsi="Times New Roman" w:cs="Times New Roman"/>
          <w:i/>
          <w:iCs/>
        </w:rPr>
        <w:t>Źródło: badania własne, a także adaptacja Austin  (2010); Austin (2014);  Hansen (2015); Austin (2017); Komen i in. (2021);  Heinz i Held  (2024).</w:t>
      </w:r>
    </w:p>
    <w:p w14:paraId="211800C3" w14:textId="68311F55"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W tabeli </w:t>
      </w:r>
      <w:r w:rsidR="00AB5CF6">
        <w:rPr>
          <w:rFonts w:ascii="Times New Roman" w:eastAsia="Aptos" w:hAnsi="Times New Roman" w:cs="Times New Roman"/>
          <w:sz w:val="28"/>
          <w:szCs w:val="28"/>
        </w:rPr>
        <w:t>5</w:t>
      </w:r>
      <w:r w:rsidRPr="001D0854">
        <w:rPr>
          <w:rFonts w:ascii="Times New Roman" w:eastAsia="Aptos" w:hAnsi="Times New Roman" w:cs="Times New Roman"/>
          <w:sz w:val="28"/>
          <w:szCs w:val="28"/>
        </w:rPr>
        <w:t xml:space="preserve"> zestawiono główne problemy i wyzwania związane z zastosowanie PSM w ewaluacjach polityk publicznych.</w:t>
      </w:r>
    </w:p>
    <w:p w14:paraId="30E1EBCB" w14:textId="77777777" w:rsidR="001D0854" w:rsidRDefault="001D0854" w:rsidP="001D0854">
      <w:pPr>
        <w:spacing w:line="259" w:lineRule="auto"/>
        <w:jc w:val="both"/>
        <w:rPr>
          <w:rFonts w:ascii="Times New Roman" w:eastAsia="Aptos" w:hAnsi="Times New Roman" w:cs="Times New Roman"/>
          <w:sz w:val="28"/>
          <w:szCs w:val="28"/>
        </w:rPr>
      </w:pPr>
    </w:p>
    <w:p w14:paraId="560985AC" w14:textId="77777777" w:rsidR="00B75278" w:rsidRDefault="00B75278" w:rsidP="001D0854">
      <w:pPr>
        <w:spacing w:line="259" w:lineRule="auto"/>
        <w:jc w:val="both"/>
        <w:rPr>
          <w:rFonts w:ascii="Times New Roman" w:eastAsia="Aptos" w:hAnsi="Times New Roman" w:cs="Times New Roman"/>
          <w:sz w:val="28"/>
          <w:szCs w:val="28"/>
        </w:rPr>
      </w:pPr>
    </w:p>
    <w:p w14:paraId="11F9FE71" w14:textId="77777777" w:rsidR="0060616A" w:rsidRDefault="0060616A" w:rsidP="001D0854">
      <w:pPr>
        <w:spacing w:line="259" w:lineRule="auto"/>
        <w:jc w:val="both"/>
        <w:rPr>
          <w:rFonts w:ascii="Times New Roman" w:eastAsia="Aptos" w:hAnsi="Times New Roman" w:cs="Times New Roman"/>
        </w:rPr>
      </w:pPr>
    </w:p>
    <w:p w14:paraId="661F9200" w14:textId="77314B37" w:rsidR="001D0854" w:rsidRPr="0014089E" w:rsidRDefault="001D0854" w:rsidP="001D0854">
      <w:pPr>
        <w:spacing w:line="259" w:lineRule="auto"/>
        <w:jc w:val="both"/>
        <w:rPr>
          <w:rFonts w:ascii="Times New Roman" w:eastAsia="Aptos" w:hAnsi="Times New Roman" w:cs="Times New Roman"/>
          <w:sz w:val="28"/>
          <w:szCs w:val="28"/>
        </w:rPr>
      </w:pPr>
      <w:r w:rsidRPr="00321F1B">
        <w:rPr>
          <w:rFonts w:ascii="Times New Roman" w:eastAsia="Aptos" w:hAnsi="Times New Roman" w:cs="Times New Roman"/>
          <w:b/>
          <w:bCs/>
          <w:sz w:val="28"/>
          <w:szCs w:val="28"/>
        </w:rPr>
        <w:lastRenderedPageBreak/>
        <w:t xml:space="preserve">Tabela </w:t>
      </w:r>
      <w:r w:rsidR="00AB5CF6">
        <w:rPr>
          <w:rFonts w:ascii="Times New Roman" w:eastAsia="Aptos" w:hAnsi="Times New Roman" w:cs="Times New Roman"/>
          <w:b/>
          <w:bCs/>
          <w:sz w:val="28"/>
          <w:szCs w:val="28"/>
        </w:rPr>
        <w:t>5</w:t>
      </w:r>
      <w:r w:rsidRPr="00321F1B">
        <w:rPr>
          <w:rFonts w:ascii="Times New Roman" w:eastAsia="Aptos" w:hAnsi="Times New Roman" w:cs="Times New Roman"/>
          <w:b/>
          <w:bCs/>
          <w:sz w:val="28"/>
          <w:szCs w:val="28"/>
        </w:rPr>
        <w:t>.</w:t>
      </w:r>
      <w:r w:rsidRPr="0014089E">
        <w:rPr>
          <w:rFonts w:ascii="Times New Roman" w:eastAsia="Aptos" w:hAnsi="Times New Roman" w:cs="Times New Roman"/>
          <w:sz w:val="28"/>
          <w:szCs w:val="28"/>
        </w:rPr>
        <w:t xml:space="preserve"> PSM w badaniach ewaluacyjnych – polityk publicznych – przegląd wyzwań z punktu widzenia praktyki i ich implikacji  w kontekście realizacji badań</w:t>
      </w:r>
    </w:p>
    <w:tbl>
      <w:tblPr>
        <w:tblStyle w:val="Tabela-Siatka"/>
        <w:tblW w:w="5000" w:type="pct"/>
        <w:tblLook w:val="04A0" w:firstRow="1" w:lastRow="0" w:firstColumn="1" w:lastColumn="0" w:noHBand="0" w:noVBand="1"/>
      </w:tblPr>
      <w:tblGrid>
        <w:gridCol w:w="1894"/>
        <w:gridCol w:w="3657"/>
        <w:gridCol w:w="3511"/>
      </w:tblGrid>
      <w:tr w:rsidR="001D0854" w:rsidRPr="001D0854" w14:paraId="3D5163A6" w14:textId="77777777" w:rsidTr="003A6330">
        <w:tc>
          <w:tcPr>
            <w:tcW w:w="1045" w:type="pct"/>
          </w:tcPr>
          <w:p w14:paraId="6431003C" w14:textId="77777777" w:rsidR="001D0854" w:rsidRPr="001D0854" w:rsidRDefault="001D0854" w:rsidP="001D0854">
            <w:pPr>
              <w:rPr>
                <w:rFonts w:ascii="Times New Roman" w:eastAsia="Aptos" w:hAnsi="Times New Roman" w:cs="Times New Roman"/>
                <w:b/>
                <w:bCs/>
                <w:sz w:val="20"/>
                <w:szCs w:val="20"/>
              </w:rPr>
            </w:pPr>
            <w:r w:rsidRPr="001D0854">
              <w:rPr>
                <w:rFonts w:ascii="Times New Roman" w:eastAsia="Aptos" w:hAnsi="Times New Roman" w:cs="Times New Roman"/>
                <w:b/>
                <w:bCs/>
                <w:sz w:val="20"/>
                <w:szCs w:val="20"/>
              </w:rPr>
              <w:t>Wyszczególnienie</w:t>
            </w:r>
          </w:p>
        </w:tc>
        <w:tc>
          <w:tcPr>
            <w:tcW w:w="2018" w:type="pct"/>
          </w:tcPr>
          <w:p w14:paraId="46E2EFC3" w14:textId="77777777" w:rsidR="001D0854" w:rsidRPr="001D0854" w:rsidRDefault="001D0854" w:rsidP="001D0854">
            <w:pPr>
              <w:ind w:firstLine="12"/>
              <w:rPr>
                <w:rFonts w:ascii="Times New Roman" w:eastAsia="Aptos" w:hAnsi="Times New Roman" w:cs="Times New Roman"/>
                <w:b/>
                <w:bCs/>
                <w:sz w:val="20"/>
                <w:szCs w:val="20"/>
              </w:rPr>
            </w:pPr>
            <w:r w:rsidRPr="001D0854">
              <w:rPr>
                <w:rFonts w:ascii="Times New Roman" w:eastAsia="Aptos" w:hAnsi="Times New Roman" w:cs="Times New Roman"/>
                <w:b/>
                <w:bCs/>
                <w:sz w:val="20"/>
                <w:szCs w:val="20"/>
              </w:rPr>
              <w:t>Wyzwania</w:t>
            </w:r>
          </w:p>
        </w:tc>
        <w:tc>
          <w:tcPr>
            <w:tcW w:w="1937" w:type="pct"/>
          </w:tcPr>
          <w:p w14:paraId="0B14F03F" w14:textId="77777777" w:rsidR="001D0854" w:rsidRPr="001D0854" w:rsidRDefault="001D0854" w:rsidP="001D0854">
            <w:pPr>
              <w:ind w:firstLine="12"/>
              <w:rPr>
                <w:rFonts w:ascii="Times New Roman" w:eastAsia="Aptos" w:hAnsi="Times New Roman" w:cs="Times New Roman"/>
                <w:b/>
                <w:bCs/>
                <w:sz w:val="20"/>
                <w:szCs w:val="20"/>
              </w:rPr>
            </w:pPr>
            <w:r w:rsidRPr="001D0854">
              <w:rPr>
                <w:rFonts w:ascii="Times New Roman" w:eastAsia="Aptos" w:hAnsi="Times New Roman" w:cs="Times New Roman"/>
                <w:b/>
                <w:bCs/>
                <w:sz w:val="20"/>
                <w:szCs w:val="20"/>
              </w:rPr>
              <w:t>Implikacje</w:t>
            </w:r>
          </w:p>
        </w:tc>
      </w:tr>
      <w:tr w:rsidR="001D0854" w:rsidRPr="001D0854" w14:paraId="22FA18C6" w14:textId="77777777" w:rsidTr="003A6330">
        <w:tc>
          <w:tcPr>
            <w:tcW w:w="1045" w:type="pct"/>
          </w:tcPr>
          <w:p w14:paraId="7668AB12" w14:textId="77777777" w:rsidR="001D0854" w:rsidRPr="001D0854" w:rsidRDefault="001D0854" w:rsidP="001D0854">
            <w:pPr>
              <w:rPr>
                <w:rFonts w:ascii="Times New Roman" w:eastAsia="Aptos" w:hAnsi="Times New Roman" w:cs="Times New Roman"/>
                <w:b/>
                <w:bCs/>
                <w:sz w:val="20"/>
                <w:szCs w:val="20"/>
              </w:rPr>
            </w:pPr>
            <w:r w:rsidRPr="001D0854">
              <w:rPr>
                <w:rFonts w:ascii="Times New Roman" w:eastAsia="Aptos" w:hAnsi="Times New Roman" w:cs="Times New Roman"/>
                <w:b/>
                <w:bCs/>
                <w:sz w:val="20"/>
                <w:szCs w:val="20"/>
              </w:rPr>
              <w:t>Występowanie nieobserwowalnych zakłóceń</w:t>
            </w:r>
          </w:p>
        </w:tc>
        <w:tc>
          <w:tcPr>
            <w:tcW w:w="2018" w:type="pct"/>
          </w:tcPr>
          <w:p w14:paraId="2877D497"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Każde zakłócenie spowodowane przez zmienne, które nie zostały uwzględnione w procesie dopasowywania, stanowi istotne ograniczenie.</w:t>
            </w:r>
          </w:p>
        </w:tc>
        <w:tc>
          <w:tcPr>
            <w:tcW w:w="1937" w:type="pct"/>
          </w:tcPr>
          <w:p w14:paraId="182372DC"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Może to prowadzić do nieprawidłowych wniosków dotyczących efektu interwencji, jeśli niewidoczne zmienne wpływają zarówno na interwencję, jak i jej wynik.</w:t>
            </w:r>
          </w:p>
        </w:tc>
      </w:tr>
      <w:tr w:rsidR="001D0854" w:rsidRPr="001D0854" w14:paraId="67276C51" w14:textId="77777777" w:rsidTr="003A6330">
        <w:tc>
          <w:tcPr>
            <w:tcW w:w="1045" w:type="pct"/>
          </w:tcPr>
          <w:p w14:paraId="6F9515E7" w14:textId="77777777" w:rsidR="001D0854" w:rsidRPr="001D0854" w:rsidRDefault="001D0854" w:rsidP="001D0854">
            <w:pPr>
              <w:rPr>
                <w:rFonts w:ascii="Times New Roman" w:eastAsia="Aptos" w:hAnsi="Times New Roman" w:cs="Times New Roman"/>
                <w:b/>
                <w:bCs/>
                <w:sz w:val="20"/>
                <w:szCs w:val="20"/>
              </w:rPr>
            </w:pPr>
            <w:r w:rsidRPr="001D0854">
              <w:rPr>
                <w:rFonts w:ascii="Times New Roman" w:eastAsia="Aptos" w:hAnsi="Times New Roman" w:cs="Times New Roman"/>
                <w:b/>
                <w:bCs/>
                <w:sz w:val="20"/>
                <w:szCs w:val="20"/>
              </w:rPr>
              <w:t xml:space="preserve">Jakość i dostępność danych </w:t>
            </w:r>
          </w:p>
        </w:tc>
        <w:tc>
          <w:tcPr>
            <w:tcW w:w="2018" w:type="pct"/>
          </w:tcPr>
          <w:p w14:paraId="4576450A"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PSM w dużej mierze zależy od wysokiej jakości danych. Problemy takie jak brakujące dane, błąd pomiaru lub niedokładne raportowanie mogą znacząco wpłynąć na model  PSM.</w:t>
            </w:r>
          </w:p>
        </w:tc>
        <w:tc>
          <w:tcPr>
            <w:tcW w:w="1937" w:type="pct"/>
          </w:tcPr>
          <w:p w14:paraId="65436FDD"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Słaba jakość danych może utrudnić proces dopasowywania i prowadzić do nierzetelnych oszacowań efektu interwencji.</w:t>
            </w:r>
          </w:p>
        </w:tc>
      </w:tr>
      <w:tr w:rsidR="001D0854" w:rsidRPr="001D0854" w14:paraId="12F7344A" w14:textId="77777777" w:rsidTr="003A6330">
        <w:tc>
          <w:tcPr>
            <w:tcW w:w="1045" w:type="pct"/>
          </w:tcPr>
          <w:p w14:paraId="6E734301" w14:textId="77777777" w:rsidR="001D0854" w:rsidRPr="001D0854" w:rsidRDefault="001D0854" w:rsidP="001D0854">
            <w:pPr>
              <w:rPr>
                <w:rFonts w:ascii="Times New Roman" w:eastAsia="Aptos" w:hAnsi="Times New Roman" w:cs="Times New Roman"/>
                <w:b/>
                <w:bCs/>
                <w:sz w:val="20"/>
                <w:szCs w:val="20"/>
              </w:rPr>
            </w:pPr>
            <w:r w:rsidRPr="001D0854">
              <w:rPr>
                <w:rFonts w:ascii="Times New Roman" w:eastAsia="Aptos" w:hAnsi="Times New Roman" w:cs="Times New Roman"/>
                <w:b/>
                <w:bCs/>
                <w:sz w:val="20"/>
                <w:szCs w:val="20"/>
              </w:rPr>
              <w:t>Interpretacja wyników</w:t>
            </w:r>
          </w:p>
        </w:tc>
        <w:tc>
          <w:tcPr>
            <w:tcW w:w="2018" w:type="pct"/>
          </w:tcPr>
          <w:p w14:paraId="56DE6690"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Wykorzystanie  wyników PSM do formułowania  rekomendacji politycznych wymaga starannego rozważenia.</w:t>
            </w:r>
          </w:p>
        </w:tc>
        <w:tc>
          <w:tcPr>
            <w:tcW w:w="1937" w:type="pct"/>
          </w:tcPr>
          <w:p w14:paraId="2D117D0D"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Błędna interpretacja wyników może prowadzić do nieprawidłowych decyzji politycznych. Ważne jest, aby informować o wynikach PSM w sposób zrozumiały i praktyczny dla decydentów.</w:t>
            </w:r>
          </w:p>
        </w:tc>
      </w:tr>
      <w:tr w:rsidR="001D0854" w:rsidRPr="001D0854" w14:paraId="1C05ABFD" w14:textId="77777777" w:rsidTr="003A6330">
        <w:tc>
          <w:tcPr>
            <w:tcW w:w="1045" w:type="pct"/>
          </w:tcPr>
          <w:p w14:paraId="309DC92F" w14:textId="77777777" w:rsidR="001D0854" w:rsidRPr="001D0854" w:rsidRDefault="001D0854" w:rsidP="001D0854">
            <w:pPr>
              <w:rPr>
                <w:rFonts w:ascii="Times New Roman" w:eastAsia="Aptos" w:hAnsi="Times New Roman" w:cs="Times New Roman"/>
                <w:b/>
                <w:bCs/>
                <w:sz w:val="20"/>
                <w:szCs w:val="20"/>
              </w:rPr>
            </w:pPr>
            <w:r w:rsidRPr="001D0854">
              <w:rPr>
                <w:rFonts w:ascii="Times New Roman" w:eastAsia="Aptos" w:hAnsi="Times New Roman" w:cs="Times New Roman"/>
                <w:b/>
                <w:bCs/>
                <w:sz w:val="20"/>
                <w:szCs w:val="20"/>
              </w:rPr>
              <w:t>Analiza wrażliwości</w:t>
            </w:r>
          </w:p>
        </w:tc>
        <w:tc>
          <w:tcPr>
            <w:tcW w:w="2018" w:type="pct"/>
          </w:tcPr>
          <w:p w14:paraId="303BE2CC"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Przeprowadzanie analiz wrażliwości w celu oceny, jak odporne są wyniki na potencjalne naruszenia założeń PSM.</w:t>
            </w:r>
          </w:p>
        </w:tc>
        <w:tc>
          <w:tcPr>
            <w:tcW w:w="1937" w:type="pct"/>
          </w:tcPr>
          <w:p w14:paraId="047873F8"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Brak analiz wrażliwości utrudnia ocenę wiarygodności wyników PSM, co może prowadzić do niewłaściwych rekomendacji politycznych.</w:t>
            </w:r>
          </w:p>
        </w:tc>
      </w:tr>
      <w:tr w:rsidR="001D0854" w:rsidRPr="001D0854" w14:paraId="6199B16C" w14:textId="77777777" w:rsidTr="003A6330">
        <w:tc>
          <w:tcPr>
            <w:tcW w:w="1045" w:type="pct"/>
          </w:tcPr>
          <w:p w14:paraId="20A3D9E9" w14:textId="77777777" w:rsidR="001D0854" w:rsidRPr="001D0854" w:rsidRDefault="001D0854" w:rsidP="001D0854">
            <w:pPr>
              <w:rPr>
                <w:rFonts w:ascii="Times New Roman" w:eastAsia="Aptos" w:hAnsi="Times New Roman" w:cs="Times New Roman"/>
                <w:b/>
                <w:bCs/>
                <w:sz w:val="20"/>
                <w:szCs w:val="20"/>
              </w:rPr>
            </w:pPr>
            <w:r w:rsidRPr="001D0854">
              <w:rPr>
                <w:rFonts w:ascii="Times New Roman" w:eastAsia="Aptos" w:hAnsi="Times New Roman" w:cs="Times New Roman"/>
                <w:b/>
                <w:bCs/>
                <w:sz w:val="20"/>
                <w:szCs w:val="20"/>
              </w:rPr>
              <w:t>Złożoność obliczeniowa</w:t>
            </w:r>
          </w:p>
        </w:tc>
        <w:tc>
          <w:tcPr>
            <w:tcW w:w="2018" w:type="pct"/>
          </w:tcPr>
          <w:p w14:paraId="48EB80AF"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Niektóre metody dopasowywania, szczególnie te z dużymi zestawami danych lub złożonymi algorytmami (np. Genetic Matching), mogą być  zasobochłonne i wymagać dużych mocy obliczeniowych.</w:t>
            </w:r>
          </w:p>
        </w:tc>
        <w:tc>
          <w:tcPr>
            <w:tcW w:w="1937" w:type="pct"/>
          </w:tcPr>
          <w:p w14:paraId="0DB48687"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Wysokie wymagania obliczeniowe mogą ograniczać możliwość zastosowania niektórych metod w dużych próbach, zwłaszcza w obliczu ograniczeń budżetowych i czasowych typowych dla projektów sektorów publicznych.</w:t>
            </w:r>
          </w:p>
        </w:tc>
      </w:tr>
      <w:tr w:rsidR="001D0854" w:rsidRPr="001D0854" w14:paraId="2121524F" w14:textId="77777777" w:rsidTr="003A6330">
        <w:tc>
          <w:tcPr>
            <w:tcW w:w="1045" w:type="pct"/>
          </w:tcPr>
          <w:p w14:paraId="603867E8" w14:textId="77777777" w:rsidR="001D0854" w:rsidRPr="001D0854" w:rsidRDefault="001D0854" w:rsidP="001D0854">
            <w:pPr>
              <w:rPr>
                <w:rFonts w:ascii="Times New Roman" w:eastAsia="Aptos" w:hAnsi="Times New Roman" w:cs="Times New Roman"/>
                <w:b/>
                <w:bCs/>
                <w:sz w:val="20"/>
                <w:szCs w:val="20"/>
              </w:rPr>
            </w:pPr>
            <w:r w:rsidRPr="001D0854">
              <w:rPr>
                <w:rFonts w:ascii="Times New Roman" w:eastAsia="Aptos" w:hAnsi="Times New Roman" w:cs="Times New Roman"/>
                <w:b/>
                <w:bCs/>
                <w:sz w:val="20"/>
                <w:szCs w:val="20"/>
              </w:rPr>
              <w:t>Uogólnialność</w:t>
            </w:r>
          </w:p>
        </w:tc>
        <w:tc>
          <w:tcPr>
            <w:tcW w:w="2018" w:type="pct"/>
          </w:tcPr>
          <w:p w14:paraId="6EF709CB"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Wyniki PSM mogą być specyficzne dla użytej próby. Uogólnienie wyników na szerszą populację może być problematyczne.</w:t>
            </w:r>
          </w:p>
        </w:tc>
        <w:tc>
          <w:tcPr>
            <w:tcW w:w="1937" w:type="pct"/>
          </w:tcPr>
          <w:p w14:paraId="163F9AC6"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Decydenci muszą dokładnie rozważyć kontekst, w którym uzyskano wyniki, zanim  będą odnosić się do całej populacji badawczej.</w:t>
            </w:r>
          </w:p>
        </w:tc>
      </w:tr>
      <w:tr w:rsidR="001D0854" w:rsidRPr="001D0854" w14:paraId="04D2B509" w14:textId="77777777" w:rsidTr="003A6330">
        <w:tc>
          <w:tcPr>
            <w:tcW w:w="1045" w:type="pct"/>
          </w:tcPr>
          <w:p w14:paraId="165F52E7" w14:textId="77777777" w:rsidR="001D0854" w:rsidRPr="001D0854" w:rsidRDefault="001D0854" w:rsidP="001D0854">
            <w:pPr>
              <w:rPr>
                <w:rFonts w:ascii="Times New Roman" w:eastAsia="Aptos" w:hAnsi="Times New Roman" w:cs="Times New Roman"/>
                <w:b/>
                <w:bCs/>
                <w:sz w:val="20"/>
                <w:szCs w:val="20"/>
              </w:rPr>
            </w:pPr>
            <w:r w:rsidRPr="001D0854">
              <w:rPr>
                <w:rFonts w:ascii="Times New Roman" w:eastAsia="Aptos" w:hAnsi="Times New Roman" w:cs="Times New Roman"/>
                <w:b/>
                <w:bCs/>
                <w:sz w:val="20"/>
                <w:szCs w:val="20"/>
              </w:rPr>
              <w:t>Kwestie prawne i etyczne</w:t>
            </w:r>
          </w:p>
        </w:tc>
        <w:tc>
          <w:tcPr>
            <w:tcW w:w="2018" w:type="pct"/>
          </w:tcPr>
          <w:p w14:paraId="61FC3637"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Zapewnienie, że zbieranie i wykorzystanie danych dla PSM jest zgodne z przepisami prawnymi i standardami etycznymi,  w tym RODO.</w:t>
            </w:r>
          </w:p>
        </w:tc>
        <w:tc>
          <w:tcPr>
            <w:tcW w:w="1937" w:type="pct"/>
          </w:tcPr>
          <w:p w14:paraId="23B8D511"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Kwestie prawne i etyczne mogą ograniczać dostępność i zakres danych, wpływając na solidność procesu dopasowywania i późniejszych ocen.</w:t>
            </w:r>
          </w:p>
        </w:tc>
      </w:tr>
      <w:tr w:rsidR="001D0854" w:rsidRPr="001D0854" w14:paraId="6A317C67" w14:textId="77777777" w:rsidTr="003A6330">
        <w:tc>
          <w:tcPr>
            <w:tcW w:w="1045" w:type="pct"/>
          </w:tcPr>
          <w:p w14:paraId="2277D52A" w14:textId="77777777" w:rsidR="001D0854" w:rsidRPr="001D0854" w:rsidRDefault="001D0854" w:rsidP="001D0854">
            <w:pPr>
              <w:rPr>
                <w:rFonts w:ascii="Times New Roman" w:eastAsia="Aptos" w:hAnsi="Times New Roman" w:cs="Times New Roman"/>
                <w:b/>
                <w:bCs/>
                <w:sz w:val="20"/>
                <w:szCs w:val="20"/>
              </w:rPr>
            </w:pPr>
            <w:r w:rsidRPr="001D0854">
              <w:rPr>
                <w:rFonts w:ascii="Times New Roman" w:eastAsia="Aptos" w:hAnsi="Times New Roman" w:cs="Times New Roman"/>
                <w:b/>
                <w:bCs/>
                <w:sz w:val="20"/>
                <w:szCs w:val="20"/>
              </w:rPr>
              <w:t>Wybór metody  łączenia</w:t>
            </w:r>
          </w:p>
        </w:tc>
        <w:tc>
          <w:tcPr>
            <w:tcW w:w="2018" w:type="pct"/>
          </w:tcPr>
          <w:p w14:paraId="6A397D41"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Wybór najbardziej odpowiedniej metody dopasowania  w oparciu o kontekst i dane.</w:t>
            </w:r>
          </w:p>
        </w:tc>
        <w:tc>
          <w:tcPr>
            <w:tcW w:w="1937" w:type="pct"/>
          </w:tcPr>
          <w:p w14:paraId="3A870E04" w14:textId="77777777" w:rsidR="001D0854" w:rsidRPr="001D0854" w:rsidRDefault="001D0854" w:rsidP="001D0854">
            <w:pPr>
              <w:ind w:firstLine="12"/>
              <w:rPr>
                <w:rFonts w:ascii="Times New Roman" w:eastAsia="Aptos" w:hAnsi="Times New Roman" w:cs="Times New Roman"/>
                <w:sz w:val="20"/>
                <w:szCs w:val="20"/>
              </w:rPr>
            </w:pPr>
            <w:r w:rsidRPr="001D0854">
              <w:rPr>
                <w:rFonts w:ascii="Times New Roman" w:eastAsia="Aptos" w:hAnsi="Times New Roman" w:cs="Times New Roman"/>
                <w:sz w:val="20"/>
                <w:szCs w:val="20"/>
              </w:rPr>
              <w:t>Niewłaściwa metoda może prowadzić do niskiej jakości dopasowania i stronniczych oszacowań wpływu.</w:t>
            </w:r>
          </w:p>
        </w:tc>
      </w:tr>
    </w:tbl>
    <w:p w14:paraId="077E6A2A" w14:textId="77777777" w:rsidR="001D0854" w:rsidRPr="00321F1B" w:rsidRDefault="001D0854" w:rsidP="001D0854">
      <w:pPr>
        <w:spacing w:line="259" w:lineRule="auto"/>
        <w:jc w:val="both"/>
        <w:rPr>
          <w:rFonts w:ascii="Times New Roman" w:eastAsia="Aptos" w:hAnsi="Times New Roman" w:cs="Times New Roman"/>
          <w:i/>
          <w:iCs/>
        </w:rPr>
      </w:pPr>
      <w:r w:rsidRPr="00321F1B">
        <w:rPr>
          <w:rFonts w:ascii="Times New Roman" w:eastAsia="Aptos" w:hAnsi="Times New Roman" w:cs="Times New Roman"/>
          <w:i/>
          <w:iCs/>
        </w:rPr>
        <w:t>Źródło: badania własne (z wykorzystaniem analizy bibliometrycznej i systematycznego przeglądu literatury).</w:t>
      </w:r>
    </w:p>
    <w:p w14:paraId="17BB9292" w14:textId="77777777" w:rsidR="001D0854" w:rsidRPr="001D0854" w:rsidRDefault="001D0854" w:rsidP="001D0854">
      <w:pPr>
        <w:spacing w:line="259" w:lineRule="auto"/>
        <w:jc w:val="both"/>
        <w:rPr>
          <w:rFonts w:ascii="Times New Roman" w:eastAsia="Times New Roman" w:hAnsi="Times New Roman" w:cs="Times New Roman"/>
          <w:kern w:val="0"/>
          <w:sz w:val="28"/>
          <w:szCs w:val="28"/>
          <w14:ligatures w14:val="none"/>
        </w:rPr>
      </w:pPr>
      <w:r w:rsidRPr="001D0854">
        <w:rPr>
          <w:rFonts w:ascii="Times New Roman" w:eastAsia="Times New Roman" w:hAnsi="Times New Roman" w:cs="Times New Roman"/>
          <w:kern w:val="0"/>
          <w:sz w:val="28"/>
          <w:szCs w:val="28"/>
          <w14:ligatures w14:val="none"/>
        </w:rPr>
        <w:t>Z punktu widzenia ewaluacji polityk publicznych istotną rolę jako źródło informacji odgrywają tzw. dane zagregowane. Do tego problemu metodologicznego odnoszą się Langeworthy, Wu i Wang (ramka 3).</w:t>
      </w:r>
    </w:p>
    <w:p w14:paraId="11F29F31" w14:textId="77777777" w:rsidR="001D0854" w:rsidRPr="001D0854" w:rsidRDefault="001D0854" w:rsidP="001D0854">
      <w:pPr>
        <w:spacing w:line="259" w:lineRule="auto"/>
        <w:rPr>
          <w:rFonts w:ascii="Times New Roman" w:eastAsia="Times New Roman" w:hAnsi="Times New Roman" w:cs="Times New Roman"/>
          <w:kern w:val="0"/>
          <w:sz w:val="28"/>
          <w:szCs w:val="28"/>
          <w14:ligatures w14:val="none"/>
        </w:rPr>
      </w:pPr>
      <w:r w:rsidRPr="001D0854">
        <w:rPr>
          <w:rFonts w:ascii="Times New Roman" w:eastAsia="Times New Roman" w:hAnsi="Times New Roman" w:cs="Times New Roman"/>
          <w:kern w:val="0"/>
          <w:sz w:val="28"/>
          <w:szCs w:val="28"/>
          <w14:ligatures w14:val="none"/>
        </w:rPr>
        <w:br w:type="page"/>
      </w:r>
    </w:p>
    <w:p w14:paraId="23D1DE77" w14:textId="77777777" w:rsidR="001D0854" w:rsidRPr="001D0854" w:rsidRDefault="001D0854" w:rsidP="001D0854">
      <w:pPr>
        <w:spacing w:line="259" w:lineRule="auto"/>
        <w:jc w:val="both"/>
        <w:rPr>
          <w:rFonts w:ascii="Times New Roman" w:eastAsia="Times New Roman" w:hAnsi="Times New Roman" w:cs="Times New Roman"/>
          <w:kern w:val="0"/>
          <w14:ligatures w14:val="none"/>
        </w:rPr>
      </w:pPr>
      <w:r w:rsidRPr="00321F1B">
        <w:rPr>
          <w:rFonts w:ascii="Times New Roman" w:eastAsia="Times New Roman" w:hAnsi="Times New Roman" w:cs="Times New Roman"/>
          <w:b/>
          <w:bCs/>
          <w:kern w:val="0"/>
          <w14:ligatures w14:val="none"/>
        </w:rPr>
        <w:lastRenderedPageBreak/>
        <w:t>Ramka 3.</w:t>
      </w:r>
      <w:r w:rsidRPr="001D0854">
        <w:rPr>
          <w:rFonts w:ascii="Times New Roman" w:eastAsia="Times New Roman" w:hAnsi="Times New Roman" w:cs="Times New Roman"/>
          <w:kern w:val="0"/>
          <w14:ligatures w14:val="none"/>
        </w:rPr>
        <w:t xml:space="preserve"> PSM dla danych zagregowanych</w:t>
      </w:r>
    </w:p>
    <w:tbl>
      <w:tblPr>
        <w:tblStyle w:val="Tabela-Siatka"/>
        <w:tblW w:w="0" w:type="auto"/>
        <w:shd w:val="clear" w:color="auto" w:fill="D9D9D9"/>
        <w:tblLook w:val="00A0" w:firstRow="1" w:lastRow="0" w:firstColumn="1" w:lastColumn="0" w:noHBand="0" w:noVBand="0"/>
      </w:tblPr>
      <w:tblGrid>
        <w:gridCol w:w="9062"/>
      </w:tblGrid>
      <w:tr w:rsidR="001D0854" w:rsidRPr="001D0854" w14:paraId="35A9FF10" w14:textId="77777777" w:rsidTr="001D0854">
        <w:tc>
          <w:tcPr>
            <w:tcW w:w="9212" w:type="dxa"/>
            <w:shd w:val="clear" w:color="auto" w:fill="D9D9D9"/>
          </w:tcPr>
          <w:p w14:paraId="45502F88" w14:textId="77777777" w:rsidR="001D0854" w:rsidRPr="001D0854" w:rsidRDefault="001D0854" w:rsidP="001D0854">
            <w:pPr>
              <w:numPr>
                <w:ilvl w:val="0"/>
                <w:numId w:val="54"/>
              </w:numPr>
              <w:spacing w:line="276" w:lineRule="auto"/>
              <w:contextualSpacing/>
              <w:jc w:val="both"/>
              <w:rPr>
                <w:rFonts w:ascii="Times New Roman" w:eastAsia="Times New Roman" w:hAnsi="Times New Roman" w:cs="Times New Roman"/>
                <w:kern w:val="0"/>
                <w14:ligatures w14:val="none"/>
              </w:rPr>
            </w:pPr>
            <w:r w:rsidRPr="001D0854">
              <w:rPr>
                <w:rFonts w:ascii="Times New Roman" w:eastAsia="Times New Roman" w:hAnsi="Times New Roman" w:cs="Times New Roman"/>
                <w:kern w:val="0"/>
                <w14:ligatures w14:val="none"/>
              </w:rPr>
              <w:t>Oszacowanie efektów przyczynowych w badaniach obserwacyjnych jest trudne ze względu na potencjalne czynniki zakłócające.</w:t>
            </w:r>
          </w:p>
          <w:p w14:paraId="303C4601" w14:textId="77777777" w:rsidR="001D0854" w:rsidRPr="001D0854" w:rsidRDefault="001D0854" w:rsidP="001D0854">
            <w:pPr>
              <w:numPr>
                <w:ilvl w:val="0"/>
                <w:numId w:val="54"/>
              </w:numPr>
              <w:spacing w:line="276" w:lineRule="auto"/>
              <w:contextualSpacing/>
              <w:jc w:val="both"/>
              <w:rPr>
                <w:rFonts w:ascii="Times New Roman" w:eastAsia="Times New Roman" w:hAnsi="Times New Roman" w:cs="Times New Roman"/>
                <w:kern w:val="0"/>
                <w14:ligatures w14:val="none"/>
              </w:rPr>
            </w:pPr>
            <w:r w:rsidRPr="001D0854">
              <w:rPr>
                <w:rFonts w:ascii="Times New Roman" w:eastAsia="Times New Roman" w:hAnsi="Times New Roman" w:cs="Times New Roman"/>
                <w:b/>
                <w:bCs/>
                <w:kern w:val="0"/>
                <w14:ligatures w14:val="none"/>
              </w:rPr>
              <w:t>Wskaźnik Propensity Score (PS)</w:t>
            </w:r>
            <w:r w:rsidRPr="001D0854">
              <w:rPr>
                <w:rFonts w:ascii="Times New Roman" w:eastAsia="Times New Roman" w:hAnsi="Times New Roman" w:cs="Times New Roman"/>
                <w:kern w:val="0"/>
                <w14:ligatures w14:val="none"/>
              </w:rPr>
              <w:t xml:space="preserve"> jest niezbędny do uzyskania spójnych szacunków efektów przyczynowych. PS definiuje się jako ( P(Z=1|</w:t>
            </w:r>
            <w:r w:rsidRPr="001D0854">
              <w:rPr>
                <w:rFonts w:ascii="Times New Roman" w:eastAsia="Times New Roman" w:hAnsi="Times New Roman" w:cs="Times New Roman"/>
                <w:b/>
                <w:bCs/>
                <w:kern w:val="0"/>
                <w14:ligatures w14:val="none"/>
              </w:rPr>
              <w:t>X</w:t>
            </w:r>
            <w:r w:rsidRPr="001D0854">
              <w:rPr>
                <w:rFonts w:ascii="Times New Roman" w:eastAsia="Times New Roman" w:hAnsi="Times New Roman" w:cs="Times New Roman"/>
                <w:kern w:val="0"/>
                <w14:ligatures w14:val="none"/>
              </w:rPr>
              <w:t>) ).</w:t>
            </w:r>
          </w:p>
          <w:p w14:paraId="135666CA" w14:textId="77777777" w:rsidR="001D0854" w:rsidRPr="001D0854" w:rsidRDefault="001D0854" w:rsidP="001D0854">
            <w:pPr>
              <w:numPr>
                <w:ilvl w:val="0"/>
                <w:numId w:val="54"/>
              </w:numPr>
              <w:spacing w:line="276" w:lineRule="auto"/>
              <w:contextualSpacing/>
              <w:jc w:val="both"/>
              <w:rPr>
                <w:rFonts w:ascii="Times New Roman" w:eastAsia="Times New Roman" w:hAnsi="Times New Roman" w:cs="Times New Roman"/>
                <w:kern w:val="0"/>
                <w14:ligatures w14:val="none"/>
              </w:rPr>
            </w:pPr>
            <w:r w:rsidRPr="001D0854">
              <w:rPr>
                <w:rFonts w:ascii="Times New Roman" w:eastAsia="Times New Roman" w:hAnsi="Times New Roman" w:cs="Times New Roman"/>
                <w:kern w:val="0"/>
                <w14:ligatures w14:val="none"/>
              </w:rPr>
              <w:t>Balancing Score  (</w:t>
            </w:r>
            <w:r w:rsidRPr="001D0854">
              <w:rPr>
                <w:rFonts w:ascii="Times New Roman" w:eastAsia="Times New Roman" w:hAnsi="Times New Roman" w:cs="Times New Roman"/>
                <w:i/>
                <w:iCs/>
                <w:kern w:val="0"/>
                <w14:ligatures w14:val="none"/>
              </w:rPr>
              <w:t>b</w:t>
            </w:r>
            <w:r w:rsidRPr="001D0854">
              <w:rPr>
                <w:rFonts w:ascii="Times New Roman" w:eastAsia="Times New Roman" w:hAnsi="Times New Roman" w:cs="Times New Roman"/>
                <w:kern w:val="0"/>
                <w14:ligatures w14:val="none"/>
              </w:rPr>
              <w:t>(</w:t>
            </w:r>
            <w:r w:rsidRPr="001D0854">
              <w:rPr>
                <w:rFonts w:ascii="Times New Roman" w:eastAsia="Times New Roman" w:hAnsi="Times New Roman" w:cs="Times New Roman"/>
                <w:b/>
                <w:bCs/>
                <w:kern w:val="0"/>
                <w14:ligatures w14:val="none"/>
              </w:rPr>
              <w:t>X</w:t>
            </w:r>
            <w:r w:rsidRPr="001D0854">
              <w:rPr>
                <w:rFonts w:ascii="Times New Roman" w:eastAsia="Times New Roman" w:hAnsi="Times New Roman" w:cs="Times New Roman"/>
                <w:kern w:val="0"/>
                <w14:ligatures w14:val="none"/>
              </w:rPr>
              <w:t xml:space="preserve">)), jest definiowany jako dowolny wynik taki, że  </w:t>
            </w:r>
            <w:r w:rsidRPr="001D0854">
              <w:rPr>
                <w:rFonts w:ascii="Times New Roman" w:eastAsia="Times New Roman" w:hAnsi="Times New Roman" w:cs="Times New Roman"/>
                <w:b/>
                <w:bCs/>
                <w:kern w:val="0"/>
                <w14:ligatures w14:val="none"/>
              </w:rPr>
              <w:t xml:space="preserve">X </w:t>
            </w:r>
            <w:r w:rsidRPr="001D0854">
              <w:rPr>
                <w:rFonts w:ascii="Cambria Math" w:eastAsia="Times New Roman" w:hAnsi="Cambria Math" w:cs="Cambria Math"/>
                <w:kern w:val="0"/>
                <w14:ligatures w14:val="none"/>
              </w:rPr>
              <w:t>⊥⊥</w:t>
            </w:r>
            <w:r w:rsidRPr="001D0854">
              <w:rPr>
                <w:rFonts w:ascii="Times New Roman" w:eastAsia="Times New Roman" w:hAnsi="Times New Roman" w:cs="Times New Roman"/>
                <w:kern w:val="0"/>
                <w14:ligatures w14:val="none"/>
              </w:rPr>
              <w:t>Z|b(</w:t>
            </w:r>
            <w:r w:rsidRPr="001D0854">
              <w:rPr>
                <w:rFonts w:ascii="Times New Roman" w:eastAsia="Times New Roman" w:hAnsi="Times New Roman" w:cs="Times New Roman"/>
                <w:b/>
                <w:bCs/>
                <w:kern w:val="0"/>
                <w14:ligatures w14:val="none"/>
              </w:rPr>
              <w:t>X</w:t>
            </w:r>
            <w:r w:rsidRPr="001D0854">
              <w:rPr>
                <w:rFonts w:ascii="Times New Roman" w:eastAsia="Times New Roman" w:hAnsi="Times New Roman" w:cs="Times New Roman"/>
                <w:kern w:val="0"/>
                <w14:ligatures w14:val="none"/>
              </w:rPr>
              <w:t xml:space="preserve">) , gdzie </w:t>
            </w:r>
            <w:r w:rsidRPr="001D0854">
              <w:rPr>
                <w:rFonts w:ascii="Cambria Math" w:eastAsia="Times New Roman" w:hAnsi="Cambria Math" w:cs="Cambria Math"/>
                <w:kern w:val="0"/>
                <w14:ligatures w14:val="none"/>
              </w:rPr>
              <w:t>⊥⊥</w:t>
            </w:r>
            <w:r w:rsidRPr="001D0854">
              <w:rPr>
                <w:rFonts w:ascii="Times New Roman" w:eastAsia="Times New Roman" w:hAnsi="Times New Roman" w:cs="Times New Roman"/>
                <w:kern w:val="0"/>
                <w14:ligatures w14:val="none"/>
              </w:rPr>
              <w:t xml:space="preserve"> wskazuje, że dwie zmienne losowe są od siebie niezależne. Metody takie jak ważenie PS lub dopasowanie mogą kontrolować potencjalne zakłócenia spowodowane przez ( X ).</w:t>
            </w:r>
          </w:p>
          <w:p w14:paraId="74B1FF5D" w14:textId="77777777" w:rsidR="001D0854" w:rsidRPr="001D0854" w:rsidRDefault="001D0854" w:rsidP="001D0854">
            <w:pPr>
              <w:numPr>
                <w:ilvl w:val="0"/>
                <w:numId w:val="54"/>
              </w:numPr>
              <w:spacing w:line="276" w:lineRule="auto"/>
              <w:contextualSpacing/>
              <w:jc w:val="both"/>
              <w:rPr>
                <w:rFonts w:ascii="Times New Roman" w:eastAsia="Times New Roman" w:hAnsi="Times New Roman" w:cs="Times New Roman"/>
                <w:kern w:val="0"/>
                <w14:ligatures w14:val="none"/>
              </w:rPr>
            </w:pPr>
            <w:r w:rsidRPr="001D0854">
              <w:rPr>
                <w:rFonts w:ascii="Times New Roman" w:eastAsia="Times New Roman" w:hAnsi="Times New Roman" w:cs="Times New Roman"/>
                <w:kern w:val="0"/>
                <w14:ligatures w14:val="none"/>
              </w:rPr>
              <w:t>W badaniach  na danych zaagregowanych (</w:t>
            </w:r>
            <w:r w:rsidRPr="001D0854">
              <w:rPr>
                <w:rFonts w:ascii="Times New Roman" w:eastAsia="Times New Roman" w:hAnsi="Times New Roman" w:cs="Times New Roman"/>
                <w:i/>
                <w:iCs/>
                <w:kern w:val="0"/>
                <w14:ligatures w14:val="none"/>
              </w:rPr>
              <w:t>clustred</w:t>
            </w:r>
            <w:r w:rsidRPr="001D0854">
              <w:rPr>
                <w:rFonts w:ascii="Times New Roman" w:eastAsia="Times New Roman" w:hAnsi="Times New Roman" w:cs="Times New Roman"/>
                <w:kern w:val="0"/>
                <w14:ligatures w14:val="none"/>
              </w:rPr>
              <w:t>) leczenie (lub: interwencja programu polityki publicznej) i  wynik występują na poziomie indywidualnym, a klaster może być czynnikiem zakłócającym.</w:t>
            </w:r>
          </w:p>
          <w:p w14:paraId="6B9E8486" w14:textId="77777777" w:rsidR="001D0854" w:rsidRPr="001D0854" w:rsidRDefault="001D0854" w:rsidP="001D0854">
            <w:pPr>
              <w:numPr>
                <w:ilvl w:val="0"/>
                <w:numId w:val="54"/>
              </w:numPr>
              <w:spacing w:line="276" w:lineRule="auto"/>
              <w:contextualSpacing/>
              <w:jc w:val="both"/>
              <w:rPr>
                <w:rFonts w:ascii="Times New Roman" w:eastAsia="Times New Roman" w:hAnsi="Times New Roman" w:cs="Times New Roman"/>
                <w:kern w:val="0"/>
                <w14:ligatures w14:val="none"/>
              </w:rPr>
            </w:pPr>
            <w:r w:rsidRPr="001D0854">
              <w:rPr>
                <w:rFonts w:ascii="Times New Roman" w:eastAsia="Times New Roman" w:hAnsi="Times New Roman" w:cs="Times New Roman"/>
                <w:kern w:val="0"/>
                <w14:ligatures w14:val="none"/>
              </w:rPr>
              <w:t>Zmienna klastrowa jest zazwyczaj kategorialna, co stanowi wyzwanie przy małej liczbie obserwacji na kategorię.</w:t>
            </w:r>
          </w:p>
          <w:p w14:paraId="3B4EFEB1" w14:textId="77777777" w:rsidR="001D0854" w:rsidRPr="001D0854" w:rsidRDefault="001D0854" w:rsidP="001D0854">
            <w:pPr>
              <w:numPr>
                <w:ilvl w:val="0"/>
                <w:numId w:val="54"/>
              </w:numPr>
              <w:spacing w:line="276" w:lineRule="auto"/>
              <w:contextualSpacing/>
              <w:jc w:val="both"/>
              <w:rPr>
                <w:rFonts w:ascii="Times New Roman" w:eastAsia="Times New Roman" w:hAnsi="Times New Roman" w:cs="Times New Roman"/>
                <w:kern w:val="0"/>
                <w14:ligatures w14:val="none"/>
              </w:rPr>
            </w:pPr>
            <w:r w:rsidRPr="001D0854">
              <w:rPr>
                <w:rFonts w:ascii="Times New Roman" w:eastAsia="Times New Roman" w:hAnsi="Times New Roman" w:cs="Times New Roman"/>
                <w:kern w:val="0"/>
                <w14:ligatures w14:val="none"/>
              </w:rPr>
              <w:t>Dopasowanie PS dobiera uczestników poddanych leczeniu do nieleczonych o podobnym PS. Pełne dopasowanie pozwala na różną liczbę leczonych i nieleczonych uczestników w każdej grupie.</w:t>
            </w:r>
          </w:p>
          <w:p w14:paraId="608DA96F" w14:textId="77777777" w:rsidR="001D0854" w:rsidRPr="001D0854" w:rsidRDefault="001D0854" w:rsidP="001D0854">
            <w:pPr>
              <w:numPr>
                <w:ilvl w:val="0"/>
                <w:numId w:val="54"/>
              </w:numPr>
              <w:spacing w:line="276" w:lineRule="auto"/>
              <w:contextualSpacing/>
              <w:jc w:val="both"/>
              <w:rPr>
                <w:rFonts w:ascii="Times New Roman" w:eastAsia="Times New Roman" w:hAnsi="Times New Roman" w:cs="Times New Roman"/>
                <w:kern w:val="0"/>
                <w14:ligatures w14:val="none"/>
              </w:rPr>
            </w:pPr>
            <w:r w:rsidRPr="001D0854">
              <w:rPr>
                <w:rFonts w:ascii="Times New Roman" w:eastAsia="Times New Roman" w:hAnsi="Times New Roman" w:cs="Times New Roman"/>
                <w:kern w:val="0"/>
                <w14:ligatures w14:val="none"/>
              </w:rPr>
              <w:t>Metody matchingu  PS są odporne na pewne błędne specyfikacje modelu. Odchylenie szacunków ATT zależy od prawdziwego modelu wyniku i PS.</w:t>
            </w:r>
          </w:p>
        </w:tc>
      </w:tr>
    </w:tbl>
    <w:p w14:paraId="55AAC654" w14:textId="77777777" w:rsidR="001D0854" w:rsidRPr="00321F1B" w:rsidRDefault="001D0854" w:rsidP="001D0854">
      <w:pPr>
        <w:spacing w:line="259" w:lineRule="auto"/>
        <w:jc w:val="both"/>
        <w:rPr>
          <w:rFonts w:ascii="Times New Roman" w:eastAsia="Times New Roman" w:hAnsi="Times New Roman" w:cs="Times New Roman"/>
          <w:i/>
          <w:iCs/>
          <w:kern w:val="0"/>
          <w14:ligatures w14:val="none"/>
        </w:rPr>
      </w:pPr>
      <w:r w:rsidRPr="00321F1B">
        <w:rPr>
          <w:rFonts w:ascii="Times New Roman" w:eastAsia="Times New Roman" w:hAnsi="Times New Roman" w:cs="Times New Roman"/>
          <w:i/>
          <w:iCs/>
          <w:kern w:val="0"/>
          <w14:ligatures w14:val="none"/>
        </w:rPr>
        <w:t>Źródło: adaptacja Langworthy, Wu i Wang (2023).</w:t>
      </w:r>
    </w:p>
    <w:p w14:paraId="1387633A" w14:textId="516C8086" w:rsidR="001D0854" w:rsidRPr="001D0854" w:rsidRDefault="001D0854" w:rsidP="001D0854">
      <w:pPr>
        <w:spacing w:line="259" w:lineRule="auto"/>
        <w:ind w:firstLine="709"/>
        <w:jc w:val="both"/>
        <w:rPr>
          <w:rFonts w:ascii="Times New Roman" w:eastAsia="Times New Roman" w:hAnsi="Times New Roman" w:cs="Times New Roman"/>
          <w:kern w:val="0"/>
          <w:sz w:val="28"/>
          <w:szCs w:val="28"/>
          <w14:ligatures w14:val="none"/>
        </w:rPr>
      </w:pPr>
      <w:r w:rsidRPr="001D0854">
        <w:rPr>
          <w:rFonts w:ascii="Times New Roman" w:eastAsia="Times New Roman" w:hAnsi="Times New Roman" w:cs="Times New Roman"/>
          <w:kern w:val="0"/>
          <w:sz w:val="28"/>
          <w:szCs w:val="28"/>
          <w14:ligatures w14:val="none"/>
        </w:rPr>
        <w:t xml:space="preserve">W tabeli </w:t>
      </w:r>
      <w:r w:rsidR="00A66183">
        <w:rPr>
          <w:rFonts w:ascii="Times New Roman" w:eastAsia="Times New Roman" w:hAnsi="Times New Roman" w:cs="Times New Roman"/>
          <w:kern w:val="0"/>
          <w:sz w:val="28"/>
          <w:szCs w:val="28"/>
          <w14:ligatures w14:val="none"/>
        </w:rPr>
        <w:t>6</w:t>
      </w:r>
      <w:r w:rsidRPr="001D0854">
        <w:rPr>
          <w:rFonts w:ascii="Times New Roman" w:eastAsia="Times New Roman" w:hAnsi="Times New Roman" w:cs="Times New Roman"/>
          <w:kern w:val="0"/>
          <w:sz w:val="28"/>
          <w:szCs w:val="28"/>
          <w14:ligatures w14:val="none"/>
        </w:rPr>
        <w:t xml:space="preserve"> zestawiono metody matchingu PS  w zależności od korelacji zmiennych X i U, czyli niemierzalnych zmiennych dotyczących poziomu klastra. Reasumując,  przy danych zagregowanych warto jest zastosować metodę regresji logistycznej z efektami stałymi (FE). </w:t>
      </w:r>
    </w:p>
    <w:p w14:paraId="4BF67253" w14:textId="77777777" w:rsidR="001D0854" w:rsidRPr="001D0854" w:rsidRDefault="001D0854" w:rsidP="001D0854">
      <w:pPr>
        <w:spacing w:after="0" w:line="240" w:lineRule="auto"/>
        <w:rPr>
          <w:rFonts w:ascii="Cambria" w:eastAsia="Times New Roman" w:hAnsi="Cambria" w:cs="Times New Roman"/>
          <w:color w:val="333333"/>
          <w:kern w:val="0"/>
          <w:lang w:eastAsia="pl-PL"/>
          <w14:ligatures w14:val="none"/>
        </w:rPr>
      </w:pPr>
    </w:p>
    <w:p w14:paraId="488CB437" w14:textId="618EDC53" w:rsidR="001D0854" w:rsidRPr="00E226AA" w:rsidRDefault="001D0854" w:rsidP="001D0854">
      <w:pPr>
        <w:spacing w:line="259" w:lineRule="auto"/>
        <w:jc w:val="both"/>
        <w:rPr>
          <w:rFonts w:ascii="Cambria" w:eastAsia="Aptos" w:hAnsi="Cambria" w:cs="Times New Roman"/>
          <w:color w:val="333333"/>
          <w:spacing w:val="-6"/>
          <w:sz w:val="28"/>
          <w:szCs w:val="28"/>
        </w:rPr>
      </w:pPr>
      <w:r w:rsidRPr="00E226AA">
        <w:rPr>
          <w:rFonts w:ascii="Times New Roman" w:eastAsia="Times New Roman" w:hAnsi="Times New Roman" w:cs="Times New Roman"/>
          <w:b/>
          <w:bCs/>
          <w:spacing w:val="-6"/>
          <w:kern w:val="0"/>
          <w:sz w:val="28"/>
          <w:szCs w:val="28"/>
          <w14:ligatures w14:val="none"/>
        </w:rPr>
        <w:t xml:space="preserve">Tabela </w:t>
      </w:r>
      <w:r w:rsidR="00A66183">
        <w:rPr>
          <w:rFonts w:ascii="Times New Roman" w:eastAsia="Times New Roman" w:hAnsi="Times New Roman" w:cs="Times New Roman"/>
          <w:b/>
          <w:bCs/>
          <w:spacing w:val="-6"/>
          <w:kern w:val="0"/>
          <w:sz w:val="28"/>
          <w:szCs w:val="28"/>
          <w14:ligatures w14:val="none"/>
        </w:rPr>
        <w:t>6</w:t>
      </w:r>
      <w:r w:rsidRPr="00E226AA">
        <w:rPr>
          <w:rFonts w:ascii="Times New Roman" w:eastAsia="Times New Roman" w:hAnsi="Times New Roman" w:cs="Times New Roman"/>
          <w:b/>
          <w:bCs/>
          <w:spacing w:val="-6"/>
          <w:kern w:val="0"/>
          <w:sz w:val="28"/>
          <w:szCs w:val="28"/>
          <w14:ligatures w14:val="none"/>
        </w:rPr>
        <w:t>.</w:t>
      </w:r>
      <w:r w:rsidRPr="00E226AA">
        <w:rPr>
          <w:rFonts w:ascii="Times New Roman" w:eastAsia="Times New Roman" w:hAnsi="Times New Roman" w:cs="Times New Roman"/>
          <w:spacing w:val="-6"/>
          <w:kern w:val="0"/>
          <w:sz w:val="28"/>
          <w:szCs w:val="28"/>
          <w14:ligatures w14:val="none"/>
        </w:rPr>
        <w:t xml:space="preserve"> Przegląd funkcji matchingu PS w zależności od korelacji zmiennych X i U </w:t>
      </w:r>
    </w:p>
    <w:tbl>
      <w:tblPr>
        <w:tblStyle w:val="Tabela-Siatka"/>
        <w:tblW w:w="5000" w:type="pct"/>
        <w:tblLook w:val="04A0" w:firstRow="1" w:lastRow="0" w:firstColumn="1" w:lastColumn="0" w:noHBand="0" w:noVBand="1"/>
      </w:tblPr>
      <w:tblGrid>
        <w:gridCol w:w="3014"/>
        <w:gridCol w:w="3706"/>
        <w:gridCol w:w="2342"/>
      </w:tblGrid>
      <w:tr w:rsidR="001D0854" w:rsidRPr="001D0854" w14:paraId="5A40F92C" w14:textId="77777777" w:rsidTr="003A6330">
        <w:tc>
          <w:tcPr>
            <w:tcW w:w="1663" w:type="pct"/>
            <w:hideMark/>
          </w:tcPr>
          <w:p w14:paraId="58EA888E"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rPr>
              <w:t>Metoda estymacji PS</w:t>
            </w:r>
          </w:p>
        </w:tc>
        <w:tc>
          <w:tcPr>
            <w:tcW w:w="2045" w:type="pct"/>
            <w:hideMark/>
          </w:tcPr>
          <w:p w14:paraId="3885A2FA"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sz w:val="23"/>
                <w:szCs w:val="23"/>
                <w:bdr w:val="none" w:sz="0" w:space="0" w:color="auto" w:frame="1"/>
              </w:rPr>
              <w:t>X</w:t>
            </w:r>
            <w:r w:rsidRPr="001D0854">
              <w:rPr>
                <w:rFonts w:ascii="Cambria Math" w:eastAsia="Aptos" w:hAnsi="Cambria Math" w:cs="Cambria Math"/>
                <w:b/>
                <w:bCs/>
                <w:sz w:val="23"/>
                <w:szCs w:val="23"/>
                <w:bdr w:val="none" w:sz="0" w:space="0" w:color="auto" w:frame="1"/>
              </w:rPr>
              <w:t>⊥⊥</w:t>
            </w:r>
            <w:r w:rsidRPr="001D0854">
              <w:rPr>
                <w:rFonts w:ascii="Times New Roman" w:eastAsia="Aptos" w:hAnsi="Times New Roman" w:cs="Times New Roman"/>
                <w:b/>
                <w:bCs/>
                <w:sz w:val="23"/>
                <w:szCs w:val="23"/>
                <w:bdr w:val="none" w:sz="0" w:space="0" w:color="auto" w:frame="1"/>
              </w:rPr>
              <w:t>U</w:t>
            </w:r>
          </w:p>
        </w:tc>
        <w:tc>
          <w:tcPr>
            <w:tcW w:w="1292" w:type="pct"/>
            <w:hideMark/>
          </w:tcPr>
          <w:p w14:paraId="79CA202B" w14:textId="77777777" w:rsidR="001D0854" w:rsidRPr="001D0854" w:rsidRDefault="001D0854" w:rsidP="001D0854">
            <w:pPr>
              <w:rPr>
                <w:rFonts w:ascii="Times New Roman" w:eastAsia="Aptos" w:hAnsi="Times New Roman" w:cs="Times New Roman"/>
                <w:b/>
                <w:bCs/>
              </w:rPr>
            </w:pPr>
            <w:r w:rsidRPr="001D0854">
              <w:rPr>
                <w:rFonts w:ascii="Times New Roman" w:eastAsia="Aptos" w:hAnsi="Times New Roman" w:cs="Times New Roman"/>
                <w:b/>
                <w:bCs/>
                <w:sz w:val="23"/>
                <w:szCs w:val="23"/>
                <w:bdr w:val="none" w:sz="0" w:space="0" w:color="auto" w:frame="1"/>
              </w:rPr>
              <w:t>X</w:t>
            </w:r>
            <w:r w:rsidRPr="001D0854">
              <w:rPr>
                <w:rFonts w:ascii="Times New Roman" w:eastAsia="Aptos" w:hAnsi="Times New Roman" w:cs="Times New Roman"/>
                <w:b/>
                <w:bCs/>
              </w:rPr>
              <w:t> i  </w:t>
            </w:r>
            <w:r w:rsidRPr="001D0854">
              <w:rPr>
                <w:rFonts w:ascii="Times New Roman" w:eastAsia="Aptos" w:hAnsi="Times New Roman" w:cs="Times New Roman"/>
                <w:b/>
                <w:bCs/>
                <w:sz w:val="23"/>
                <w:szCs w:val="23"/>
                <w:bdr w:val="none" w:sz="0" w:space="0" w:color="auto" w:frame="1"/>
              </w:rPr>
              <w:t>U</w:t>
            </w:r>
            <w:r w:rsidRPr="001D0854">
              <w:rPr>
                <w:rFonts w:ascii="Times New Roman" w:eastAsia="Aptos" w:hAnsi="Times New Roman" w:cs="Times New Roman"/>
                <w:b/>
                <w:bCs/>
              </w:rPr>
              <w:t> skorleowane</w:t>
            </w:r>
          </w:p>
        </w:tc>
      </w:tr>
      <w:tr w:rsidR="001D0854" w:rsidRPr="001D0854" w14:paraId="6B63990A" w14:textId="77777777" w:rsidTr="003A6330">
        <w:trPr>
          <w:trHeight w:val="210"/>
        </w:trPr>
        <w:tc>
          <w:tcPr>
            <w:tcW w:w="1663" w:type="pct"/>
            <w:hideMark/>
          </w:tcPr>
          <w:p w14:paraId="09A3E807"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Logistyczna</w:t>
            </w:r>
          </w:p>
        </w:tc>
        <w:tc>
          <w:tcPr>
            <w:tcW w:w="2045" w:type="pct"/>
            <w:hideMark/>
          </w:tcPr>
          <w:p w14:paraId="7008FC41" w14:textId="77777777" w:rsidR="001D0854" w:rsidRPr="001D0854" w:rsidRDefault="001D0854" w:rsidP="001D0854">
            <w:pPr>
              <w:rPr>
                <w:rFonts w:ascii="Times New Roman" w:eastAsia="Aptos" w:hAnsi="Times New Roman" w:cs="Times New Roman"/>
                <w:lang w:val="en-US"/>
              </w:rPr>
            </w:pPr>
            <w:r w:rsidRPr="001D0854">
              <w:rPr>
                <w:rFonts w:ascii="Times New Roman" w:eastAsia="Aptos" w:hAnsi="Times New Roman" w:cs="Times New Roman"/>
                <w:lang w:val="en-US"/>
              </w:rPr>
              <w:t>Wiążące, FE</w:t>
            </w:r>
          </w:p>
        </w:tc>
        <w:tc>
          <w:tcPr>
            <w:tcW w:w="1292" w:type="pct"/>
            <w:hideMark/>
          </w:tcPr>
          <w:p w14:paraId="23C22DCB"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 xml:space="preserve">Obarczony błędami </w:t>
            </w:r>
          </w:p>
        </w:tc>
      </w:tr>
      <w:tr w:rsidR="001D0854" w:rsidRPr="001D0854" w14:paraId="24B8DFDB" w14:textId="77777777" w:rsidTr="003A6330">
        <w:trPr>
          <w:trHeight w:val="498"/>
        </w:trPr>
        <w:tc>
          <w:tcPr>
            <w:tcW w:w="1663" w:type="pct"/>
            <w:hideMark/>
          </w:tcPr>
          <w:p w14:paraId="66F2FBBB"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Logistyczna FE</w:t>
            </w:r>
          </w:p>
        </w:tc>
        <w:tc>
          <w:tcPr>
            <w:tcW w:w="2045" w:type="pct"/>
            <w:hideMark/>
          </w:tcPr>
          <w:p w14:paraId="12B032BE"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Wiążący</w:t>
            </w:r>
          </w:p>
        </w:tc>
        <w:tc>
          <w:tcPr>
            <w:tcW w:w="1292" w:type="pct"/>
            <w:hideMark/>
          </w:tcPr>
          <w:p w14:paraId="0C975587"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 xml:space="preserve">Wiążący </w:t>
            </w:r>
          </w:p>
        </w:tc>
      </w:tr>
      <w:tr w:rsidR="001D0854" w:rsidRPr="001D0854" w14:paraId="46CBA3DF" w14:textId="77777777" w:rsidTr="003A6330">
        <w:tc>
          <w:tcPr>
            <w:tcW w:w="1663" w:type="pct"/>
            <w:hideMark/>
          </w:tcPr>
          <w:p w14:paraId="637096CB"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Logistyczna RE</w:t>
            </w:r>
          </w:p>
        </w:tc>
        <w:tc>
          <w:tcPr>
            <w:tcW w:w="2045" w:type="pct"/>
            <w:hideMark/>
          </w:tcPr>
          <w:p w14:paraId="7155D976"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Wiążące</w:t>
            </w:r>
          </w:p>
        </w:tc>
        <w:tc>
          <w:tcPr>
            <w:tcW w:w="1292" w:type="pct"/>
          </w:tcPr>
          <w:p w14:paraId="05847D68"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 xml:space="preserve">Obarczony błędami </w:t>
            </w:r>
          </w:p>
        </w:tc>
      </w:tr>
      <w:tr w:rsidR="001D0854" w:rsidRPr="001D0854" w14:paraId="01F7DDBD" w14:textId="77777777" w:rsidTr="003A6330">
        <w:tc>
          <w:tcPr>
            <w:tcW w:w="1663" w:type="pct"/>
            <w:hideMark/>
          </w:tcPr>
          <w:p w14:paraId="0D5A787B"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 xml:space="preserve">GBM </w:t>
            </w:r>
          </w:p>
        </w:tc>
        <w:tc>
          <w:tcPr>
            <w:tcW w:w="2045" w:type="pct"/>
            <w:hideMark/>
          </w:tcPr>
          <w:p w14:paraId="62CCD1AF" w14:textId="77777777" w:rsidR="001D0854" w:rsidRPr="001D0854" w:rsidRDefault="001D0854" w:rsidP="001D0854">
            <w:pPr>
              <w:rPr>
                <w:rFonts w:ascii="Times New Roman" w:eastAsia="Aptos" w:hAnsi="Times New Roman" w:cs="Times New Roman"/>
                <w:lang w:val="en-US"/>
              </w:rPr>
            </w:pPr>
            <w:r w:rsidRPr="001D0854">
              <w:rPr>
                <w:rFonts w:ascii="Times New Roman" w:eastAsia="Aptos" w:hAnsi="Times New Roman" w:cs="Times New Roman"/>
                <w:lang w:val="en-US"/>
              </w:rPr>
              <w:t>Wiążące, FE</w:t>
            </w:r>
          </w:p>
        </w:tc>
        <w:tc>
          <w:tcPr>
            <w:tcW w:w="1292" w:type="pct"/>
          </w:tcPr>
          <w:p w14:paraId="66951FF5" w14:textId="77777777" w:rsidR="001D0854" w:rsidRPr="001D0854" w:rsidRDefault="001D0854" w:rsidP="001D0854">
            <w:pPr>
              <w:rPr>
                <w:rFonts w:ascii="Times New Roman" w:eastAsia="Aptos" w:hAnsi="Times New Roman" w:cs="Times New Roman"/>
              </w:rPr>
            </w:pPr>
            <w:r w:rsidRPr="001D0854">
              <w:rPr>
                <w:rFonts w:ascii="Times New Roman" w:eastAsia="Aptos" w:hAnsi="Times New Roman" w:cs="Times New Roman"/>
              </w:rPr>
              <w:t xml:space="preserve">Obarczony błędami </w:t>
            </w:r>
          </w:p>
        </w:tc>
      </w:tr>
    </w:tbl>
    <w:p w14:paraId="1D024612" w14:textId="77777777" w:rsidR="001D0854" w:rsidRPr="001D0854" w:rsidRDefault="001D0854" w:rsidP="00FD7A63">
      <w:pPr>
        <w:spacing w:after="0" w:line="240" w:lineRule="auto"/>
        <w:rPr>
          <w:rFonts w:ascii="Times New Roman" w:eastAsia="Times New Roman" w:hAnsi="Times New Roman" w:cs="Times New Roman"/>
          <w:color w:val="333333"/>
          <w:kern w:val="0"/>
          <w:lang w:val="en-US" w:eastAsia="pl-PL"/>
        </w:rPr>
      </w:pPr>
      <w:r w:rsidRPr="001D0854">
        <w:rPr>
          <w:rFonts w:ascii="Times New Roman" w:eastAsia="Times New Roman" w:hAnsi="Times New Roman" w:cs="Times New Roman"/>
          <w:color w:val="333333"/>
          <w:kern w:val="0"/>
          <w:lang w:val="en-US" w:eastAsia="pl-PL"/>
        </w:rPr>
        <w:t>Objaśnienie: PS: propensity score; FE: efekty stałe (fixed effect); RE: efekty zmienne: random effect; GBM: generalized boosted model.</w:t>
      </w:r>
    </w:p>
    <w:p w14:paraId="7B46F309" w14:textId="77777777" w:rsidR="001D0854" w:rsidRPr="00E226AA" w:rsidRDefault="001D0854" w:rsidP="001D0854">
      <w:pPr>
        <w:spacing w:line="259" w:lineRule="auto"/>
        <w:jc w:val="both"/>
        <w:rPr>
          <w:rFonts w:ascii="Times New Roman" w:eastAsia="Times New Roman" w:hAnsi="Times New Roman" w:cs="Times New Roman"/>
          <w:i/>
          <w:iCs/>
          <w:kern w:val="0"/>
          <w14:ligatures w14:val="none"/>
        </w:rPr>
      </w:pPr>
      <w:r w:rsidRPr="00E226AA">
        <w:rPr>
          <w:rFonts w:ascii="Times New Roman" w:eastAsia="Times New Roman" w:hAnsi="Times New Roman" w:cs="Times New Roman"/>
          <w:i/>
          <w:iCs/>
          <w:kern w:val="0"/>
          <w14:ligatures w14:val="none"/>
        </w:rPr>
        <w:t xml:space="preserve">Źródło: Langworthy,  Wu i Wang  (2023). </w:t>
      </w:r>
    </w:p>
    <w:p w14:paraId="6BE69096" w14:textId="77777777" w:rsidR="001D0854" w:rsidRPr="001D0854" w:rsidRDefault="001D0854" w:rsidP="001D0854">
      <w:pPr>
        <w:spacing w:line="259" w:lineRule="auto"/>
        <w:jc w:val="both"/>
        <w:rPr>
          <w:rFonts w:ascii="Times New Roman" w:eastAsia="Aptos" w:hAnsi="Times New Roman" w:cs="Times New Roman"/>
          <w:b/>
          <w:bCs/>
          <w:sz w:val="28"/>
          <w:szCs w:val="28"/>
        </w:rPr>
      </w:pPr>
    </w:p>
    <w:p w14:paraId="0745AF20"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Warto dodać, że rozwinięciem klasycznego PSM jest Generalised Propensity Score Matching (GPSM). Można go określić jako podejście statystyczne stosowane w analizach danych obserwacyjnych, którego celem jest oszacowanie efektów interwencji w sytuacjach, w których losowe przydzielanie jednostek do grup interwencyjnych nie jest możliwe (Hirano i Imbens, 2004, Imai i Van Dyk, 2004; Giffin i in., 2023). Metoda ta rozszerza klasyczne podejście PSM, które koncentruje się na dopasowywaniu jednostek na podstawie pojedynczej zmiennej (PS), </w:t>
      </w:r>
      <w:r w:rsidRPr="001D0854">
        <w:rPr>
          <w:rFonts w:ascii="Times New Roman" w:eastAsia="Aptos" w:hAnsi="Times New Roman" w:cs="Times New Roman"/>
          <w:sz w:val="28"/>
          <w:szCs w:val="28"/>
        </w:rPr>
        <w:lastRenderedPageBreak/>
        <w:t>reprezentującej prawdopodobieństwo przynależności do grupy interwencyjnej w zależności od zestawu zmiennych obserwowalnych.  W kontekście GPSM,  zamiast skupiać się na pojedynczych zmiennych, podejście to pozwala na uwzględnienie zarówno ciągłych, jak i  dyskretnych zmiennych, co jest szczególnie przydatne w sytuacjach, gdzie istnieje wiele czynników wpływających na przydział obiektów do grupy. Kluczowym elementem GPSM jest oszacowanie tzw. „generalised” PS, który określa prawdopodobieństwo otrzymania określonego poziomu interwencji w kontekście zmiennych obserwowalnych.  Zastosowanie GPSM wymaga staranności w doborze odpowiednich zmiennych oraz modeli statystycznych, aby zminimalizować potencjalne błędy wynikające z nieobserwowanych zmiennych zakłócających. Główne kroki w realizacji GPSM obejmują (</w:t>
      </w:r>
      <w:r w:rsidRPr="001D0854">
        <w:rPr>
          <w:rFonts w:ascii="Times New Roman" w:eastAsia="Aptos" w:hAnsi="Times New Roman" w:cs="Times New Roman"/>
          <w:i/>
          <w:iCs/>
          <w:sz w:val="28"/>
          <w:szCs w:val="28"/>
        </w:rPr>
        <w:t>Ibidem</w:t>
      </w:r>
      <w:r w:rsidRPr="001D0854">
        <w:rPr>
          <w:rFonts w:ascii="Times New Roman" w:eastAsia="Aptos" w:hAnsi="Times New Roman" w:cs="Times New Roman"/>
          <w:sz w:val="28"/>
          <w:szCs w:val="28"/>
        </w:rPr>
        <w:t>):</w:t>
      </w:r>
    </w:p>
    <w:p w14:paraId="175C1001" w14:textId="77777777" w:rsidR="001D0854" w:rsidRPr="001D0854" w:rsidRDefault="001D0854" w:rsidP="0060616A">
      <w:pPr>
        <w:numPr>
          <w:ilvl w:val="0"/>
          <w:numId w:val="55"/>
        </w:numPr>
        <w:spacing w:line="259" w:lineRule="auto"/>
        <w:ind w:left="426" w:hanging="426"/>
        <w:contextualSpacing/>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ustalenie, jakie poziomy interwencji są analizowane (np. różne dawki leku);</w:t>
      </w:r>
    </w:p>
    <w:p w14:paraId="41DEC4BD" w14:textId="77777777" w:rsidR="001D0854" w:rsidRPr="001D0854" w:rsidRDefault="001D0854" w:rsidP="0060616A">
      <w:pPr>
        <w:numPr>
          <w:ilvl w:val="0"/>
          <w:numId w:val="55"/>
        </w:numPr>
        <w:spacing w:line="259" w:lineRule="auto"/>
        <w:ind w:left="426" w:hanging="426"/>
        <w:contextualSpacing/>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oszacowanie generalised PS przy użyciu odpowiedniego modelu statystycznego, takiego jak regresja logistyczna lub modelowanie z użyciem drzew decyzyjnych;</w:t>
      </w:r>
    </w:p>
    <w:p w14:paraId="1A2E605A" w14:textId="77777777" w:rsidR="001D0854" w:rsidRPr="001D0854" w:rsidRDefault="001D0854" w:rsidP="0060616A">
      <w:pPr>
        <w:numPr>
          <w:ilvl w:val="0"/>
          <w:numId w:val="55"/>
        </w:numPr>
        <w:spacing w:line="259" w:lineRule="auto"/>
        <w:ind w:left="426" w:hanging="426"/>
        <w:contextualSpacing/>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dopasowanie jednostek na podstawie ich generalised  PS, co umożliwia porównanie jednostek o porównywalnych charakterystykach, lecz różniących się poziomem interwencji;</w:t>
      </w:r>
    </w:p>
    <w:p w14:paraId="0033206F" w14:textId="77777777" w:rsidR="001D0854" w:rsidRPr="001D0854" w:rsidRDefault="001D0854" w:rsidP="0060616A">
      <w:pPr>
        <w:numPr>
          <w:ilvl w:val="0"/>
          <w:numId w:val="55"/>
        </w:numPr>
        <w:spacing w:line="259" w:lineRule="auto"/>
        <w:ind w:left="426" w:hanging="426"/>
        <w:contextualSpacing/>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analizę różnic w wynikach pomiędzy dopasowanymi jednostkami, co pozwala na oszacowanie wpływu interwencji.</w:t>
      </w:r>
    </w:p>
    <w:p w14:paraId="446FFD98" w14:textId="77777777" w:rsidR="001D0854" w:rsidRPr="001D0854" w:rsidRDefault="001D0854" w:rsidP="001D0854">
      <w:pPr>
        <w:spacing w:line="259" w:lineRule="auto"/>
        <w:ind w:left="360"/>
        <w:jc w:val="both"/>
        <w:rPr>
          <w:rFonts w:ascii="Times New Roman" w:eastAsia="Aptos" w:hAnsi="Times New Roman" w:cs="Times New Roman"/>
          <w:sz w:val="28"/>
          <w:szCs w:val="28"/>
        </w:rPr>
      </w:pPr>
    </w:p>
    <w:p w14:paraId="17607DB3" w14:textId="55CD3CB3" w:rsidR="001D0854" w:rsidRPr="00E21345" w:rsidRDefault="001D0854" w:rsidP="00E21345">
      <w:pPr>
        <w:pStyle w:val="Akapitzlist"/>
        <w:numPr>
          <w:ilvl w:val="1"/>
          <w:numId w:val="28"/>
        </w:numPr>
        <w:spacing w:line="259" w:lineRule="auto"/>
        <w:ind w:left="851" w:hanging="993"/>
        <w:jc w:val="both"/>
        <w:rPr>
          <w:rFonts w:ascii="Times New Roman" w:eastAsia="Aptos" w:hAnsi="Times New Roman" w:cs="Times New Roman"/>
          <w:b/>
          <w:bCs/>
          <w:sz w:val="28"/>
          <w:szCs w:val="28"/>
        </w:rPr>
      </w:pPr>
      <w:r w:rsidRPr="00E21345">
        <w:rPr>
          <w:rFonts w:ascii="Times New Roman" w:eastAsia="Aptos" w:hAnsi="Times New Roman" w:cs="Times New Roman"/>
          <w:b/>
          <w:bCs/>
          <w:sz w:val="28"/>
          <w:szCs w:val="28"/>
        </w:rPr>
        <w:t>Przykłady użycia PSM  w  badaniach dotyczących ubezpieczeń rolnych</w:t>
      </w:r>
    </w:p>
    <w:p w14:paraId="6BC2F6D8" w14:textId="77777777" w:rsidR="001D0854" w:rsidRPr="001D0854" w:rsidRDefault="001D0854" w:rsidP="001D0854">
      <w:pPr>
        <w:spacing w:line="259" w:lineRule="auto"/>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Analiza bibliometryczna wskazuje na rosnącą liczbę opracowań empirycznych, w których PSM, często obok DiD (difference-in-difference method), stanowi jedno z kluczowych narzędzi badawczych m.in. do oceny skuteczności publicznych programów ubezpieczeniowych, ale także umożliwia uzyskanie odpowiedzi na  wiele pytań badawczych z zakresu m.in. ekonomiki rolnictwa. Większość studiów empirycznych dotyczy rolnictwa spoza UE, w krajach rozwijających się, m.in. Cariappa i in. (2021), a także de Sousa Leite i in. (2023). Wyjątkiem są studia Ifft, Kuethe i Morehart (2015) dotyczące systemu ubezpieczeń upraw w USA, a także opracowanie empiryczne Enjlorasa i Auberta (2020),  analizujące rolnictwo francuskie.</w:t>
      </w:r>
    </w:p>
    <w:p w14:paraId="3184ACDD" w14:textId="77777777" w:rsidR="001D0854" w:rsidRPr="001D0854" w:rsidRDefault="001D0854" w:rsidP="001D0854">
      <w:pPr>
        <w:spacing w:line="259" w:lineRule="auto"/>
        <w:ind w:firstLine="709"/>
        <w:jc w:val="both"/>
        <w:rPr>
          <w:rFonts w:ascii="Times New Roman" w:eastAsia="Aptos" w:hAnsi="Times New Roman" w:cs="Times New Roman"/>
          <w:sz w:val="28"/>
          <w:szCs w:val="28"/>
        </w:rPr>
      </w:pPr>
      <w:r w:rsidRPr="001D0854">
        <w:rPr>
          <w:rFonts w:ascii="Times New Roman" w:eastAsia="Aptos" w:hAnsi="Times New Roman" w:cs="Times New Roman"/>
          <w:sz w:val="28"/>
          <w:szCs w:val="28"/>
        </w:rPr>
        <w:t xml:space="preserve">Trójka ww. amerykańskich agroekonomistów, tj. Ifft, Kuethe i Morehart, próbowała odpowiedzieć na pytanie badawcze, w jaki sposób federalny program ubezpieczenia upraw (Federal Crop Insurance Program, FCI) oddziałuje na zadłużenia gospodarstw rolnych: czy ochrona ubezpieczeniowa wiąże się z wyższym poziomem ryzyka finansowego, wynikającego z zaangażowania kapitału obcego?  </w:t>
      </w:r>
      <w:r w:rsidRPr="001D0854">
        <w:rPr>
          <w:rFonts w:ascii="Times New Roman" w:eastAsia="Aptos" w:hAnsi="Times New Roman" w:cs="Times New Roman"/>
          <w:sz w:val="28"/>
          <w:szCs w:val="28"/>
        </w:rPr>
        <w:lastRenderedPageBreak/>
        <w:t>Do oceny  wpływu uczestnictwa farmerów w FCI na różne miary i wskaźniki zadłużenia (w tym ogółem zadłużenie całkowite, DtA) wykorzystano metodę PSM. Posłużono się danymi pochodzącymi z  Agricultural Resource Management Survey (ARMS). Aby uwzględnić jednoczesność decyzji finansowych, w artykule przeprowadzono dalsze testy tego związku przy użyciu  modelu regresji SUR (seemingly unrelated regression). Okazało się, że uczestnictwo w FCI wiąże się ze wzrostem wykorzystania krótkoterminowego zadłużenia gospodarstw rolnych, ale nie zadłużenia długoterminowego, co jest zgodne z  hipotezą balansowania ryzyka (risk balancing behaviour).</w:t>
      </w:r>
    </w:p>
    <w:p w14:paraId="49E85F72" w14:textId="6B41F243" w:rsidR="001D0854" w:rsidRPr="00D2443C" w:rsidRDefault="001D0854" w:rsidP="001D0854">
      <w:pPr>
        <w:spacing w:line="259" w:lineRule="auto"/>
        <w:ind w:firstLine="709"/>
        <w:jc w:val="both"/>
        <w:rPr>
          <w:rFonts w:ascii="Times New Roman" w:eastAsia="Aptos" w:hAnsi="Times New Roman" w:cs="Times New Roman"/>
          <w:spacing w:val="-2"/>
          <w:sz w:val="28"/>
          <w:szCs w:val="28"/>
        </w:rPr>
      </w:pPr>
      <w:r w:rsidRPr="00D2443C">
        <w:rPr>
          <w:rFonts w:ascii="Times New Roman" w:eastAsia="Aptos" w:hAnsi="Times New Roman" w:cs="Times New Roman"/>
          <w:spacing w:val="-2"/>
          <w:sz w:val="28"/>
          <w:szCs w:val="28"/>
        </w:rPr>
        <w:t xml:space="preserve">Dobrą egzemplikacją   może być opracowanie autorstwa Enjolrasa i Aubert (2020), którzy  próbowali odpowiedzieć na pytanie,  w jaki sposób stosowanie ubezpieczeń upraw (o czym wskazuje  zapłacona składka polisy ubezpieczeniowej) wpływa na stosowanie pestycydów, przy czym obie decyzje mają strategiczne znaczenie dla zarządzania ryzykiem w skali gospodarstwa. W tym celu w  zastosowano modele  PSM, DiD oraz połączenie tych dwóch metod w celu porównania dwóch podobnych zbiorów ubezpieczonych i nieubezpieczonych rolników. Badacze, korzystając z danych pochodzących z sieci francuskiego FADN, skupili się na gospodarstwach polowych i wyspecjalizowanych w uprawie wysokiej winorośli. Te dwa typy gospodarstw w największym stopniu partycypowały w ubezpieczeniu upraw i  intensywnie stosowały pestycydy. Analizę przeprowadzono w latach 2008-2012, biorąc pod uwagę strategiczną zmianę we francuskim systemie ubezpieczeń upraw w 2010 r., która silnie zachęciła rolników do zakupu polis komercyjnych. W tym samym czasie do stosowania pestycydów rolnicy byli  stopniowo zniechęcani przez politykę publiczną. Wyniki estymacji wykazały, że podczas gdy stosowanie pestycydów zmniejszało się dla wszystkich upraw, zakup polisy nie miał wpływu na uprawy polowe i uprawy winorośli wysokiej jakości. Wyniki te poddały wątpliwość potencjalny </w:t>
      </w:r>
      <w:r w:rsidRPr="00D2443C">
        <w:rPr>
          <w:rFonts w:ascii="Times New Roman" w:eastAsia="Aptos" w:hAnsi="Times New Roman" w:cs="Times New Roman"/>
          <w:i/>
          <w:iCs/>
          <w:spacing w:val="-2"/>
          <w:sz w:val="28"/>
          <w:szCs w:val="28"/>
        </w:rPr>
        <w:t>trade-off</w:t>
      </w:r>
      <w:r w:rsidRPr="00D2443C">
        <w:rPr>
          <w:rFonts w:ascii="Times New Roman" w:eastAsia="Aptos" w:hAnsi="Times New Roman" w:cs="Times New Roman"/>
          <w:spacing w:val="-2"/>
          <w:sz w:val="28"/>
          <w:szCs w:val="28"/>
        </w:rPr>
        <w:t xml:space="preserve"> między ubezpieczeniem upraw a pestycydami jako narzędziami zarządzania ryzykiem. W tabeli </w:t>
      </w:r>
      <w:r w:rsidR="00A66183">
        <w:rPr>
          <w:rFonts w:ascii="Times New Roman" w:eastAsia="Aptos" w:hAnsi="Times New Roman" w:cs="Times New Roman"/>
          <w:spacing w:val="-2"/>
          <w:sz w:val="28"/>
          <w:szCs w:val="28"/>
        </w:rPr>
        <w:t>7</w:t>
      </w:r>
      <w:r w:rsidRPr="00D2443C">
        <w:rPr>
          <w:rFonts w:ascii="Times New Roman" w:eastAsia="Aptos" w:hAnsi="Times New Roman" w:cs="Times New Roman"/>
          <w:spacing w:val="-2"/>
          <w:sz w:val="28"/>
          <w:szCs w:val="28"/>
        </w:rPr>
        <w:t xml:space="preserve"> zestawiono wyniki estymacji modelu PSM z badań francuskich.</w:t>
      </w:r>
    </w:p>
    <w:p w14:paraId="5D9E5859" w14:textId="77777777" w:rsidR="003F02E6" w:rsidRDefault="003F02E6" w:rsidP="001D0854">
      <w:pPr>
        <w:spacing w:line="259" w:lineRule="auto"/>
        <w:jc w:val="both"/>
        <w:rPr>
          <w:rFonts w:ascii="Times New Roman" w:eastAsia="Aptos" w:hAnsi="Times New Roman" w:cs="Times New Roman"/>
        </w:rPr>
      </w:pPr>
    </w:p>
    <w:p w14:paraId="6A51EB81" w14:textId="77777777" w:rsidR="003F02E6" w:rsidRDefault="003F02E6" w:rsidP="001D0854">
      <w:pPr>
        <w:spacing w:line="259" w:lineRule="auto"/>
        <w:jc w:val="both"/>
        <w:rPr>
          <w:rFonts w:ascii="Times New Roman" w:eastAsia="Aptos" w:hAnsi="Times New Roman" w:cs="Times New Roman"/>
        </w:rPr>
      </w:pPr>
    </w:p>
    <w:p w14:paraId="0834D048" w14:textId="77777777" w:rsidR="003F02E6" w:rsidRDefault="003F02E6" w:rsidP="001D0854">
      <w:pPr>
        <w:spacing w:line="259" w:lineRule="auto"/>
        <w:jc w:val="both"/>
        <w:rPr>
          <w:rFonts w:ascii="Times New Roman" w:eastAsia="Aptos" w:hAnsi="Times New Roman" w:cs="Times New Roman"/>
        </w:rPr>
      </w:pPr>
    </w:p>
    <w:p w14:paraId="0BB08F24" w14:textId="77777777" w:rsidR="003F02E6" w:rsidRDefault="003F02E6" w:rsidP="001D0854">
      <w:pPr>
        <w:spacing w:line="259" w:lineRule="auto"/>
        <w:jc w:val="both"/>
        <w:rPr>
          <w:rFonts w:ascii="Times New Roman" w:eastAsia="Aptos" w:hAnsi="Times New Roman" w:cs="Times New Roman"/>
        </w:rPr>
      </w:pPr>
    </w:p>
    <w:p w14:paraId="712AAAE1" w14:textId="77777777" w:rsidR="00D2443C" w:rsidRDefault="00D2443C" w:rsidP="001D0854">
      <w:pPr>
        <w:spacing w:line="259" w:lineRule="auto"/>
        <w:jc w:val="both"/>
        <w:rPr>
          <w:rFonts w:ascii="Times New Roman" w:eastAsia="Aptos" w:hAnsi="Times New Roman" w:cs="Times New Roman"/>
        </w:rPr>
      </w:pPr>
    </w:p>
    <w:p w14:paraId="5BDC3133" w14:textId="77777777" w:rsidR="003F02E6" w:rsidRDefault="003F02E6" w:rsidP="001D0854">
      <w:pPr>
        <w:spacing w:line="259" w:lineRule="auto"/>
        <w:jc w:val="both"/>
        <w:rPr>
          <w:rFonts w:ascii="Times New Roman" w:eastAsia="Aptos" w:hAnsi="Times New Roman" w:cs="Times New Roman"/>
        </w:rPr>
      </w:pPr>
    </w:p>
    <w:p w14:paraId="6C6EAAD9" w14:textId="4D6E23DE" w:rsidR="001D0854" w:rsidRPr="00867F48" w:rsidRDefault="001D0854" w:rsidP="001D0854">
      <w:pPr>
        <w:spacing w:line="259" w:lineRule="auto"/>
        <w:jc w:val="both"/>
        <w:rPr>
          <w:rFonts w:ascii="Times New Roman" w:eastAsia="Aptos" w:hAnsi="Times New Roman" w:cs="Times New Roman"/>
          <w:sz w:val="28"/>
          <w:szCs w:val="28"/>
        </w:rPr>
      </w:pPr>
      <w:r w:rsidRPr="00E226AA">
        <w:rPr>
          <w:rFonts w:ascii="Times New Roman" w:eastAsia="Aptos" w:hAnsi="Times New Roman" w:cs="Times New Roman"/>
          <w:b/>
          <w:bCs/>
          <w:sz w:val="28"/>
          <w:szCs w:val="28"/>
        </w:rPr>
        <w:lastRenderedPageBreak/>
        <w:t xml:space="preserve">Tabela </w:t>
      </w:r>
      <w:r w:rsidR="00A66183">
        <w:rPr>
          <w:rFonts w:ascii="Times New Roman" w:eastAsia="Aptos" w:hAnsi="Times New Roman" w:cs="Times New Roman"/>
          <w:b/>
          <w:bCs/>
          <w:sz w:val="28"/>
          <w:szCs w:val="28"/>
        </w:rPr>
        <w:t>7</w:t>
      </w:r>
      <w:r w:rsidRPr="00E226AA">
        <w:rPr>
          <w:rFonts w:ascii="Times New Roman" w:eastAsia="Aptos" w:hAnsi="Times New Roman" w:cs="Times New Roman"/>
          <w:b/>
          <w:bCs/>
          <w:sz w:val="28"/>
          <w:szCs w:val="28"/>
        </w:rPr>
        <w:t>.</w:t>
      </w:r>
      <w:r w:rsidRPr="00867F48">
        <w:rPr>
          <w:rFonts w:ascii="Times New Roman" w:eastAsia="Aptos" w:hAnsi="Times New Roman" w:cs="Times New Roman"/>
          <w:sz w:val="28"/>
          <w:szCs w:val="28"/>
        </w:rPr>
        <w:t xml:space="preserve">  Wyniki estymacji modelu PSM w badaniach nad zależnością między intensywnością wykorzystania pestycydów a korzystaniem z systemu ubezpieczeń upraw</w:t>
      </w:r>
    </w:p>
    <w:tbl>
      <w:tblPr>
        <w:tblStyle w:val="Tabela-Siatka"/>
        <w:tblW w:w="5000" w:type="pct"/>
        <w:tblLook w:val="04A0" w:firstRow="1" w:lastRow="0" w:firstColumn="1" w:lastColumn="0" w:noHBand="0" w:noVBand="1"/>
      </w:tblPr>
      <w:tblGrid>
        <w:gridCol w:w="3483"/>
        <w:gridCol w:w="1327"/>
        <w:gridCol w:w="1461"/>
        <w:gridCol w:w="1327"/>
        <w:gridCol w:w="1464"/>
      </w:tblGrid>
      <w:tr w:rsidR="001D0854" w:rsidRPr="003F02E6" w14:paraId="6F94DC91" w14:textId="77777777" w:rsidTr="001D0854">
        <w:tc>
          <w:tcPr>
            <w:tcW w:w="1922" w:type="pct"/>
            <w:vMerge w:val="restart"/>
            <w:shd w:val="clear" w:color="auto" w:fill="F2F2F2"/>
            <w:vAlign w:val="center"/>
          </w:tcPr>
          <w:p w14:paraId="6C9D3E57" w14:textId="77777777" w:rsidR="001D0854" w:rsidRPr="003F02E6" w:rsidRDefault="001D0854" w:rsidP="001D0854">
            <w:pPr>
              <w:spacing w:before="100" w:beforeAutospacing="1" w:after="100" w:afterAutospacing="1"/>
              <w:jc w:val="center"/>
              <w:rPr>
                <w:rFonts w:ascii="Times New Roman" w:eastAsia="Aptos" w:hAnsi="Times New Roman" w:cs="Times New Roman"/>
                <w:b/>
                <w:bCs/>
                <w:sz w:val="20"/>
                <w:szCs w:val="20"/>
              </w:rPr>
            </w:pPr>
            <w:r w:rsidRPr="003F02E6">
              <w:rPr>
                <w:rFonts w:ascii="Times New Roman" w:eastAsia="Aptos" w:hAnsi="Times New Roman" w:cs="Times New Roman"/>
                <w:b/>
                <w:bCs/>
                <w:sz w:val="20"/>
                <w:szCs w:val="20"/>
              </w:rPr>
              <w:t>Wyszczególnienie</w:t>
            </w:r>
          </w:p>
        </w:tc>
        <w:tc>
          <w:tcPr>
            <w:tcW w:w="3078" w:type="pct"/>
            <w:gridSpan w:val="4"/>
            <w:shd w:val="clear" w:color="auto" w:fill="F2F2F2"/>
            <w:vAlign w:val="center"/>
          </w:tcPr>
          <w:p w14:paraId="676D8504" w14:textId="77777777" w:rsidR="001D0854" w:rsidRPr="003F02E6" w:rsidRDefault="001D0854" w:rsidP="001D0854">
            <w:pPr>
              <w:spacing w:before="100" w:beforeAutospacing="1" w:after="100" w:afterAutospacing="1"/>
              <w:jc w:val="center"/>
              <w:rPr>
                <w:rFonts w:ascii="Times New Roman" w:eastAsia="Aptos" w:hAnsi="Times New Roman" w:cs="Times New Roman"/>
                <w:b/>
                <w:bCs/>
                <w:sz w:val="20"/>
                <w:szCs w:val="20"/>
              </w:rPr>
            </w:pPr>
            <w:r w:rsidRPr="003F02E6">
              <w:rPr>
                <w:rFonts w:ascii="Times New Roman" w:eastAsia="Aptos" w:hAnsi="Times New Roman" w:cs="Times New Roman"/>
                <w:b/>
                <w:bCs/>
                <w:sz w:val="20"/>
                <w:szCs w:val="20"/>
              </w:rPr>
              <w:t>Typ produkcyjny</w:t>
            </w:r>
          </w:p>
        </w:tc>
      </w:tr>
      <w:tr w:rsidR="001D0854" w:rsidRPr="003F02E6" w14:paraId="0AC02445" w14:textId="77777777" w:rsidTr="001D0854">
        <w:tc>
          <w:tcPr>
            <w:tcW w:w="1922" w:type="pct"/>
            <w:vMerge/>
            <w:shd w:val="clear" w:color="auto" w:fill="F2F2F2"/>
            <w:vAlign w:val="center"/>
            <w:hideMark/>
          </w:tcPr>
          <w:p w14:paraId="3CDE9904" w14:textId="77777777" w:rsidR="001D0854" w:rsidRPr="003F02E6" w:rsidRDefault="001D0854" w:rsidP="001D0854">
            <w:pPr>
              <w:spacing w:before="100" w:beforeAutospacing="1" w:after="100" w:afterAutospacing="1"/>
              <w:jc w:val="center"/>
              <w:rPr>
                <w:rFonts w:ascii="Times New Roman" w:eastAsia="Aptos" w:hAnsi="Times New Roman" w:cs="Times New Roman"/>
                <w:b/>
                <w:bCs/>
                <w:sz w:val="20"/>
                <w:szCs w:val="20"/>
              </w:rPr>
            </w:pPr>
          </w:p>
        </w:tc>
        <w:tc>
          <w:tcPr>
            <w:tcW w:w="1538" w:type="pct"/>
            <w:gridSpan w:val="2"/>
            <w:shd w:val="clear" w:color="auto" w:fill="F2F2F2"/>
            <w:vAlign w:val="center"/>
            <w:hideMark/>
          </w:tcPr>
          <w:p w14:paraId="42A10F7C" w14:textId="77777777" w:rsidR="001D0854" w:rsidRPr="003F02E6" w:rsidRDefault="001D0854" w:rsidP="001D0854">
            <w:pPr>
              <w:spacing w:before="100" w:beforeAutospacing="1" w:after="100" w:afterAutospacing="1"/>
              <w:jc w:val="center"/>
              <w:rPr>
                <w:rFonts w:ascii="Times New Roman" w:eastAsia="Aptos" w:hAnsi="Times New Roman" w:cs="Times New Roman"/>
                <w:b/>
                <w:bCs/>
                <w:sz w:val="20"/>
                <w:szCs w:val="20"/>
              </w:rPr>
            </w:pPr>
            <w:r w:rsidRPr="003F02E6">
              <w:rPr>
                <w:rFonts w:ascii="Times New Roman" w:eastAsia="Aptos" w:hAnsi="Times New Roman" w:cs="Times New Roman"/>
                <w:b/>
                <w:bCs/>
                <w:sz w:val="20"/>
                <w:szCs w:val="20"/>
              </w:rPr>
              <w:t>Uprawy polowe</w:t>
            </w:r>
          </w:p>
        </w:tc>
        <w:tc>
          <w:tcPr>
            <w:tcW w:w="1539" w:type="pct"/>
            <w:gridSpan w:val="2"/>
            <w:shd w:val="clear" w:color="auto" w:fill="F2F2F2"/>
            <w:vAlign w:val="center"/>
            <w:hideMark/>
          </w:tcPr>
          <w:p w14:paraId="37DBEA81" w14:textId="77777777" w:rsidR="001D0854" w:rsidRPr="003F02E6" w:rsidRDefault="001D0854" w:rsidP="001D0854">
            <w:pPr>
              <w:spacing w:before="100" w:beforeAutospacing="1" w:after="100" w:afterAutospacing="1"/>
              <w:jc w:val="center"/>
              <w:rPr>
                <w:rFonts w:ascii="Times New Roman" w:eastAsia="Aptos" w:hAnsi="Times New Roman" w:cs="Times New Roman"/>
                <w:b/>
                <w:bCs/>
                <w:sz w:val="20"/>
                <w:szCs w:val="20"/>
              </w:rPr>
            </w:pPr>
            <w:r w:rsidRPr="003F02E6">
              <w:rPr>
                <w:rFonts w:ascii="Times New Roman" w:eastAsia="Aptos" w:hAnsi="Times New Roman" w:cs="Times New Roman"/>
                <w:b/>
                <w:bCs/>
                <w:sz w:val="20"/>
                <w:szCs w:val="20"/>
              </w:rPr>
              <w:t>Uprawy winorośli (wysokiej jakości)</w:t>
            </w:r>
          </w:p>
        </w:tc>
      </w:tr>
      <w:tr w:rsidR="001D0854" w:rsidRPr="003F02E6" w14:paraId="51ABE87B" w14:textId="77777777" w:rsidTr="001D0854">
        <w:tc>
          <w:tcPr>
            <w:tcW w:w="1922" w:type="pct"/>
            <w:shd w:val="clear" w:color="auto" w:fill="F2F2F2"/>
            <w:vAlign w:val="center"/>
            <w:hideMark/>
          </w:tcPr>
          <w:p w14:paraId="083C1089" w14:textId="77777777" w:rsidR="001D0854" w:rsidRPr="003F02E6" w:rsidRDefault="001D0854" w:rsidP="001D0854">
            <w:pPr>
              <w:spacing w:before="100" w:beforeAutospacing="1" w:after="100" w:afterAutospacing="1"/>
              <w:jc w:val="center"/>
              <w:rPr>
                <w:rFonts w:ascii="Times New Roman" w:eastAsia="Aptos" w:hAnsi="Times New Roman" w:cs="Times New Roman"/>
                <w:b/>
                <w:bCs/>
                <w:sz w:val="20"/>
                <w:szCs w:val="20"/>
              </w:rPr>
            </w:pPr>
            <w:bookmarkStart w:id="19" w:name="_Hlk181202955"/>
            <w:r w:rsidRPr="003F02E6">
              <w:rPr>
                <w:rFonts w:ascii="Times New Roman" w:eastAsia="Aptos" w:hAnsi="Times New Roman" w:cs="Times New Roman"/>
                <w:b/>
                <w:bCs/>
                <w:sz w:val="20"/>
                <w:szCs w:val="20"/>
              </w:rPr>
              <w:t>Metoda łączenia</w:t>
            </w:r>
          </w:p>
        </w:tc>
        <w:tc>
          <w:tcPr>
            <w:tcW w:w="732" w:type="pct"/>
            <w:shd w:val="clear" w:color="auto" w:fill="F2F2F2"/>
            <w:vAlign w:val="center"/>
            <w:hideMark/>
          </w:tcPr>
          <w:p w14:paraId="0353045B" w14:textId="77777777" w:rsidR="001D0854" w:rsidRPr="003F02E6" w:rsidRDefault="001D0854" w:rsidP="001D0854">
            <w:pPr>
              <w:spacing w:before="100" w:beforeAutospacing="1" w:after="100" w:afterAutospacing="1"/>
              <w:jc w:val="center"/>
              <w:rPr>
                <w:rFonts w:ascii="Times New Roman" w:eastAsia="Aptos" w:hAnsi="Times New Roman" w:cs="Times New Roman"/>
                <w:b/>
                <w:bCs/>
                <w:sz w:val="20"/>
                <w:szCs w:val="20"/>
              </w:rPr>
            </w:pPr>
            <w:r w:rsidRPr="003F02E6">
              <w:rPr>
                <w:rFonts w:ascii="Times New Roman" w:eastAsia="Aptos" w:hAnsi="Times New Roman" w:cs="Times New Roman"/>
                <w:b/>
                <w:bCs/>
                <w:sz w:val="20"/>
                <w:szCs w:val="20"/>
              </w:rPr>
              <w:t>Neighbor (najbliższego sąsiada)</w:t>
            </w:r>
          </w:p>
        </w:tc>
        <w:tc>
          <w:tcPr>
            <w:tcW w:w="806" w:type="pct"/>
            <w:shd w:val="clear" w:color="auto" w:fill="F2F2F2"/>
            <w:vAlign w:val="center"/>
            <w:hideMark/>
          </w:tcPr>
          <w:p w14:paraId="22DACD75" w14:textId="77777777" w:rsidR="001D0854" w:rsidRPr="003F02E6" w:rsidRDefault="001D0854" w:rsidP="001D0854">
            <w:pPr>
              <w:spacing w:before="100" w:beforeAutospacing="1" w:after="100" w:afterAutospacing="1"/>
              <w:jc w:val="center"/>
              <w:rPr>
                <w:rFonts w:ascii="Times New Roman" w:eastAsia="Aptos" w:hAnsi="Times New Roman" w:cs="Times New Roman"/>
                <w:b/>
                <w:bCs/>
                <w:sz w:val="20"/>
                <w:szCs w:val="20"/>
              </w:rPr>
            </w:pPr>
            <w:r w:rsidRPr="003F02E6">
              <w:rPr>
                <w:rFonts w:ascii="Times New Roman" w:eastAsia="Aptos" w:hAnsi="Times New Roman" w:cs="Times New Roman"/>
                <w:b/>
                <w:bCs/>
                <w:sz w:val="20"/>
                <w:szCs w:val="20"/>
              </w:rPr>
              <w:t>Radius („suwmiarki”)</w:t>
            </w:r>
          </w:p>
        </w:tc>
        <w:tc>
          <w:tcPr>
            <w:tcW w:w="732" w:type="pct"/>
            <w:shd w:val="clear" w:color="auto" w:fill="F2F2F2"/>
            <w:vAlign w:val="center"/>
            <w:hideMark/>
          </w:tcPr>
          <w:p w14:paraId="3F08D666" w14:textId="77777777" w:rsidR="001D0854" w:rsidRPr="003F02E6" w:rsidRDefault="001D0854" w:rsidP="001D0854">
            <w:pPr>
              <w:spacing w:before="100" w:beforeAutospacing="1" w:after="100" w:afterAutospacing="1"/>
              <w:jc w:val="center"/>
              <w:rPr>
                <w:rFonts w:ascii="Times New Roman" w:eastAsia="Aptos" w:hAnsi="Times New Roman" w:cs="Times New Roman"/>
                <w:b/>
                <w:bCs/>
                <w:sz w:val="20"/>
                <w:szCs w:val="20"/>
              </w:rPr>
            </w:pPr>
            <w:r w:rsidRPr="003F02E6">
              <w:rPr>
                <w:rFonts w:ascii="Times New Roman" w:eastAsia="Aptos" w:hAnsi="Times New Roman" w:cs="Times New Roman"/>
                <w:b/>
                <w:bCs/>
                <w:sz w:val="20"/>
                <w:szCs w:val="20"/>
              </w:rPr>
              <w:t>Neighbor (najbliższego sąsiada)</w:t>
            </w:r>
          </w:p>
        </w:tc>
        <w:tc>
          <w:tcPr>
            <w:tcW w:w="807" w:type="pct"/>
            <w:shd w:val="clear" w:color="auto" w:fill="F2F2F2"/>
            <w:vAlign w:val="center"/>
            <w:hideMark/>
          </w:tcPr>
          <w:p w14:paraId="5115F02E" w14:textId="77777777" w:rsidR="001D0854" w:rsidRPr="003F02E6" w:rsidRDefault="001D0854" w:rsidP="001D0854">
            <w:pPr>
              <w:spacing w:before="100" w:beforeAutospacing="1" w:after="100" w:afterAutospacing="1"/>
              <w:jc w:val="center"/>
              <w:rPr>
                <w:rFonts w:ascii="Times New Roman" w:eastAsia="Aptos" w:hAnsi="Times New Roman" w:cs="Times New Roman"/>
                <w:b/>
                <w:bCs/>
                <w:sz w:val="20"/>
                <w:szCs w:val="20"/>
              </w:rPr>
            </w:pPr>
            <w:r w:rsidRPr="003F02E6">
              <w:rPr>
                <w:rFonts w:ascii="Times New Roman" w:eastAsia="Aptos" w:hAnsi="Times New Roman" w:cs="Times New Roman"/>
                <w:b/>
                <w:bCs/>
                <w:sz w:val="20"/>
                <w:szCs w:val="20"/>
              </w:rPr>
              <w:t>Radius („suwmiarki”)</w:t>
            </w:r>
          </w:p>
        </w:tc>
      </w:tr>
      <w:tr w:rsidR="001D0854" w:rsidRPr="003F02E6" w14:paraId="3125D73F" w14:textId="77777777" w:rsidTr="003A6330">
        <w:tc>
          <w:tcPr>
            <w:tcW w:w="1922" w:type="pct"/>
            <w:hideMark/>
          </w:tcPr>
          <w:p w14:paraId="4B02935F"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Intensywność wykorzystania pestycydów (wydatki na nie, euro/ha )</w:t>
            </w:r>
          </w:p>
        </w:tc>
        <w:tc>
          <w:tcPr>
            <w:tcW w:w="732" w:type="pct"/>
            <w:hideMark/>
          </w:tcPr>
          <w:p w14:paraId="3CDC7170"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0.007</w:t>
            </w:r>
          </w:p>
        </w:tc>
        <w:tc>
          <w:tcPr>
            <w:tcW w:w="806" w:type="pct"/>
            <w:hideMark/>
          </w:tcPr>
          <w:p w14:paraId="6FF8ABED"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0.007</w:t>
            </w:r>
          </w:p>
        </w:tc>
        <w:tc>
          <w:tcPr>
            <w:tcW w:w="732" w:type="pct"/>
            <w:hideMark/>
          </w:tcPr>
          <w:p w14:paraId="31E8A5EC"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0.008</w:t>
            </w:r>
          </w:p>
        </w:tc>
        <w:tc>
          <w:tcPr>
            <w:tcW w:w="807" w:type="pct"/>
            <w:hideMark/>
          </w:tcPr>
          <w:p w14:paraId="45322E45"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0.001</w:t>
            </w:r>
          </w:p>
        </w:tc>
      </w:tr>
      <w:tr w:rsidR="001D0854" w:rsidRPr="003F02E6" w14:paraId="1EBA349F" w14:textId="77777777" w:rsidTr="003A6330">
        <w:tc>
          <w:tcPr>
            <w:tcW w:w="1922" w:type="pct"/>
            <w:hideMark/>
          </w:tcPr>
          <w:p w14:paraId="13BF5EFC"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Powierzchnia uprawna [ha]</w:t>
            </w:r>
          </w:p>
        </w:tc>
        <w:tc>
          <w:tcPr>
            <w:tcW w:w="732" w:type="pct"/>
            <w:hideMark/>
          </w:tcPr>
          <w:p w14:paraId="2FABADE2"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7.686</w:t>
            </w:r>
          </w:p>
        </w:tc>
        <w:tc>
          <w:tcPr>
            <w:tcW w:w="806" w:type="pct"/>
            <w:hideMark/>
          </w:tcPr>
          <w:p w14:paraId="683A83C0"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3.340</w:t>
            </w:r>
          </w:p>
        </w:tc>
        <w:tc>
          <w:tcPr>
            <w:tcW w:w="732" w:type="pct"/>
            <w:hideMark/>
          </w:tcPr>
          <w:p w14:paraId="27DD55FC"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0.847</w:t>
            </w:r>
          </w:p>
        </w:tc>
        <w:tc>
          <w:tcPr>
            <w:tcW w:w="807" w:type="pct"/>
            <w:hideMark/>
          </w:tcPr>
          <w:p w14:paraId="71387A56"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5.224**</w:t>
            </w:r>
          </w:p>
        </w:tc>
      </w:tr>
      <w:tr w:rsidR="001D0854" w:rsidRPr="003F02E6" w14:paraId="49C49EC1" w14:textId="77777777" w:rsidTr="003A6330">
        <w:tc>
          <w:tcPr>
            <w:tcW w:w="1922" w:type="pct"/>
            <w:hideMark/>
          </w:tcPr>
          <w:p w14:paraId="68818982"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Areał upraw roślinnych [ha]</w:t>
            </w:r>
          </w:p>
        </w:tc>
        <w:tc>
          <w:tcPr>
            <w:tcW w:w="732" w:type="pct"/>
            <w:hideMark/>
          </w:tcPr>
          <w:p w14:paraId="4C852095"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6.758</w:t>
            </w:r>
          </w:p>
        </w:tc>
        <w:tc>
          <w:tcPr>
            <w:tcW w:w="806" w:type="pct"/>
            <w:hideMark/>
          </w:tcPr>
          <w:p w14:paraId="2A3FE499"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− 0.195</w:t>
            </w:r>
          </w:p>
        </w:tc>
        <w:tc>
          <w:tcPr>
            <w:tcW w:w="732" w:type="pct"/>
            <w:hideMark/>
          </w:tcPr>
          <w:p w14:paraId="70318DB5"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− 2.997***</w:t>
            </w:r>
          </w:p>
        </w:tc>
        <w:tc>
          <w:tcPr>
            <w:tcW w:w="807" w:type="pct"/>
            <w:hideMark/>
          </w:tcPr>
          <w:p w14:paraId="38164793"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0.365</w:t>
            </w:r>
          </w:p>
        </w:tc>
      </w:tr>
      <w:tr w:rsidR="001D0854" w:rsidRPr="003F02E6" w14:paraId="059BFE5F" w14:textId="77777777" w:rsidTr="003A6330">
        <w:tc>
          <w:tcPr>
            <w:tcW w:w="1922" w:type="pct"/>
          </w:tcPr>
          <w:p w14:paraId="170B2F7A" w14:textId="77777777" w:rsidR="001D0854" w:rsidRPr="003F02E6" w:rsidRDefault="001D0854" w:rsidP="001D0854">
            <w:pPr>
              <w:spacing w:before="100" w:beforeAutospacing="1" w:after="100" w:afterAutospacing="1"/>
              <w:rPr>
                <w:rFonts w:ascii="Times New Roman" w:eastAsia="Aptos" w:hAnsi="Times New Roman" w:cs="Times New Roman"/>
                <w:sz w:val="20"/>
                <w:szCs w:val="20"/>
                <w:lang w:val="en-GB"/>
              </w:rPr>
            </w:pPr>
            <w:r w:rsidRPr="003F02E6">
              <w:rPr>
                <w:rFonts w:ascii="Times New Roman" w:eastAsia="Aptos" w:hAnsi="Times New Roman" w:cs="Times New Roman"/>
                <w:sz w:val="20"/>
                <w:szCs w:val="20"/>
              </w:rPr>
              <w:t>Udział rozpatrywanego obszaru upraw [%]</w:t>
            </w:r>
          </w:p>
        </w:tc>
        <w:tc>
          <w:tcPr>
            <w:tcW w:w="732" w:type="pct"/>
            <w:hideMark/>
          </w:tcPr>
          <w:p w14:paraId="23291B3C"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− 0.016</w:t>
            </w:r>
          </w:p>
        </w:tc>
        <w:tc>
          <w:tcPr>
            <w:tcW w:w="806" w:type="pct"/>
            <w:hideMark/>
          </w:tcPr>
          <w:p w14:paraId="7B06A44F"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− 0.033**</w:t>
            </w:r>
          </w:p>
        </w:tc>
        <w:tc>
          <w:tcPr>
            <w:tcW w:w="732" w:type="pct"/>
            <w:hideMark/>
          </w:tcPr>
          <w:p w14:paraId="48DA70E5"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0.020</w:t>
            </w:r>
          </w:p>
        </w:tc>
        <w:tc>
          <w:tcPr>
            <w:tcW w:w="807" w:type="pct"/>
            <w:hideMark/>
          </w:tcPr>
          <w:p w14:paraId="7F29E751"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− 0.057*</w:t>
            </w:r>
          </w:p>
        </w:tc>
      </w:tr>
      <w:tr w:rsidR="001D0854" w:rsidRPr="003F02E6" w14:paraId="25CDEA44" w14:textId="77777777" w:rsidTr="003A6330">
        <w:tc>
          <w:tcPr>
            <w:tcW w:w="1922" w:type="pct"/>
          </w:tcPr>
          <w:p w14:paraId="4C7A4460"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Uprawa pszenicy zwyczajnej [ha]</w:t>
            </w:r>
          </w:p>
        </w:tc>
        <w:tc>
          <w:tcPr>
            <w:tcW w:w="732" w:type="pct"/>
            <w:hideMark/>
          </w:tcPr>
          <w:p w14:paraId="099DE3C1"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13.486***</w:t>
            </w:r>
          </w:p>
        </w:tc>
        <w:tc>
          <w:tcPr>
            <w:tcW w:w="806" w:type="pct"/>
            <w:hideMark/>
          </w:tcPr>
          <w:p w14:paraId="09372488"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9.356***</w:t>
            </w:r>
          </w:p>
        </w:tc>
        <w:tc>
          <w:tcPr>
            <w:tcW w:w="732" w:type="pct"/>
            <w:hideMark/>
          </w:tcPr>
          <w:p w14:paraId="2381187A"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c>
          <w:tcPr>
            <w:tcW w:w="807" w:type="pct"/>
            <w:hideMark/>
          </w:tcPr>
          <w:p w14:paraId="2A94B419"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r>
      <w:tr w:rsidR="001D0854" w:rsidRPr="003F02E6" w14:paraId="79DD94D4" w14:textId="77777777" w:rsidTr="003A6330">
        <w:tc>
          <w:tcPr>
            <w:tcW w:w="1922" w:type="pct"/>
          </w:tcPr>
          <w:p w14:paraId="67A0FB9B" w14:textId="77777777" w:rsidR="001D0854" w:rsidRPr="003F02E6" w:rsidRDefault="001D0854" w:rsidP="001D0854">
            <w:pPr>
              <w:spacing w:before="100" w:beforeAutospacing="1" w:after="100" w:afterAutospacing="1"/>
              <w:rPr>
                <w:rFonts w:ascii="Times New Roman" w:eastAsia="Aptos" w:hAnsi="Times New Roman" w:cs="Times New Roman"/>
                <w:sz w:val="20"/>
                <w:szCs w:val="20"/>
                <w:lang w:val="en-GB"/>
              </w:rPr>
            </w:pPr>
            <w:r w:rsidRPr="003F02E6">
              <w:rPr>
                <w:rFonts w:ascii="Times New Roman" w:eastAsia="Aptos" w:hAnsi="Times New Roman" w:cs="Times New Roman"/>
                <w:sz w:val="20"/>
                <w:szCs w:val="20"/>
              </w:rPr>
              <w:t>Pszenica zwyczajna [[ha]</w:t>
            </w:r>
          </w:p>
        </w:tc>
        <w:tc>
          <w:tcPr>
            <w:tcW w:w="732" w:type="pct"/>
            <w:hideMark/>
          </w:tcPr>
          <w:p w14:paraId="25E15F66"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0.095***</w:t>
            </w:r>
          </w:p>
        </w:tc>
        <w:tc>
          <w:tcPr>
            <w:tcW w:w="806" w:type="pct"/>
            <w:hideMark/>
          </w:tcPr>
          <w:p w14:paraId="521589B8"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0.071***</w:t>
            </w:r>
          </w:p>
        </w:tc>
        <w:tc>
          <w:tcPr>
            <w:tcW w:w="732" w:type="pct"/>
            <w:hideMark/>
          </w:tcPr>
          <w:p w14:paraId="1F51447E"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c>
          <w:tcPr>
            <w:tcW w:w="807" w:type="pct"/>
            <w:hideMark/>
          </w:tcPr>
          <w:p w14:paraId="0BBD57CA"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r>
      <w:tr w:rsidR="001D0854" w:rsidRPr="003F02E6" w14:paraId="0293D21C" w14:textId="77777777" w:rsidTr="003A6330">
        <w:tc>
          <w:tcPr>
            <w:tcW w:w="1922" w:type="pct"/>
          </w:tcPr>
          <w:p w14:paraId="44A38EEA"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Pszenica twarda [ha]</w:t>
            </w:r>
          </w:p>
        </w:tc>
        <w:tc>
          <w:tcPr>
            <w:tcW w:w="732" w:type="pct"/>
            <w:hideMark/>
          </w:tcPr>
          <w:p w14:paraId="51AE7143"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− 0.703</w:t>
            </w:r>
          </w:p>
        </w:tc>
        <w:tc>
          <w:tcPr>
            <w:tcW w:w="806" w:type="pct"/>
            <w:hideMark/>
          </w:tcPr>
          <w:p w14:paraId="2C3BF168"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− 1.001</w:t>
            </w:r>
          </w:p>
        </w:tc>
        <w:tc>
          <w:tcPr>
            <w:tcW w:w="732" w:type="pct"/>
            <w:hideMark/>
          </w:tcPr>
          <w:p w14:paraId="12A8E2FF"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c>
          <w:tcPr>
            <w:tcW w:w="807" w:type="pct"/>
            <w:hideMark/>
          </w:tcPr>
          <w:p w14:paraId="74191DA9"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r>
      <w:tr w:rsidR="001D0854" w:rsidRPr="003F02E6" w14:paraId="07DA8EED" w14:textId="77777777" w:rsidTr="003A6330">
        <w:tc>
          <w:tcPr>
            <w:tcW w:w="1922" w:type="pct"/>
          </w:tcPr>
          <w:p w14:paraId="7BF03D6E" w14:textId="77777777" w:rsidR="001D0854" w:rsidRPr="003F02E6" w:rsidRDefault="001D0854" w:rsidP="001D0854">
            <w:pPr>
              <w:spacing w:before="100" w:beforeAutospacing="1" w:after="100" w:afterAutospacing="1"/>
              <w:rPr>
                <w:rFonts w:ascii="Times New Roman" w:eastAsia="Aptos" w:hAnsi="Times New Roman" w:cs="Times New Roman"/>
                <w:sz w:val="20"/>
                <w:szCs w:val="20"/>
                <w:lang w:val="en-GB"/>
              </w:rPr>
            </w:pPr>
            <w:r w:rsidRPr="003F02E6">
              <w:rPr>
                <w:rFonts w:ascii="Times New Roman" w:eastAsia="Aptos" w:hAnsi="Times New Roman" w:cs="Times New Roman"/>
                <w:sz w:val="20"/>
                <w:szCs w:val="20"/>
              </w:rPr>
              <w:t>Udział powierzchni pszenicy durum [%]</w:t>
            </w:r>
          </w:p>
        </w:tc>
        <w:tc>
          <w:tcPr>
            <w:tcW w:w="732" w:type="pct"/>
            <w:hideMark/>
          </w:tcPr>
          <w:p w14:paraId="4A71AD2F"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− 0.006</w:t>
            </w:r>
          </w:p>
        </w:tc>
        <w:tc>
          <w:tcPr>
            <w:tcW w:w="806" w:type="pct"/>
            <w:hideMark/>
          </w:tcPr>
          <w:p w14:paraId="060DB72C"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− 0.009</w:t>
            </w:r>
          </w:p>
        </w:tc>
        <w:tc>
          <w:tcPr>
            <w:tcW w:w="732" w:type="pct"/>
            <w:hideMark/>
          </w:tcPr>
          <w:p w14:paraId="5738D751"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c>
          <w:tcPr>
            <w:tcW w:w="807" w:type="pct"/>
            <w:hideMark/>
          </w:tcPr>
          <w:p w14:paraId="3AA93171"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r>
      <w:tr w:rsidR="001D0854" w:rsidRPr="003F02E6" w14:paraId="62DF1D25" w14:textId="77777777" w:rsidTr="003A6330">
        <w:tc>
          <w:tcPr>
            <w:tcW w:w="1922" w:type="pct"/>
          </w:tcPr>
          <w:p w14:paraId="66A9C986"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Kukurydza [ha]</w:t>
            </w:r>
          </w:p>
        </w:tc>
        <w:tc>
          <w:tcPr>
            <w:tcW w:w="732" w:type="pct"/>
            <w:hideMark/>
          </w:tcPr>
          <w:p w14:paraId="1AA5190F"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− 8.896***</w:t>
            </w:r>
          </w:p>
        </w:tc>
        <w:tc>
          <w:tcPr>
            <w:tcW w:w="806" w:type="pct"/>
            <w:hideMark/>
          </w:tcPr>
          <w:p w14:paraId="4ABF2632"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− 3.092***</w:t>
            </w:r>
          </w:p>
        </w:tc>
        <w:tc>
          <w:tcPr>
            <w:tcW w:w="732" w:type="pct"/>
            <w:hideMark/>
          </w:tcPr>
          <w:p w14:paraId="22292C86"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c>
          <w:tcPr>
            <w:tcW w:w="807" w:type="pct"/>
            <w:hideMark/>
          </w:tcPr>
          <w:p w14:paraId="209DDAC9"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r>
      <w:tr w:rsidR="001D0854" w:rsidRPr="003F02E6" w14:paraId="3EE79B77" w14:textId="77777777" w:rsidTr="003A6330">
        <w:tc>
          <w:tcPr>
            <w:tcW w:w="1922" w:type="pct"/>
          </w:tcPr>
          <w:p w14:paraId="246E0343"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Udział powierzchni kukurydzy [%]</w:t>
            </w:r>
          </w:p>
        </w:tc>
        <w:tc>
          <w:tcPr>
            <w:tcW w:w="732" w:type="pct"/>
            <w:hideMark/>
          </w:tcPr>
          <w:p w14:paraId="2B7FED9E"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− 0.111***</w:t>
            </w:r>
          </w:p>
        </w:tc>
        <w:tc>
          <w:tcPr>
            <w:tcW w:w="806" w:type="pct"/>
            <w:hideMark/>
          </w:tcPr>
          <w:p w14:paraId="65CB9CCA"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− 0.095***</w:t>
            </w:r>
          </w:p>
        </w:tc>
        <w:tc>
          <w:tcPr>
            <w:tcW w:w="732" w:type="pct"/>
            <w:hideMark/>
          </w:tcPr>
          <w:p w14:paraId="4F4ADBC8"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c>
          <w:tcPr>
            <w:tcW w:w="807" w:type="pct"/>
            <w:hideMark/>
          </w:tcPr>
          <w:p w14:paraId="05DE5ECD"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r>
      <w:tr w:rsidR="001D0854" w:rsidRPr="003F02E6" w14:paraId="7D900CAA" w14:textId="77777777" w:rsidTr="003A6330">
        <w:tc>
          <w:tcPr>
            <w:tcW w:w="1922" w:type="pct"/>
          </w:tcPr>
          <w:p w14:paraId="5643F886"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Jęczmień  [ha]</w:t>
            </w:r>
          </w:p>
        </w:tc>
        <w:tc>
          <w:tcPr>
            <w:tcW w:w="732" w:type="pct"/>
            <w:hideMark/>
          </w:tcPr>
          <w:p w14:paraId="08A213C9"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− 0.645</w:t>
            </w:r>
          </w:p>
        </w:tc>
        <w:tc>
          <w:tcPr>
            <w:tcW w:w="806" w:type="pct"/>
            <w:hideMark/>
          </w:tcPr>
          <w:p w14:paraId="4CDDB719"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− 0.688</w:t>
            </w:r>
          </w:p>
        </w:tc>
        <w:tc>
          <w:tcPr>
            <w:tcW w:w="732" w:type="pct"/>
            <w:hideMark/>
          </w:tcPr>
          <w:p w14:paraId="70C612F2"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c>
          <w:tcPr>
            <w:tcW w:w="807" w:type="pct"/>
            <w:hideMark/>
          </w:tcPr>
          <w:p w14:paraId="79D1B816"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r>
      <w:tr w:rsidR="001D0854" w:rsidRPr="003F02E6" w14:paraId="09DF7AC7" w14:textId="77777777" w:rsidTr="003A6330">
        <w:tc>
          <w:tcPr>
            <w:tcW w:w="1922" w:type="pct"/>
          </w:tcPr>
          <w:p w14:paraId="1A42CC86"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Udział powierzchni jęczmienia [%]</w:t>
            </w:r>
          </w:p>
        </w:tc>
        <w:tc>
          <w:tcPr>
            <w:tcW w:w="732" w:type="pct"/>
            <w:hideMark/>
          </w:tcPr>
          <w:p w14:paraId="0FACE06A"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− 0.001</w:t>
            </w:r>
          </w:p>
        </w:tc>
        <w:tc>
          <w:tcPr>
            <w:tcW w:w="806" w:type="pct"/>
            <w:hideMark/>
          </w:tcPr>
          <w:p w14:paraId="7629EAAB"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0.004</w:t>
            </w:r>
          </w:p>
        </w:tc>
        <w:tc>
          <w:tcPr>
            <w:tcW w:w="732" w:type="pct"/>
            <w:hideMark/>
          </w:tcPr>
          <w:p w14:paraId="411C89BF"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c>
          <w:tcPr>
            <w:tcW w:w="807" w:type="pct"/>
            <w:hideMark/>
          </w:tcPr>
          <w:p w14:paraId="7EDD4651"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r>
      <w:tr w:rsidR="001D0854" w:rsidRPr="003F02E6" w14:paraId="2AB3A7AC" w14:textId="77777777" w:rsidTr="003A6330">
        <w:tc>
          <w:tcPr>
            <w:tcW w:w="1922" w:type="pct"/>
          </w:tcPr>
          <w:p w14:paraId="5D75E6C1"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Słonecznik [ha]</w:t>
            </w:r>
          </w:p>
        </w:tc>
        <w:tc>
          <w:tcPr>
            <w:tcW w:w="732" w:type="pct"/>
            <w:hideMark/>
          </w:tcPr>
          <w:p w14:paraId="0F225860"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− 1.074</w:t>
            </w:r>
          </w:p>
        </w:tc>
        <w:tc>
          <w:tcPr>
            <w:tcW w:w="806" w:type="pct"/>
            <w:hideMark/>
          </w:tcPr>
          <w:p w14:paraId="33A521AF"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− 2.740***</w:t>
            </w:r>
          </w:p>
        </w:tc>
        <w:tc>
          <w:tcPr>
            <w:tcW w:w="732" w:type="pct"/>
            <w:hideMark/>
          </w:tcPr>
          <w:p w14:paraId="610A0300"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c>
          <w:tcPr>
            <w:tcW w:w="807" w:type="pct"/>
            <w:hideMark/>
          </w:tcPr>
          <w:p w14:paraId="5821FB54"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r>
      <w:tr w:rsidR="001D0854" w:rsidRPr="003F02E6" w14:paraId="6364432A" w14:textId="77777777" w:rsidTr="003A6330">
        <w:tc>
          <w:tcPr>
            <w:tcW w:w="1922" w:type="pct"/>
          </w:tcPr>
          <w:p w14:paraId="49344960"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Udział powierzchni uprawy słonecznika [%]</w:t>
            </w:r>
          </w:p>
        </w:tc>
        <w:tc>
          <w:tcPr>
            <w:tcW w:w="732" w:type="pct"/>
            <w:hideMark/>
          </w:tcPr>
          <w:p w14:paraId="75EFC42F"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− 0.012*</w:t>
            </w:r>
          </w:p>
        </w:tc>
        <w:tc>
          <w:tcPr>
            <w:tcW w:w="806" w:type="pct"/>
            <w:hideMark/>
          </w:tcPr>
          <w:p w14:paraId="0A4636E3"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− 0.018**</w:t>
            </w:r>
          </w:p>
        </w:tc>
        <w:tc>
          <w:tcPr>
            <w:tcW w:w="732" w:type="pct"/>
            <w:hideMark/>
          </w:tcPr>
          <w:p w14:paraId="42B46706"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c>
          <w:tcPr>
            <w:tcW w:w="807" w:type="pct"/>
            <w:hideMark/>
          </w:tcPr>
          <w:p w14:paraId="1DE132BD"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r>
      <w:tr w:rsidR="001D0854" w:rsidRPr="003F02E6" w14:paraId="4C7DD2E5" w14:textId="77777777" w:rsidTr="003A6330">
        <w:tc>
          <w:tcPr>
            <w:tcW w:w="1922" w:type="pct"/>
          </w:tcPr>
          <w:p w14:paraId="18719F8A"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Rzepak [ha]</w:t>
            </w:r>
          </w:p>
        </w:tc>
        <w:tc>
          <w:tcPr>
            <w:tcW w:w="732" w:type="pct"/>
            <w:hideMark/>
          </w:tcPr>
          <w:p w14:paraId="5A023F95"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4.336**</w:t>
            </w:r>
          </w:p>
        </w:tc>
        <w:tc>
          <w:tcPr>
            <w:tcW w:w="806" w:type="pct"/>
            <w:hideMark/>
          </w:tcPr>
          <w:p w14:paraId="234E17CA"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2.756</w:t>
            </w:r>
          </w:p>
        </w:tc>
        <w:tc>
          <w:tcPr>
            <w:tcW w:w="732" w:type="pct"/>
            <w:hideMark/>
          </w:tcPr>
          <w:p w14:paraId="05F36000"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c>
          <w:tcPr>
            <w:tcW w:w="807" w:type="pct"/>
            <w:hideMark/>
          </w:tcPr>
          <w:p w14:paraId="64B69BA4"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r>
      <w:tr w:rsidR="001D0854" w:rsidRPr="003F02E6" w14:paraId="31198D08" w14:textId="77777777" w:rsidTr="003A6330">
        <w:tc>
          <w:tcPr>
            <w:tcW w:w="1922" w:type="pct"/>
          </w:tcPr>
          <w:p w14:paraId="12107FC0"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Udział powierzchni uprawy rzepaku [%]</w:t>
            </w:r>
          </w:p>
        </w:tc>
        <w:tc>
          <w:tcPr>
            <w:tcW w:w="732" w:type="pct"/>
            <w:hideMark/>
          </w:tcPr>
          <w:p w14:paraId="1E019316"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0.017**</w:t>
            </w:r>
          </w:p>
        </w:tc>
        <w:tc>
          <w:tcPr>
            <w:tcW w:w="806" w:type="pct"/>
            <w:hideMark/>
          </w:tcPr>
          <w:p w14:paraId="3D747E85"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0.012</w:t>
            </w:r>
          </w:p>
        </w:tc>
        <w:tc>
          <w:tcPr>
            <w:tcW w:w="732" w:type="pct"/>
            <w:hideMark/>
          </w:tcPr>
          <w:p w14:paraId="392691C1"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c>
          <w:tcPr>
            <w:tcW w:w="807" w:type="pct"/>
            <w:hideMark/>
          </w:tcPr>
          <w:p w14:paraId="17B26000"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r>
      <w:tr w:rsidR="001D0854" w:rsidRPr="003F02E6" w14:paraId="3C91E1BF" w14:textId="77777777" w:rsidTr="003A6330">
        <w:tc>
          <w:tcPr>
            <w:tcW w:w="1922" w:type="pct"/>
          </w:tcPr>
          <w:p w14:paraId="3C444C1D"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Soja [%]</w:t>
            </w:r>
          </w:p>
        </w:tc>
        <w:tc>
          <w:tcPr>
            <w:tcW w:w="732" w:type="pct"/>
            <w:hideMark/>
          </w:tcPr>
          <w:p w14:paraId="2328D711"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0.254</w:t>
            </w:r>
          </w:p>
        </w:tc>
        <w:tc>
          <w:tcPr>
            <w:tcW w:w="806" w:type="pct"/>
            <w:hideMark/>
          </w:tcPr>
          <w:p w14:paraId="70CF7B8B"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0.216</w:t>
            </w:r>
          </w:p>
        </w:tc>
        <w:tc>
          <w:tcPr>
            <w:tcW w:w="732" w:type="pct"/>
            <w:hideMark/>
          </w:tcPr>
          <w:p w14:paraId="62C37190"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c>
          <w:tcPr>
            <w:tcW w:w="807" w:type="pct"/>
            <w:hideMark/>
          </w:tcPr>
          <w:p w14:paraId="7EE89B11"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r>
      <w:tr w:rsidR="001D0854" w:rsidRPr="003F02E6" w14:paraId="3B9911D9" w14:textId="77777777" w:rsidTr="003A6330">
        <w:tc>
          <w:tcPr>
            <w:tcW w:w="1922" w:type="pct"/>
          </w:tcPr>
          <w:p w14:paraId="438E3EEB"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Udział powierzchni upraw soi [%]</w:t>
            </w:r>
          </w:p>
        </w:tc>
        <w:tc>
          <w:tcPr>
            <w:tcW w:w="732" w:type="pct"/>
            <w:hideMark/>
          </w:tcPr>
          <w:p w14:paraId="431091BE"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0.002</w:t>
            </w:r>
          </w:p>
        </w:tc>
        <w:tc>
          <w:tcPr>
            <w:tcW w:w="806" w:type="pct"/>
            <w:hideMark/>
          </w:tcPr>
          <w:p w14:paraId="6DB3EDBA"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0.001</w:t>
            </w:r>
          </w:p>
        </w:tc>
        <w:tc>
          <w:tcPr>
            <w:tcW w:w="732" w:type="pct"/>
            <w:hideMark/>
          </w:tcPr>
          <w:p w14:paraId="2AB3F241"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c>
          <w:tcPr>
            <w:tcW w:w="807" w:type="pct"/>
            <w:hideMark/>
          </w:tcPr>
          <w:p w14:paraId="546180DA"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w:t>
            </w:r>
          </w:p>
        </w:tc>
      </w:tr>
      <w:tr w:rsidR="001D0854" w:rsidRPr="003F02E6" w14:paraId="52653089" w14:textId="77777777" w:rsidTr="003A6330">
        <w:tc>
          <w:tcPr>
            <w:tcW w:w="1922" w:type="pct"/>
          </w:tcPr>
          <w:p w14:paraId="7A4E85D3"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Obszar nawadniany [ha]</w:t>
            </w:r>
          </w:p>
        </w:tc>
        <w:tc>
          <w:tcPr>
            <w:tcW w:w="732" w:type="pct"/>
            <w:hideMark/>
          </w:tcPr>
          <w:p w14:paraId="3170E13F"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0.840</w:t>
            </w:r>
          </w:p>
        </w:tc>
        <w:tc>
          <w:tcPr>
            <w:tcW w:w="806" w:type="pct"/>
            <w:hideMark/>
          </w:tcPr>
          <w:p w14:paraId="527DEF73"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2.551</w:t>
            </w:r>
          </w:p>
        </w:tc>
        <w:tc>
          <w:tcPr>
            <w:tcW w:w="732" w:type="pct"/>
            <w:hideMark/>
          </w:tcPr>
          <w:p w14:paraId="4457E625"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2.725***</w:t>
            </w:r>
          </w:p>
        </w:tc>
        <w:tc>
          <w:tcPr>
            <w:tcW w:w="807" w:type="pct"/>
            <w:hideMark/>
          </w:tcPr>
          <w:p w14:paraId="7B24EB56"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1.739*</w:t>
            </w:r>
          </w:p>
        </w:tc>
      </w:tr>
      <w:tr w:rsidR="001D0854" w:rsidRPr="003F02E6" w14:paraId="728DC076" w14:textId="77777777" w:rsidTr="003A6330">
        <w:tc>
          <w:tcPr>
            <w:tcW w:w="1922" w:type="pct"/>
          </w:tcPr>
          <w:p w14:paraId="0F03E000"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Udział obszaru nawadnianej [%]</w:t>
            </w:r>
          </w:p>
        </w:tc>
        <w:tc>
          <w:tcPr>
            <w:tcW w:w="732" w:type="pct"/>
            <w:hideMark/>
          </w:tcPr>
          <w:p w14:paraId="22B50684"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− 0.052**</w:t>
            </w:r>
          </w:p>
        </w:tc>
        <w:tc>
          <w:tcPr>
            <w:tcW w:w="806" w:type="pct"/>
            <w:hideMark/>
          </w:tcPr>
          <w:p w14:paraId="15C7B75E"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− 0.019</w:t>
            </w:r>
          </w:p>
        </w:tc>
        <w:tc>
          <w:tcPr>
            <w:tcW w:w="732" w:type="pct"/>
            <w:hideMark/>
          </w:tcPr>
          <w:p w14:paraId="29D25A94"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0.039**</w:t>
            </w:r>
          </w:p>
        </w:tc>
        <w:tc>
          <w:tcPr>
            <w:tcW w:w="807" w:type="pct"/>
            <w:hideMark/>
          </w:tcPr>
          <w:p w14:paraId="05E9B9E9"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0.013</w:t>
            </w:r>
          </w:p>
        </w:tc>
      </w:tr>
      <w:tr w:rsidR="001D0854" w:rsidRPr="003F02E6" w14:paraId="49C2C72F" w14:textId="77777777" w:rsidTr="003A6330">
        <w:tc>
          <w:tcPr>
            <w:tcW w:w="1922" w:type="pct"/>
          </w:tcPr>
          <w:p w14:paraId="431D5E23"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Uprawy paszowe [ha]</w:t>
            </w:r>
          </w:p>
        </w:tc>
        <w:tc>
          <w:tcPr>
            <w:tcW w:w="732" w:type="pct"/>
            <w:hideMark/>
          </w:tcPr>
          <w:p w14:paraId="58B13483"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− 0.098</w:t>
            </w:r>
          </w:p>
        </w:tc>
        <w:tc>
          <w:tcPr>
            <w:tcW w:w="806" w:type="pct"/>
            <w:hideMark/>
          </w:tcPr>
          <w:p w14:paraId="21387097"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0.189</w:t>
            </w:r>
          </w:p>
        </w:tc>
        <w:tc>
          <w:tcPr>
            <w:tcW w:w="732" w:type="pct"/>
            <w:hideMark/>
          </w:tcPr>
          <w:p w14:paraId="0D441305"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− 2.566***</w:t>
            </w:r>
          </w:p>
        </w:tc>
        <w:tc>
          <w:tcPr>
            <w:tcW w:w="807" w:type="pct"/>
            <w:hideMark/>
          </w:tcPr>
          <w:p w14:paraId="079A6935"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− 2.890***</w:t>
            </w:r>
          </w:p>
        </w:tc>
      </w:tr>
      <w:tr w:rsidR="001D0854" w:rsidRPr="003F02E6" w14:paraId="1D262642" w14:textId="77777777" w:rsidTr="003A6330">
        <w:tc>
          <w:tcPr>
            <w:tcW w:w="1922" w:type="pct"/>
          </w:tcPr>
          <w:p w14:paraId="50602100"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Udział powierzchni upraw paszowych [%]</w:t>
            </w:r>
          </w:p>
        </w:tc>
        <w:tc>
          <w:tcPr>
            <w:tcW w:w="732" w:type="pct"/>
            <w:hideMark/>
          </w:tcPr>
          <w:p w14:paraId="12DEEF6B"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− 0.002</w:t>
            </w:r>
          </w:p>
        </w:tc>
        <w:tc>
          <w:tcPr>
            <w:tcW w:w="806" w:type="pct"/>
            <w:hideMark/>
          </w:tcPr>
          <w:p w14:paraId="0D939D5D"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0.003</w:t>
            </w:r>
          </w:p>
        </w:tc>
        <w:tc>
          <w:tcPr>
            <w:tcW w:w="732" w:type="pct"/>
            <w:hideMark/>
          </w:tcPr>
          <w:p w14:paraId="7308A2D1"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− 0.048***</w:t>
            </w:r>
          </w:p>
        </w:tc>
        <w:tc>
          <w:tcPr>
            <w:tcW w:w="807" w:type="pct"/>
            <w:hideMark/>
          </w:tcPr>
          <w:p w14:paraId="2D5B284F"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− 0.037***</w:t>
            </w:r>
          </w:p>
        </w:tc>
      </w:tr>
      <w:tr w:rsidR="001D0854" w:rsidRPr="003F02E6" w14:paraId="1A69880A" w14:textId="77777777" w:rsidTr="003A6330">
        <w:tc>
          <w:tcPr>
            <w:tcW w:w="1922" w:type="pct"/>
          </w:tcPr>
          <w:p w14:paraId="5B96775C"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Grunty ugorowane [ha]</w:t>
            </w:r>
          </w:p>
        </w:tc>
        <w:tc>
          <w:tcPr>
            <w:tcW w:w="732" w:type="pct"/>
            <w:hideMark/>
          </w:tcPr>
          <w:p w14:paraId="366DE5E8"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2.802*</w:t>
            </w:r>
          </w:p>
        </w:tc>
        <w:tc>
          <w:tcPr>
            <w:tcW w:w="806" w:type="pct"/>
            <w:hideMark/>
          </w:tcPr>
          <w:p w14:paraId="3119B4D2"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2.977*</w:t>
            </w:r>
          </w:p>
        </w:tc>
        <w:tc>
          <w:tcPr>
            <w:tcW w:w="732" w:type="pct"/>
            <w:hideMark/>
          </w:tcPr>
          <w:p w14:paraId="423AB754"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0.437</w:t>
            </w:r>
          </w:p>
        </w:tc>
        <w:tc>
          <w:tcPr>
            <w:tcW w:w="807" w:type="pct"/>
            <w:hideMark/>
          </w:tcPr>
          <w:p w14:paraId="6197DF97"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0.511</w:t>
            </w:r>
          </w:p>
        </w:tc>
      </w:tr>
      <w:tr w:rsidR="001D0854" w:rsidRPr="003F02E6" w14:paraId="74ED63E3" w14:textId="77777777" w:rsidTr="003A6330">
        <w:tc>
          <w:tcPr>
            <w:tcW w:w="1922" w:type="pct"/>
          </w:tcPr>
          <w:p w14:paraId="5D94957D"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Udział gruntów ugorowanych [%]</w:t>
            </w:r>
          </w:p>
        </w:tc>
        <w:tc>
          <w:tcPr>
            <w:tcW w:w="732" w:type="pct"/>
            <w:hideMark/>
          </w:tcPr>
          <w:p w14:paraId="2837BC8C"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− 0.004</w:t>
            </w:r>
          </w:p>
        </w:tc>
        <w:tc>
          <w:tcPr>
            <w:tcW w:w="806" w:type="pct"/>
            <w:hideMark/>
          </w:tcPr>
          <w:p w14:paraId="7D48FC0E"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− 0.001</w:t>
            </w:r>
          </w:p>
        </w:tc>
        <w:tc>
          <w:tcPr>
            <w:tcW w:w="732" w:type="pct"/>
            <w:hideMark/>
          </w:tcPr>
          <w:p w14:paraId="73FAA3F0"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− 0.006</w:t>
            </w:r>
          </w:p>
        </w:tc>
        <w:tc>
          <w:tcPr>
            <w:tcW w:w="807" w:type="pct"/>
            <w:hideMark/>
          </w:tcPr>
          <w:p w14:paraId="71701BF4"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− 0.003</w:t>
            </w:r>
          </w:p>
        </w:tc>
      </w:tr>
      <w:tr w:rsidR="001D0854" w:rsidRPr="003F02E6" w14:paraId="258086F5" w14:textId="77777777" w:rsidTr="003A6330">
        <w:tc>
          <w:tcPr>
            <w:tcW w:w="1922" w:type="pct"/>
          </w:tcPr>
          <w:p w14:paraId="521DEC3B"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Wskaźnik Herfindahla [-]</w:t>
            </w:r>
          </w:p>
        </w:tc>
        <w:tc>
          <w:tcPr>
            <w:tcW w:w="732" w:type="pct"/>
            <w:hideMark/>
          </w:tcPr>
          <w:p w14:paraId="60FC7B82"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0.025*</w:t>
            </w:r>
          </w:p>
        </w:tc>
        <w:tc>
          <w:tcPr>
            <w:tcW w:w="806" w:type="pct"/>
            <w:hideMark/>
          </w:tcPr>
          <w:p w14:paraId="511B0F87"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0.037**</w:t>
            </w:r>
          </w:p>
        </w:tc>
        <w:tc>
          <w:tcPr>
            <w:tcW w:w="732" w:type="pct"/>
            <w:hideMark/>
          </w:tcPr>
          <w:p w14:paraId="162F9E10"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0.054</w:t>
            </w:r>
          </w:p>
        </w:tc>
        <w:tc>
          <w:tcPr>
            <w:tcW w:w="807" w:type="pct"/>
            <w:hideMark/>
          </w:tcPr>
          <w:p w14:paraId="3BCF947E"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− 0.066</w:t>
            </w:r>
          </w:p>
        </w:tc>
      </w:tr>
      <w:tr w:rsidR="001D0854" w:rsidRPr="003F02E6" w14:paraId="43919DB7" w14:textId="77777777" w:rsidTr="003A6330">
        <w:tc>
          <w:tcPr>
            <w:tcW w:w="1922" w:type="pct"/>
          </w:tcPr>
          <w:p w14:paraId="4EC62F08"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Liczba obserwacji [-]</w:t>
            </w:r>
          </w:p>
        </w:tc>
        <w:tc>
          <w:tcPr>
            <w:tcW w:w="732" w:type="pct"/>
            <w:hideMark/>
          </w:tcPr>
          <w:p w14:paraId="2407316E"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506</w:t>
            </w:r>
          </w:p>
        </w:tc>
        <w:tc>
          <w:tcPr>
            <w:tcW w:w="806" w:type="pct"/>
            <w:hideMark/>
          </w:tcPr>
          <w:p w14:paraId="4300158A"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844</w:t>
            </w:r>
          </w:p>
        </w:tc>
        <w:tc>
          <w:tcPr>
            <w:tcW w:w="732" w:type="pct"/>
            <w:hideMark/>
          </w:tcPr>
          <w:p w14:paraId="75471B08"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378</w:t>
            </w:r>
          </w:p>
        </w:tc>
        <w:tc>
          <w:tcPr>
            <w:tcW w:w="807" w:type="pct"/>
            <w:hideMark/>
          </w:tcPr>
          <w:p w14:paraId="43E5022F" w14:textId="77777777" w:rsidR="001D0854" w:rsidRPr="003F02E6" w:rsidRDefault="001D0854" w:rsidP="001D0854">
            <w:pPr>
              <w:spacing w:before="100" w:beforeAutospacing="1" w:after="100" w:afterAutospacing="1"/>
              <w:rPr>
                <w:rFonts w:ascii="Times New Roman" w:eastAsia="Aptos" w:hAnsi="Times New Roman" w:cs="Times New Roman"/>
                <w:sz w:val="20"/>
                <w:szCs w:val="20"/>
              </w:rPr>
            </w:pPr>
            <w:r w:rsidRPr="003F02E6">
              <w:rPr>
                <w:rFonts w:ascii="Times New Roman" w:eastAsia="Aptos" w:hAnsi="Times New Roman" w:cs="Times New Roman"/>
                <w:sz w:val="20"/>
                <w:szCs w:val="20"/>
              </w:rPr>
              <w:t>1712</w:t>
            </w:r>
          </w:p>
        </w:tc>
      </w:tr>
    </w:tbl>
    <w:bookmarkEnd w:id="19"/>
    <w:p w14:paraId="445C4AC0" w14:textId="77777777" w:rsidR="001D0854" w:rsidRPr="001D0854" w:rsidRDefault="001D0854" w:rsidP="001D0854">
      <w:pPr>
        <w:spacing w:after="0" w:line="259" w:lineRule="auto"/>
        <w:jc w:val="both"/>
        <w:rPr>
          <w:rFonts w:ascii="Times New Roman" w:eastAsia="Aptos" w:hAnsi="Times New Roman" w:cs="Times New Roman"/>
          <w:sz w:val="22"/>
          <w:szCs w:val="22"/>
        </w:rPr>
      </w:pPr>
      <w:r w:rsidRPr="001D0854">
        <w:rPr>
          <w:rFonts w:ascii="Times New Roman" w:eastAsia="Aptos" w:hAnsi="Times New Roman" w:cs="Times New Roman"/>
          <w:sz w:val="22"/>
          <w:szCs w:val="22"/>
        </w:rPr>
        <w:t>Objaśnienie: *, ** i *** oznaczają odpowiednio istotność na poziomie 10%, 5% i 1%.</w:t>
      </w:r>
    </w:p>
    <w:p w14:paraId="23AC765A" w14:textId="77777777" w:rsidR="001D0854" w:rsidRPr="00E226AA" w:rsidRDefault="001D0854" w:rsidP="001D0854">
      <w:pPr>
        <w:spacing w:after="0" w:line="259" w:lineRule="auto"/>
        <w:jc w:val="both"/>
        <w:rPr>
          <w:rFonts w:ascii="Times New Roman" w:eastAsia="Aptos" w:hAnsi="Times New Roman" w:cs="Times New Roman"/>
          <w:i/>
          <w:iCs/>
          <w:sz w:val="22"/>
          <w:szCs w:val="22"/>
          <w:lang w:val="en-US"/>
        </w:rPr>
      </w:pPr>
      <w:r w:rsidRPr="00E226AA">
        <w:rPr>
          <w:rFonts w:ascii="Times New Roman" w:eastAsia="Aptos" w:hAnsi="Times New Roman" w:cs="Times New Roman"/>
          <w:i/>
          <w:iCs/>
          <w:sz w:val="22"/>
          <w:szCs w:val="22"/>
        </w:rPr>
        <w:t xml:space="preserve">Źródło: opracowanie własne na podstawie: Enjolras, G., Aubert, M. (2020). </w:t>
      </w:r>
      <w:r w:rsidRPr="00E226AA">
        <w:rPr>
          <w:rFonts w:ascii="Times New Roman" w:eastAsia="Aptos" w:hAnsi="Times New Roman" w:cs="Times New Roman"/>
          <w:i/>
          <w:iCs/>
          <w:sz w:val="22"/>
          <w:szCs w:val="22"/>
          <w:lang w:val="en-US"/>
        </w:rPr>
        <w:t>How does crop insurance influence pesticide use? Evidence from French farms. Review of Agricultural, Food and Environmental Studies, 101(4), 461-465.</w:t>
      </w:r>
    </w:p>
    <w:p w14:paraId="2A4522EE" w14:textId="77777777" w:rsidR="001D0854" w:rsidRPr="001D0854" w:rsidRDefault="001D0854" w:rsidP="001D0854">
      <w:pPr>
        <w:spacing w:line="259" w:lineRule="auto"/>
        <w:jc w:val="both"/>
        <w:rPr>
          <w:rFonts w:ascii="Times New Roman" w:eastAsia="Aptos" w:hAnsi="Times New Roman" w:cs="Times New Roman"/>
          <w:sz w:val="28"/>
          <w:szCs w:val="28"/>
          <w:lang w:val="en-US"/>
        </w:rPr>
      </w:pPr>
    </w:p>
    <w:p w14:paraId="3959BBD5" w14:textId="19297E83" w:rsidR="001D0854" w:rsidRPr="00C902CF" w:rsidRDefault="001D0854" w:rsidP="00C902CF">
      <w:pPr>
        <w:pStyle w:val="Akapitzlist"/>
        <w:numPr>
          <w:ilvl w:val="1"/>
          <w:numId w:val="28"/>
        </w:numPr>
        <w:spacing w:line="259" w:lineRule="auto"/>
        <w:ind w:left="709" w:hanging="709"/>
        <w:jc w:val="both"/>
        <w:rPr>
          <w:rFonts w:ascii="Times New Roman" w:eastAsia="Aptos" w:hAnsi="Times New Roman" w:cs="Times New Roman"/>
          <w:b/>
          <w:bCs/>
          <w:sz w:val="28"/>
          <w:szCs w:val="28"/>
        </w:rPr>
      </w:pPr>
      <w:r w:rsidRPr="00C902CF">
        <w:rPr>
          <w:rFonts w:ascii="Times New Roman" w:eastAsia="Aptos" w:hAnsi="Times New Roman" w:cs="Times New Roman"/>
          <w:b/>
          <w:bCs/>
          <w:sz w:val="28"/>
          <w:szCs w:val="28"/>
        </w:rPr>
        <w:t>Typowe wydruki estymacji</w:t>
      </w:r>
    </w:p>
    <w:p w14:paraId="4287BD22" w14:textId="77777777" w:rsidR="001D0854" w:rsidRPr="001D0854" w:rsidRDefault="001D0854" w:rsidP="001D0854">
      <w:pPr>
        <w:spacing w:line="259" w:lineRule="auto"/>
        <w:jc w:val="both"/>
        <w:rPr>
          <w:rFonts w:ascii="Courier New" w:eastAsia="Aptos" w:hAnsi="Courier New" w:cs="Courier New"/>
          <w:sz w:val="28"/>
          <w:szCs w:val="28"/>
        </w:rPr>
      </w:pPr>
      <w:r w:rsidRPr="001D0854">
        <w:rPr>
          <w:rFonts w:ascii="Times New Roman" w:eastAsia="Aptos" w:hAnsi="Times New Roman" w:cs="Times New Roman"/>
          <w:sz w:val="28"/>
          <w:szCs w:val="28"/>
        </w:rPr>
        <w:t xml:space="preserve">W ramkach 4-6 przedstawiono procedury prowadzące do estymacji  PSM odpowiednio w programie R, pakiecie STATA i języku Python. Należy zauważyć, że w R niezbędne jest wykorzystanie pakietu </w:t>
      </w:r>
      <w:r w:rsidRPr="001D0854">
        <w:rPr>
          <w:rFonts w:ascii="Courier New" w:eastAsia="Aptos" w:hAnsi="Courier New" w:cs="Courier New"/>
          <w:sz w:val="28"/>
          <w:szCs w:val="28"/>
        </w:rPr>
        <w:t>MatchIt</w:t>
      </w:r>
      <w:r w:rsidRPr="001D0854">
        <w:rPr>
          <w:rFonts w:ascii="Times New Roman" w:eastAsia="Aptos" w:hAnsi="Times New Roman" w:cs="Times New Roman"/>
          <w:sz w:val="28"/>
          <w:szCs w:val="28"/>
        </w:rPr>
        <w:t xml:space="preserve">, w STATA – </w:t>
      </w:r>
      <w:r w:rsidRPr="001D0854">
        <w:rPr>
          <w:rFonts w:ascii="Courier New" w:eastAsia="Aptos" w:hAnsi="Courier New" w:cs="Courier New"/>
          <w:sz w:val="28"/>
          <w:szCs w:val="28"/>
        </w:rPr>
        <w:t>psmatch2.</w:t>
      </w:r>
    </w:p>
    <w:p w14:paraId="3A4B6B22" w14:textId="77777777" w:rsidR="00B1341A" w:rsidRDefault="00B1341A" w:rsidP="001D0854">
      <w:pPr>
        <w:spacing w:line="259" w:lineRule="auto"/>
        <w:jc w:val="both"/>
        <w:rPr>
          <w:rFonts w:ascii="Times New Roman" w:eastAsia="Aptos" w:hAnsi="Times New Roman" w:cs="Times New Roman"/>
          <w:b/>
          <w:bCs/>
          <w:sz w:val="28"/>
          <w:szCs w:val="28"/>
        </w:rPr>
      </w:pPr>
    </w:p>
    <w:p w14:paraId="6C6FAAA0" w14:textId="09C088C4" w:rsidR="001D0854" w:rsidRPr="001D0854" w:rsidRDefault="001D0854" w:rsidP="001D0854">
      <w:pPr>
        <w:spacing w:line="259" w:lineRule="auto"/>
        <w:jc w:val="both"/>
        <w:rPr>
          <w:rFonts w:ascii="Times New Roman" w:eastAsia="Aptos" w:hAnsi="Times New Roman" w:cs="Times New Roman"/>
          <w:sz w:val="28"/>
          <w:szCs w:val="28"/>
        </w:rPr>
      </w:pPr>
      <w:r w:rsidRPr="00E226AA">
        <w:rPr>
          <w:rFonts w:ascii="Times New Roman" w:eastAsia="Aptos" w:hAnsi="Times New Roman" w:cs="Times New Roman"/>
          <w:b/>
          <w:bCs/>
          <w:sz w:val="28"/>
          <w:szCs w:val="28"/>
        </w:rPr>
        <w:lastRenderedPageBreak/>
        <w:t>Ramka 4.</w:t>
      </w:r>
      <w:r w:rsidRPr="001D0854">
        <w:rPr>
          <w:rFonts w:ascii="Times New Roman" w:eastAsia="Aptos" w:hAnsi="Times New Roman" w:cs="Times New Roman"/>
          <w:sz w:val="28"/>
          <w:szCs w:val="28"/>
        </w:rPr>
        <w:t xml:space="preserve">  Algorytm  prowadzący do estymacji PSM – wydruk komend dla programu R</w:t>
      </w:r>
    </w:p>
    <w:tbl>
      <w:tblPr>
        <w:tblStyle w:val="Tabela-Siatka"/>
        <w:tblW w:w="0" w:type="auto"/>
        <w:shd w:val="clear" w:color="auto" w:fill="F2F2F2"/>
        <w:tblLook w:val="04A0" w:firstRow="1" w:lastRow="0" w:firstColumn="1" w:lastColumn="0" w:noHBand="0" w:noVBand="1"/>
      </w:tblPr>
      <w:tblGrid>
        <w:gridCol w:w="9062"/>
      </w:tblGrid>
      <w:tr w:rsidR="001D0854" w:rsidRPr="006B3303" w14:paraId="1490AEF3" w14:textId="77777777" w:rsidTr="001D0854">
        <w:tc>
          <w:tcPr>
            <w:tcW w:w="9062" w:type="dxa"/>
            <w:shd w:val="clear" w:color="auto" w:fill="F2F2F2"/>
          </w:tcPr>
          <w:p w14:paraId="12F19DD6"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Load necessary packages</w:t>
            </w:r>
          </w:p>
          <w:p w14:paraId="5A40C8D2"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install.packages("MatchIt")</w:t>
            </w:r>
          </w:p>
          <w:p w14:paraId="02651555"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library(MatchIt)</w:t>
            </w:r>
          </w:p>
          <w:p w14:paraId="7AF006B6"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p>
          <w:p w14:paraId="653E7418"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Example data: Use your own dataset</w:t>
            </w:r>
          </w:p>
          <w:p w14:paraId="27F8B6EE"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data(lalonde)</w:t>
            </w:r>
          </w:p>
          <w:p w14:paraId="0B8E85C1"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p>
          <w:p w14:paraId="75AE06EA"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Fit a propensity score model</w:t>
            </w:r>
          </w:p>
          <w:p w14:paraId="304C3BFD"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xml:space="preserve">psm_model &lt;- glm(treat ~ age + educ + race + married + nodegree + re74 + re75, </w:t>
            </w:r>
          </w:p>
          <w:p w14:paraId="77A631D9"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xml:space="preserve">                 family = binomial(), data = lalonde)</w:t>
            </w:r>
          </w:p>
          <w:p w14:paraId="3DD342F9"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p>
          <w:p w14:paraId="6CBD2F15"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Perform Matching</w:t>
            </w:r>
          </w:p>
          <w:p w14:paraId="30C436A9"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xml:space="preserve">matched_data &lt;- matchit(treat ~ age + educ + race + married + nodegree + re74 + re75, </w:t>
            </w:r>
          </w:p>
          <w:p w14:paraId="7271B8F3"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xml:space="preserve">                        method = "nearest", data = lalonde)</w:t>
            </w:r>
          </w:p>
          <w:p w14:paraId="0FD12E07"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p>
          <w:p w14:paraId="66DF7DCF"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Check the matched data</w:t>
            </w:r>
          </w:p>
          <w:p w14:paraId="26EA620A"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summary(matched_data)</w:t>
            </w:r>
          </w:p>
          <w:p w14:paraId="08BFEC6F"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plot(matched_data)</w:t>
            </w:r>
          </w:p>
          <w:p w14:paraId="45DE06C9"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p>
          <w:p w14:paraId="71B72A27"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Extract matched data for further analysis</w:t>
            </w:r>
          </w:p>
          <w:p w14:paraId="1AD911E8" w14:textId="77777777" w:rsidR="001D0854" w:rsidRPr="001D0854" w:rsidRDefault="001D0854" w:rsidP="001D0854">
            <w:pPr>
              <w:rPr>
                <w:rFonts w:ascii="Courier New" w:eastAsia="Aptos" w:hAnsi="Courier New" w:cs="Courier New"/>
                <w:b/>
                <w:bCs/>
                <w:sz w:val="20"/>
                <w:szCs w:val="20"/>
                <w:lang w:val="en-GB"/>
              </w:rPr>
            </w:pPr>
            <w:r w:rsidRPr="001D0854">
              <w:rPr>
                <w:rFonts w:ascii="Courier New" w:eastAsia="Times New Roman" w:hAnsi="Courier New" w:cs="Courier New"/>
                <w:i/>
                <w:iCs/>
                <w:color w:val="000000"/>
                <w:kern w:val="0"/>
                <w:sz w:val="20"/>
                <w:szCs w:val="20"/>
                <w:lang w:val="en-GB" w:eastAsia="pl-PL"/>
                <w14:ligatures w14:val="none"/>
              </w:rPr>
              <w:t>matched_df &lt;- match.data(matched_data)</w:t>
            </w:r>
          </w:p>
        </w:tc>
      </w:tr>
    </w:tbl>
    <w:p w14:paraId="0D946690" w14:textId="77777777" w:rsidR="001D0854" w:rsidRPr="001D0854" w:rsidRDefault="001D0854" w:rsidP="001D0854">
      <w:pPr>
        <w:spacing w:line="259" w:lineRule="auto"/>
        <w:jc w:val="both"/>
        <w:rPr>
          <w:rFonts w:ascii="Times New Roman" w:eastAsia="Aptos" w:hAnsi="Times New Roman" w:cs="Times New Roman"/>
          <w:i/>
          <w:iCs/>
        </w:rPr>
      </w:pPr>
      <w:r w:rsidRPr="001D0854">
        <w:rPr>
          <w:rFonts w:ascii="Times New Roman" w:eastAsia="Aptos" w:hAnsi="Times New Roman" w:cs="Times New Roman"/>
          <w:i/>
          <w:iCs/>
        </w:rPr>
        <w:t>Źródło: badania własne.</w:t>
      </w:r>
    </w:p>
    <w:p w14:paraId="112F6454" w14:textId="77777777" w:rsidR="001D0854" w:rsidRPr="001D0854" w:rsidRDefault="001D0854" w:rsidP="001D0854">
      <w:pPr>
        <w:spacing w:line="259" w:lineRule="auto"/>
        <w:jc w:val="both"/>
        <w:rPr>
          <w:rFonts w:ascii="Times New Roman" w:eastAsia="Aptos" w:hAnsi="Times New Roman" w:cs="Times New Roman"/>
          <w:b/>
          <w:bCs/>
          <w:sz w:val="28"/>
          <w:szCs w:val="28"/>
        </w:rPr>
      </w:pPr>
      <w:r w:rsidRPr="00E226AA">
        <w:rPr>
          <w:rFonts w:ascii="Times New Roman" w:eastAsia="Aptos" w:hAnsi="Times New Roman" w:cs="Times New Roman"/>
          <w:b/>
          <w:bCs/>
          <w:sz w:val="28"/>
          <w:szCs w:val="28"/>
        </w:rPr>
        <w:t>Ramka 5.</w:t>
      </w:r>
      <w:r w:rsidRPr="001D0854">
        <w:rPr>
          <w:rFonts w:ascii="Times New Roman" w:eastAsia="Aptos" w:hAnsi="Times New Roman" w:cs="Times New Roman"/>
          <w:sz w:val="28"/>
          <w:szCs w:val="28"/>
        </w:rPr>
        <w:t xml:space="preserve"> Algorytm  prowadzący do estymacji PSM – wydruk komend dla pakietu STATA</w:t>
      </w:r>
    </w:p>
    <w:tbl>
      <w:tblPr>
        <w:tblStyle w:val="Tabela-Siatka"/>
        <w:tblW w:w="0" w:type="auto"/>
        <w:shd w:val="clear" w:color="auto" w:fill="F2F2F2"/>
        <w:tblLook w:val="04A0" w:firstRow="1" w:lastRow="0" w:firstColumn="1" w:lastColumn="0" w:noHBand="0" w:noVBand="1"/>
      </w:tblPr>
      <w:tblGrid>
        <w:gridCol w:w="9062"/>
      </w:tblGrid>
      <w:tr w:rsidR="001D0854" w:rsidRPr="006B3303" w14:paraId="20641190" w14:textId="77777777" w:rsidTr="001D0854">
        <w:tc>
          <w:tcPr>
            <w:tcW w:w="9062" w:type="dxa"/>
            <w:shd w:val="clear" w:color="auto" w:fill="F2F2F2"/>
          </w:tcPr>
          <w:p w14:paraId="62289EF7"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Load example data: Use your own dataset</w:t>
            </w:r>
          </w:p>
          <w:p w14:paraId="4B674943"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webuse cattaneo2, clear</w:t>
            </w:r>
          </w:p>
          <w:p w14:paraId="54727FE2"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p>
          <w:p w14:paraId="47A0D432"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Estimate the propensity score using a logistic regression</w:t>
            </w:r>
          </w:p>
          <w:p w14:paraId="7FF96CDC"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logit mbsmoke mage mbpoor mblack mhisp</w:t>
            </w:r>
          </w:p>
          <w:p w14:paraId="1ED226F0"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p>
          <w:p w14:paraId="7F2C9821"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Perform nearest-neighbor matching</w:t>
            </w:r>
          </w:p>
          <w:p w14:paraId="6CD52D1C"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psmatch2 mbsmoke (mage mbpoor mblack mhisp), out(mbweight) neighbor(1)</w:t>
            </w:r>
          </w:p>
          <w:p w14:paraId="49308694"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p>
          <w:p w14:paraId="65A7BBE6"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Check balance</w:t>
            </w:r>
          </w:p>
          <w:p w14:paraId="6EE0421D"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pstest</w:t>
            </w:r>
          </w:p>
          <w:p w14:paraId="2C555164"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p>
          <w:p w14:paraId="602030BC"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Get matched data for further analysis</w:t>
            </w:r>
          </w:p>
          <w:p w14:paraId="4DFA7A1B"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genpscore = _pscore</w:t>
            </w:r>
          </w:p>
          <w:p w14:paraId="1D2B4789" w14:textId="77777777" w:rsidR="001D0854" w:rsidRPr="001D0854" w:rsidRDefault="001D0854" w:rsidP="001D0854">
            <w:pPr>
              <w:rPr>
                <w:rFonts w:ascii="Times New Roman" w:eastAsia="Aptos" w:hAnsi="Times New Roman" w:cs="Times New Roman"/>
                <w:b/>
                <w:bCs/>
                <w:sz w:val="28"/>
                <w:szCs w:val="28"/>
                <w:lang w:val="en-GB"/>
              </w:rPr>
            </w:pPr>
            <w:r w:rsidRPr="001D0854">
              <w:rPr>
                <w:rFonts w:ascii="Courier New" w:eastAsia="Times New Roman" w:hAnsi="Courier New" w:cs="Courier New"/>
                <w:i/>
                <w:iCs/>
                <w:color w:val="000000"/>
                <w:kern w:val="0"/>
                <w:sz w:val="20"/>
                <w:szCs w:val="20"/>
                <w:lang w:val="en-GB" w:eastAsia="pl-PL"/>
                <w14:ligatures w14:val="none"/>
              </w:rPr>
              <w:t>keep if _treated==1 | _weight&gt;0</w:t>
            </w:r>
          </w:p>
        </w:tc>
      </w:tr>
    </w:tbl>
    <w:p w14:paraId="3A027D08" w14:textId="77777777" w:rsidR="001D0854" w:rsidRPr="00E226AA" w:rsidRDefault="001D0854" w:rsidP="001D0854">
      <w:pPr>
        <w:spacing w:line="259" w:lineRule="auto"/>
        <w:jc w:val="both"/>
        <w:rPr>
          <w:rFonts w:ascii="Times New Roman" w:eastAsia="Aptos" w:hAnsi="Times New Roman" w:cs="Times New Roman"/>
          <w:i/>
          <w:iCs/>
          <w:sz w:val="28"/>
          <w:szCs w:val="28"/>
        </w:rPr>
      </w:pPr>
      <w:r w:rsidRPr="00E226AA">
        <w:rPr>
          <w:rFonts w:ascii="Times New Roman" w:eastAsia="Aptos" w:hAnsi="Times New Roman" w:cs="Times New Roman"/>
          <w:i/>
          <w:iCs/>
          <w:sz w:val="28"/>
          <w:szCs w:val="28"/>
        </w:rPr>
        <w:t>Źródło: badania własne.</w:t>
      </w:r>
    </w:p>
    <w:p w14:paraId="5CD120F6" w14:textId="77777777" w:rsidR="001D0854" w:rsidRPr="001D0854" w:rsidRDefault="001D0854" w:rsidP="001D0854">
      <w:pPr>
        <w:spacing w:line="259" w:lineRule="auto"/>
        <w:jc w:val="both"/>
        <w:rPr>
          <w:rFonts w:ascii="Times New Roman" w:eastAsia="Aptos" w:hAnsi="Times New Roman" w:cs="Times New Roman"/>
          <w:b/>
          <w:bCs/>
          <w:sz w:val="28"/>
          <w:szCs w:val="28"/>
        </w:rPr>
      </w:pPr>
      <w:r w:rsidRPr="00E226AA">
        <w:rPr>
          <w:rFonts w:ascii="Times New Roman" w:eastAsia="Aptos" w:hAnsi="Times New Roman" w:cs="Times New Roman"/>
          <w:b/>
          <w:bCs/>
          <w:sz w:val="28"/>
          <w:szCs w:val="28"/>
        </w:rPr>
        <w:t>Ramka 6.</w:t>
      </w:r>
      <w:r w:rsidRPr="001D0854">
        <w:rPr>
          <w:rFonts w:ascii="Times New Roman" w:eastAsia="Aptos" w:hAnsi="Times New Roman" w:cs="Times New Roman"/>
          <w:sz w:val="28"/>
          <w:szCs w:val="28"/>
        </w:rPr>
        <w:t xml:space="preserve"> Algorytm  prowadzący do estymacji PSM – wydruk komend dla języka programowania Python</w:t>
      </w:r>
    </w:p>
    <w:tbl>
      <w:tblPr>
        <w:tblStyle w:val="Tabela-Siatka"/>
        <w:tblW w:w="0" w:type="auto"/>
        <w:tblLook w:val="04A0" w:firstRow="1" w:lastRow="0" w:firstColumn="1" w:lastColumn="0" w:noHBand="0" w:noVBand="1"/>
      </w:tblPr>
      <w:tblGrid>
        <w:gridCol w:w="9062"/>
      </w:tblGrid>
      <w:tr w:rsidR="001D0854" w:rsidRPr="001D0854" w14:paraId="66B8E473" w14:textId="77777777" w:rsidTr="001D0854">
        <w:tc>
          <w:tcPr>
            <w:tcW w:w="9062" w:type="dxa"/>
            <w:shd w:val="clear" w:color="auto" w:fill="F2F2F2"/>
          </w:tcPr>
          <w:p w14:paraId="5DEA6584"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from psmpy import PsmPy</w:t>
            </w:r>
          </w:p>
          <w:p w14:paraId="0445653A"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from sklearn.linear_model import LogisticRegression</w:t>
            </w:r>
          </w:p>
          <w:p w14:paraId="7549279A"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import pandas as pd</w:t>
            </w:r>
          </w:p>
          <w:p w14:paraId="12812E5E"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p>
          <w:p w14:paraId="00DC8386"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Example data: Use your own dataset</w:t>
            </w:r>
          </w:p>
          <w:p w14:paraId="26AE6813"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data = pd.read_csv("your_dataset.csv")</w:t>
            </w:r>
          </w:p>
          <w:p w14:paraId="0BDB63D1"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p>
          <w:p w14:paraId="7A910FC4"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lastRenderedPageBreak/>
              <w:t># Specify the treatment and covariates</w:t>
            </w:r>
          </w:p>
          <w:p w14:paraId="2A16DBA9"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treatment = 'treat'</w:t>
            </w:r>
          </w:p>
          <w:p w14:paraId="49F5B198"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covariates = ['age', 'educ', 'race', 'married', 'nodegree', 're74', 're75']</w:t>
            </w:r>
          </w:p>
          <w:p w14:paraId="71AAEDD5"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p>
          <w:p w14:paraId="4572E782"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Initialize the PsmPy class</w:t>
            </w:r>
          </w:p>
          <w:p w14:paraId="64284C0D"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psm = PsmPy(data, treatment=treatment, indx=covariates)</w:t>
            </w:r>
          </w:p>
          <w:p w14:paraId="78FA8927" w14:textId="77777777" w:rsidR="001D0854" w:rsidRPr="001D0854" w:rsidRDefault="001D0854" w:rsidP="001D0854">
            <w:pPr>
              <w:rPr>
                <w:rFonts w:ascii="Courier New" w:eastAsia="Times New Roman" w:hAnsi="Courier New" w:cs="Courier New"/>
                <w:i/>
                <w:iCs/>
                <w:color w:val="000000"/>
                <w:kern w:val="0"/>
                <w:sz w:val="20"/>
                <w:szCs w:val="20"/>
                <w:lang w:val="en-GB" w:eastAsia="pl-PL"/>
                <w14:ligatures w14:val="none"/>
              </w:rPr>
            </w:pPr>
            <w:r w:rsidRPr="001D0854">
              <w:rPr>
                <w:rFonts w:ascii="Courier New" w:eastAsia="Times New Roman" w:hAnsi="Courier New" w:cs="Courier New"/>
                <w:i/>
                <w:iCs/>
                <w:color w:val="000000"/>
                <w:kern w:val="0"/>
                <w:sz w:val="20"/>
                <w:szCs w:val="20"/>
                <w:lang w:val="en-GB" w:eastAsia="pl-PL"/>
                <w14:ligatures w14:val="none"/>
              </w:rPr>
              <w:t># Calculate</w:t>
            </w:r>
          </w:p>
          <w:p w14:paraId="3E6C95BA" w14:textId="77777777" w:rsidR="001D0854" w:rsidRPr="001D0854" w:rsidRDefault="001D0854" w:rsidP="001D0854">
            <w:pPr>
              <w:jc w:val="both"/>
              <w:rPr>
                <w:rFonts w:ascii="Times New Roman" w:eastAsia="Aptos" w:hAnsi="Times New Roman" w:cs="Times New Roman"/>
                <w:b/>
                <w:bCs/>
                <w:sz w:val="28"/>
                <w:szCs w:val="28"/>
                <w:lang w:val="en-GB"/>
              </w:rPr>
            </w:pPr>
          </w:p>
        </w:tc>
      </w:tr>
    </w:tbl>
    <w:p w14:paraId="5E20EE7C" w14:textId="77777777" w:rsidR="001D0854" w:rsidRPr="00E226AA" w:rsidRDefault="001D0854" w:rsidP="001D0854">
      <w:pPr>
        <w:spacing w:line="259" w:lineRule="auto"/>
        <w:jc w:val="both"/>
        <w:rPr>
          <w:rFonts w:ascii="Times New Roman" w:eastAsia="Aptos" w:hAnsi="Times New Roman" w:cs="Times New Roman"/>
          <w:i/>
          <w:iCs/>
          <w:sz w:val="28"/>
          <w:szCs w:val="28"/>
        </w:rPr>
      </w:pPr>
      <w:r w:rsidRPr="00E226AA">
        <w:rPr>
          <w:rFonts w:ascii="Times New Roman" w:eastAsia="Aptos" w:hAnsi="Times New Roman" w:cs="Times New Roman"/>
          <w:i/>
          <w:iCs/>
          <w:sz w:val="28"/>
          <w:szCs w:val="28"/>
        </w:rPr>
        <w:lastRenderedPageBreak/>
        <w:t>Źródło: badania własne.</w:t>
      </w:r>
    </w:p>
    <w:p w14:paraId="15C8A049" w14:textId="11BD89C3" w:rsidR="00217022" w:rsidRPr="00217022" w:rsidRDefault="00217022" w:rsidP="00217022">
      <w:pPr>
        <w:numPr>
          <w:ilvl w:val="0"/>
          <w:numId w:val="62"/>
        </w:numPr>
        <w:spacing w:after="0" w:line="264" w:lineRule="auto"/>
        <w:ind w:hanging="720"/>
        <w:contextualSpacing/>
        <w:jc w:val="both"/>
        <w:rPr>
          <w:rFonts w:ascii="Times New Roman" w:hAnsi="Times New Roman" w:cs="Times New Roman"/>
          <w:b/>
          <w:bCs/>
          <w:sz w:val="32"/>
          <w:szCs w:val="32"/>
          <w:lang w:val="en-US"/>
        </w:rPr>
      </w:pPr>
      <w:r w:rsidRPr="00217022">
        <w:rPr>
          <w:rFonts w:ascii="Times New Roman" w:hAnsi="Times New Roman" w:cs="Times New Roman"/>
          <w:b/>
          <w:bCs/>
          <w:sz w:val="32"/>
          <w:szCs w:val="32"/>
          <w:lang w:val="en-US"/>
        </w:rPr>
        <w:t>Estymator difference-in-difference</w:t>
      </w:r>
      <w:r w:rsidR="00A26202">
        <w:rPr>
          <w:rFonts w:ascii="Times New Roman" w:hAnsi="Times New Roman" w:cs="Times New Roman"/>
          <w:b/>
          <w:bCs/>
          <w:sz w:val="32"/>
          <w:szCs w:val="32"/>
          <w:lang w:val="en-US"/>
        </w:rPr>
        <w:t>s</w:t>
      </w:r>
      <w:r w:rsidRPr="00217022">
        <w:rPr>
          <w:rFonts w:ascii="Times New Roman" w:hAnsi="Times New Roman" w:cs="Times New Roman"/>
          <w:b/>
          <w:bCs/>
          <w:sz w:val="32"/>
          <w:szCs w:val="32"/>
          <w:lang w:val="en-US"/>
        </w:rPr>
        <w:t xml:space="preserve"> (DID). </w:t>
      </w:r>
    </w:p>
    <w:p w14:paraId="4CB9BC34" w14:textId="77777777" w:rsidR="00217022" w:rsidRPr="00217022" w:rsidRDefault="00217022" w:rsidP="00217022">
      <w:pPr>
        <w:numPr>
          <w:ilvl w:val="1"/>
          <w:numId w:val="63"/>
        </w:numPr>
        <w:spacing w:after="0" w:line="264" w:lineRule="auto"/>
        <w:contextualSpacing/>
        <w:jc w:val="both"/>
        <w:rPr>
          <w:rFonts w:ascii="Times New Roman" w:hAnsi="Times New Roman" w:cs="Times New Roman"/>
          <w:b/>
          <w:bCs/>
          <w:sz w:val="32"/>
          <w:szCs w:val="32"/>
          <w:lang w:val="en-US"/>
        </w:rPr>
      </w:pPr>
      <w:r w:rsidRPr="00217022">
        <w:rPr>
          <w:rFonts w:ascii="Times New Roman" w:hAnsi="Times New Roman" w:cs="Times New Roman"/>
          <w:b/>
          <w:bCs/>
          <w:sz w:val="28"/>
          <w:szCs w:val="28"/>
        </w:rPr>
        <w:t>Perspektywa historyczno-ewolucyjna</w:t>
      </w:r>
    </w:p>
    <w:p w14:paraId="0C75ECC3" w14:textId="77777777" w:rsidR="00217022" w:rsidRPr="00217022" w:rsidRDefault="00217022" w:rsidP="00217022">
      <w:pPr>
        <w:spacing w:after="0" w:line="264" w:lineRule="auto"/>
        <w:ind w:left="720"/>
        <w:contextualSpacing/>
        <w:jc w:val="both"/>
        <w:rPr>
          <w:rFonts w:ascii="Times New Roman" w:hAnsi="Times New Roman" w:cs="Times New Roman"/>
          <w:b/>
          <w:bCs/>
          <w:sz w:val="28"/>
          <w:szCs w:val="28"/>
          <w:lang w:val="en-US"/>
        </w:rPr>
      </w:pPr>
    </w:p>
    <w:p w14:paraId="2308AE76" w14:textId="74908564"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Do oceny efektów zastosowania instrumentów interwencji lub szerzej polityki państwa w praktyce wykorzystywane są różne metody badawcze. Za te w najmniejszym stopniu nieobciążone uznaje się randomizowane badania kontrolowane (Randomized Controlled Trials – RCT) (Duflo </w:t>
      </w:r>
      <w:r w:rsidR="003531EA">
        <w:rPr>
          <w:rFonts w:ascii="Times New Roman" w:hAnsi="Times New Roman" w:cs="Times New Roman"/>
          <w:sz w:val="28"/>
          <w:szCs w:val="28"/>
        </w:rPr>
        <w:t>i</w:t>
      </w:r>
      <w:r w:rsidRPr="00217022">
        <w:rPr>
          <w:rFonts w:ascii="Times New Roman" w:hAnsi="Times New Roman" w:cs="Times New Roman"/>
          <w:sz w:val="28"/>
          <w:szCs w:val="28"/>
        </w:rPr>
        <w:t xml:space="preserve"> Kremer, 2005). W metodzie tej najczęściej następuje w sposób losowy przypisanie obiektów do grupy poddanej interwencji (grupy docelowej, niekiedy zwanej badaną/leczoną) oraz grupy porównawczej (grupy kontrolnej–odniesienia/ nieleczona), a więc tej, w której potencjalnie może zostać interwencja zastosowana. Zadaniem samej randomizacji jest</w:t>
      </w:r>
      <w:r w:rsidR="00A26202">
        <w:rPr>
          <w:rFonts w:ascii="Times New Roman" w:hAnsi="Times New Roman" w:cs="Times New Roman"/>
          <w:sz w:val="28"/>
          <w:szCs w:val="28"/>
        </w:rPr>
        <w:t>,</w:t>
      </w:r>
      <w:r w:rsidRPr="00217022">
        <w:rPr>
          <w:rFonts w:ascii="Times New Roman" w:hAnsi="Times New Roman" w:cs="Times New Roman"/>
          <w:sz w:val="28"/>
          <w:szCs w:val="28"/>
        </w:rPr>
        <w:t xml:space="preserve"> w jak największym stopniu ograniczenie wpływu niekontrolowanych zmiennych (wpływu selekcji) na uzyskane wyniki badania, a tym samym eliminowanie błędu wyboru</w:t>
      </w:r>
      <w:r w:rsidRPr="00217022">
        <w:t xml:space="preserve"> (</w:t>
      </w:r>
      <w:r w:rsidRPr="00217022">
        <w:rPr>
          <w:rFonts w:ascii="Times New Roman" w:hAnsi="Times New Roman" w:cs="Times New Roman"/>
          <w:sz w:val="28"/>
          <w:szCs w:val="28"/>
        </w:rPr>
        <w:t>Greenland, 1990). Z tego względu w ewaluacjach ilościowych takie podejście jest najprawdopodobniej bardziej niezawodne niż inne metody i techniki (Ogden, 2024). Metoda ta zaliczana jest do grupy quasi-eksperymentalnych, a zwłaszcza jej odmiana kaskadowa (najpierw grupa docelowa poddana jest interwencji, a następnie ten sam instrument z pewnym opóźnieniem stosowany jest w grupie kontrolnej. Rozwiązanie to jest dość powszechnie wykorzystywan</w:t>
      </w:r>
      <w:r w:rsidR="00036964">
        <w:rPr>
          <w:rFonts w:ascii="Times New Roman" w:hAnsi="Times New Roman" w:cs="Times New Roman"/>
          <w:sz w:val="28"/>
          <w:szCs w:val="28"/>
        </w:rPr>
        <w:t>e,</w:t>
      </w:r>
      <w:r w:rsidRPr="00217022">
        <w:rPr>
          <w:rFonts w:ascii="Times New Roman" w:hAnsi="Times New Roman" w:cs="Times New Roman"/>
          <w:sz w:val="28"/>
          <w:szCs w:val="28"/>
        </w:rPr>
        <w:t xml:space="preserve"> zwłaszcza w ekonomii rozwoju (Bouguen i in., 2019). Niektórzy wręcz twierdzą, że metoda RCT jest idealna. Niestety poprawność formuły i procesu doboru jednostek przy zastosowaniu metody RCT w badaniach ekonomicznych są często kontestowane, co skutkuje niedoszacowaniem poziomu błędu systematycznego popełnianego na pierwszym etapie badań (Eble i in., 2013). Dodatkowo podnoszony jest problem polegający na tym, że metoda ta nie informuje o działających mechanizmach przyczynowych</w:t>
      </w:r>
      <w:r w:rsidRPr="00217022">
        <w:t xml:space="preserve"> (</w:t>
      </w:r>
      <w:r w:rsidRPr="00217022">
        <w:rPr>
          <w:rFonts w:ascii="Times New Roman" w:hAnsi="Times New Roman" w:cs="Times New Roman"/>
          <w:sz w:val="28"/>
          <w:szCs w:val="28"/>
        </w:rPr>
        <w:t xml:space="preserve">Bédécarrats i in., 2019). Niektórzy badacze twierdzą, że metoda RCT może odgrywać rolę w budowaniu wiedzy naukowej i użytecznych prognoz, ale jedynie jako element większego badania, łącząc </w:t>
      </w:r>
      <w:r w:rsidR="00052912">
        <w:rPr>
          <w:rFonts w:ascii="Times New Roman" w:hAnsi="Times New Roman" w:cs="Times New Roman"/>
          <w:sz w:val="28"/>
          <w:szCs w:val="28"/>
        </w:rPr>
        <w:t>ją z</w:t>
      </w:r>
      <w:r w:rsidRPr="00217022">
        <w:rPr>
          <w:rFonts w:ascii="Times New Roman" w:hAnsi="Times New Roman" w:cs="Times New Roman"/>
          <w:sz w:val="28"/>
          <w:szCs w:val="28"/>
        </w:rPr>
        <w:t xml:space="preserve"> innymi metodami, w tym z rozwojem koncepcyjnym i teoretycznym, aby odkryć nie „co działa”, ale „dlaczego rzeczy działają”</w:t>
      </w:r>
      <w:r w:rsidRPr="00217022">
        <w:t xml:space="preserve"> (</w:t>
      </w:r>
      <w:r w:rsidRPr="00217022">
        <w:rPr>
          <w:rFonts w:ascii="Times New Roman" w:hAnsi="Times New Roman" w:cs="Times New Roman"/>
          <w:sz w:val="28"/>
          <w:szCs w:val="28"/>
        </w:rPr>
        <w:t>Deaton i Cartwright, 2018).</w:t>
      </w:r>
    </w:p>
    <w:p w14:paraId="1F19B27F" w14:textId="5F1256E5" w:rsidR="00217022" w:rsidRPr="00217022" w:rsidRDefault="00217022" w:rsidP="00217022">
      <w:pPr>
        <w:spacing w:after="0" w:line="264" w:lineRule="auto"/>
        <w:ind w:firstLine="709"/>
        <w:jc w:val="both"/>
        <w:rPr>
          <w:rFonts w:ascii="Times New Roman" w:hAnsi="Times New Roman" w:cs="Times New Roman"/>
          <w:spacing w:val="-4"/>
          <w:sz w:val="28"/>
          <w:szCs w:val="28"/>
        </w:rPr>
      </w:pPr>
      <w:r w:rsidRPr="00217022">
        <w:rPr>
          <w:rFonts w:ascii="Times New Roman" w:hAnsi="Times New Roman" w:cs="Times New Roman"/>
          <w:spacing w:val="-4"/>
          <w:sz w:val="28"/>
          <w:szCs w:val="28"/>
        </w:rPr>
        <w:lastRenderedPageBreak/>
        <w:t>Jednak w praktyce nie zawsze możemy użyć metody RCT z uwagi na brak możliwości randomizacji próby, koszty badań związane z doborem losowym obiektów, występowaniem możliwości wykorzystania istniejących prób badawczych, czy też występowaniem problemu uogólnienia wyników badań na całą populację (</w:t>
      </w:r>
      <w:r w:rsidR="00036964">
        <w:rPr>
          <w:rFonts w:ascii="Times New Roman" w:hAnsi="Times New Roman" w:cs="Times New Roman"/>
          <w:spacing w:val="-4"/>
          <w:sz w:val="28"/>
          <w:szCs w:val="28"/>
        </w:rPr>
        <w:t>walidacja</w:t>
      </w:r>
      <w:r w:rsidRPr="00217022">
        <w:rPr>
          <w:rFonts w:ascii="Times New Roman" w:hAnsi="Times New Roman" w:cs="Times New Roman"/>
          <w:spacing w:val="-4"/>
          <w:sz w:val="28"/>
          <w:szCs w:val="28"/>
        </w:rPr>
        <w:t xml:space="preserve"> zewnętrzna). Mogą występować również ograniczenia wynikające z: możliwości pozyskania i dysponowaniem pełną listą zmiennych dla badanych obiektów, występowaniem potencjalnych czynników zakłócających wyniki badań lub sytuacją, w której nie jesteśmy w stanie uzyskać jednorodności cech grupy docelowej i kontrolnej (np. jako warunku zastosowania metody Propensity Score Matching – PSM) i wiele innych. W takim przypadku istnieje możliwość wykorzystania metody o nazwie różnica w różnicach (Difference in Differences – DID), która jest dość popularna w badaniach ekonomicznych</w:t>
      </w:r>
      <w:r w:rsidRPr="00217022">
        <w:rPr>
          <w:spacing w:val="-4"/>
        </w:rPr>
        <w:t xml:space="preserve"> (</w:t>
      </w:r>
      <w:r w:rsidRPr="00217022">
        <w:rPr>
          <w:rFonts w:ascii="Times New Roman" w:hAnsi="Times New Roman" w:cs="Times New Roman"/>
          <w:spacing w:val="-4"/>
          <w:sz w:val="28"/>
          <w:szCs w:val="28"/>
        </w:rPr>
        <w:t>Currie i in., 2020), jak również związanych z ochroną zdrowia (Wing i in., 2018). Podobnie jak w przypadku innych metod celem jej zastosowania jest ustalenie wiarygodnego uśrednionego efektu działania instrumentu interwencji (Average Treatment Effect – ATE) przy jednoczesnym minimalizowaniu błędu selekcji. Metoda DID koncertuje się jednak głównie na identyfikacji i ustaleniu ATT (Average Treatment Effect on the Treated), czyli średniej wartości wyników stwierdzonych w grupie docelowej w stosunku do średnich wyników, jakie mogły</w:t>
      </w:r>
      <w:r w:rsidR="00EF2E1B">
        <w:rPr>
          <w:rFonts w:ascii="Times New Roman" w:hAnsi="Times New Roman" w:cs="Times New Roman"/>
          <w:spacing w:val="-4"/>
          <w:sz w:val="28"/>
          <w:szCs w:val="28"/>
        </w:rPr>
        <w:t>by</w:t>
      </w:r>
      <w:r w:rsidRPr="00217022">
        <w:rPr>
          <w:rFonts w:ascii="Times New Roman" w:hAnsi="Times New Roman" w:cs="Times New Roman"/>
          <w:spacing w:val="-4"/>
          <w:sz w:val="28"/>
          <w:szCs w:val="28"/>
        </w:rPr>
        <w:t xml:space="preserve"> zostać przez nią uzyskane w sytuacji braku oddziaływania instrumentu interwencji, czyli w sytuacji kontrfaktycznej. </w:t>
      </w:r>
    </w:p>
    <w:p w14:paraId="37E16C82" w14:textId="3280AF4B"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Za protoplastę tej metody uznawany jest John Snow, który w artykule poświęconym rozprzestrzenianiem się </w:t>
      </w:r>
      <w:r w:rsidR="0047107E">
        <w:rPr>
          <w:rFonts w:ascii="Times New Roman" w:hAnsi="Times New Roman" w:cs="Times New Roman"/>
          <w:sz w:val="28"/>
          <w:szCs w:val="28"/>
        </w:rPr>
        <w:t>c</w:t>
      </w:r>
      <w:r w:rsidRPr="00217022">
        <w:rPr>
          <w:rFonts w:ascii="Times New Roman" w:hAnsi="Times New Roman" w:cs="Times New Roman"/>
          <w:sz w:val="28"/>
          <w:szCs w:val="28"/>
        </w:rPr>
        <w:t>holery w XIX udowodnił, że wektorem dla tej choroby jest woda, a nie</w:t>
      </w:r>
      <w:r w:rsidR="0047107E">
        <w:rPr>
          <w:rFonts w:ascii="Times New Roman" w:hAnsi="Times New Roman" w:cs="Times New Roman"/>
          <w:sz w:val="28"/>
          <w:szCs w:val="28"/>
        </w:rPr>
        <w:t>,</w:t>
      </w:r>
      <w:r w:rsidRPr="00217022">
        <w:rPr>
          <w:rFonts w:ascii="Times New Roman" w:hAnsi="Times New Roman" w:cs="Times New Roman"/>
          <w:sz w:val="28"/>
          <w:szCs w:val="28"/>
        </w:rPr>
        <w:t xml:space="preserve"> jak pierwotnie sądzono powietrze (Caniglia </w:t>
      </w:r>
      <w:r w:rsidR="003531EA">
        <w:rPr>
          <w:rFonts w:ascii="Times New Roman" w:hAnsi="Times New Roman" w:cs="Times New Roman"/>
          <w:sz w:val="28"/>
          <w:szCs w:val="28"/>
        </w:rPr>
        <w:t>i</w:t>
      </w:r>
      <w:r w:rsidRPr="00217022">
        <w:rPr>
          <w:rFonts w:ascii="Times New Roman" w:hAnsi="Times New Roman" w:cs="Times New Roman"/>
          <w:sz w:val="28"/>
          <w:szCs w:val="28"/>
        </w:rPr>
        <w:t xml:space="preserve"> Murray 2020). W badaniach poświęconych ewaluacji jednym z najstarszych przykładów wykorzystania tej metody w wersji kanonicznej była publikacja autorstwa Carda i Krueger poświęcona wpływowi wprowadzenia płacy minimalnej w stanie New Jersey na poziom zatrudnienia w restauracjach szybkiej obsługi. Zatrudnienie w restauracjach tego stanu został</w:t>
      </w:r>
      <w:r w:rsidR="0047107E">
        <w:rPr>
          <w:rFonts w:ascii="Times New Roman" w:hAnsi="Times New Roman" w:cs="Times New Roman"/>
          <w:sz w:val="28"/>
          <w:szCs w:val="28"/>
        </w:rPr>
        <w:t>o</w:t>
      </w:r>
      <w:r w:rsidRPr="00217022">
        <w:rPr>
          <w:rFonts w:ascii="Times New Roman" w:hAnsi="Times New Roman" w:cs="Times New Roman"/>
          <w:sz w:val="28"/>
          <w:szCs w:val="28"/>
        </w:rPr>
        <w:t xml:space="preserve"> przyjęt</w:t>
      </w:r>
      <w:r w:rsidR="0047107E">
        <w:rPr>
          <w:rFonts w:ascii="Times New Roman" w:hAnsi="Times New Roman" w:cs="Times New Roman"/>
          <w:sz w:val="28"/>
          <w:szCs w:val="28"/>
        </w:rPr>
        <w:t>e</w:t>
      </w:r>
      <w:r w:rsidRPr="00217022">
        <w:rPr>
          <w:rFonts w:ascii="Times New Roman" w:hAnsi="Times New Roman" w:cs="Times New Roman"/>
          <w:sz w:val="28"/>
          <w:szCs w:val="28"/>
        </w:rPr>
        <w:t xml:space="preserve"> jako grupa docelowa, natomiast jako grupę porównawczą przyjęli oni poziom zatrudnienia w tego samego typu lokalach </w:t>
      </w:r>
      <w:r w:rsidR="0047107E">
        <w:rPr>
          <w:rFonts w:ascii="Times New Roman" w:hAnsi="Times New Roman" w:cs="Times New Roman"/>
          <w:sz w:val="28"/>
          <w:szCs w:val="28"/>
        </w:rPr>
        <w:t xml:space="preserve">znajdujących się </w:t>
      </w:r>
      <w:r w:rsidRPr="00217022">
        <w:rPr>
          <w:rFonts w:ascii="Times New Roman" w:hAnsi="Times New Roman" w:cs="Times New Roman"/>
          <w:sz w:val="28"/>
          <w:szCs w:val="28"/>
        </w:rPr>
        <w:t xml:space="preserve">w sąsiadującym stanie Pensylwania, w którym podwyżka płacy nie nastąpiła (Card i Krueger, 1993). </w:t>
      </w:r>
    </w:p>
    <w:p w14:paraId="5E0C7DCF" w14:textId="60E41EC5" w:rsidR="00217022" w:rsidRPr="00217022" w:rsidRDefault="00217022" w:rsidP="00217022">
      <w:pPr>
        <w:spacing w:after="0" w:line="264" w:lineRule="auto"/>
        <w:ind w:firstLine="709"/>
        <w:jc w:val="both"/>
        <w:rPr>
          <w:rFonts w:ascii="Times New Roman" w:hAnsi="Times New Roman" w:cs="Times New Roman"/>
          <w:spacing w:val="-2"/>
          <w:sz w:val="28"/>
          <w:szCs w:val="28"/>
        </w:rPr>
      </w:pPr>
      <w:r w:rsidRPr="00217022">
        <w:rPr>
          <w:rFonts w:ascii="Times New Roman" w:hAnsi="Times New Roman" w:cs="Times New Roman"/>
          <w:spacing w:val="-2"/>
          <w:sz w:val="28"/>
          <w:szCs w:val="28"/>
        </w:rPr>
        <w:t>W podejściu kanonicznym do metody DID rozwiązaniem problemu potencjalnego błędu doboru próby jest założenie (spełnienie warunku) występowania równoległych trendów. Metoda wymaga więc zgromadzenia danych dla szeregu czasowego obejmującego zarówno okres poprzedzając</w:t>
      </w:r>
      <w:r w:rsidR="007C7395">
        <w:rPr>
          <w:rFonts w:ascii="Times New Roman" w:hAnsi="Times New Roman" w:cs="Times New Roman"/>
          <w:spacing w:val="-2"/>
          <w:sz w:val="28"/>
          <w:szCs w:val="28"/>
        </w:rPr>
        <w:t>y</w:t>
      </w:r>
      <w:r w:rsidRPr="00217022">
        <w:rPr>
          <w:rFonts w:ascii="Times New Roman" w:hAnsi="Times New Roman" w:cs="Times New Roman"/>
          <w:spacing w:val="-2"/>
          <w:sz w:val="28"/>
          <w:szCs w:val="28"/>
        </w:rPr>
        <w:t xml:space="preserve"> moment interwencji oraz po jej zastosowaniu. W badaniu mogą być wykorzystane zarówno danej przekrojowe w określonym czasie (tzw. panel niezbilansowany), jak i panelowe (te same jednostki w czasie – panel zbilansowany). Przyjmuje się założenie, że jeżeli zmiany danej cechy wynikowej dla grupy docelowej i kontrolnej w pewnym okresie przed </w:t>
      </w:r>
      <w:r w:rsidRPr="00217022">
        <w:rPr>
          <w:rFonts w:ascii="Times New Roman" w:hAnsi="Times New Roman" w:cs="Times New Roman"/>
          <w:spacing w:val="-2"/>
          <w:sz w:val="28"/>
          <w:szCs w:val="28"/>
        </w:rPr>
        <w:lastRenderedPageBreak/>
        <w:t>zastosowaniem interwencji przebiegały jednakowo (występowały jednakowe trendy), to pomijając efekt oddziaływania instrumentu powinny one przebiegać również jednakowo w całym badanym okresie, a więc również w okresie po zastosowaniu interwencji. Tak więc</w:t>
      </w:r>
      <w:r w:rsidR="007C7395">
        <w:rPr>
          <w:rFonts w:ascii="Times New Roman" w:hAnsi="Times New Roman" w:cs="Times New Roman"/>
          <w:spacing w:val="-2"/>
          <w:sz w:val="28"/>
          <w:szCs w:val="28"/>
        </w:rPr>
        <w:t>,</w:t>
      </w:r>
      <w:r w:rsidRPr="00217022">
        <w:rPr>
          <w:rFonts w:ascii="Times New Roman" w:hAnsi="Times New Roman" w:cs="Times New Roman"/>
          <w:spacing w:val="-2"/>
          <w:sz w:val="28"/>
          <w:szCs w:val="28"/>
        </w:rPr>
        <w:t xml:space="preserve"> kontrfaktyczne (oczekiwane) wyniki dla grupy docelowej po interwencji wyznaczają wyniki obiektów grupy porównawczej (przed interwencją i po interwencji). Inaczej mówiąc, zakłada się, że bez interwencji zmiana wyników w grupie docelowej przebiegałaby tak samo, jak w grupie kontrolnej i można ją wyznaczyć, przyjmując wyniki grupy kontrolnej jako wytyczne. Jest to sposób na zastąpienie założenia randomizacji mniej rygorystycznymi wymaganiami, a jednocześnie w określonych warunkach pozwala stwierdzić przyczynowość i siłę związku</w:t>
      </w:r>
      <w:r w:rsidRPr="00217022">
        <w:rPr>
          <w:rFonts w:ascii="Times New Roman" w:hAnsi="Times New Roman" w:cs="Times New Roman"/>
          <w:spacing w:val="-2"/>
          <w:sz w:val="28"/>
          <w:szCs w:val="28"/>
          <w:vertAlign w:val="superscript"/>
        </w:rPr>
        <w:footnoteReference w:id="2"/>
      </w:r>
      <w:r w:rsidRPr="00217022">
        <w:rPr>
          <w:rFonts w:ascii="Times New Roman" w:hAnsi="Times New Roman" w:cs="Times New Roman"/>
          <w:spacing w:val="-2"/>
          <w:sz w:val="28"/>
          <w:szCs w:val="28"/>
        </w:rPr>
        <w:t xml:space="preserve">. Założenie równoległego trendu pozwala bowiem na obecność błędu selekcji przy założeniu, że błąd ten wystąpi zarówno w okresie przed interwencją, jak również po jej zastosowaniu (Roth i in., 2023). </w:t>
      </w:r>
    </w:p>
    <w:p w14:paraId="20434C16" w14:textId="4BB018D8" w:rsidR="00217022" w:rsidRPr="00217022" w:rsidRDefault="00217022" w:rsidP="00217022">
      <w:pPr>
        <w:spacing w:after="120" w:line="264" w:lineRule="auto"/>
        <w:ind w:firstLine="709"/>
        <w:jc w:val="both"/>
        <w:rPr>
          <w:rFonts w:ascii="Times New Roman" w:hAnsi="Times New Roman" w:cs="Times New Roman"/>
          <w:spacing w:val="-8"/>
          <w:sz w:val="28"/>
          <w:szCs w:val="28"/>
        </w:rPr>
      </w:pPr>
      <w:r w:rsidRPr="00217022">
        <w:rPr>
          <w:rFonts w:ascii="Times New Roman" w:hAnsi="Times New Roman" w:cs="Times New Roman"/>
          <w:spacing w:val="-8"/>
          <w:sz w:val="28"/>
          <w:szCs w:val="28"/>
        </w:rPr>
        <w:t>Głównym narzędziem stosowanym do obliczania poziomu ATT w klasycznej metodzie DID jest dwuczynnikowy model regresji z efektami stałymi dla danych panelowych (two-way fixed effects – TWFE). Najprostszym przykładem uogólnionego DID w takiej regresji jest model opisany wzorem (Angrist i Pischke</w:t>
      </w:r>
      <w:r w:rsidR="00A7335E">
        <w:rPr>
          <w:rFonts w:ascii="Times New Roman" w:hAnsi="Times New Roman" w:cs="Times New Roman"/>
          <w:spacing w:val="-8"/>
          <w:sz w:val="28"/>
          <w:szCs w:val="28"/>
        </w:rPr>
        <w:t>,</w:t>
      </w:r>
      <w:r w:rsidRPr="00217022">
        <w:rPr>
          <w:rFonts w:ascii="Times New Roman" w:hAnsi="Times New Roman" w:cs="Times New Roman"/>
          <w:spacing w:val="-8"/>
          <w:sz w:val="28"/>
          <w:szCs w:val="28"/>
        </w:rPr>
        <w:t xml:space="preserve"> 2009):</w:t>
      </w:r>
    </w:p>
    <w:p w14:paraId="50CAB252" w14:textId="77777777" w:rsidR="00217022" w:rsidRPr="00217022" w:rsidRDefault="00000000" w:rsidP="00217022">
      <w:pPr>
        <w:ind w:firstLine="708"/>
        <w:jc w:val="center"/>
        <w:rPr>
          <w:rFonts w:ascii="Times New Roman" w:hAnsi="Times New Roman" w:cs="Times New Roman"/>
          <w:sz w:val="28"/>
          <w:szCs w:val="28"/>
        </w:rPr>
      </w:pPr>
      <m:oMath>
        <m:sSub>
          <m:sSubPr>
            <m:ctrlPr>
              <w:rPr>
                <w:rFonts w:ascii="Cambria Math" w:eastAsia="Aptos" w:hAnsi="Aptos"/>
                <w:i/>
              </w:rPr>
            </m:ctrlPr>
          </m:sSubPr>
          <m:e>
            <m:r>
              <w:rPr>
                <w:rFonts w:ascii="Cambria Math" w:eastAsia="Aptos" w:hAnsi="Aptos"/>
              </w:rPr>
              <m:t>Y</m:t>
            </m:r>
          </m:e>
          <m:sub>
            <m:r>
              <w:rPr>
                <w:rFonts w:ascii="Cambria Math" w:eastAsia="Aptos" w:hAnsi="Aptos"/>
              </w:rPr>
              <m:t>it</m:t>
            </m:r>
          </m:sub>
        </m:sSub>
        <m:r>
          <w:rPr>
            <w:rFonts w:ascii="Cambria Math"/>
          </w:rPr>
          <m:t>=</m:t>
        </m:r>
        <m:sSub>
          <m:sSubPr>
            <m:ctrlPr>
              <w:rPr>
                <w:rFonts w:ascii="Cambria Math" w:hAnsi="Cambria Math"/>
                <w:i/>
                <w:lang w:val="en-GB"/>
              </w:rPr>
            </m:ctrlPr>
          </m:sSubPr>
          <m:e>
            <m:r>
              <w:rPr>
                <w:rFonts w:ascii="Cambria Math" w:hAnsi="Cambria Math"/>
                <w:lang w:val="en-GB"/>
              </w:rPr>
              <m:t>β</m:t>
            </m:r>
          </m:e>
          <m:sub>
            <m:r>
              <w:rPr>
                <w:rFonts w:ascii="Cambria Math"/>
              </w:rPr>
              <m:t>0</m:t>
            </m:r>
          </m:sub>
        </m:sSub>
        <m:sSub>
          <m:sSubPr>
            <m:ctrlPr>
              <w:rPr>
                <w:rFonts w:ascii="Cambria Math" w:hAnsi="Cambria Math"/>
                <w:i/>
                <w:lang w:val="en-GB"/>
              </w:rPr>
            </m:ctrlPr>
          </m:sSubPr>
          <m:e>
            <m:r>
              <w:rPr>
                <w:rFonts w:ascii="Cambria Math" w:hAnsi="Cambria Math"/>
              </w:rPr>
              <m:t xml:space="preserve"> + </m:t>
            </m:r>
            <m:r>
              <w:rPr>
                <w:rFonts w:ascii="Cambria Math" w:hAnsi="Cambria Math"/>
                <w:lang w:val="en-GB"/>
              </w:rPr>
              <m:t>θ</m:t>
            </m:r>
          </m:e>
          <m:sub>
            <m:r>
              <w:rPr>
                <w:rFonts w:ascii="Cambria Math"/>
                <w:lang w:val="en-GB"/>
              </w:rPr>
              <m:t>t</m:t>
            </m:r>
          </m:sub>
        </m:sSub>
        <m:r>
          <w:rPr>
            <w:rFonts w:ascii="Cambria Math"/>
          </w:rPr>
          <m:t>+</m:t>
        </m:r>
        <w:bookmarkStart w:id="20" w:name="_Hlk178335843"/>
        <m:sSub>
          <m:sSubPr>
            <m:ctrlPr>
              <w:rPr>
                <w:rFonts w:ascii="Cambria Math" w:hAnsi="Cambria Math"/>
                <w:i/>
              </w:rPr>
            </m:ctrlPr>
          </m:sSubPr>
          <m:e>
            <m:r>
              <w:rPr>
                <w:rFonts w:ascii="Cambria Math" w:hAnsi="Cambria Math" w:cs="Calibri"/>
              </w:rPr>
              <m:t>ƞ</m:t>
            </m:r>
          </m:e>
          <m:sub>
            <m:r>
              <w:rPr>
                <w:rFonts w:ascii="Cambria Math"/>
              </w:rPr>
              <m:t>i</m:t>
            </m:r>
          </m:sub>
        </m:sSub>
        <m:r>
          <w:rPr>
            <w:rFonts w:ascii="Cambria Math"/>
          </w:rPr>
          <m:t>+</m:t>
        </m:r>
        <w:bookmarkEnd w:id="20"/>
        <m:r>
          <w:rPr>
            <w:rFonts w:ascii="Cambria Math" w:hAnsi="Cambria Math"/>
          </w:rPr>
          <m:t>β_</m:t>
        </m:r>
        <m:sSub>
          <m:sSubPr>
            <m:ctrlPr>
              <w:rPr>
                <w:rFonts w:ascii="Cambria Math" w:hAnsi="Cambria Math"/>
                <w:i/>
              </w:rPr>
            </m:ctrlPr>
          </m:sSubPr>
          <m:e>
            <m:r>
              <w:rPr>
                <w:rFonts w:ascii="Cambria Math" w:hAnsi="Cambria Math"/>
              </w:rPr>
              <m:t>D</m:t>
            </m:r>
          </m:e>
          <m:sub>
            <m:r>
              <w:rPr>
                <w:rFonts w:ascii="Cambria Math" w:hAnsi="Cambria Math"/>
              </w:rPr>
              <m:t>it</m:t>
            </m:r>
          </m:sub>
        </m:sSub>
        <m:r>
          <w:rPr>
            <w:rFonts w:ascii="Cambria Math"/>
          </w:rPr>
          <m:t>+</m:t>
        </m:r>
        <m:sSub>
          <m:sSubPr>
            <m:ctrlPr>
              <w:rPr>
                <w:rFonts w:ascii="Cambria Math" w:hAnsi="Cambria Math"/>
                <w:i/>
              </w:rPr>
            </m:ctrlPr>
          </m:sSubPr>
          <m:e>
            <m:r>
              <w:rPr>
                <w:rFonts w:ascii="Cambria Math"/>
              </w:rPr>
              <m:t>υ</m:t>
            </m:r>
          </m:e>
          <m:sub>
            <m:r>
              <w:rPr>
                <w:rFonts w:ascii="Cambria Math"/>
              </w:rPr>
              <m:t>it</m:t>
            </m:r>
          </m:sub>
        </m:sSub>
      </m:oMath>
      <w:r w:rsidR="00217022" w:rsidRPr="00217022">
        <w:rPr>
          <w:rFonts w:ascii="Times New Roman" w:eastAsiaTheme="minorEastAsia" w:hAnsi="Times New Roman" w:cs="Times New Roman"/>
        </w:rPr>
        <w:t xml:space="preserve"> ,</w:t>
      </w:r>
    </w:p>
    <w:p w14:paraId="0B27D4D3" w14:textId="77777777" w:rsidR="00217022" w:rsidRPr="00217022" w:rsidRDefault="00217022" w:rsidP="00217022">
      <w:pPr>
        <w:spacing w:after="0" w:line="264" w:lineRule="auto"/>
        <w:jc w:val="both"/>
        <w:rPr>
          <w:rFonts w:ascii="Times New Roman" w:hAnsi="Times New Roman" w:cs="Times New Roman"/>
          <w:sz w:val="28"/>
          <w:szCs w:val="28"/>
        </w:rPr>
      </w:pPr>
      <w:r w:rsidRPr="00217022">
        <w:rPr>
          <w:rFonts w:ascii="Times New Roman" w:hAnsi="Times New Roman" w:cs="Times New Roman"/>
          <w:sz w:val="28"/>
          <w:szCs w:val="28"/>
        </w:rPr>
        <w:t xml:space="preserve">gdzie: </w:t>
      </w:r>
      <m:oMath>
        <m:sSub>
          <m:sSubPr>
            <m:ctrlPr>
              <w:rPr>
                <w:rFonts w:ascii="Cambria Math" w:eastAsia="Aptos" w:hAnsi="Aptos"/>
                <w:i/>
                <w:iCs/>
                <w:sz w:val="28"/>
                <w:szCs w:val="28"/>
              </w:rPr>
            </m:ctrlPr>
          </m:sSubPr>
          <m:e>
            <m:r>
              <w:rPr>
                <w:rFonts w:ascii="Cambria Math" w:eastAsia="Aptos" w:hAnsi="Aptos"/>
                <w:sz w:val="28"/>
                <w:szCs w:val="28"/>
              </w:rPr>
              <m:t>Y</m:t>
            </m:r>
          </m:e>
          <m:sub>
            <m:r>
              <w:rPr>
                <w:rFonts w:ascii="Cambria Math" w:eastAsia="Aptos" w:hAnsi="Aptos"/>
                <w:sz w:val="28"/>
                <w:szCs w:val="28"/>
              </w:rPr>
              <m:t>it</m:t>
            </m:r>
          </m:sub>
        </m:sSub>
      </m:oMath>
      <w:r w:rsidRPr="00217022">
        <w:rPr>
          <w:rFonts w:ascii="Times New Roman" w:hAnsi="Times New Roman" w:cs="Times New Roman"/>
          <w:sz w:val="28"/>
          <w:szCs w:val="28"/>
        </w:rPr>
        <w:t xml:space="preserve"> oznacza wartość cechy wynikowej dla i-tej jednostki w czasie t;</w:t>
      </w:r>
      <w:r w:rsidRPr="00217022">
        <w:rPr>
          <w:rFonts w:ascii="Times New Roman" w:hAnsi="Times New Roman" w:cs="Times New Roman"/>
          <w:sz w:val="28"/>
          <w:szCs w:val="28"/>
        </w:rPr>
        <w:br/>
        <w:t xml:space="preserve"> </w:t>
      </w:r>
      <m:oMath>
        <m:sSub>
          <m:sSubPr>
            <m:ctrlPr>
              <w:rPr>
                <w:rFonts w:ascii="Cambria Math" w:hAnsi="Cambria Math"/>
                <w:i/>
                <w:iCs/>
                <w:sz w:val="28"/>
                <w:szCs w:val="28"/>
                <w:lang w:val="en-GB"/>
              </w:rPr>
            </m:ctrlPr>
          </m:sSubPr>
          <m:e>
            <m:r>
              <w:rPr>
                <w:rFonts w:ascii="Cambria Math" w:hAnsi="Cambria Math"/>
                <w:sz w:val="28"/>
                <w:szCs w:val="28"/>
                <w:lang w:val="en-GB"/>
              </w:rPr>
              <m:t>θ</m:t>
            </m:r>
          </m:e>
          <m:sub>
            <m:r>
              <w:rPr>
                <w:rFonts w:ascii="Cambria Math"/>
                <w:sz w:val="28"/>
                <w:szCs w:val="28"/>
                <w:lang w:val="en-GB"/>
              </w:rPr>
              <m:t>t</m:t>
            </m:r>
          </m:sub>
        </m:sSub>
      </m:oMath>
      <w:r w:rsidRPr="00217022">
        <w:rPr>
          <w:rFonts w:ascii="Times New Roman" w:hAnsi="Times New Roman" w:cs="Times New Roman"/>
          <w:sz w:val="28"/>
          <w:szCs w:val="28"/>
        </w:rPr>
        <w:t xml:space="preserve"> – stałe efekty czasu; </w:t>
      </w:r>
      <m:oMath>
        <m:sSub>
          <m:sSubPr>
            <m:ctrlPr>
              <w:rPr>
                <w:rFonts w:ascii="Cambria Math" w:hAnsi="Cambria Math"/>
                <w:i/>
                <w:iCs/>
                <w:sz w:val="28"/>
                <w:szCs w:val="28"/>
              </w:rPr>
            </m:ctrlPr>
          </m:sSubPr>
          <m:e>
            <m:r>
              <w:rPr>
                <w:rFonts w:ascii="Cambria Math" w:hAnsi="Cambria Math" w:cs="Calibri"/>
                <w:sz w:val="28"/>
                <w:szCs w:val="28"/>
              </w:rPr>
              <m:t>ƞ</m:t>
            </m:r>
          </m:e>
          <m:sub>
            <m:r>
              <w:rPr>
                <w:rFonts w:ascii="Cambria Math"/>
                <w:sz w:val="28"/>
                <w:szCs w:val="28"/>
              </w:rPr>
              <m:t>i</m:t>
            </m:r>
          </m:sub>
        </m:sSub>
      </m:oMath>
      <w:r w:rsidRPr="00217022">
        <w:rPr>
          <w:rFonts w:ascii="Times New Roman" w:hAnsi="Times New Roman" w:cs="Times New Roman"/>
          <w:sz w:val="28"/>
          <w:szCs w:val="28"/>
        </w:rPr>
        <w:t xml:space="preserve"> – stałe efekty jednostki; </w:t>
      </w:r>
      <m:oMath>
        <m:sSub>
          <m:sSubPr>
            <m:ctrlPr>
              <w:rPr>
                <w:rFonts w:ascii="Cambria Math" w:hAnsi="Cambria Math"/>
                <w:i/>
                <w:iCs/>
                <w:sz w:val="28"/>
                <w:szCs w:val="28"/>
              </w:rPr>
            </m:ctrlPr>
          </m:sSubPr>
          <m:e>
            <m:r>
              <w:rPr>
                <w:rFonts w:ascii="Cambria Math" w:hAnsi="Cambria Math"/>
                <w:sz w:val="28"/>
                <w:szCs w:val="28"/>
              </w:rPr>
              <m:t>D</m:t>
            </m:r>
          </m:e>
          <m:sub>
            <m:r>
              <w:rPr>
                <w:rFonts w:ascii="Cambria Math" w:hAnsi="Cambria Math"/>
                <w:sz w:val="28"/>
                <w:szCs w:val="28"/>
              </w:rPr>
              <m:t xml:space="preserve">it </m:t>
            </m:r>
          </m:sub>
        </m:sSub>
      </m:oMath>
      <w:r w:rsidRPr="00217022">
        <w:rPr>
          <w:rFonts w:ascii="Times New Roman" w:hAnsi="Times New Roman" w:cs="Times New Roman"/>
          <w:sz w:val="28"/>
          <w:szCs w:val="28"/>
        </w:rPr>
        <w:t xml:space="preserve">– przyporządkowanie do grupy poddanej interwencji lub kontrolnej (zmienna binarna); </w:t>
      </w:r>
      <m:oMath>
        <m:sSub>
          <m:sSubPr>
            <m:ctrlPr>
              <w:rPr>
                <w:rFonts w:ascii="Cambria Math" w:hAnsi="Cambria Math"/>
                <w:i/>
                <w:iCs/>
                <w:sz w:val="28"/>
                <w:szCs w:val="28"/>
                <w:lang w:val="en-GB"/>
              </w:rPr>
            </m:ctrlPr>
          </m:sSubPr>
          <m:e>
            <m:r>
              <w:rPr>
                <w:rFonts w:ascii="Cambria Math" w:hAnsi="Cambria Math"/>
                <w:sz w:val="28"/>
                <w:szCs w:val="28"/>
                <w:lang w:val="en-GB"/>
              </w:rPr>
              <m:t>β</m:t>
            </m:r>
          </m:e>
          <m:sub>
            <m:r>
              <w:rPr>
                <w:rFonts w:ascii="Cambria Math"/>
                <w:sz w:val="28"/>
                <w:szCs w:val="28"/>
              </w:rPr>
              <m:t>0</m:t>
            </m:r>
          </m:sub>
        </m:sSub>
      </m:oMath>
      <w:r w:rsidRPr="00217022">
        <w:rPr>
          <w:rFonts w:ascii="Times New Roman" w:hAnsi="Times New Roman" w:cs="Times New Roman"/>
          <w:sz w:val="28"/>
          <w:szCs w:val="28"/>
        </w:rPr>
        <w:t xml:space="preserve"> – parametr strukturalny modelu; </w:t>
      </w:r>
      <m:oMath>
        <m:sSub>
          <m:sSubPr>
            <m:ctrlPr>
              <w:rPr>
                <w:rFonts w:ascii="Cambria Math" w:hAnsi="Cambria Math"/>
                <w:i/>
                <w:iCs/>
                <w:sz w:val="28"/>
                <w:szCs w:val="28"/>
              </w:rPr>
            </m:ctrlPr>
          </m:sSubPr>
          <m:e>
            <m:r>
              <w:rPr>
                <w:rFonts w:ascii="Cambria Math"/>
                <w:sz w:val="28"/>
                <w:szCs w:val="28"/>
              </w:rPr>
              <m:t>υ</m:t>
            </m:r>
          </m:e>
          <m:sub>
            <m:r>
              <w:rPr>
                <w:rFonts w:ascii="Cambria Math"/>
                <w:sz w:val="28"/>
                <w:szCs w:val="28"/>
              </w:rPr>
              <m:t>it</m:t>
            </m:r>
          </m:sub>
        </m:sSub>
      </m:oMath>
      <w:r w:rsidRPr="00217022">
        <w:rPr>
          <w:rFonts w:ascii="Times New Roman" w:eastAsiaTheme="minorEastAsia" w:hAnsi="Times New Roman" w:cs="Times New Roman"/>
          <w:sz w:val="28"/>
          <w:szCs w:val="28"/>
        </w:rPr>
        <w:t xml:space="preserve"> – </w:t>
      </w:r>
      <w:r w:rsidRPr="00217022">
        <w:rPr>
          <w:rFonts w:ascii="Times New Roman" w:hAnsi="Times New Roman" w:cs="Times New Roman"/>
          <w:sz w:val="28"/>
          <w:szCs w:val="28"/>
        </w:rPr>
        <w:t xml:space="preserve">składniki losowe modelu (składnik czysto losowy oraz nieobserwowalne i nieuwzględnione efekty specyficzne w równaniu regresji); </w:t>
      </w:r>
      <m:oMath>
        <m:r>
          <m:rPr>
            <m:sty m:val="p"/>
          </m:rPr>
          <w:rPr>
            <w:rFonts w:ascii="Cambria Math" w:hAnsi="Cambria Math" w:cs="Times New Roman"/>
            <w:sz w:val="28"/>
            <w:szCs w:val="28"/>
          </w:rPr>
          <w:br/>
        </m:r>
        <m:r>
          <w:rPr>
            <w:rFonts w:ascii="Cambria Math" w:hAnsi="Cambria Math"/>
            <w:sz w:val="28"/>
            <w:szCs w:val="28"/>
          </w:rPr>
          <m:t>β_</m:t>
        </m:r>
      </m:oMath>
      <w:r w:rsidRPr="00217022">
        <w:rPr>
          <w:rFonts w:ascii="Times New Roman" w:eastAsiaTheme="minorEastAsia" w:hAnsi="Times New Roman" w:cs="Times New Roman"/>
          <w:sz w:val="28"/>
          <w:szCs w:val="28"/>
        </w:rPr>
        <w:t xml:space="preserve"> – </w:t>
      </w:r>
      <w:r w:rsidRPr="00217022">
        <w:rPr>
          <w:rFonts w:ascii="Times New Roman" w:hAnsi="Times New Roman" w:cs="Times New Roman"/>
          <w:sz w:val="28"/>
          <w:szCs w:val="28"/>
        </w:rPr>
        <w:t>efekt interwencji ( w przybliżeniu ATT).</w:t>
      </w:r>
    </w:p>
    <w:p w14:paraId="121C5EBF" w14:textId="3DB5F46E" w:rsidR="00217022" w:rsidRPr="00217022" w:rsidRDefault="00217022" w:rsidP="00217022">
      <w:pPr>
        <w:spacing w:before="120"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Sam efekt interwencji można przedstawić również jako wynik równania dla dwóch okresów (Khand</w:t>
      </w:r>
      <w:r w:rsidR="00A7335E">
        <w:rPr>
          <w:rFonts w:ascii="Times New Roman" w:hAnsi="Times New Roman" w:cs="Times New Roman"/>
          <w:sz w:val="28"/>
          <w:szCs w:val="28"/>
        </w:rPr>
        <w:t>a</w:t>
      </w:r>
      <w:r w:rsidRPr="00217022">
        <w:rPr>
          <w:rFonts w:ascii="Times New Roman" w:hAnsi="Times New Roman" w:cs="Times New Roman"/>
          <w:sz w:val="28"/>
          <w:szCs w:val="28"/>
        </w:rPr>
        <w:t xml:space="preserve">ker i in., 2009): </w:t>
      </w:r>
    </w:p>
    <w:p w14:paraId="656B92C9" w14:textId="50D9C58B" w:rsidR="00217022" w:rsidRPr="00217022" w:rsidRDefault="0009297D" w:rsidP="00217022">
      <w:pPr>
        <w:ind w:firstLine="708"/>
        <w:jc w:val="both"/>
        <w:rPr>
          <w:rFonts w:ascii="Times New Roman" w:hAnsi="Times New Roman" w:cs="Times New Roman"/>
          <w:sz w:val="28"/>
          <w:szCs w:val="28"/>
          <w:lang w:val="de-AT"/>
        </w:rPr>
      </w:pPr>
      <w:r w:rsidRPr="00EA48A0">
        <w:rPr>
          <w:rFonts w:ascii="Times New Roman" w:hAnsi="Times New Roman" w:cs="Times New Roman"/>
          <w:sz w:val="28"/>
          <w:szCs w:val="28"/>
        </w:rPr>
        <w:t xml:space="preserve">       </w:t>
      </w:r>
      <w:r w:rsidR="00217022" w:rsidRPr="00217022">
        <w:rPr>
          <w:rFonts w:ascii="Times New Roman" w:hAnsi="Times New Roman" w:cs="Times New Roman"/>
          <w:sz w:val="28"/>
          <w:szCs w:val="28"/>
          <w:lang w:val="de-AT"/>
        </w:rPr>
        <w:t>ATT = (</w:t>
      </w:r>
      <m:oMath>
        <m:r>
          <m:rPr>
            <m:sty m:val="p"/>
          </m:rPr>
          <w:rPr>
            <w:rFonts w:ascii="Cambria Math" w:hAnsi="Cambria Math" w:cs="Times New Roman"/>
            <w:sz w:val="28"/>
            <w:szCs w:val="28"/>
            <w:lang w:val="de-AT"/>
          </w:rPr>
          <m:t xml:space="preserve">E[Y </m:t>
        </m:r>
      </m:oMath>
      <w:r w:rsidR="00217022" w:rsidRPr="00217022">
        <w:rPr>
          <w:rFonts w:ascii="Times New Roman" w:hAnsi="Times New Roman" w:cs="Times New Roman"/>
          <w:sz w:val="28"/>
          <w:szCs w:val="28"/>
          <w:vertAlign w:val="subscript"/>
          <w:lang w:val="de-AT"/>
        </w:rPr>
        <w:t>t</w:t>
      </w:r>
      <w:r w:rsidR="00217022" w:rsidRPr="00217022">
        <w:rPr>
          <w:rFonts w:ascii="Times New Roman" w:hAnsi="Times New Roman" w:cs="Times New Roman"/>
          <w:sz w:val="28"/>
          <w:szCs w:val="28"/>
          <w:lang w:val="de-AT"/>
        </w:rPr>
        <w:t xml:space="preserve">, </w:t>
      </w:r>
      <w:r w:rsidR="00217022" w:rsidRPr="00217022">
        <w:rPr>
          <w:rFonts w:ascii="Times New Roman" w:hAnsi="Times New Roman" w:cs="Times New Roman"/>
          <w:sz w:val="28"/>
          <w:szCs w:val="28"/>
          <w:vertAlign w:val="subscript"/>
          <w:lang w:val="de-AT"/>
        </w:rPr>
        <w:t>D=1</w:t>
      </w:r>
      <m:oMath>
        <m:r>
          <m:rPr>
            <m:sty m:val="p"/>
          </m:rPr>
          <w:rPr>
            <w:rFonts w:ascii="Cambria Math" w:hAnsi="Cambria Math" w:cs="Times New Roman"/>
            <w:sz w:val="28"/>
            <w:szCs w:val="28"/>
            <w:lang w:val="de-AT"/>
          </w:rPr>
          <m:t>]</m:t>
        </m:r>
      </m:oMath>
      <w:r w:rsidR="00217022"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00217022" w:rsidRPr="00217022">
        <w:rPr>
          <w:rFonts w:ascii="Times New Roman" w:hAnsi="Times New Roman" w:cs="Times New Roman"/>
          <w:sz w:val="28"/>
          <w:szCs w:val="28"/>
          <w:vertAlign w:val="subscript"/>
          <w:lang w:val="de-AT"/>
        </w:rPr>
        <w:t>t-1</w:t>
      </w:r>
      <w:r w:rsidR="00217022" w:rsidRPr="00217022">
        <w:rPr>
          <w:rFonts w:ascii="Times New Roman" w:hAnsi="Times New Roman" w:cs="Times New Roman"/>
          <w:sz w:val="28"/>
          <w:szCs w:val="28"/>
          <w:lang w:val="de-AT"/>
        </w:rPr>
        <w:t xml:space="preserve">, </w:t>
      </w:r>
      <w:r w:rsidR="00217022" w:rsidRPr="00217022">
        <w:rPr>
          <w:rFonts w:ascii="Times New Roman" w:hAnsi="Times New Roman" w:cs="Times New Roman"/>
          <w:sz w:val="28"/>
          <w:szCs w:val="28"/>
          <w:vertAlign w:val="subscript"/>
          <w:lang w:val="de-AT"/>
        </w:rPr>
        <w:t>D=1</w:t>
      </w:r>
      <m:oMath>
        <m:r>
          <m:rPr>
            <m:sty m:val="p"/>
          </m:rPr>
          <w:rPr>
            <w:rFonts w:ascii="Cambria Math" w:hAnsi="Cambria Math" w:cs="Times New Roman"/>
            <w:sz w:val="28"/>
            <w:szCs w:val="28"/>
            <w:lang w:val="de-AT"/>
          </w:rPr>
          <m:t>]</m:t>
        </m:r>
      </m:oMath>
      <w:r w:rsidR="00217022" w:rsidRPr="00217022">
        <w:rPr>
          <w:rFonts w:ascii="Times New Roman" w:hAnsi="Times New Roman" w:cs="Times New Roman"/>
          <w:sz w:val="28"/>
          <w:szCs w:val="28"/>
          <w:lang w:val="de-AT"/>
        </w:rPr>
        <w:t>) - (</w:t>
      </w:r>
      <m:oMath>
        <m:r>
          <m:rPr>
            <m:sty m:val="p"/>
          </m:rPr>
          <w:rPr>
            <w:rFonts w:ascii="Cambria Math" w:hAnsi="Cambria Math" w:cs="Times New Roman"/>
            <w:sz w:val="28"/>
            <w:szCs w:val="28"/>
            <w:lang w:val="de-AT"/>
          </w:rPr>
          <m:t>E[Y</m:t>
        </m:r>
      </m:oMath>
      <w:r w:rsidR="00217022" w:rsidRPr="00217022">
        <w:rPr>
          <w:rFonts w:ascii="Times New Roman" w:hAnsi="Times New Roman" w:cs="Times New Roman"/>
          <w:sz w:val="28"/>
          <w:szCs w:val="28"/>
          <w:lang w:val="de-AT"/>
        </w:rPr>
        <w:t xml:space="preserve"> </w:t>
      </w:r>
      <w:r w:rsidR="00217022" w:rsidRPr="00217022">
        <w:rPr>
          <w:rFonts w:ascii="Times New Roman" w:hAnsi="Times New Roman" w:cs="Times New Roman"/>
          <w:sz w:val="28"/>
          <w:szCs w:val="28"/>
          <w:vertAlign w:val="subscript"/>
          <w:lang w:val="de-AT"/>
        </w:rPr>
        <w:t>t,</w:t>
      </w:r>
      <w:r w:rsidR="00217022" w:rsidRPr="00217022">
        <w:rPr>
          <w:rFonts w:ascii="Times New Roman" w:hAnsi="Times New Roman" w:cs="Times New Roman"/>
          <w:sz w:val="28"/>
          <w:szCs w:val="28"/>
          <w:lang w:val="de-AT"/>
        </w:rPr>
        <w:t xml:space="preserve"> </w:t>
      </w:r>
      <w:r w:rsidR="00217022" w:rsidRPr="00217022">
        <w:rPr>
          <w:rFonts w:ascii="Times New Roman" w:hAnsi="Times New Roman" w:cs="Times New Roman"/>
          <w:sz w:val="28"/>
          <w:szCs w:val="28"/>
          <w:vertAlign w:val="subscript"/>
          <w:lang w:val="de-AT"/>
        </w:rPr>
        <w:t>D=0</w:t>
      </w:r>
      <m:oMath>
        <m:r>
          <m:rPr>
            <m:sty m:val="p"/>
          </m:rPr>
          <w:rPr>
            <w:rFonts w:ascii="Cambria Math" w:hAnsi="Cambria Math" w:cs="Times New Roman"/>
            <w:sz w:val="28"/>
            <w:szCs w:val="28"/>
            <w:lang w:val="de-AT"/>
          </w:rPr>
          <m:t>]</m:t>
        </m:r>
      </m:oMath>
      <w:r w:rsidR="00217022"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00217022" w:rsidRPr="00217022">
        <w:rPr>
          <w:rFonts w:ascii="Times New Roman" w:hAnsi="Times New Roman" w:cs="Times New Roman"/>
          <w:sz w:val="28"/>
          <w:szCs w:val="28"/>
          <w:vertAlign w:val="subscript"/>
          <w:lang w:val="de-AT"/>
        </w:rPr>
        <w:t>t-1</w:t>
      </w:r>
      <w:r w:rsidR="00217022" w:rsidRPr="00217022">
        <w:rPr>
          <w:rFonts w:ascii="Times New Roman" w:hAnsi="Times New Roman" w:cs="Times New Roman"/>
          <w:sz w:val="28"/>
          <w:szCs w:val="28"/>
          <w:lang w:val="de-AT"/>
        </w:rPr>
        <w:t xml:space="preserve">, </w:t>
      </w:r>
      <w:r w:rsidR="00217022" w:rsidRPr="00217022">
        <w:rPr>
          <w:rFonts w:ascii="Times New Roman" w:hAnsi="Times New Roman" w:cs="Times New Roman"/>
          <w:sz w:val="28"/>
          <w:szCs w:val="28"/>
          <w:vertAlign w:val="subscript"/>
          <w:lang w:val="de-AT"/>
        </w:rPr>
        <w:t>D=0</w:t>
      </w:r>
      <m:oMath>
        <m:r>
          <m:rPr>
            <m:sty m:val="p"/>
          </m:rPr>
          <w:rPr>
            <w:rFonts w:ascii="Cambria Math" w:hAnsi="Cambria Math" w:cs="Times New Roman"/>
            <w:sz w:val="28"/>
            <w:szCs w:val="28"/>
            <w:lang w:val="de-AT"/>
          </w:rPr>
          <m:t>]</m:t>
        </m:r>
      </m:oMath>
      <w:r w:rsidR="00217022" w:rsidRPr="00217022">
        <w:rPr>
          <w:rFonts w:ascii="Times New Roman" w:hAnsi="Times New Roman" w:cs="Times New Roman"/>
          <w:sz w:val="28"/>
          <w:szCs w:val="28"/>
          <w:lang w:val="de-AT"/>
        </w:rPr>
        <w:t>),</w:t>
      </w:r>
    </w:p>
    <w:p w14:paraId="6AEB1B35" w14:textId="18A5ECFE" w:rsidR="00217022" w:rsidRPr="00217022" w:rsidRDefault="00217022" w:rsidP="00217022">
      <w:pPr>
        <w:spacing w:after="0"/>
        <w:jc w:val="both"/>
        <w:rPr>
          <w:rFonts w:ascii="Times New Roman" w:hAnsi="Times New Roman" w:cs="Times New Roman"/>
          <w:sz w:val="28"/>
          <w:szCs w:val="28"/>
        </w:rPr>
      </w:pPr>
      <w:r w:rsidRPr="00217022">
        <w:rPr>
          <w:rFonts w:ascii="Times New Roman" w:hAnsi="Times New Roman" w:cs="Times New Roman"/>
          <w:sz w:val="28"/>
          <w:szCs w:val="28"/>
        </w:rPr>
        <w:t xml:space="preserve">gdzie: </w:t>
      </w:r>
      <m:oMath>
        <m:r>
          <m:rPr>
            <m:sty m:val="p"/>
          </m:rPr>
          <w:rPr>
            <w:rFonts w:ascii="Cambria Math" w:hAnsi="Cambria Math" w:cs="Times New Roman"/>
            <w:sz w:val="28"/>
            <w:szCs w:val="28"/>
          </w:rPr>
          <m:t xml:space="preserve"> </m:t>
        </m:r>
        <m:r>
          <w:rPr>
            <w:rFonts w:ascii="Cambria Math" w:hAnsi="Cambria Math" w:cs="Times New Roman"/>
            <w:sz w:val="28"/>
            <w:szCs w:val="28"/>
          </w:rPr>
          <m:t>E[Y]</m:t>
        </m:r>
      </m:oMath>
      <w:r w:rsidRPr="00217022">
        <w:rPr>
          <w:rFonts w:ascii="Times New Roman" w:hAnsi="Times New Roman" w:cs="Times New Roman"/>
          <w:sz w:val="28"/>
          <w:szCs w:val="28"/>
        </w:rPr>
        <w:t xml:space="preserve"> – oznacza średnią wartość cechy wynikowej w grupie; </w:t>
      </w:r>
      <m:oMath>
        <m:r>
          <w:rPr>
            <w:rFonts w:ascii="Cambria Math"/>
            <w:sz w:val="28"/>
            <w:szCs w:val="28"/>
          </w:rPr>
          <m:t>t</m:t>
        </m:r>
      </m:oMath>
      <w:r w:rsidRPr="00217022">
        <w:rPr>
          <w:rFonts w:ascii="Times New Roman" w:hAnsi="Times New Roman" w:cs="Times New Roman"/>
          <w:i/>
          <w:iCs/>
          <w:sz w:val="28"/>
          <w:szCs w:val="28"/>
        </w:rPr>
        <w:t xml:space="preserve"> </w:t>
      </w:r>
      <w:r w:rsidRPr="00217022">
        <w:rPr>
          <w:rFonts w:ascii="Times New Roman" w:hAnsi="Times New Roman" w:cs="Times New Roman"/>
          <w:sz w:val="28"/>
          <w:szCs w:val="28"/>
        </w:rPr>
        <w:t>– okres po interwencji;</w:t>
      </w:r>
      <m:oMath>
        <m:r>
          <w:rPr>
            <w:rFonts w:ascii="Cambria Math" w:hAnsi="Cambria Math" w:cs="Times New Roman"/>
            <w:sz w:val="28"/>
            <w:szCs w:val="28"/>
          </w:rPr>
          <m:t xml:space="preserve"> </m:t>
        </m:r>
        <m:r>
          <w:rPr>
            <w:rFonts w:ascii="Cambria Math"/>
            <w:sz w:val="28"/>
            <w:szCs w:val="28"/>
          </w:rPr>
          <m:t>t</m:t>
        </m:r>
        <m:r>
          <w:rPr>
            <w:rFonts w:ascii="Cambria Math"/>
            <w:sz w:val="28"/>
            <w:szCs w:val="28"/>
          </w:rPr>
          <m:t>-</m:t>
        </m:r>
        <m:r>
          <w:rPr>
            <w:rFonts w:ascii="Cambria Math"/>
            <w:sz w:val="28"/>
            <w:szCs w:val="28"/>
          </w:rPr>
          <m:t>1</m:t>
        </m:r>
      </m:oMath>
      <w:r w:rsidRPr="00217022">
        <w:rPr>
          <w:rFonts w:ascii="Times New Roman" w:hAnsi="Times New Roman" w:cs="Times New Roman"/>
          <w:sz w:val="28"/>
          <w:szCs w:val="28"/>
        </w:rPr>
        <w:t xml:space="preserve"> – okres przed interwencją; </w:t>
      </w:r>
      <w:r w:rsidRPr="00217022">
        <w:rPr>
          <w:rFonts w:ascii="Times New Roman" w:hAnsi="Times New Roman" w:cs="Times New Roman"/>
          <w:i/>
          <w:iCs/>
          <w:sz w:val="28"/>
          <w:szCs w:val="28"/>
        </w:rPr>
        <w:t xml:space="preserve">D </w:t>
      </w:r>
      <w:r w:rsidRPr="00217022">
        <w:rPr>
          <w:rFonts w:ascii="Times New Roman" w:hAnsi="Times New Roman" w:cs="Times New Roman"/>
          <w:sz w:val="28"/>
          <w:szCs w:val="28"/>
        </w:rPr>
        <w:t>– przyporządkowanie do grupy, 1- docelow</w:t>
      </w:r>
      <w:r w:rsidR="00A7335E">
        <w:rPr>
          <w:rFonts w:ascii="Times New Roman" w:hAnsi="Times New Roman" w:cs="Times New Roman"/>
          <w:sz w:val="28"/>
          <w:szCs w:val="28"/>
        </w:rPr>
        <w:t>ej</w:t>
      </w:r>
      <w:r w:rsidRPr="00217022">
        <w:rPr>
          <w:rFonts w:ascii="Times New Roman" w:hAnsi="Times New Roman" w:cs="Times New Roman"/>
          <w:sz w:val="28"/>
          <w:szCs w:val="28"/>
        </w:rPr>
        <w:t>, 0 –porównawcz</w:t>
      </w:r>
      <w:r w:rsidR="00A7335E">
        <w:rPr>
          <w:rFonts w:ascii="Times New Roman" w:hAnsi="Times New Roman" w:cs="Times New Roman"/>
          <w:sz w:val="28"/>
          <w:szCs w:val="28"/>
        </w:rPr>
        <w:t>ej</w:t>
      </w:r>
      <w:r w:rsidRPr="00217022">
        <w:rPr>
          <w:rFonts w:ascii="Times New Roman" w:hAnsi="Times New Roman" w:cs="Times New Roman"/>
          <w:sz w:val="28"/>
          <w:szCs w:val="28"/>
        </w:rPr>
        <w:t>.</w:t>
      </w:r>
    </w:p>
    <w:p w14:paraId="587FB990" w14:textId="77777777" w:rsidR="00217022" w:rsidRPr="00217022" w:rsidRDefault="00217022" w:rsidP="00217022">
      <w:pPr>
        <w:spacing w:before="240"/>
        <w:ind w:firstLine="851"/>
        <w:jc w:val="both"/>
        <w:rPr>
          <w:rFonts w:ascii="Times New Roman" w:hAnsi="Times New Roman" w:cs="Times New Roman"/>
          <w:sz w:val="28"/>
          <w:szCs w:val="28"/>
        </w:rPr>
      </w:pPr>
      <w:r w:rsidRPr="00217022">
        <w:rPr>
          <w:rFonts w:ascii="Times New Roman" w:hAnsi="Times New Roman" w:cs="Times New Roman"/>
          <w:sz w:val="28"/>
          <w:szCs w:val="28"/>
        </w:rPr>
        <w:t xml:space="preserve">Równanie to jest prawdziwe, gdy spełniony jest wspomniany warunek tzw. równoległych trendów, a więc w sytuacji potencjalnego braku interwencji zachodzi równość pomiędzy (Cunningham, 2021): </w:t>
      </w:r>
    </w:p>
    <w:p w14:paraId="36FEA626" w14:textId="28CF77DA" w:rsidR="00217022" w:rsidRPr="00217022" w:rsidRDefault="00217022" w:rsidP="00217022">
      <w:pPr>
        <w:jc w:val="center"/>
        <w:rPr>
          <w:rFonts w:ascii="Times New Roman" w:eastAsiaTheme="minorEastAsia" w:hAnsi="Times New Roman" w:cs="Times New Roman"/>
          <w:sz w:val="28"/>
          <w:szCs w:val="28"/>
          <w:lang w:val="de-AT"/>
        </w:rPr>
      </w:pPr>
      <m:oMath>
        <m:r>
          <m:rPr>
            <m:sty m:val="p"/>
          </m:rPr>
          <w:rPr>
            <w:rFonts w:ascii="Cambria Math" w:hAnsi="Cambria Math" w:cs="Times New Roman"/>
            <w:sz w:val="28"/>
            <w:szCs w:val="28"/>
            <w:lang w:val="de-AT"/>
          </w:rPr>
          <w:lastRenderedPageBreak/>
          <m:t xml:space="preserve">(E[Y </m:t>
        </m:r>
      </m:oMath>
      <w:r w:rsidRPr="00217022">
        <w:rPr>
          <w:rFonts w:ascii="Times New Roman" w:hAnsi="Times New Roman" w:cs="Times New Roman"/>
          <w:sz w:val="28"/>
          <w:szCs w:val="28"/>
          <w:vertAlign w:val="subscript"/>
          <w:lang w:val="de-AT"/>
        </w:rPr>
        <w:t>t</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D=1</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t-1</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D=1</w:t>
      </w:r>
      <m:oMath>
        <m:r>
          <m:rPr>
            <m:sty m:val="p"/>
          </m:rPr>
          <w:rPr>
            <w:rFonts w:ascii="Cambria Math" w:hAnsi="Cambria Math" w:cs="Times New Roman"/>
            <w:lang w:val="de-AT"/>
          </w:rPr>
          <m:t>])*</m:t>
        </m:r>
        <m:r>
          <m:rPr>
            <m:sty m:val="p"/>
          </m:rPr>
          <w:rPr>
            <w:rFonts w:ascii="Cambria Math" w:hAnsi="Cambria Math" w:cs="Times New Roman"/>
            <w:sz w:val="28"/>
            <w:szCs w:val="28"/>
            <w:lang w:val="de-AT"/>
          </w:rPr>
          <m:t>(0)</m:t>
        </m:r>
      </m:oMath>
      <w:r w:rsidRPr="00217022">
        <w:rPr>
          <w:rFonts w:ascii="Times New Roman" w:hAnsi="Times New Roman" w:cs="Times New Roman"/>
          <w:sz w:val="28"/>
          <w:szCs w:val="28"/>
          <w:lang w:val="de-AT"/>
        </w:rPr>
        <w:t xml:space="preserve"> = </w:t>
      </w:r>
      <m:oMath>
        <m:r>
          <w:rPr>
            <w:rFonts w:ascii="Cambria Math" w:hAnsi="Cambria Math" w:cs="Times New Roman"/>
            <w:sz w:val="28"/>
            <w:szCs w:val="28"/>
            <w:lang w:val="de-AT"/>
          </w:rPr>
          <m:t>(</m:t>
        </m:r>
        <m:r>
          <m:rPr>
            <m:sty m:val="p"/>
          </m:rPr>
          <w:rPr>
            <w:rFonts w:ascii="Cambria Math" w:hAnsi="Cambria Math" w:cs="Times New Roman"/>
            <w:sz w:val="28"/>
            <w:szCs w:val="28"/>
            <w:lang w:val="de-AT"/>
          </w:rPr>
          <m:t>E[Y</m:t>
        </m:r>
      </m:oMath>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t,</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D=0</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t-1</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D=0</w:t>
      </w:r>
      <m:oMath>
        <m:r>
          <m:rPr>
            <m:sty m:val="p"/>
          </m:rPr>
          <w:rPr>
            <w:rFonts w:ascii="Cambria Math" w:hAnsi="Cambria Math" w:cs="Times New Roman"/>
            <w:lang w:val="de-AT"/>
          </w:rPr>
          <m:t>])*</m:t>
        </m:r>
        <m:r>
          <m:rPr>
            <m:sty m:val="p"/>
          </m:rPr>
          <w:rPr>
            <w:rFonts w:ascii="Cambria Math" w:hAnsi="Cambria Math" w:cs="Times New Roman"/>
            <w:sz w:val="28"/>
            <w:szCs w:val="28"/>
            <w:lang w:val="de-AT"/>
          </w:rPr>
          <m:t>(0)</m:t>
        </m:r>
      </m:oMath>
      <w:r w:rsidR="00FE1862">
        <w:rPr>
          <w:rFonts w:ascii="Times New Roman" w:eastAsiaTheme="minorEastAsia" w:hAnsi="Times New Roman" w:cs="Times New Roman"/>
          <w:sz w:val="28"/>
          <w:szCs w:val="28"/>
          <w:lang w:val="de-AT"/>
        </w:rPr>
        <w:t>,</w:t>
      </w:r>
    </w:p>
    <w:p w14:paraId="6238DBAA" w14:textId="3A35A85C" w:rsidR="00217022" w:rsidRPr="00217022" w:rsidRDefault="00217022" w:rsidP="00217022">
      <w:pPr>
        <w:jc w:val="center"/>
        <w:rPr>
          <w:rFonts w:ascii="Times New Roman" w:hAnsi="Times New Roman" w:cs="Times New Roman"/>
          <w:sz w:val="28"/>
          <w:szCs w:val="28"/>
        </w:rPr>
      </w:pPr>
      <w:r w:rsidRPr="00EA48A0">
        <w:rPr>
          <w:rFonts w:ascii="Times New Roman" w:eastAsiaTheme="minorEastAsia" w:hAnsi="Times New Roman" w:cs="Times New Roman"/>
          <w:sz w:val="28"/>
          <w:szCs w:val="28"/>
          <w:lang w:val="de-AT"/>
        </w:rPr>
        <w:t xml:space="preserve"> </w:t>
      </w:r>
      <w:r w:rsidRPr="00217022">
        <w:rPr>
          <w:rFonts w:ascii="Times New Roman" w:eastAsiaTheme="minorEastAsia" w:hAnsi="Times New Roman" w:cs="Times New Roman"/>
          <w:sz w:val="28"/>
          <w:szCs w:val="28"/>
        </w:rPr>
        <w:t xml:space="preserve">a tym samym </w:t>
      </w:r>
      <m:oMath>
        <m:r>
          <m:rPr>
            <m:sty m:val="p"/>
          </m:rPr>
          <w:rPr>
            <w:rFonts w:ascii="Cambria Math" w:hAnsi="Cambria Math" w:cs="Times New Roman"/>
            <w:sz w:val="28"/>
            <w:szCs w:val="28"/>
          </w:rPr>
          <m:t xml:space="preserve">E[∆Y </m:t>
        </m:r>
      </m:oMath>
      <w:r w:rsidRPr="00217022">
        <w:rPr>
          <w:rFonts w:ascii="Times New Roman" w:hAnsi="Times New Roman" w:cs="Times New Roman"/>
          <w:sz w:val="28"/>
          <w:szCs w:val="28"/>
          <w:vertAlign w:val="subscript"/>
        </w:rPr>
        <w:t>t</w:t>
      </w:r>
      <w:r w:rsidRPr="00217022">
        <w:rPr>
          <w:rFonts w:ascii="Times New Roman" w:hAnsi="Times New Roman" w:cs="Times New Roman"/>
        </w:rPr>
        <w:t>*</w:t>
      </w:r>
      <w:r w:rsidRPr="00217022">
        <w:rPr>
          <w:rFonts w:ascii="Times New Roman" w:hAnsi="Times New Roman" w:cs="Times New Roman"/>
          <w:sz w:val="28"/>
          <w:szCs w:val="28"/>
        </w:rPr>
        <w:t xml:space="preserve">(0), </w:t>
      </w:r>
      <w:r w:rsidRPr="00217022">
        <w:rPr>
          <w:rFonts w:ascii="Times New Roman" w:hAnsi="Times New Roman" w:cs="Times New Roman"/>
          <w:sz w:val="28"/>
          <w:szCs w:val="28"/>
          <w:vertAlign w:val="subscript"/>
        </w:rPr>
        <w:t>D=1</w:t>
      </w:r>
      <m:oMath>
        <m:r>
          <m:rPr>
            <m:sty m:val="p"/>
          </m:rPr>
          <w:rPr>
            <w:rFonts w:ascii="Cambria Math" w:hAnsi="Cambria Math" w:cs="Times New Roman"/>
            <w:sz w:val="28"/>
            <w:szCs w:val="28"/>
          </w:rPr>
          <m:t>]</m:t>
        </m:r>
      </m:oMath>
      <w:r w:rsidRPr="00217022">
        <w:rPr>
          <w:rFonts w:ascii="Times New Roman" w:hAnsi="Times New Roman" w:cs="Times New Roman"/>
          <w:sz w:val="28"/>
          <w:szCs w:val="28"/>
        </w:rPr>
        <w:t xml:space="preserve"> = </w:t>
      </w:r>
      <m:oMath>
        <m:r>
          <m:rPr>
            <m:sty m:val="p"/>
          </m:rPr>
          <w:rPr>
            <w:rFonts w:ascii="Cambria Math" w:hAnsi="Cambria Math" w:cs="Times New Roman"/>
            <w:sz w:val="28"/>
            <w:szCs w:val="28"/>
          </w:rPr>
          <m:t>E[∆Y</m:t>
        </m:r>
      </m:oMath>
      <w:r w:rsidRPr="00217022">
        <w:rPr>
          <w:rFonts w:ascii="Times New Roman" w:hAnsi="Times New Roman" w:cs="Times New Roman"/>
          <w:sz w:val="28"/>
          <w:szCs w:val="28"/>
          <w:vertAlign w:val="subscript"/>
        </w:rPr>
        <w:t>t,</w:t>
      </w:r>
      <w:r w:rsidRPr="00217022">
        <w:rPr>
          <w:rFonts w:ascii="Times New Roman" w:hAnsi="Times New Roman" w:cs="Times New Roman"/>
        </w:rPr>
        <w:t xml:space="preserve"> *</w:t>
      </w:r>
      <w:r w:rsidRPr="00217022">
        <w:rPr>
          <w:rFonts w:ascii="Times New Roman" w:hAnsi="Times New Roman" w:cs="Times New Roman"/>
          <w:sz w:val="28"/>
          <w:szCs w:val="28"/>
        </w:rPr>
        <w:t xml:space="preserve">(0), </w:t>
      </w:r>
      <w:r w:rsidRPr="00217022">
        <w:rPr>
          <w:rFonts w:ascii="Times New Roman" w:hAnsi="Times New Roman" w:cs="Times New Roman"/>
          <w:sz w:val="28"/>
          <w:szCs w:val="28"/>
          <w:vertAlign w:val="subscript"/>
        </w:rPr>
        <w:t>D=0</w:t>
      </w:r>
      <m:oMath>
        <m:r>
          <m:rPr>
            <m:sty m:val="p"/>
          </m:rPr>
          <w:rPr>
            <w:rFonts w:ascii="Cambria Math" w:hAnsi="Cambria Math" w:cs="Times New Roman"/>
            <w:sz w:val="28"/>
            <w:szCs w:val="28"/>
          </w:rPr>
          <m:t>]</m:t>
        </m:r>
      </m:oMath>
      <w:r w:rsidRPr="00217022">
        <w:rPr>
          <w:rFonts w:ascii="Times New Roman" w:hAnsi="Times New Roman" w:cs="Times New Roman"/>
          <w:sz w:val="28"/>
          <w:szCs w:val="28"/>
        </w:rPr>
        <w:t>.</w:t>
      </w:r>
    </w:p>
    <w:p w14:paraId="3A4FFD1F" w14:textId="05937A24" w:rsidR="00217022" w:rsidRPr="00217022" w:rsidRDefault="00217022" w:rsidP="00217022">
      <w:pPr>
        <w:ind w:firstLine="708"/>
        <w:jc w:val="both"/>
        <w:rPr>
          <w:rFonts w:ascii="Times New Roman" w:hAnsi="Times New Roman" w:cs="Times New Roman"/>
          <w:sz w:val="28"/>
          <w:szCs w:val="28"/>
        </w:rPr>
      </w:pPr>
      <w:r w:rsidRPr="00217022">
        <w:rPr>
          <w:rFonts w:ascii="Times New Roman" w:hAnsi="Times New Roman" w:cs="Times New Roman"/>
          <w:sz w:val="28"/>
          <w:szCs w:val="28"/>
        </w:rPr>
        <w:t>Również musi być spełnione założenie o braku wpływu instrumentu w okresie poprzedzających interwencję, a więc o braku efektu antycypacyjnego (Malani i Reif</w:t>
      </w:r>
      <w:r w:rsidR="00CB538D">
        <w:rPr>
          <w:rFonts w:ascii="Times New Roman" w:hAnsi="Times New Roman" w:cs="Times New Roman"/>
          <w:sz w:val="28"/>
          <w:szCs w:val="28"/>
        </w:rPr>
        <w:t>,</w:t>
      </w:r>
      <w:r w:rsidRPr="00217022">
        <w:rPr>
          <w:rFonts w:ascii="Times New Roman" w:hAnsi="Times New Roman" w:cs="Times New Roman"/>
          <w:sz w:val="28"/>
          <w:szCs w:val="28"/>
        </w:rPr>
        <w:t xml:space="preserve"> 2015). Oznacza to, że w okresie poprzedzającym interwencję (t-1) wyniki jednostek należących do grupy docelowej powinny być takie same w potencjalnej sytuacji braku uruchomienia interwencji (*(0)), jak w sytuacji obserwowanej, tj. jej wdrożenia (*(1)): </w:t>
      </w:r>
    </w:p>
    <w:p w14:paraId="29AE6B79" w14:textId="77777777" w:rsidR="00217022" w:rsidRPr="00217022" w:rsidRDefault="00217022" w:rsidP="00217022">
      <w:pPr>
        <w:jc w:val="center"/>
        <w:rPr>
          <w:rFonts w:ascii="Times New Roman" w:eastAsiaTheme="minorEastAsia" w:hAnsi="Times New Roman" w:cs="Times New Roman"/>
          <w:sz w:val="28"/>
          <w:szCs w:val="28"/>
        </w:rPr>
      </w:pPr>
      <m:oMath>
        <m:r>
          <m:rPr>
            <m:sty m:val="p"/>
          </m:rPr>
          <w:rPr>
            <w:rFonts w:ascii="Cambria Math" w:hAnsi="Cambria Math" w:cs="Times New Roman"/>
            <w:sz w:val="28"/>
            <w:szCs w:val="28"/>
          </w:rPr>
          <m:t xml:space="preserve">E[Y </m:t>
        </m:r>
      </m:oMath>
      <w:r w:rsidRPr="00217022">
        <w:rPr>
          <w:rFonts w:ascii="Times New Roman" w:hAnsi="Times New Roman" w:cs="Times New Roman"/>
          <w:sz w:val="28"/>
          <w:szCs w:val="28"/>
          <w:vertAlign w:val="subscript"/>
        </w:rPr>
        <w:t>t-1</w:t>
      </w:r>
      <w:r w:rsidRPr="00217022">
        <w:rPr>
          <w:rFonts w:ascii="Times New Roman" w:hAnsi="Times New Roman" w:cs="Times New Roman"/>
        </w:rPr>
        <w:t>*</w:t>
      </w:r>
      <w:r w:rsidRPr="00217022">
        <w:rPr>
          <w:rFonts w:ascii="Times New Roman" w:hAnsi="Times New Roman" w:cs="Times New Roman"/>
          <w:sz w:val="28"/>
          <w:szCs w:val="28"/>
        </w:rPr>
        <w:t xml:space="preserve">(1), </w:t>
      </w:r>
      <w:r w:rsidRPr="00217022">
        <w:rPr>
          <w:rFonts w:ascii="Times New Roman" w:hAnsi="Times New Roman" w:cs="Times New Roman"/>
          <w:sz w:val="28"/>
          <w:szCs w:val="28"/>
          <w:vertAlign w:val="subscript"/>
        </w:rPr>
        <w:t>D=1</w:t>
      </w:r>
      <m:oMath>
        <m:r>
          <m:rPr>
            <m:sty m:val="p"/>
          </m:rPr>
          <w:rPr>
            <w:rFonts w:ascii="Cambria Math" w:hAnsi="Cambria Math" w:cs="Times New Roman"/>
            <w:sz w:val="28"/>
            <w:szCs w:val="28"/>
          </w:rPr>
          <m:t>]</m:t>
        </m:r>
      </m:oMath>
      <w:r w:rsidRPr="00217022">
        <w:rPr>
          <w:rFonts w:ascii="Times New Roman" w:hAnsi="Times New Roman" w:cs="Times New Roman"/>
          <w:sz w:val="28"/>
          <w:szCs w:val="28"/>
        </w:rPr>
        <w:t xml:space="preserve"> = </w:t>
      </w:r>
      <m:oMath>
        <m:r>
          <m:rPr>
            <m:sty m:val="p"/>
          </m:rPr>
          <w:rPr>
            <w:rFonts w:ascii="Cambria Math" w:hAnsi="Cambria Math" w:cs="Times New Roman"/>
            <w:sz w:val="28"/>
            <w:szCs w:val="28"/>
          </w:rPr>
          <m:t xml:space="preserve">E[Y </m:t>
        </m:r>
      </m:oMath>
      <w:r w:rsidRPr="00217022">
        <w:rPr>
          <w:rFonts w:ascii="Times New Roman" w:hAnsi="Times New Roman" w:cs="Times New Roman"/>
          <w:sz w:val="28"/>
          <w:szCs w:val="28"/>
          <w:vertAlign w:val="subscript"/>
        </w:rPr>
        <w:t>t-1</w:t>
      </w:r>
      <w:r w:rsidRPr="00217022">
        <w:rPr>
          <w:rFonts w:ascii="Times New Roman" w:hAnsi="Times New Roman" w:cs="Times New Roman"/>
          <w:sz w:val="28"/>
          <w:szCs w:val="28"/>
        </w:rPr>
        <w:t xml:space="preserve">, </w:t>
      </w:r>
      <w:r w:rsidRPr="00217022">
        <w:rPr>
          <w:rFonts w:ascii="Times New Roman" w:hAnsi="Times New Roman" w:cs="Times New Roman"/>
        </w:rPr>
        <w:t>*</w:t>
      </w:r>
      <w:r w:rsidRPr="00217022">
        <w:rPr>
          <w:rFonts w:ascii="Times New Roman" w:hAnsi="Times New Roman" w:cs="Times New Roman"/>
          <w:sz w:val="28"/>
          <w:szCs w:val="28"/>
        </w:rPr>
        <w:t xml:space="preserve">(0) </w:t>
      </w:r>
      <w:r w:rsidRPr="00217022">
        <w:rPr>
          <w:rFonts w:ascii="Times New Roman" w:hAnsi="Times New Roman" w:cs="Times New Roman"/>
          <w:sz w:val="28"/>
          <w:szCs w:val="28"/>
          <w:vertAlign w:val="subscript"/>
        </w:rPr>
        <w:t>D=1</w:t>
      </w:r>
      <m:oMath>
        <m:r>
          <m:rPr>
            <m:sty m:val="p"/>
          </m:rPr>
          <w:rPr>
            <w:rFonts w:ascii="Cambria Math" w:hAnsi="Cambria Math" w:cs="Times New Roman"/>
            <w:sz w:val="28"/>
            <w:szCs w:val="28"/>
          </w:rPr>
          <m:t>]</m:t>
        </m:r>
      </m:oMath>
      <w:r w:rsidRPr="00217022">
        <w:rPr>
          <w:rFonts w:ascii="Times New Roman" w:eastAsiaTheme="minorEastAsia" w:hAnsi="Times New Roman" w:cs="Times New Roman"/>
          <w:sz w:val="28"/>
          <w:szCs w:val="28"/>
        </w:rPr>
        <w:t>.</w:t>
      </w:r>
    </w:p>
    <w:p w14:paraId="235DD94D" w14:textId="409CA82E" w:rsidR="00217022" w:rsidRPr="00217022" w:rsidRDefault="00217022" w:rsidP="00217022">
      <w:pPr>
        <w:spacing w:after="0" w:line="264" w:lineRule="auto"/>
        <w:ind w:firstLine="709"/>
        <w:jc w:val="both"/>
        <w:rPr>
          <w:rFonts w:ascii="Times New Roman" w:eastAsiaTheme="minorEastAsia" w:hAnsi="Times New Roman" w:cs="Times New Roman"/>
          <w:sz w:val="28"/>
          <w:szCs w:val="28"/>
        </w:rPr>
      </w:pPr>
      <w:r w:rsidRPr="00217022">
        <w:rPr>
          <w:rFonts w:ascii="Times New Roman" w:eastAsiaTheme="minorEastAsia" w:hAnsi="Times New Roman" w:cs="Times New Roman"/>
          <w:sz w:val="28"/>
          <w:szCs w:val="28"/>
        </w:rPr>
        <w:t xml:space="preserve">Założenie to mówi więc, że przyszła interwencja nie powoduje zmian wynikowych w grupie docelowej w okresie poprzedzającym jej zastosowanie. </w:t>
      </w:r>
      <w:r w:rsidRPr="00217022">
        <w:rPr>
          <w:rFonts w:ascii="Times New Roman" w:hAnsi="Times New Roman" w:cs="Times New Roman"/>
          <w:sz w:val="28"/>
          <w:szCs w:val="28"/>
        </w:rPr>
        <w:t>Innymi słowy</w:t>
      </w:r>
      <w:r w:rsidR="003A7E8A">
        <w:rPr>
          <w:rFonts w:ascii="Times New Roman" w:hAnsi="Times New Roman" w:cs="Times New Roman"/>
          <w:sz w:val="28"/>
          <w:szCs w:val="28"/>
        </w:rPr>
        <w:t>,</w:t>
      </w:r>
      <w:r w:rsidRPr="00217022">
        <w:rPr>
          <w:rFonts w:ascii="Times New Roman" w:hAnsi="Times New Roman" w:cs="Times New Roman"/>
          <w:sz w:val="28"/>
          <w:szCs w:val="28"/>
        </w:rPr>
        <w:t xml:space="preserve"> sama zapowiedź lub przygotowywanie się podmiotów do uruchomienia interwencji nie powinno wywoływać efektu w okresie t-1.</w:t>
      </w:r>
    </w:p>
    <w:p w14:paraId="6266185E" w14:textId="23F86983" w:rsidR="00217022" w:rsidRPr="00217022" w:rsidRDefault="00217022" w:rsidP="00217022">
      <w:pPr>
        <w:spacing w:after="0" w:line="264" w:lineRule="auto"/>
        <w:ind w:firstLine="709"/>
        <w:jc w:val="both"/>
        <w:rPr>
          <w:rFonts w:ascii="Times New Roman" w:hAnsi="Times New Roman" w:cs="Times New Roman"/>
          <w:spacing w:val="-2"/>
          <w:sz w:val="28"/>
          <w:szCs w:val="28"/>
        </w:rPr>
      </w:pPr>
      <w:r w:rsidRPr="00217022">
        <w:rPr>
          <w:rFonts w:ascii="Times New Roman" w:hAnsi="Times New Roman" w:cs="Times New Roman"/>
          <w:spacing w:val="-2"/>
          <w:sz w:val="28"/>
          <w:szCs w:val="28"/>
        </w:rPr>
        <w:t xml:space="preserve">Na podstawie przedstawionych powyżej wzorów można dokonać obliczeń w sposób analityczny różnicy w różnicach według dwóch odrębnych sposobów, które jednak prowadzą do tego samego wyniku, co zostało zaprezentowane w tabeli </w:t>
      </w:r>
      <w:r w:rsidR="00E8503D">
        <w:rPr>
          <w:rFonts w:ascii="Times New Roman" w:hAnsi="Times New Roman" w:cs="Times New Roman"/>
          <w:spacing w:val="-2"/>
          <w:sz w:val="28"/>
          <w:szCs w:val="28"/>
        </w:rPr>
        <w:t>8</w:t>
      </w:r>
      <w:r w:rsidRPr="00217022">
        <w:rPr>
          <w:rFonts w:ascii="Times New Roman" w:hAnsi="Times New Roman" w:cs="Times New Roman"/>
          <w:spacing w:val="-2"/>
          <w:sz w:val="28"/>
          <w:szCs w:val="28"/>
        </w:rPr>
        <w:t xml:space="preserve">, a graficznie na </w:t>
      </w:r>
      <w:r w:rsidR="00B509C5">
        <w:rPr>
          <w:rFonts w:ascii="Times New Roman" w:hAnsi="Times New Roman" w:cs="Times New Roman"/>
          <w:spacing w:val="-2"/>
          <w:sz w:val="28"/>
          <w:szCs w:val="28"/>
        </w:rPr>
        <w:t>rysunku</w:t>
      </w:r>
      <w:r w:rsidRPr="00217022">
        <w:rPr>
          <w:rFonts w:ascii="Times New Roman" w:hAnsi="Times New Roman" w:cs="Times New Roman"/>
          <w:spacing w:val="-2"/>
          <w:sz w:val="28"/>
          <w:szCs w:val="28"/>
        </w:rPr>
        <w:t xml:space="preserve"> 1</w:t>
      </w:r>
      <w:r w:rsidR="00846C55">
        <w:rPr>
          <w:rFonts w:ascii="Times New Roman" w:hAnsi="Times New Roman" w:cs="Times New Roman"/>
          <w:spacing w:val="-2"/>
          <w:sz w:val="28"/>
          <w:szCs w:val="28"/>
        </w:rPr>
        <w:t>2</w:t>
      </w:r>
      <w:r w:rsidRPr="00217022">
        <w:rPr>
          <w:rFonts w:ascii="Times New Roman" w:hAnsi="Times New Roman" w:cs="Times New Roman"/>
          <w:spacing w:val="-2"/>
          <w:sz w:val="28"/>
          <w:szCs w:val="28"/>
        </w:rPr>
        <w:t xml:space="preserve">. </w:t>
      </w:r>
    </w:p>
    <w:p w14:paraId="01C1AD3D" w14:textId="77777777" w:rsidR="00217022" w:rsidRPr="00217022" w:rsidRDefault="00217022" w:rsidP="00217022">
      <w:pPr>
        <w:spacing w:after="0" w:line="264" w:lineRule="auto"/>
        <w:ind w:firstLine="709"/>
        <w:jc w:val="both"/>
        <w:rPr>
          <w:rFonts w:ascii="Times New Roman" w:hAnsi="Times New Roman" w:cs="Times New Roman"/>
          <w:spacing w:val="-2"/>
          <w:sz w:val="28"/>
          <w:szCs w:val="28"/>
        </w:rPr>
      </w:pPr>
    </w:p>
    <w:p w14:paraId="7E1F9D87" w14:textId="3D6EAAAD" w:rsidR="00217022" w:rsidRPr="00217022" w:rsidRDefault="00217022" w:rsidP="00D942C1">
      <w:pPr>
        <w:rPr>
          <w:rFonts w:ascii="Times New Roman" w:hAnsi="Times New Roman" w:cs="Times New Roman"/>
          <w:sz w:val="28"/>
          <w:szCs w:val="28"/>
        </w:rPr>
      </w:pPr>
      <w:r w:rsidRPr="00E226AA">
        <w:rPr>
          <w:rFonts w:ascii="Times New Roman" w:hAnsi="Times New Roman" w:cs="Times New Roman"/>
          <w:b/>
          <w:bCs/>
          <w:sz w:val="28"/>
          <w:szCs w:val="28"/>
        </w:rPr>
        <w:t xml:space="preserve">Tabela </w:t>
      </w:r>
      <w:r w:rsidR="00E8503D">
        <w:rPr>
          <w:rFonts w:ascii="Times New Roman" w:hAnsi="Times New Roman" w:cs="Times New Roman"/>
          <w:b/>
          <w:bCs/>
          <w:sz w:val="28"/>
          <w:szCs w:val="28"/>
        </w:rPr>
        <w:t>8</w:t>
      </w:r>
      <w:r w:rsidR="00D942C1" w:rsidRPr="00E226AA">
        <w:rPr>
          <w:rFonts w:ascii="Times New Roman" w:hAnsi="Times New Roman" w:cs="Times New Roman"/>
          <w:b/>
          <w:bCs/>
          <w:sz w:val="28"/>
          <w:szCs w:val="28"/>
        </w:rPr>
        <w:t>.</w:t>
      </w:r>
      <w:r w:rsidRPr="00217022">
        <w:rPr>
          <w:rFonts w:ascii="Times New Roman" w:hAnsi="Times New Roman" w:cs="Times New Roman"/>
          <w:sz w:val="28"/>
          <w:szCs w:val="28"/>
        </w:rPr>
        <w:t xml:space="preserve"> Dwa sposoby na obliczenie różnicy w różnicach (DID) w wersji analitycznej</w:t>
      </w:r>
    </w:p>
    <w:tbl>
      <w:tblPr>
        <w:tblStyle w:val="Tabela-Siatka1"/>
        <w:tblW w:w="0" w:type="auto"/>
        <w:tblLook w:val="04A0" w:firstRow="1" w:lastRow="0" w:firstColumn="1" w:lastColumn="0" w:noHBand="0" w:noVBand="1"/>
      </w:tblPr>
      <w:tblGrid>
        <w:gridCol w:w="1696"/>
        <w:gridCol w:w="3544"/>
        <w:gridCol w:w="3822"/>
      </w:tblGrid>
      <w:tr w:rsidR="00217022" w:rsidRPr="00217022" w14:paraId="2A5F8E1D" w14:textId="77777777" w:rsidTr="00D942C1">
        <w:trPr>
          <w:trHeight w:val="247"/>
        </w:trPr>
        <w:tc>
          <w:tcPr>
            <w:tcW w:w="1696" w:type="dxa"/>
            <w:vAlign w:val="center"/>
          </w:tcPr>
          <w:p w14:paraId="1DEB2FDF" w14:textId="77777777" w:rsidR="00217022" w:rsidRPr="00217022" w:rsidRDefault="00217022" w:rsidP="00217022">
            <w:pPr>
              <w:jc w:val="center"/>
              <w:rPr>
                <w:rFonts w:ascii="Times New Roman" w:hAnsi="Times New Roman" w:cs="Times New Roman"/>
                <w:sz w:val="22"/>
                <w:szCs w:val="22"/>
              </w:rPr>
            </w:pPr>
            <w:r w:rsidRPr="00217022">
              <w:rPr>
                <w:rFonts w:ascii="Times New Roman" w:hAnsi="Times New Roman" w:cs="Times New Roman"/>
                <w:sz w:val="22"/>
                <w:szCs w:val="22"/>
              </w:rPr>
              <w:t>Obliczenia</w:t>
            </w:r>
          </w:p>
        </w:tc>
        <w:tc>
          <w:tcPr>
            <w:tcW w:w="3544" w:type="dxa"/>
            <w:vAlign w:val="center"/>
          </w:tcPr>
          <w:p w14:paraId="629830BD" w14:textId="77777777" w:rsidR="00217022" w:rsidRPr="00217022" w:rsidRDefault="00217022" w:rsidP="00217022">
            <w:pPr>
              <w:jc w:val="center"/>
              <w:rPr>
                <w:rFonts w:ascii="Times New Roman" w:hAnsi="Times New Roman" w:cs="Times New Roman"/>
                <w:sz w:val="22"/>
                <w:szCs w:val="22"/>
                <w:lang w:val="en-GB"/>
              </w:rPr>
            </w:pPr>
            <w:r w:rsidRPr="00217022">
              <w:rPr>
                <w:rFonts w:ascii="Times New Roman" w:hAnsi="Times New Roman" w:cs="Times New Roman"/>
                <w:sz w:val="22"/>
                <w:szCs w:val="22"/>
                <w:lang w:val="en-GB"/>
              </w:rPr>
              <w:t>Sposób 1</w:t>
            </w:r>
          </w:p>
        </w:tc>
        <w:tc>
          <w:tcPr>
            <w:tcW w:w="3822" w:type="dxa"/>
            <w:vAlign w:val="center"/>
          </w:tcPr>
          <w:p w14:paraId="03929B61" w14:textId="77777777" w:rsidR="00217022" w:rsidRPr="00217022" w:rsidRDefault="00217022" w:rsidP="00217022">
            <w:pPr>
              <w:jc w:val="center"/>
              <w:rPr>
                <w:rFonts w:ascii="Times New Roman" w:hAnsi="Times New Roman" w:cs="Times New Roman"/>
                <w:sz w:val="22"/>
                <w:szCs w:val="22"/>
                <w:lang w:val="en-GB"/>
              </w:rPr>
            </w:pPr>
            <w:r w:rsidRPr="00217022">
              <w:rPr>
                <w:rFonts w:ascii="Times New Roman" w:hAnsi="Times New Roman" w:cs="Times New Roman"/>
                <w:sz w:val="22"/>
                <w:szCs w:val="22"/>
                <w:lang w:val="en-GB"/>
              </w:rPr>
              <w:t>Sposób 2</w:t>
            </w:r>
          </w:p>
        </w:tc>
      </w:tr>
      <w:tr w:rsidR="00217022" w:rsidRPr="00217022" w14:paraId="7806EBE8" w14:textId="77777777" w:rsidTr="00D942C1">
        <w:trPr>
          <w:trHeight w:val="964"/>
        </w:trPr>
        <w:tc>
          <w:tcPr>
            <w:tcW w:w="1696" w:type="dxa"/>
            <w:vMerge w:val="restart"/>
            <w:vAlign w:val="center"/>
          </w:tcPr>
          <w:p w14:paraId="2EDBB904" w14:textId="77777777" w:rsidR="00217022" w:rsidRPr="00217022" w:rsidRDefault="00217022" w:rsidP="00217022">
            <w:pPr>
              <w:jc w:val="center"/>
              <w:rPr>
                <w:rFonts w:ascii="Times New Roman" w:hAnsi="Times New Roman" w:cs="Times New Roman"/>
                <w:sz w:val="22"/>
                <w:szCs w:val="22"/>
                <w:lang w:val="en-GB"/>
              </w:rPr>
            </w:pPr>
            <w:r w:rsidRPr="00217022">
              <w:rPr>
                <w:rFonts w:ascii="Times New Roman" w:hAnsi="Times New Roman" w:cs="Times New Roman"/>
                <w:sz w:val="22"/>
                <w:szCs w:val="22"/>
                <w:lang w:val="en-GB"/>
              </w:rPr>
              <w:t>Różnica 1</w:t>
            </w:r>
          </w:p>
        </w:tc>
        <w:tc>
          <w:tcPr>
            <w:tcW w:w="3544" w:type="dxa"/>
            <w:tcBorders>
              <w:bottom w:val="nil"/>
            </w:tcBorders>
            <w:vAlign w:val="center"/>
          </w:tcPr>
          <w:p w14:paraId="3E55970F" w14:textId="77777777" w:rsidR="00217022" w:rsidRPr="00217022" w:rsidRDefault="00217022" w:rsidP="00217022">
            <w:pPr>
              <w:jc w:val="center"/>
              <w:rPr>
                <w:rFonts w:ascii="Times New Roman" w:hAnsi="Times New Roman" w:cs="Times New Roman"/>
                <w:sz w:val="22"/>
                <w:szCs w:val="22"/>
              </w:rPr>
            </w:pPr>
            <w:r w:rsidRPr="00217022">
              <w:rPr>
                <w:rFonts w:ascii="Times New Roman" w:hAnsi="Times New Roman" w:cs="Times New Roman"/>
                <w:sz w:val="22"/>
                <w:szCs w:val="22"/>
              </w:rPr>
              <w:t>Średnia zmiana wyników badanej grupy w czasie</w:t>
            </w:r>
          </w:p>
        </w:tc>
        <w:tc>
          <w:tcPr>
            <w:tcW w:w="3822" w:type="dxa"/>
            <w:tcBorders>
              <w:bottom w:val="nil"/>
            </w:tcBorders>
            <w:vAlign w:val="center"/>
          </w:tcPr>
          <w:p w14:paraId="7490F4A9" w14:textId="77777777" w:rsidR="00217022" w:rsidRPr="00217022" w:rsidRDefault="00217022" w:rsidP="00217022">
            <w:pPr>
              <w:jc w:val="center"/>
              <w:rPr>
                <w:rFonts w:ascii="Times New Roman" w:hAnsi="Times New Roman" w:cs="Times New Roman"/>
                <w:sz w:val="22"/>
                <w:szCs w:val="22"/>
              </w:rPr>
            </w:pPr>
            <w:r w:rsidRPr="00217022">
              <w:rPr>
                <w:rFonts w:ascii="Times New Roman" w:hAnsi="Times New Roman" w:cs="Times New Roman"/>
                <w:sz w:val="22"/>
                <w:szCs w:val="22"/>
              </w:rPr>
              <w:t>Średnia zmiana wyników pomiędzy grupą badaną i kontrolną po interwencji</w:t>
            </w:r>
          </w:p>
        </w:tc>
      </w:tr>
      <w:tr w:rsidR="00217022" w:rsidRPr="00217022" w14:paraId="6AD27E23" w14:textId="77777777" w:rsidTr="00D942C1">
        <w:trPr>
          <w:trHeight w:val="278"/>
        </w:trPr>
        <w:tc>
          <w:tcPr>
            <w:tcW w:w="1696" w:type="dxa"/>
            <w:vMerge/>
            <w:vAlign w:val="center"/>
          </w:tcPr>
          <w:p w14:paraId="3C950E81" w14:textId="77777777" w:rsidR="00217022" w:rsidRPr="00217022" w:rsidRDefault="00217022" w:rsidP="00217022">
            <w:pPr>
              <w:jc w:val="center"/>
              <w:rPr>
                <w:rFonts w:ascii="Times New Roman" w:hAnsi="Times New Roman" w:cs="Times New Roman"/>
                <w:sz w:val="22"/>
                <w:szCs w:val="22"/>
              </w:rPr>
            </w:pPr>
          </w:p>
        </w:tc>
        <w:tc>
          <w:tcPr>
            <w:tcW w:w="3544" w:type="dxa"/>
            <w:tcBorders>
              <w:top w:val="nil"/>
            </w:tcBorders>
            <w:vAlign w:val="center"/>
          </w:tcPr>
          <w:p w14:paraId="3D5A4201" w14:textId="77777777" w:rsidR="00217022" w:rsidRPr="00217022" w:rsidRDefault="00217022" w:rsidP="00217022">
            <w:pPr>
              <w:jc w:val="center"/>
              <w:rPr>
                <w:rFonts w:ascii="Times New Roman" w:hAnsi="Times New Roman" w:cs="Times New Roman"/>
                <w:sz w:val="22"/>
                <w:szCs w:val="22"/>
              </w:rPr>
            </w:pPr>
            <m:oMath>
              <m:r>
                <m:rPr>
                  <m:sty m:val="p"/>
                </m:rPr>
                <w:rPr>
                  <w:rFonts w:ascii="Cambria Math" w:hAnsi="Cambria Math" w:cs="Times New Roman"/>
                  <w:sz w:val="22"/>
                  <w:szCs w:val="22"/>
                  <w:lang w:val="en-GB"/>
                </w:rPr>
                <m:t xml:space="preserve">E[Y </m:t>
              </m:r>
            </m:oMath>
            <w:r w:rsidRPr="00217022">
              <w:rPr>
                <w:rFonts w:ascii="Times New Roman" w:hAnsi="Times New Roman" w:cs="Times New Roman"/>
                <w:sz w:val="22"/>
                <w:szCs w:val="22"/>
                <w:vertAlign w:val="subscript"/>
                <w:lang w:val="en-GB"/>
              </w:rPr>
              <w:t>t</w:t>
            </w:r>
            <w:r w:rsidRPr="00217022">
              <w:rPr>
                <w:rFonts w:ascii="Times New Roman" w:hAnsi="Times New Roman" w:cs="Times New Roman"/>
                <w:sz w:val="22"/>
                <w:szCs w:val="22"/>
                <w:lang w:val="en-GB"/>
              </w:rPr>
              <w:t xml:space="preserve">, </w:t>
            </w:r>
            <w:r w:rsidRPr="00217022">
              <w:rPr>
                <w:rFonts w:ascii="Times New Roman" w:hAnsi="Times New Roman" w:cs="Times New Roman"/>
                <w:sz w:val="22"/>
                <w:szCs w:val="22"/>
                <w:vertAlign w:val="subscript"/>
                <w:lang w:val="en-GB"/>
              </w:rPr>
              <w:t>D=1</w:t>
            </w:r>
            <m:oMath>
              <m:r>
                <m:rPr>
                  <m:sty m:val="p"/>
                </m:rPr>
                <w:rPr>
                  <w:rFonts w:ascii="Cambria Math" w:hAnsi="Cambria Math" w:cs="Times New Roman"/>
                  <w:sz w:val="22"/>
                  <w:szCs w:val="22"/>
                  <w:lang w:val="en-GB"/>
                </w:rPr>
                <m:t>]</m:t>
              </m:r>
            </m:oMath>
            <w:r w:rsidRPr="00217022">
              <w:rPr>
                <w:rFonts w:ascii="Times New Roman" w:hAnsi="Times New Roman" w:cs="Times New Roman"/>
                <w:sz w:val="22"/>
                <w:szCs w:val="22"/>
                <w:lang w:val="en-GB"/>
              </w:rPr>
              <w:t xml:space="preserve"> - </w:t>
            </w:r>
            <m:oMath>
              <m:r>
                <m:rPr>
                  <m:sty m:val="p"/>
                </m:rPr>
                <w:rPr>
                  <w:rFonts w:ascii="Cambria Math" w:hAnsi="Cambria Math" w:cs="Times New Roman"/>
                  <w:sz w:val="22"/>
                  <w:szCs w:val="22"/>
                  <w:lang w:val="en-GB"/>
                </w:rPr>
                <m:t xml:space="preserve">E[Y </m:t>
              </m:r>
            </m:oMath>
            <w:r w:rsidRPr="00217022">
              <w:rPr>
                <w:rFonts w:ascii="Times New Roman" w:hAnsi="Times New Roman" w:cs="Times New Roman"/>
                <w:sz w:val="22"/>
                <w:szCs w:val="22"/>
                <w:vertAlign w:val="subscript"/>
                <w:lang w:val="en-GB"/>
              </w:rPr>
              <w:t>t-1</w:t>
            </w:r>
            <w:r w:rsidRPr="00217022">
              <w:rPr>
                <w:rFonts w:ascii="Times New Roman" w:hAnsi="Times New Roman" w:cs="Times New Roman"/>
                <w:sz w:val="22"/>
                <w:szCs w:val="22"/>
                <w:lang w:val="en-GB"/>
              </w:rPr>
              <w:t xml:space="preserve">, </w:t>
            </w:r>
            <w:r w:rsidRPr="00217022">
              <w:rPr>
                <w:rFonts w:ascii="Times New Roman" w:hAnsi="Times New Roman" w:cs="Times New Roman"/>
                <w:sz w:val="22"/>
                <w:szCs w:val="22"/>
                <w:vertAlign w:val="subscript"/>
                <w:lang w:val="en-GB"/>
              </w:rPr>
              <w:t>D=1</w:t>
            </w:r>
            <m:oMath>
              <m:r>
                <m:rPr>
                  <m:sty m:val="p"/>
                </m:rPr>
                <w:rPr>
                  <w:rFonts w:ascii="Cambria Math" w:hAnsi="Cambria Math" w:cs="Times New Roman"/>
                  <w:sz w:val="22"/>
                  <w:szCs w:val="22"/>
                  <w:lang w:val="en-GB"/>
                </w:rPr>
                <m:t>]</m:t>
              </m:r>
            </m:oMath>
          </w:p>
        </w:tc>
        <w:tc>
          <w:tcPr>
            <w:tcW w:w="3822" w:type="dxa"/>
            <w:tcBorders>
              <w:top w:val="nil"/>
            </w:tcBorders>
            <w:vAlign w:val="center"/>
          </w:tcPr>
          <w:p w14:paraId="4AA303B8" w14:textId="77777777" w:rsidR="00217022" w:rsidRPr="00217022" w:rsidRDefault="00217022" w:rsidP="00217022">
            <w:pPr>
              <w:jc w:val="center"/>
              <w:rPr>
                <w:rFonts w:ascii="Times New Roman" w:hAnsi="Times New Roman" w:cs="Times New Roman"/>
                <w:sz w:val="22"/>
                <w:szCs w:val="22"/>
              </w:rPr>
            </w:pPr>
            <m:oMath>
              <m:r>
                <m:rPr>
                  <m:sty m:val="p"/>
                </m:rPr>
                <w:rPr>
                  <w:rFonts w:ascii="Cambria Math" w:hAnsi="Cambria Math" w:cs="Times New Roman"/>
                  <w:sz w:val="22"/>
                  <w:szCs w:val="22"/>
                  <w:lang w:val="en-GB"/>
                </w:rPr>
                <m:t xml:space="preserve">E[Y </m:t>
              </m:r>
            </m:oMath>
            <w:r w:rsidRPr="00217022">
              <w:rPr>
                <w:rFonts w:ascii="Times New Roman" w:hAnsi="Times New Roman" w:cs="Times New Roman"/>
                <w:sz w:val="22"/>
                <w:szCs w:val="22"/>
                <w:vertAlign w:val="subscript"/>
                <w:lang w:val="en-GB"/>
              </w:rPr>
              <w:t>t</w:t>
            </w:r>
            <w:r w:rsidRPr="00217022">
              <w:rPr>
                <w:rFonts w:ascii="Times New Roman" w:hAnsi="Times New Roman" w:cs="Times New Roman"/>
                <w:sz w:val="22"/>
                <w:szCs w:val="22"/>
                <w:lang w:val="en-GB"/>
              </w:rPr>
              <w:t xml:space="preserve">, </w:t>
            </w:r>
            <w:r w:rsidRPr="00217022">
              <w:rPr>
                <w:rFonts w:ascii="Times New Roman" w:hAnsi="Times New Roman" w:cs="Times New Roman"/>
                <w:sz w:val="22"/>
                <w:szCs w:val="22"/>
                <w:vertAlign w:val="subscript"/>
                <w:lang w:val="en-GB"/>
              </w:rPr>
              <w:t>D=1</w:t>
            </w:r>
            <m:oMath>
              <m:r>
                <m:rPr>
                  <m:sty m:val="p"/>
                </m:rPr>
                <w:rPr>
                  <w:rFonts w:ascii="Cambria Math" w:hAnsi="Cambria Math" w:cs="Times New Roman"/>
                  <w:sz w:val="22"/>
                  <w:szCs w:val="22"/>
                  <w:lang w:val="en-GB"/>
                </w:rPr>
                <m:t>]</m:t>
              </m:r>
            </m:oMath>
            <w:r w:rsidRPr="00217022">
              <w:rPr>
                <w:rFonts w:ascii="Times New Roman" w:hAnsi="Times New Roman" w:cs="Times New Roman"/>
                <w:sz w:val="22"/>
                <w:szCs w:val="22"/>
                <w:lang w:val="en-GB"/>
              </w:rPr>
              <w:t xml:space="preserve"> - </w:t>
            </w:r>
            <m:oMath>
              <m:r>
                <m:rPr>
                  <m:sty m:val="p"/>
                </m:rPr>
                <w:rPr>
                  <w:rFonts w:ascii="Cambria Math" w:hAnsi="Cambria Math" w:cs="Times New Roman"/>
                  <w:sz w:val="22"/>
                  <w:szCs w:val="22"/>
                  <w:lang w:val="en-GB"/>
                </w:rPr>
                <m:t xml:space="preserve">E[Y </m:t>
              </m:r>
            </m:oMath>
            <w:r w:rsidRPr="00217022">
              <w:rPr>
                <w:rFonts w:ascii="Times New Roman" w:hAnsi="Times New Roman" w:cs="Times New Roman"/>
                <w:sz w:val="22"/>
                <w:szCs w:val="22"/>
                <w:vertAlign w:val="subscript"/>
                <w:lang w:val="en-GB"/>
              </w:rPr>
              <w:t>t</w:t>
            </w:r>
            <w:r w:rsidRPr="00217022">
              <w:rPr>
                <w:rFonts w:ascii="Times New Roman" w:hAnsi="Times New Roman" w:cs="Times New Roman"/>
                <w:sz w:val="22"/>
                <w:szCs w:val="22"/>
                <w:lang w:val="en-GB"/>
              </w:rPr>
              <w:t xml:space="preserve">, </w:t>
            </w:r>
            <w:r w:rsidRPr="00217022">
              <w:rPr>
                <w:rFonts w:ascii="Times New Roman" w:hAnsi="Times New Roman" w:cs="Times New Roman"/>
                <w:sz w:val="22"/>
                <w:szCs w:val="22"/>
                <w:vertAlign w:val="subscript"/>
                <w:lang w:val="en-GB"/>
              </w:rPr>
              <w:t>D=0</w:t>
            </w:r>
            <m:oMath>
              <m:r>
                <m:rPr>
                  <m:sty m:val="p"/>
                </m:rPr>
                <w:rPr>
                  <w:rFonts w:ascii="Cambria Math" w:hAnsi="Cambria Math" w:cs="Times New Roman"/>
                  <w:sz w:val="22"/>
                  <w:szCs w:val="22"/>
                  <w:lang w:val="en-GB"/>
                </w:rPr>
                <m:t>]</m:t>
              </m:r>
            </m:oMath>
          </w:p>
        </w:tc>
      </w:tr>
      <w:tr w:rsidR="00217022" w:rsidRPr="00217022" w14:paraId="540EF843" w14:textId="77777777" w:rsidTr="00D942C1">
        <w:trPr>
          <w:trHeight w:val="737"/>
        </w:trPr>
        <w:tc>
          <w:tcPr>
            <w:tcW w:w="1696" w:type="dxa"/>
            <w:vMerge w:val="restart"/>
            <w:vAlign w:val="center"/>
          </w:tcPr>
          <w:p w14:paraId="283DEBD1" w14:textId="77777777" w:rsidR="00217022" w:rsidRPr="00217022" w:rsidRDefault="00217022" w:rsidP="00217022">
            <w:pPr>
              <w:jc w:val="center"/>
              <w:rPr>
                <w:rFonts w:ascii="Times New Roman" w:hAnsi="Times New Roman" w:cs="Times New Roman"/>
                <w:sz w:val="22"/>
                <w:szCs w:val="22"/>
              </w:rPr>
            </w:pPr>
            <w:r w:rsidRPr="00217022">
              <w:rPr>
                <w:rFonts w:ascii="Times New Roman" w:hAnsi="Times New Roman" w:cs="Times New Roman"/>
                <w:sz w:val="22"/>
                <w:szCs w:val="22"/>
                <w:lang w:val="en-GB"/>
              </w:rPr>
              <w:t>Różnica 2</w:t>
            </w:r>
          </w:p>
        </w:tc>
        <w:tc>
          <w:tcPr>
            <w:tcW w:w="3544" w:type="dxa"/>
            <w:tcBorders>
              <w:bottom w:val="nil"/>
            </w:tcBorders>
            <w:vAlign w:val="center"/>
          </w:tcPr>
          <w:p w14:paraId="6A8C885D" w14:textId="77777777" w:rsidR="00217022" w:rsidRPr="00217022" w:rsidRDefault="00217022" w:rsidP="00217022">
            <w:pPr>
              <w:jc w:val="center"/>
              <w:rPr>
                <w:rFonts w:ascii="Times New Roman" w:hAnsi="Times New Roman" w:cs="Times New Roman"/>
                <w:sz w:val="22"/>
                <w:szCs w:val="22"/>
              </w:rPr>
            </w:pPr>
            <w:r w:rsidRPr="00217022">
              <w:rPr>
                <w:rFonts w:ascii="Times New Roman" w:hAnsi="Times New Roman" w:cs="Times New Roman"/>
                <w:sz w:val="22"/>
                <w:szCs w:val="22"/>
              </w:rPr>
              <w:t>Średnia zmiana wyników kontrolnej grupy w czasie</w:t>
            </w:r>
          </w:p>
        </w:tc>
        <w:tc>
          <w:tcPr>
            <w:tcW w:w="3822" w:type="dxa"/>
            <w:tcBorders>
              <w:bottom w:val="nil"/>
            </w:tcBorders>
            <w:vAlign w:val="center"/>
          </w:tcPr>
          <w:p w14:paraId="2C585704" w14:textId="77777777" w:rsidR="00217022" w:rsidRPr="00217022" w:rsidRDefault="00217022" w:rsidP="00217022">
            <w:pPr>
              <w:jc w:val="center"/>
              <w:rPr>
                <w:rFonts w:ascii="Times New Roman" w:hAnsi="Times New Roman" w:cs="Times New Roman"/>
                <w:sz w:val="22"/>
                <w:szCs w:val="22"/>
              </w:rPr>
            </w:pPr>
            <w:r w:rsidRPr="00217022">
              <w:rPr>
                <w:rFonts w:ascii="Times New Roman" w:hAnsi="Times New Roman" w:cs="Times New Roman"/>
                <w:sz w:val="22"/>
                <w:szCs w:val="22"/>
              </w:rPr>
              <w:t>Średnia zmiana wyników pomiędzy grupą badaną i kontrolną przed interwencją</w:t>
            </w:r>
          </w:p>
        </w:tc>
      </w:tr>
      <w:tr w:rsidR="00217022" w:rsidRPr="00217022" w14:paraId="2987D098" w14:textId="77777777" w:rsidTr="00D942C1">
        <w:trPr>
          <w:trHeight w:val="506"/>
        </w:trPr>
        <w:tc>
          <w:tcPr>
            <w:tcW w:w="1696" w:type="dxa"/>
            <w:vMerge/>
          </w:tcPr>
          <w:p w14:paraId="5D570AF0" w14:textId="77777777" w:rsidR="00217022" w:rsidRPr="00217022" w:rsidRDefault="00217022" w:rsidP="00217022">
            <w:pPr>
              <w:jc w:val="both"/>
              <w:rPr>
                <w:rFonts w:ascii="Times New Roman" w:hAnsi="Times New Roman" w:cs="Times New Roman"/>
                <w:sz w:val="22"/>
                <w:szCs w:val="22"/>
              </w:rPr>
            </w:pPr>
          </w:p>
        </w:tc>
        <w:tc>
          <w:tcPr>
            <w:tcW w:w="3544" w:type="dxa"/>
            <w:tcBorders>
              <w:top w:val="nil"/>
            </w:tcBorders>
            <w:vAlign w:val="center"/>
          </w:tcPr>
          <w:p w14:paraId="6F4B88E7" w14:textId="77777777" w:rsidR="00217022" w:rsidRPr="00217022" w:rsidRDefault="00217022" w:rsidP="00217022">
            <w:pPr>
              <w:jc w:val="center"/>
              <w:rPr>
                <w:rFonts w:ascii="Times New Roman" w:hAnsi="Times New Roman" w:cs="Times New Roman"/>
                <w:sz w:val="22"/>
                <w:szCs w:val="22"/>
              </w:rPr>
            </w:pPr>
            <m:oMath>
              <m:r>
                <m:rPr>
                  <m:sty m:val="p"/>
                </m:rPr>
                <w:rPr>
                  <w:rFonts w:ascii="Cambria Math" w:hAnsi="Cambria Math" w:cs="Times New Roman"/>
                  <w:sz w:val="22"/>
                  <w:szCs w:val="22"/>
                  <w:lang w:val="en-GB"/>
                </w:rPr>
                <m:t>E[Y</m:t>
              </m:r>
            </m:oMath>
            <w:r w:rsidRPr="00217022">
              <w:rPr>
                <w:rFonts w:ascii="Times New Roman" w:hAnsi="Times New Roman" w:cs="Times New Roman"/>
                <w:sz w:val="22"/>
                <w:szCs w:val="22"/>
                <w:lang w:val="en-GB"/>
              </w:rPr>
              <w:t xml:space="preserve"> </w:t>
            </w:r>
            <w:r w:rsidRPr="00217022">
              <w:rPr>
                <w:rFonts w:ascii="Times New Roman" w:hAnsi="Times New Roman" w:cs="Times New Roman"/>
                <w:sz w:val="22"/>
                <w:szCs w:val="22"/>
                <w:vertAlign w:val="subscript"/>
                <w:lang w:val="en-GB"/>
              </w:rPr>
              <w:t>t,</w:t>
            </w:r>
            <w:r w:rsidRPr="00217022">
              <w:rPr>
                <w:rFonts w:ascii="Times New Roman" w:hAnsi="Times New Roman" w:cs="Times New Roman"/>
                <w:sz w:val="22"/>
                <w:szCs w:val="22"/>
                <w:lang w:val="en-GB"/>
              </w:rPr>
              <w:t xml:space="preserve"> </w:t>
            </w:r>
            <w:r w:rsidRPr="00217022">
              <w:rPr>
                <w:rFonts w:ascii="Times New Roman" w:hAnsi="Times New Roman" w:cs="Times New Roman"/>
                <w:sz w:val="22"/>
                <w:szCs w:val="22"/>
                <w:vertAlign w:val="subscript"/>
                <w:lang w:val="en-GB"/>
              </w:rPr>
              <w:t>D=0</w:t>
            </w:r>
            <m:oMath>
              <m:r>
                <m:rPr>
                  <m:sty m:val="p"/>
                </m:rPr>
                <w:rPr>
                  <w:rFonts w:ascii="Cambria Math" w:hAnsi="Cambria Math" w:cs="Times New Roman"/>
                  <w:sz w:val="22"/>
                  <w:szCs w:val="22"/>
                  <w:lang w:val="en-GB"/>
                </w:rPr>
                <m:t>]</m:t>
              </m:r>
            </m:oMath>
            <w:r w:rsidRPr="00217022">
              <w:rPr>
                <w:rFonts w:ascii="Times New Roman" w:hAnsi="Times New Roman" w:cs="Times New Roman"/>
                <w:sz w:val="22"/>
                <w:szCs w:val="22"/>
                <w:lang w:val="en-GB"/>
              </w:rPr>
              <w:t xml:space="preserve"> - </w:t>
            </w:r>
            <m:oMath>
              <m:r>
                <m:rPr>
                  <m:sty m:val="p"/>
                </m:rPr>
                <w:rPr>
                  <w:rFonts w:ascii="Cambria Math" w:hAnsi="Cambria Math" w:cs="Times New Roman"/>
                  <w:sz w:val="22"/>
                  <w:szCs w:val="22"/>
                  <w:lang w:val="en-GB"/>
                </w:rPr>
                <m:t xml:space="preserve">E[Y </m:t>
              </m:r>
            </m:oMath>
            <w:r w:rsidRPr="00217022">
              <w:rPr>
                <w:rFonts w:ascii="Times New Roman" w:hAnsi="Times New Roman" w:cs="Times New Roman"/>
                <w:sz w:val="22"/>
                <w:szCs w:val="22"/>
                <w:vertAlign w:val="subscript"/>
                <w:lang w:val="en-GB"/>
              </w:rPr>
              <w:t>t-1</w:t>
            </w:r>
            <w:r w:rsidRPr="00217022">
              <w:rPr>
                <w:rFonts w:ascii="Times New Roman" w:hAnsi="Times New Roman" w:cs="Times New Roman"/>
                <w:sz w:val="22"/>
                <w:szCs w:val="22"/>
                <w:lang w:val="en-GB"/>
              </w:rPr>
              <w:t xml:space="preserve">, </w:t>
            </w:r>
            <w:r w:rsidRPr="00217022">
              <w:rPr>
                <w:rFonts w:ascii="Times New Roman" w:hAnsi="Times New Roman" w:cs="Times New Roman"/>
                <w:sz w:val="22"/>
                <w:szCs w:val="22"/>
                <w:vertAlign w:val="subscript"/>
                <w:lang w:val="en-GB"/>
              </w:rPr>
              <w:t>D=0</w:t>
            </w:r>
            <m:oMath>
              <m:r>
                <m:rPr>
                  <m:sty m:val="p"/>
                </m:rPr>
                <w:rPr>
                  <w:rFonts w:ascii="Cambria Math" w:hAnsi="Cambria Math" w:cs="Times New Roman"/>
                  <w:sz w:val="22"/>
                  <w:szCs w:val="22"/>
                  <w:lang w:val="en-GB"/>
                </w:rPr>
                <m:t>]</m:t>
              </m:r>
            </m:oMath>
          </w:p>
        </w:tc>
        <w:tc>
          <w:tcPr>
            <w:tcW w:w="3822" w:type="dxa"/>
            <w:tcBorders>
              <w:top w:val="nil"/>
            </w:tcBorders>
            <w:vAlign w:val="center"/>
          </w:tcPr>
          <w:p w14:paraId="3FCFFF74" w14:textId="77777777" w:rsidR="00217022" w:rsidRPr="00217022" w:rsidRDefault="00217022" w:rsidP="00217022">
            <w:pPr>
              <w:jc w:val="center"/>
              <w:rPr>
                <w:rFonts w:ascii="Times New Roman" w:hAnsi="Times New Roman" w:cs="Times New Roman"/>
                <w:sz w:val="22"/>
                <w:szCs w:val="22"/>
              </w:rPr>
            </w:pPr>
            <m:oMath>
              <m:r>
                <m:rPr>
                  <m:sty m:val="p"/>
                </m:rPr>
                <w:rPr>
                  <w:rFonts w:ascii="Cambria Math" w:hAnsi="Cambria Math" w:cs="Times New Roman"/>
                  <w:sz w:val="22"/>
                  <w:szCs w:val="22"/>
                  <w:lang w:val="en-GB"/>
                </w:rPr>
                <m:t xml:space="preserve">E[Y </m:t>
              </m:r>
            </m:oMath>
            <w:r w:rsidRPr="00217022">
              <w:rPr>
                <w:rFonts w:ascii="Times New Roman" w:hAnsi="Times New Roman" w:cs="Times New Roman"/>
                <w:sz w:val="22"/>
                <w:szCs w:val="22"/>
                <w:vertAlign w:val="subscript"/>
                <w:lang w:val="en-GB"/>
              </w:rPr>
              <w:t>t-1</w:t>
            </w:r>
            <w:r w:rsidRPr="00217022">
              <w:rPr>
                <w:rFonts w:ascii="Times New Roman" w:hAnsi="Times New Roman" w:cs="Times New Roman"/>
                <w:sz w:val="22"/>
                <w:szCs w:val="22"/>
                <w:lang w:val="en-GB"/>
              </w:rPr>
              <w:t xml:space="preserve">, </w:t>
            </w:r>
            <w:r w:rsidRPr="00217022">
              <w:rPr>
                <w:rFonts w:ascii="Times New Roman" w:hAnsi="Times New Roman" w:cs="Times New Roman"/>
                <w:sz w:val="22"/>
                <w:szCs w:val="22"/>
                <w:vertAlign w:val="subscript"/>
                <w:lang w:val="en-GB"/>
              </w:rPr>
              <w:t>D=1</w:t>
            </w:r>
            <m:oMath>
              <m:r>
                <m:rPr>
                  <m:sty m:val="p"/>
                </m:rPr>
                <w:rPr>
                  <w:rFonts w:ascii="Cambria Math" w:hAnsi="Cambria Math" w:cs="Times New Roman"/>
                  <w:sz w:val="22"/>
                  <w:szCs w:val="22"/>
                  <w:lang w:val="en-GB"/>
                </w:rPr>
                <m:t>]</m:t>
              </m:r>
            </m:oMath>
            <w:r w:rsidRPr="00217022">
              <w:rPr>
                <w:rFonts w:ascii="Times New Roman" w:hAnsi="Times New Roman" w:cs="Times New Roman"/>
                <w:sz w:val="22"/>
                <w:szCs w:val="22"/>
                <w:lang w:val="en-GB"/>
              </w:rPr>
              <w:t xml:space="preserve"> - </w:t>
            </w:r>
            <m:oMath>
              <m:r>
                <m:rPr>
                  <m:sty m:val="p"/>
                </m:rPr>
                <w:rPr>
                  <w:rFonts w:ascii="Cambria Math" w:hAnsi="Cambria Math" w:cs="Times New Roman"/>
                  <w:sz w:val="22"/>
                  <w:szCs w:val="22"/>
                  <w:lang w:val="en-GB"/>
                </w:rPr>
                <m:t xml:space="preserve">E[Y </m:t>
              </m:r>
            </m:oMath>
            <w:r w:rsidRPr="00217022">
              <w:rPr>
                <w:rFonts w:ascii="Times New Roman" w:hAnsi="Times New Roman" w:cs="Times New Roman"/>
                <w:sz w:val="22"/>
                <w:szCs w:val="22"/>
                <w:vertAlign w:val="subscript"/>
                <w:lang w:val="en-GB"/>
              </w:rPr>
              <w:t>t-1</w:t>
            </w:r>
            <w:r w:rsidRPr="00217022">
              <w:rPr>
                <w:rFonts w:ascii="Times New Roman" w:hAnsi="Times New Roman" w:cs="Times New Roman"/>
                <w:sz w:val="22"/>
                <w:szCs w:val="22"/>
                <w:lang w:val="en-GB"/>
              </w:rPr>
              <w:t xml:space="preserve">, </w:t>
            </w:r>
            <w:r w:rsidRPr="00217022">
              <w:rPr>
                <w:rFonts w:ascii="Times New Roman" w:hAnsi="Times New Roman" w:cs="Times New Roman"/>
                <w:sz w:val="22"/>
                <w:szCs w:val="22"/>
                <w:vertAlign w:val="subscript"/>
                <w:lang w:val="en-GB"/>
              </w:rPr>
              <w:t>D=0</w:t>
            </w:r>
            <m:oMath>
              <m:r>
                <m:rPr>
                  <m:sty m:val="p"/>
                </m:rPr>
                <w:rPr>
                  <w:rFonts w:ascii="Cambria Math" w:hAnsi="Cambria Math" w:cs="Times New Roman"/>
                  <w:sz w:val="22"/>
                  <w:szCs w:val="22"/>
                  <w:lang w:val="en-GB"/>
                </w:rPr>
                <m:t>]</m:t>
              </m:r>
            </m:oMath>
          </w:p>
        </w:tc>
      </w:tr>
      <w:tr w:rsidR="00217022" w:rsidRPr="00217022" w14:paraId="1F36CFC5" w14:textId="77777777" w:rsidTr="00D942C1">
        <w:trPr>
          <w:trHeight w:val="967"/>
        </w:trPr>
        <w:tc>
          <w:tcPr>
            <w:tcW w:w="1696" w:type="dxa"/>
            <w:vAlign w:val="center"/>
          </w:tcPr>
          <w:p w14:paraId="5A5A2DAF" w14:textId="77777777" w:rsidR="00217022" w:rsidRPr="00217022" w:rsidRDefault="00217022" w:rsidP="00217022">
            <w:pPr>
              <w:jc w:val="center"/>
              <w:rPr>
                <w:rFonts w:ascii="Times New Roman" w:hAnsi="Times New Roman" w:cs="Times New Roman"/>
                <w:b/>
                <w:bCs/>
                <w:sz w:val="22"/>
                <w:szCs w:val="22"/>
              </w:rPr>
            </w:pPr>
            <w:r w:rsidRPr="00217022">
              <w:rPr>
                <w:rFonts w:ascii="Times New Roman" w:hAnsi="Times New Roman" w:cs="Times New Roman"/>
                <w:b/>
                <w:bCs/>
                <w:sz w:val="22"/>
                <w:szCs w:val="22"/>
              </w:rPr>
              <w:t>DID</w:t>
            </w:r>
          </w:p>
        </w:tc>
        <w:tc>
          <w:tcPr>
            <w:tcW w:w="7366" w:type="dxa"/>
            <w:gridSpan w:val="2"/>
            <w:vAlign w:val="center"/>
          </w:tcPr>
          <w:p w14:paraId="509783F1" w14:textId="77777777" w:rsidR="00217022" w:rsidRPr="00217022" w:rsidRDefault="00217022" w:rsidP="00217022">
            <w:pPr>
              <w:jc w:val="center"/>
              <w:rPr>
                <w:rFonts w:ascii="Times New Roman" w:eastAsia="Aptos" w:hAnsi="Times New Roman" w:cs="Times New Roman"/>
                <w:b/>
                <w:bCs/>
                <w:iCs/>
                <w:sz w:val="22"/>
                <w:szCs w:val="22"/>
                <w:lang w:val="de-AT"/>
              </w:rPr>
            </w:pPr>
            <w:r w:rsidRPr="00217022">
              <w:rPr>
                <w:rFonts w:ascii="Times New Roman" w:hAnsi="Times New Roman" w:cs="Times New Roman"/>
                <w:b/>
                <w:bCs/>
                <w:sz w:val="22"/>
                <w:szCs w:val="22"/>
                <w:lang w:val="de-AT"/>
              </w:rPr>
              <w:t>(</w:t>
            </w:r>
            <m:oMath>
              <m:r>
                <m:rPr>
                  <m:sty m:val="b"/>
                </m:rPr>
                <w:rPr>
                  <w:rFonts w:ascii="Cambria Math" w:hAnsi="Cambria Math" w:cs="Times New Roman"/>
                  <w:sz w:val="22"/>
                  <w:szCs w:val="22"/>
                  <w:lang w:val="en-GB"/>
                </w:rPr>
                <m:t>E</m:t>
              </m:r>
              <m:r>
                <m:rPr>
                  <m:sty m:val="b"/>
                </m:rPr>
                <w:rPr>
                  <w:rFonts w:ascii="Cambria Math" w:hAnsi="Cambria Math" w:cs="Times New Roman"/>
                  <w:sz w:val="22"/>
                  <w:szCs w:val="22"/>
                  <w:lang w:val="de-AT"/>
                </w:rPr>
                <m:t>[</m:t>
              </m:r>
              <m:r>
                <m:rPr>
                  <m:sty m:val="b"/>
                </m:rPr>
                <w:rPr>
                  <w:rFonts w:ascii="Cambria Math" w:hAnsi="Cambria Math" w:cs="Times New Roman"/>
                  <w:sz w:val="22"/>
                  <w:szCs w:val="22"/>
                  <w:lang w:val="en-GB"/>
                </w:rPr>
                <m:t>Y</m:t>
              </m:r>
              <m:r>
                <m:rPr>
                  <m:sty m:val="b"/>
                </m:rPr>
                <w:rPr>
                  <w:rFonts w:ascii="Cambria Math" w:hAnsi="Cambria Math" w:cs="Times New Roman"/>
                  <w:sz w:val="22"/>
                  <w:szCs w:val="22"/>
                  <w:lang w:val="de-AT"/>
                </w:rPr>
                <m:t xml:space="preserve"> </m:t>
              </m:r>
            </m:oMath>
            <w:r w:rsidRPr="00217022">
              <w:rPr>
                <w:rFonts w:ascii="Times New Roman" w:hAnsi="Times New Roman" w:cs="Times New Roman"/>
                <w:b/>
                <w:bCs/>
                <w:sz w:val="22"/>
                <w:szCs w:val="22"/>
                <w:vertAlign w:val="subscript"/>
                <w:lang w:val="de-AT"/>
              </w:rPr>
              <w:t>t</w:t>
            </w:r>
            <w:r w:rsidRPr="00217022">
              <w:rPr>
                <w:rFonts w:ascii="Times New Roman" w:hAnsi="Times New Roman" w:cs="Times New Roman"/>
                <w:b/>
                <w:bCs/>
                <w:sz w:val="22"/>
                <w:szCs w:val="22"/>
                <w:lang w:val="de-AT"/>
              </w:rPr>
              <w:t xml:space="preserve">, </w:t>
            </w:r>
            <w:r w:rsidRPr="00217022">
              <w:rPr>
                <w:rFonts w:ascii="Times New Roman" w:hAnsi="Times New Roman" w:cs="Times New Roman"/>
                <w:b/>
                <w:bCs/>
                <w:sz w:val="22"/>
                <w:szCs w:val="22"/>
                <w:vertAlign w:val="subscript"/>
                <w:lang w:val="de-AT"/>
              </w:rPr>
              <w:t>D=1</w:t>
            </w:r>
            <m:oMath>
              <m:r>
                <m:rPr>
                  <m:sty m:val="b"/>
                </m:rPr>
                <w:rPr>
                  <w:rFonts w:ascii="Cambria Math" w:hAnsi="Cambria Math" w:cs="Times New Roman"/>
                  <w:sz w:val="22"/>
                  <w:szCs w:val="22"/>
                  <w:lang w:val="de-AT"/>
                </w:rPr>
                <m:t>]</m:t>
              </m:r>
            </m:oMath>
            <w:r w:rsidRPr="00217022">
              <w:rPr>
                <w:rFonts w:ascii="Times New Roman" w:hAnsi="Times New Roman" w:cs="Times New Roman"/>
                <w:b/>
                <w:bCs/>
                <w:sz w:val="22"/>
                <w:szCs w:val="22"/>
                <w:lang w:val="de-AT"/>
              </w:rPr>
              <w:t xml:space="preserve"> - </w:t>
            </w:r>
            <m:oMath>
              <m:r>
                <m:rPr>
                  <m:sty m:val="b"/>
                </m:rPr>
                <w:rPr>
                  <w:rFonts w:ascii="Cambria Math" w:hAnsi="Cambria Math" w:cs="Times New Roman"/>
                  <w:sz w:val="22"/>
                  <w:szCs w:val="22"/>
                  <w:lang w:val="en-GB"/>
                </w:rPr>
                <m:t>E</m:t>
              </m:r>
              <m:r>
                <m:rPr>
                  <m:sty m:val="b"/>
                </m:rPr>
                <w:rPr>
                  <w:rFonts w:ascii="Cambria Math" w:hAnsi="Cambria Math" w:cs="Times New Roman"/>
                  <w:sz w:val="22"/>
                  <w:szCs w:val="22"/>
                  <w:lang w:val="de-AT"/>
                </w:rPr>
                <m:t>[</m:t>
              </m:r>
              <m:r>
                <m:rPr>
                  <m:sty m:val="b"/>
                </m:rPr>
                <w:rPr>
                  <w:rFonts w:ascii="Cambria Math" w:hAnsi="Cambria Math" w:cs="Times New Roman"/>
                  <w:sz w:val="22"/>
                  <w:szCs w:val="22"/>
                  <w:lang w:val="en-GB"/>
                </w:rPr>
                <m:t>Y</m:t>
              </m:r>
              <m:r>
                <m:rPr>
                  <m:sty m:val="b"/>
                </m:rPr>
                <w:rPr>
                  <w:rFonts w:ascii="Cambria Math" w:hAnsi="Cambria Math" w:cs="Times New Roman"/>
                  <w:sz w:val="22"/>
                  <w:szCs w:val="22"/>
                  <w:lang w:val="de-AT"/>
                </w:rPr>
                <m:t xml:space="preserve"> </m:t>
              </m:r>
            </m:oMath>
            <w:r w:rsidRPr="00217022">
              <w:rPr>
                <w:rFonts w:ascii="Times New Roman" w:hAnsi="Times New Roman" w:cs="Times New Roman"/>
                <w:b/>
                <w:bCs/>
                <w:sz w:val="22"/>
                <w:szCs w:val="22"/>
                <w:vertAlign w:val="subscript"/>
                <w:lang w:val="de-AT"/>
              </w:rPr>
              <w:t>t-1</w:t>
            </w:r>
            <w:r w:rsidRPr="00217022">
              <w:rPr>
                <w:rFonts w:ascii="Times New Roman" w:hAnsi="Times New Roman" w:cs="Times New Roman"/>
                <w:b/>
                <w:bCs/>
                <w:sz w:val="22"/>
                <w:szCs w:val="22"/>
                <w:lang w:val="de-AT"/>
              </w:rPr>
              <w:t xml:space="preserve">, </w:t>
            </w:r>
            <w:r w:rsidRPr="00217022">
              <w:rPr>
                <w:rFonts w:ascii="Times New Roman" w:hAnsi="Times New Roman" w:cs="Times New Roman"/>
                <w:b/>
                <w:bCs/>
                <w:sz w:val="22"/>
                <w:szCs w:val="22"/>
                <w:vertAlign w:val="subscript"/>
                <w:lang w:val="de-AT"/>
              </w:rPr>
              <w:t>D=1</w:t>
            </w:r>
            <m:oMath>
              <m:r>
                <m:rPr>
                  <m:sty m:val="b"/>
                </m:rPr>
                <w:rPr>
                  <w:rFonts w:ascii="Cambria Math" w:hAnsi="Cambria Math" w:cs="Times New Roman"/>
                  <w:sz w:val="22"/>
                  <w:szCs w:val="22"/>
                  <w:lang w:val="de-AT"/>
                </w:rPr>
                <m:t>]</m:t>
              </m:r>
            </m:oMath>
            <w:r w:rsidRPr="00217022">
              <w:rPr>
                <w:rFonts w:ascii="Times New Roman" w:hAnsi="Times New Roman" w:cs="Times New Roman"/>
                <w:b/>
                <w:bCs/>
                <w:sz w:val="22"/>
                <w:szCs w:val="22"/>
                <w:lang w:val="de-AT"/>
              </w:rPr>
              <w:t>) - (</w:t>
            </w:r>
            <m:oMath>
              <m:r>
                <m:rPr>
                  <m:sty m:val="b"/>
                </m:rPr>
                <w:rPr>
                  <w:rFonts w:ascii="Cambria Math" w:hAnsi="Cambria Math" w:cs="Times New Roman"/>
                  <w:sz w:val="22"/>
                  <w:szCs w:val="22"/>
                  <w:lang w:val="en-GB"/>
                </w:rPr>
                <m:t>E</m:t>
              </m:r>
              <m:r>
                <m:rPr>
                  <m:sty m:val="b"/>
                </m:rPr>
                <w:rPr>
                  <w:rFonts w:ascii="Cambria Math" w:hAnsi="Cambria Math" w:cs="Times New Roman"/>
                  <w:sz w:val="22"/>
                  <w:szCs w:val="22"/>
                  <w:lang w:val="de-AT"/>
                </w:rPr>
                <m:t>[</m:t>
              </m:r>
              <m:r>
                <m:rPr>
                  <m:sty m:val="b"/>
                </m:rPr>
                <w:rPr>
                  <w:rFonts w:ascii="Cambria Math" w:hAnsi="Cambria Math" w:cs="Times New Roman"/>
                  <w:sz w:val="22"/>
                  <w:szCs w:val="22"/>
                  <w:lang w:val="en-GB"/>
                </w:rPr>
                <m:t>Y</m:t>
              </m:r>
            </m:oMath>
            <w:r w:rsidRPr="00217022">
              <w:rPr>
                <w:rFonts w:ascii="Times New Roman" w:hAnsi="Times New Roman" w:cs="Times New Roman"/>
                <w:b/>
                <w:bCs/>
                <w:sz w:val="22"/>
                <w:szCs w:val="22"/>
                <w:lang w:val="de-AT"/>
              </w:rPr>
              <w:t xml:space="preserve"> </w:t>
            </w:r>
            <w:r w:rsidRPr="00217022">
              <w:rPr>
                <w:rFonts w:ascii="Times New Roman" w:hAnsi="Times New Roman" w:cs="Times New Roman"/>
                <w:b/>
                <w:bCs/>
                <w:sz w:val="22"/>
                <w:szCs w:val="22"/>
                <w:vertAlign w:val="subscript"/>
                <w:lang w:val="de-AT"/>
              </w:rPr>
              <w:t>t,</w:t>
            </w:r>
            <w:r w:rsidRPr="00217022">
              <w:rPr>
                <w:rFonts w:ascii="Times New Roman" w:hAnsi="Times New Roman" w:cs="Times New Roman"/>
                <w:b/>
                <w:bCs/>
                <w:sz w:val="22"/>
                <w:szCs w:val="22"/>
                <w:lang w:val="de-AT"/>
              </w:rPr>
              <w:t xml:space="preserve"> </w:t>
            </w:r>
            <w:r w:rsidRPr="00217022">
              <w:rPr>
                <w:rFonts w:ascii="Times New Roman" w:hAnsi="Times New Roman" w:cs="Times New Roman"/>
                <w:b/>
                <w:bCs/>
                <w:sz w:val="22"/>
                <w:szCs w:val="22"/>
                <w:vertAlign w:val="subscript"/>
                <w:lang w:val="de-AT"/>
              </w:rPr>
              <w:t>D=0</w:t>
            </w:r>
            <m:oMath>
              <m:r>
                <m:rPr>
                  <m:sty m:val="b"/>
                </m:rPr>
                <w:rPr>
                  <w:rFonts w:ascii="Cambria Math" w:hAnsi="Cambria Math" w:cs="Times New Roman"/>
                  <w:sz w:val="22"/>
                  <w:szCs w:val="22"/>
                  <w:lang w:val="de-AT"/>
                </w:rPr>
                <m:t>]</m:t>
              </m:r>
            </m:oMath>
            <w:r w:rsidRPr="00217022">
              <w:rPr>
                <w:rFonts w:ascii="Times New Roman" w:hAnsi="Times New Roman" w:cs="Times New Roman"/>
                <w:b/>
                <w:bCs/>
                <w:sz w:val="22"/>
                <w:szCs w:val="22"/>
                <w:lang w:val="de-AT"/>
              </w:rPr>
              <w:t xml:space="preserve"> - </w:t>
            </w:r>
            <m:oMath>
              <m:r>
                <m:rPr>
                  <m:sty m:val="b"/>
                </m:rPr>
                <w:rPr>
                  <w:rFonts w:ascii="Cambria Math" w:hAnsi="Cambria Math" w:cs="Times New Roman"/>
                  <w:sz w:val="22"/>
                  <w:szCs w:val="22"/>
                  <w:lang w:val="en-GB"/>
                </w:rPr>
                <m:t>E</m:t>
              </m:r>
              <m:r>
                <m:rPr>
                  <m:sty m:val="b"/>
                </m:rPr>
                <w:rPr>
                  <w:rFonts w:ascii="Cambria Math" w:hAnsi="Cambria Math" w:cs="Times New Roman"/>
                  <w:sz w:val="22"/>
                  <w:szCs w:val="22"/>
                  <w:lang w:val="de-AT"/>
                </w:rPr>
                <m:t>[</m:t>
              </m:r>
              <m:r>
                <m:rPr>
                  <m:sty m:val="b"/>
                </m:rPr>
                <w:rPr>
                  <w:rFonts w:ascii="Cambria Math" w:hAnsi="Cambria Math" w:cs="Times New Roman"/>
                  <w:sz w:val="22"/>
                  <w:szCs w:val="22"/>
                  <w:lang w:val="en-GB"/>
                </w:rPr>
                <m:t>Y</m:t>
              </m:r>
              <m:r>
                <m:rPr>
                  <m:sty m:val="b"/>
                </m:rPr>
                <w:rPr>
                  <w:rFonts w:ascii="Cambria Math" w:hAnsi="Cambria Math" w:cs="Times New Roman"/>
                  <w:sz w:val="22"/>
                  <w:szCs w:val="22"/>
                  <w:lang w:val="de-AT"/>
                </w:rPr>
                <m:t xml:space="preserve"> </m:t>
              </m:r>
            </m:oMath>
            <w:r w:rsidRPr="00217022">
              <w:rPr>
                <w:rFonts w:ascii="Times New Roman" w:hAnsi="Times New Roman" w:cs="Times New Roman"/>
                <w:b/>
                <w:bCs/>
                <w:sz w:val="22"/>
                <w:szCs w:val="22"/>
                <w:vertAlign w:val="subscript"/>
                <w:lang w:val="de-AT"/>
              </w:rPr>
              <w:t>t-1</w:t>
            </w:r>
            <w:r w:rsidRPr="00217022">
              <w:rPr>
                <w:rFonts w:ascii="Times New Roman" w:hAnsi="Times New Roman" w:cs="Times New Roman"/>
                <w:b/>
                <w:bCs/>
                <w:sz w:val="22"/>
                <w:szCs w:val="22"/>
                <w:lang w:val="de-AT"/>
              </w:rPr>
              <w:t xml:space="preserve">, </w:t>
            </w:r>
            <w:r w:rsidRPr="00217022">
              <w:rPr>
                <w:rFonts w:ascii="Times New Roman" w:hAnsi="Times New Roman" w:cs="Times New Roman"/>
                <w:b/>
                <w:bCs/>
                <w:sz w:val="22"/>
                <w:szCs w:val="22"/>
                <w:vertAlign w:val="subscript"/>
                <w:lang w:val="de-AT"/>
              </w:rPr>
              <w:t>D=0</w:t>
            </w:r>
            <m:oMath>
              <m:r>
                <m:rPr>
                  <m:sty m:val="b"/>
                </m:rPr>
                <w:rPr>
                  <w:rFonts w:ascii="Cambria Math" w:hAnsi="Cambria Math" w:cs="Times New Roman"/>
                  <w:sz w:val="22"/>
                  <w:szCs w:val="22"/>
                  <w:lang w:val="de-AT"/>
                </w:rPr>
                <m:t>]</m:t>
              </m:r>
            </m:oMath>
            <w:r w:rsidRPr="00217022">
              <w:rPr>
                <w:rFonts w:ascii="Times New Roman" w:hAnsi="Times New Roman" w:cs="Times New Roman"/>
                <w:b/>
                <w:bCs/>
                <w:sz w:val="22"/>
                <w:szCs w:val="22"/>
                <w:lang w:val="de-AT"/>
              </w:rPr>
              <w:t>)</w:t>
            </w:r>
          </w:p>
          <w:p w14:paraId="5FAD8792" w14:textId="23E988A3" w:rsidR="00217022" w:rsidRPr="00217022" w:rsidRDefault="00217022" w:rsidP="00217022">
            <w:pPr>
              <w:spacing w:before="120"/>
              <w:jc w:val="center"/>
              <w:rPr>
                <w:rFonts w:ascii="Times New Roman" w:eastAsia="Aptos" w:hAnsi="Times New Roman" w:cs="Times New Roman"/>
                <w:b/>
                <w:bCs/>
                <w:iCs/>
                <w:sz w:val="22"/>
                <w:szCs w:val="22"/>
                <w:lang w:val="en-GB"/>
              </w:rPr>
            </w:pPr>
            <w:r w:rsidRPr="00217022">
              <w:rPr>
                <w:rFonts w:ascii="Times New Roman" w:eastAsia="Aptos" w:hAnsi="Times New Roman" w:cs="Times New Roman"/>
                <w:b/>
                <w:bCs/>
                <w:iCs/>
                <w:sz w:val="22"/>
                <w:szCs w:val="22"/>
                <w:lang w:val="en-GB"/>
              </w:rPr>
              <w:t>Ró</w:t>
            </w:r>
            <w:r w:rsidR="000C1DED" w:rsidRPr="00D942C1">
              <w:rPr>
                <w:rFonts w:ascii="Times New Roman" w:eastAsia="Aptos" w:hAnsi="Times New Roman" w:cs="Times New Roman"/>
                <w:b/>
                <w:bCs/>
                <w:iCs/>
                <w:sz w:val="22"/>
                <w:szCs w:val="22"/>
                <w:lang w:val="en-GB"/>
              </w:rPr>
              <w:t>ż</w:t>
            </w:r>
            <w:r w:rsidRPr="00217022">
              <w:rPr>
                <w:rFonts w:ascii="Times New Roman" w:eastAsia="Aptos" w:hAnsi="Times New Roman" w:cs="Times New Roman"/>
                <w:b/>
                <w:bCs/>
                <w:iCs/>
                <w:sz w:val="22"/>
                <w:szCs w:val="22"/>
                <w:lang w:val="en-GB"/>
              </w:rPr>
              <w:t>nica 1-Ró</w:t>
            </w:r>
            <w:r w:rsidR="000C1DED" w:rsidRPr="00D942C1">
              <w:rPr>
                <w:rFonts w:ascii="Times New Roman" w:eastAsia="Aptos" w:hAnsi="Times New Roman" w:cs="Times New Roman"/>
                <w:b/>
                <w:bCs/>
                <w:iCs/>
                <w:sz w:val="22"/>
                <w:szCs w:val="22"/>
                <w:lang w:val="en-GB"/>
              </w:rPr>
              <w:t>ż</w:t>
            </w:r>
            <w:r w:rsidRPr="00217022">
              <w:rPr>
                <w:rFonts w:ascii="Times New Roman" w:eastAsia="Aptos" w:hAnsi="Times New Roman" w:cs="Times New Roman"/>
                <w:b/>
                <w:bCs/>
                <w:iCs/>
                <w:sz w:val="22"/>
                <w:szCs w:val="22"/>
                <w:lang w:val="en-GB"/>
              </w:rPr>
              <w:t>nica 2</w:t>
            </w:r>
          </w:p>
        </w:tc>
      </w:tr>
    </w:tbl>
    <w:p w14:paraId="14CD8958" w14:textId="77777777" w:rsidR="00217022" w:rsidRPr="00217022" w:rsidRDefault="00217022" w:rsidP="00217022">
      <w:pPr>
        <w:spacing w:before="120" w:after="0"/>
        <w:jc w:val="both"/>
        <w:rPr>
          <w:rFonts w:ascii="Times New Roman" w:hAnsi="Times New Roman" w:cs="Times New Roman"/>
          <w:i/>
          <w:iCs/>
          <w:lang w:val="en-GB"/>
        </w:rPr>
      </w:pPr>
      <w:r w:rsidRPr="00217022">
        <w:rPr>
          <w:rFonts w:ascii="Times New Roman" w:hAnsi="Times New Roman" w:cs="Times New Roman"/>
          <w:i/>
          <w:iCs/>
        </w:rPr>
        <w:t xml:space="preserve">Źródło: opracowano na podstawie Fernandez, J. (2023-07-29). </w:t>
      </w:r>
      <w:r w:rsidRPr="00217022">
        <w:rPr>
          <w:rFonts w:ascii="Times New Roman" w:hAnsi="Times New Roman" w:cs="Times New Roman"/>
          <w:i/>
          <w:iCs/>
          <w:lang w:val="en-GB"/>
        </w:rPr>
        <w:t>Econometrics for Business Analytics. https://bookdown.org/cuborican/econometrics_for_business_analytics/.</w:t>
      </w:r>
    </w:p>
    <w:p w14:paraId="14A33BC3" w14:textId="54ECB5EA" w:rsidR="00217022" w:rsidRPr="00217022" w:rsidRDefault="00217022" w:rsidP="00217022">
      <w:pPr>
        <w:ind w:firstLine="708"/>
        <w:jc w:val="both"/>
        <w:rPr>
          <w:rFonts w:ascii="Times New Roman" w:hAnsi="Times New Roman" w:cs="Times New Roman"/>
          <w:sz w:val="28"/>
          <w:szCs w:val="28"/>
        </w:rPr>
      </w:pPr>
      <w:bookmarkStart w:id="21" w:name="_Hlk179283413"/>
      <w:r w:rsidRPr="00217022">
        <w:rPr>
          <w:rFonts w:ascii="Times New Roman" w:hAnsi="Times New Roman" w:cs="Times New Roman"/>
          <w:sz w:val="28"/>
          <w:szCs w:val="28"/>
        </w:rPr>
        <w:t xml:space="preserve">Wyniki analityczne obliczane przy użyciu średnich pozwalają ustalić poziom ATT, jednak w odróżnieniu od estymacji przy pomocy regresji TWFE nie pozwalają określić błędów standardowych, a co najważniejsze uwzględnić </w:t>
      </w:r>
      <w:r w:rsidRPr="00217022">
        <w:rPr>
          <w:rFonts w:ascii="Times New Roman" w:hAnsi="Times New Roman" w:cs="Times New Roman"/>
          <w:sz w:val="28"/>
          <w:szCs w:val="28"/>
        </w:rPr>
        <w:lastRenderedPageBreak/>
        <w:t xml:space="preserve">wpływu innych zmiennych. W praktyce więc do obliczeń wykorzystuje się równanie, w którym estymuje się współczynniki β (docelowo w równaniu poniżej przyjmuje się, że </w:t>
      </w:r>
      <w:r w:rsidRPr="00217022">
        <w:rPr>
          <w:rFonts w:ascii="Times New Roman" w:hAnsi="Times New Roman" w:cs="Times New Roman"/>
          <w:color w:val="323232"/>
          <w:sz w:val="28"/>
          <w:szCs w:val="28"/>
        </w:rPr>
        <w:t>β</w:t>
      </w:r>
      <w:r w:rsidRPr="00217022">
        <w:rPr>
          <w:rFonts w:ascii="Times New Roman" w:hAnsi="Times New Roman" w:cs="Times New Roman"/>
          <w:color w:val="323232"/>
          <w:sz w:val="28"/>
          <w:szCs w:val="28"/>
          <w:vertAlign w:val="subscript"/>
        </w:rPr>
        <w:t>3</w:t>
      </w:r>
      <w:r w:rsidRPr="00217022">
        <w:rPr>
          <w:rFonts w:ascii="Times New Roman" w:hAnsi="Times New Roman" w:cs="Times New Roman"/>
          <w:color w:val="323232"/>
          <w:sz w:val="28"/>
          <w:szCs w:val="28"/>
        </w:rPr>
        <w:t>=ATT)</w:t>
      </w:r>
      <w:r w:rsidRPr="00217022">
        <w:rPr>
          <w:rFonts w:ascii="Times New Roman" w:hAnsi="Times New Roman" w:cs="Times New Roman"/>
          <w:sz w:val="28"/>
          <w:szCs w:val="28"/>
        </w:rPr>
        <w:t>:</w:t>
      </w:r>
    </w:p>
    <w:p w14:paraId="55386F18" w14:textId="77777777" w:rsidR="00217022" w:rsidRPr="00217022" w:rsidRDefault="00217022" w:rsidP="00217022">
      <w:pPr>
        <w:jc w:val="center"/>
        <w:rPr>
          <w:rFonts w:ascii="Times New Roman" w:hAnsi="Times New Roman" w:cs="Times New Roman"/>
          <w:sz w:val="28"/>
          <w:szCs w:val="28"/>
        </w:rPr>
      </w:pPr>
      <w:r w:rsidRPr="00217022">
        <w:rPr>
          <w:rFonts w:ascii="Times New Roman" w:hAnsi="Times New Roman" w:cs="Times New Roman"/>
          <w:color w:val="323232"/>
          <w:sz w:val="28"/>
          <w:szCs w:val="28"/>
        </w:rPr>
        <w:t>Y</w:t>
      </w:r>
      <w:r w:rsidRPr="00217022">
        <w:rPr>
          <w:rFonts w:ascii="Times New Roman" w:hAnsi="Times New Roman" w:cs="Times New Roman"/>
          <w:color w:val="323232"/>
          <w:sz w:val="20"/>
          <w:szCs w:val="20"/>
        </w:rPr>
        <w:t xml:space="preserve">it </w:t>
      </w:r>
      <w:r w:rsidRPr="00217022">
        <w:rPr>
          <w:rFonts w:ascii="Times New Roman" w:hAnsi="Times New Roman" w:cs="Times New Roman"/>
          <w:color w:val="323232"/>
          <w:sz w:val="28"/>
          <w:szCs w:val="28"/>
        </w:rPr>
        <w:t>= β</w:t>
      </w:r>
      <w:r w:rsidRPr="00217022">
        <w:rPr>
          <w:rFonts w:ascii="Times New Roman" w:hAnsi="Times New Roman" w:cs="Times New Roman"/>
          <w:color w:val="323232"/>
          <w:sz w:val="20"/>
          <w:szCs w:val="20"/>
        </w:rPr>
        <w:t xml:space="preserve">0 </w:t>
      </w:r>
      <w:r w:rsidRPr="00217022">
        <w:rPr>
          <w:rFonts w:ascii="Times New Roman" w:hAnsi="Times New Roman" w:cs="Times New Roman"/>
          <w:color w:val="323232"/>
          <w:sz w:val="28"/>
          <w:szCs w:val="28"/>
        </w:rPr>
        <w:t>+ β</w:t>
      </w:r>
      <w:r w:rsidRPr="00217022">
        <w:rPr>
          <w:rFonts w:ascii="Times New Roman" w:hAnsi="Times New Roman" w:cs="Times New Roman"/>
          <w:color w:val="323232"/>
          <w:sz w:val="20"/>
          <w:szCs w:val="20"/>
        </w:rPr>
        <w:t>1</w:t>
      </w:r>
      <w:r w:rsidRPr="00217022">
        <w:rPr>
          <w:rFonts w:ascii="Times New Roman" w:hAnsi="Times New Roman" w:cs="Times New Roman"/>
          <w:color w:val="323232"/>
          <w:sz w:val="28"/>
          <w:szCs w:val="28"/>
        </w:rPr>
        <w:t>Post</w:t>
      </w:r>
      <w:r w:rsidRPr="00217022">
        <w:rPr>
          <w:rFonts w:ascii="Times New Roman" w:hAnsi="Times New Roman" w:cs="Times New Roman"/>
          <w:color w:val="323232"/>
          <w:sz w:val="20"/>
          <w:szCs w:val="20"/>
        </w:rPr>
        <w:t xml:space="preserve">i </w:t>
      </w:r>
      <w:r w:rsidRPr="00217022">
        <w:rPr>
          <w:rFonts w:ascii="Times New Roman" w:hAnsi="Times New Roman" w:cs="Times New Roman"/>
          <w:color w:val="323232"/>
          <w:sz w:val="28"/>
          <w:szCs w:val="28"/>
        </w:rPr>
        <w:t>+ β</w:t>
      </w:r>
      <w:r w:rsidRPr="00217022">
        <w:rPr>
          <w:rFonts w:ascii="Times New Roman" w:hAnsi="Times New Roman" w:cs="Times New Roman"/>
          <w:color w:val="323232"/>
          <w:sz w:val="20"/>
          <w:szCs w:val="20"/>
        </w:rPr>
        <w:t>2</w:t>
      </w:r>
      <w:r w:rsidRPr="00217022">
        <w:rPr>
          <w:rFonts w:ascii="Times New Roman" w:hAnsi="Times New Roman" w:cs="Times New Roman"/>
          <w:color w:val="323232"/>
          <w:sz w:val="28"/>
          <w:szCs w:val="28"/>
        </w:rPr>
        <w:t>Treat</w:t>
      </w:r>
      <w:r w:rsidRPr="00217022">
        <w:rPr>
          <w:rFonts w:ascii="Times New Roman" w:hAnsi="Times New Roman" w:cs="Times New Roman"/>
          <w:color w:val="323232"/>
          <w:sz w:val="20"/>
          <w:szCs w:val="20"/>
        </w:rPr>
        <w:t xml:space="preserve">t </w:t>
      </w:r>
      <w:r w:rsidRPr="00217022">
        <w:rPr>
          <w:rFonts w:ascii="Times New Roman" w:hAnsi="Times New Roman" w:cs="Times New Roman"/>
          <w:color w:val="323232"/>
          <w:sz w:val="28"/>
          <w:szCs w:val="28"/>
        </w:rPr>
        <w:t>+ β</w:t>
      </w:r>
      <w:r w:rsidRPr="00217022">
        <w:rPr>
          <w:rFonts w:ascii="Times New Roman" w:hAnsi="Times New Roman" w:cs="Times New Roman"/>
          <w:color w:val="323232"/>
          <w:sz w:val="20"/>
          <w:szCs w:val="20"/>
        </w:rPr>
        <w:t>3</w:t>
      </w:r>
      <w:r w:rsidRPr="00217022">
        <w:rPr>
          <w:rFonts w:ascii="Times New Roman" w:hAnsi="Times New Roman" w:cs="Times New Roman"/>
          <w:color w:val="323232"/>
          <w:sz w:val="28"/>
          <w:szCs w:val="28"/>
        </w:rPr>
        <w:t>Treat</w:t>
      </w:r>
      <w:r w:rsidRPr="00217022">
        <w:rPr>
          <w:rFonts w:ascii="Times New Roman" w:hAnsi="Times New Roman" w:cs="Times New Roman"/>
          <w:color w:val="323232"/>
          <w:sz w:val="20"/>
          <w:szCs w:val="20"/>
        </w:rPr>
        <w:t xml:space="preserve">i </w:t>
      </w:r>
      <w:r w:rsidRPr="00217022">
        <w:rPr>
          <w:rFonts w:ascii="Cambria Math" w:hAnsi="Cambria Math" w:cs="Cambria Math"/>
          <w:color w:val="323232"/>
          <w:sz w:val="28"/>
          <w:szCs w:val="28"/>
        </w:rPr>
        <w:t>∗</w:t>
      </w:r>
      <w:r w:rsidRPr="00217022">
        <w:rPr>
          <w:rFonts w:ascii="Times New Roman" w:hAnsi="Times New Roman" w:cs="Times New Roman"/>
          <w:color w:val="323232"/>
          <w:sz w:val="28"/>
          <w:szCs w:val="28"/>
        </w:rPr>
        <w:t xml:space="preserve"> Post</w:t>
      </w:r>
      <w:r w:rsidRPr="00217022">
        <w:rPr>
          <w:rFonts w:ascii="Times New Roman" w:hAnsi="Times New Roman" w:cs="Times New Roman"/>
          <w:color w:val="323232"/>
          <w:sz w:val="20"/>
          <w:szCs w:val="20"/>
        </w:rPr>
        <w:t xml:space="preserve">t </w:t>
      </w:r>
      <w:r w:rsidRPr="00217022">
        <w:rPr>
          <w:rFonts w:ascii="Times New Roman" w:hAnsi="Times New Roman" w:cs="Times New Roman"/>
          <w:color w:val="323232"/>
          <w:sz w:val="28"/>
          <w:szCs w:val="28"/>
        </w:rPr>
        <w:t>+ γX</w:t>
      </w:r>
      <w:r w:rsidRPr="00217022">
        <w:rPr>
          <w:rFonts w:ascii="Times New Roman" w:hAnsi="Times New Roman" w:cs="Times New Roman"/>
          <w:color w:val="323232"/>
          <w:sz w:val="20"/>
          <w:szCs w:val="20"/>
        </w:rPr>
        <w:t xml:space="preserve">it </w:t>
      </w:r>
      <w:r w:rsidRPr="00217022">
        <w:rPr>
          <w:rFonts w:ascii="Times New Roman" w:hAnsi="Times New Roman" w:cs="Times New Roman"/>
          <w:color w:val="323232"/>
          <w:sz w:val="28"/>
          <w:szCs w:val="28"/>
        </w:rPr>
        <w:t>+ e</w:t>
      </w:r>
      <w:r w:rsidRPr="00217022">
        <w:rPr>
          <w:rFonts w:ascii="Times New Roman" w:hAnsi="Times New Roman" w:cs="Times New Roman"/>
          <w:color w:val="323232"/>
          <w:sz w:val="20"/>
          <w:szCs w:val="20"/>
        </w:rPr>
        <w:t>it</w:t>
      </w:r>
      <w:r w:rsidRPr="00217022">
        <w:rPr>
          <w:rFonts w:ascii="Times New Roman" w:hAnsi="Times New Roman" w:cs="Times New Roman"/>
          <w:color w:val="323232"/>
          <w:sz w:val="28"/>
          <w:szCs w:val="20"/>
        </w:rPr>
        <w:t xml:space="preserve"> ,</w:t>
      </w:r>
    </w:p>
    <w:p w14:paraId="710AE1F4" w14:textId="77777777" w:rsidR="00217022" w:rsidRPr="00217022" w:rsidRDefault="00217022" w:rsidP="00217022">
      <w:pPr>
        <w:spacing w:after="0"/>
        <w:jc w:val="both"/>
        <w:rPr>
          <w:rFonts w:ascii="Times New Roman" w:hAnsi="Times New Roman" w:cs="Times New Roman"/>
          <w:sz w:val="28"/>
          <w:szCs w:val="28"/>
        </w:rPr>
      </w:pPr>
      <w:r w:rsidRPr="00217022">
        <w:rPr>
          <w:rFonts w:ascii="Times New Roman" w:hAnsi="Times New Roman" w:cs="Times New Roman"/>
          <w:sz w:val="28"/>
          <w:szCs w:val="28"/>
        </w:rPr>
        <w:t xml:space="preserve">gdzie: </w:t>
      </w:r>
      <w:r w:rsidRPr="00217022">
        <w:rPr>
          <w:rFonts w:ascii="Times New Roman" w:hAnsi="Times New Roman" w:cs="Times New Roman"/>
          <w:i/>
          <w:iCs/>
          <w:color w:val="323232"/>
          <w:sz w:val="28"/>
          <w:szCs w:val="28"/>
        </w:rPr>
        <w:t>β</w:t>
      </w:r>
      <w:r w:rsidRPr="00217022">
        <w:rPr>
          <w:rFonts w:ascii="Times New Roman" w:hAnsi="Times New Roman" w:cs="Times New Roman"/>
          <w:i/>
          <w:iCs/>
          <w:color w:val="323232"/>
          <w:sz w:val="28"/>
          <w:szCs w:val="28"/>
          <w:vertAlign w:val="subscript"/>
        </w:rPr>
        <w:t>0</w:t>
      </w:r>
      <w:r w:rsidRPr="00217022">
        <w:rPr>
          <w:rFonts w:ascii="Times New Roman" w:hAnsi="Times New Roman" w:cs="Times New Roman"/>
          <w:i/>
          <w:iCs/>
          <w:sz w:val="28"/>
          <w:szCs w:val="28"/>
        </w:rPr>
        <w:t xml:space="preserve"> </w:t>
      </w:r>
      <w:r w:rsidRPr="00217022">
        <w:rPr>
          <w:rFonts w:ascii="Times New Roman" w:hAnsi="Times New Roman" w:cs="Times New Roman"/>
          <w:sz w:val="28"/>
          <w:szCs w:val="28"/>
        </w:rPr>
        <w:t xml:space="preserve">– poziom wyjściowy – średni wynik grupy kontrolnej na początku badania; </w:t>
      </w:r>
      <w:r w:rsidRPr="00217022">
        <w:rPr>
          <w:rFonts w:ascii="Times New Roman" w:hAnsi="Times New Roman" w:cs="Times New Roman"/>
          <w:i/>
          <w:iCs/>
          <w:color w:val="323232"/>
          <w:sz w:val="28"/>
          <w:szCs w:val="28"/>
        </w:rPr>
        <w:t>β</w:t>
      </w:r>
      <w:r w:rsidRPr="00217022">
        <w:rPr>
          <w:rFonts w:ascii="Times New Roman" w:hAnsi="Times New Roman" w:cs="Times New Roman"/>
          <w:i/>
          <w:iCs/>
          <w:color w:val="323232"/>
          <w:sz w:val="28"/>
          <w:szCs w:val="28"/>
          <w:vertAlign w:val="subscript"/>
        </w:rPr>
        <w:t>1</w:t>
      </w:r>
      <w:r w:rsidRPr="00217022">
        <w:rPr>
          <w:rFonts w:ascii="Times New Roman" w:hAnsi="Times New Roman" w:cs="Times New Roman"/>
          <w:sz w:val="28"/>
          <w:szCs w:val="28"/>
        </w:rPr>
        <w:t xml:space="preserve"> – współczynnik trendu w grupie kontrolnej; </w:t>
      </w:r>
      <w:r w:rsidRPr="00217022">
        <w:rPr>
          <w:rFonts w:ascii="Times New Roman" w:hAnsi="Times New Roman" w:cs="Times New Roman"/>
          <w:i/>
          <w:iCs/>
          <w:color w:val="323232"/>
          <w:sz w:val="28"/>
          <w:szCs w:val="28"/>
        </w:rPr>
        <w:t>β</w:t>
      </w:r>
      <w:r w:rsidRPr="00217022">
        <w:rPr>
          <w:rFonts w:ascii="Times New Roman" w:hAnsi="Times New Roman" w:cs="Times New Roman"/>
          <w:i/>
          <w:iCs/>
          <w:color w:val="323232"/>
          <w:sz w:val="28"/>
          <w:szCs w:val="28"/>
          <w:vertAlign w:val="subscript"/>
        </w:rPr>
        <w:t>2</w:t>
      </w:r>
      <w:r w:rsidRPr="00217022">
        <w:rPr>
          <w:rFonts w:ascii="Times New Roman" w:hAnsi="Times New Roman" w:cs="Times New Roman"/>
          <w:sz w:val="28"/>
          <w:szCs w:val="28"/>
        </w:rPr>
        <w:t xml:space="preserve"> – współczynnik różnicy między grupą docelową i kontrolną w okresie poprzedzającym interwencję; </w:t>
      </w:r>
      <w:r w:rsidRPr="00217022">
        <w:rPr>
          <w:rFonts w:ascii="Times New Roman" w:hAnsi="Times New Roman" w:cs="Times New Roman"/>
          <w:i/>
          <w:iCs/>
          <w:color w:val="323232"/>
          <w:sz w:val="28"/>
          <w:szCs w:val="28"/>
        </w:rPr>
        <w:t>β</w:t>
      </w:r>
      <w:r w:rsidRPr="00217022">
        <w:rPr>
          <w:rFonts w:ascii="Times New Roman" w:hAnsi="Times New Roman" w:cs="Times New Roman"/>
          <w:i/>
          <w:iCs/>
          <w:color w:val="323232"/>
          <w:sz w:val="28"/>
          <w:szCs w:val="28"/>
          <w:vertAlign w:val="subscript"/>
        </w:rPr>
        <w:t>3</w:t>
      </w:r>
      <w:r w:rsidRPr="00217022">
        <w:rPr>
          <w:rFonts w:ascii="Times New Roman" w:hAnsi="Times New Roman" w:cs="Times New Roman"/>
          <w:sz w:val="28"/>
          <w:szCs w:val="28"/>
        </w:rPr>
        <w:t xml:space="preserve"> – współczynnik różnicy w różnicy (estymowane ATT).</w:t>
      </w:r>
    </w:p>
    <w:p w14:paraId="498B3F9B" w14:textId="77777777" w:rsidR="00217022" w:rsidRPr="00217022" w:rsidRDefault="00217022" w:rsidP="00217022">
      <w:pPr>
        <w:spacing w:after="0" w:line="240" w:lineRule="auto"/>
        <w:jc w:val="center"/>
        <w:rPr>
          <w:rFonts w:ascii="Times New Roman" w:hAnsi="Times New Roman" w:cs="Times New Roman"/>
          <w:sz w:val="28"/>
          <w:szCs w:val="28"/>
        </w:rPr>
      </w:pPr>
    </w:p>
    <w:p w14:paraId="7E1401C9" w14:textId="06F5769E" w:rsidR="00217022" w:rsidRPr="00217022" w:rsidRDefault="00217022" w:rsidP="00217022">
      <w:pPr>
        <w:jc w:val="center"/>
        <w:rPr>
          <w:rFonts w:ascii="Times New Roman" w:hAnsi="Times New Roman" w:cs="Times New Roman"/>
          <w:sz w:val="28"/>
          <w:szCs w:val="28"/>
        </w:rPr>
      </w:pPr>
      <w:r w:rsidRPr="00E226AA">
        <w:rPr>
          <w:rFonts w:ascii="Times New Roman" w:hAnsi="Times New Roman" w:cs="Times New Roman"/>
          <w:b/>
          <w:bCs/>
          <w:noProof/>
          <w:sz w:val="28"/>
          <w:szCs w:val="28"/>
        </w:rPr>
        <mc:AlternateContent>
          <mc:Choice Requires="wpc">
            <w:drawing>
              <wp:anchor distT="0" distB="0" distL="114300" distR="114300" simplePos="0" relativeHeight="251762688" behindDoc="0" locked="0" layoutInCell="1" allowOverlap="1" wp14:anchorId="1900D3F1" wp14:editId="4FCF7627">
                <wp:simplePos x="0" y="0"/>
                <wp:positionH relativeFrom="margin">
                  <wp:posOffset>-635</wp:posOffset>
                </wp:positionH>
                <wp:positionV relativeFrom="paragraph">
                  <wp:posOffset>231140</wp:posOffset>
                </wp:positionV>
                <wp:extent cx="5957327" cy="4010025"/>
                <wp:effectExtent l="0" t="0" r="5715" b="9525"/>
                <wp:wrapNone/>
                <wp:docPr id="732570021" name="Kanw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23050994" name="Freeform 18"/>
                        <wps:cNvSpPr>
                          <a:spLocks noEditPoints="1"/>
                        </wps:cNvSpPr>
                        <wps:spPr bwMode="auto">
                          <a:xfrm>
                            <a:off x="733710" y="613410"/>
                            <a:ext cx="71755" cy="2961005"/>
                          </a:xfrm>
                          <a:custGeom>
                            <a:avLst/>
                            <a:gdLst>
                              <a:gd name="T0" fmla="*/ 66 w 113"/>
                              <a:gd name="T1" fmla="*/ 4663 h 4663"/>
                              <a:gd name="T2" fmla="*/ 66 w 113"/>
                              <a:gd name="T3" fmla="*/ 94 h 4663"/>
                              <a:gd name="T4" fmla="*/ 47 w 113"/>
                              <a:gd name="T5" fmla="*/ 94 h 4663"/>
                              <a:gd name="T6" fmla="*/ 47 w 113"/>
                              <a:gd name="T7" fmla="*/ 4663 h 4663"/>
                              <a:gd name="T8" fmla="*/ 66 w 113"/>
                              <a:gd name="T9" fmla="*/ 4663 h 4663"/>
                              <a:gd name="T10" fmla="*/ 113 w 113"/>
                              <a:gd name="T11" fmla="*/ 113 h 4663"/>
                              <a:gd name="T12" fmla="*/ 56 w 113"/>
                              <a:gd name="T13" fmla="*/ 0 h 4663"/>
                              <a:gd name="T14" fmla="*/ 0 w 113"/>
                              <a:gd name="T15" fmla="*/ 113 h 4663"/>
                              <a:gd name="T16" fmla="*/ 113 w 113"/>
                              <a:gd name="T17" fmla="*/ 113 h 4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 h="4663">
                                <a:moveTo>
                                  <a:pt x="66" y="4663"/>
                                </a:moveTo>
                                <a:lnTo>
                                  <a:pt x="66" y="94"/>
                                </a:lnTo>
                                <a:lnTo>
                                  <a:pt x="47" y="94"/>
                                </a:lnTo>
                                <a:lnTo>
                                  <a:pt x="47" y="4663"/>
                                </a:lnTo>
                                <a:lnTo>
                                  <a:pt x="66" y="4663"/>
                                </a:lnTo>
                                <a:close/>
                                <a:moveTo>
                                  <a:pt x="113" y="113"/>
                                </a:moveTo>
                                <a:lnTo>
                                  <a:pt x="56" y="0"/>
                                </a:lnTo>
                                <a:lnTo>
                                  <a:pt x="0" y="113"/>
                                </a:lnTo>
                                <a:lnTo>
                                  <a:pt x="113" y="113"/>
                                </a:lnTo>
                                <a:close/>
                              </a:path>
                            </a:pathLst>
                          </a:custGeom>
                          <a:solidFill>
                            <a:srgbClr val="156082"/>
                          </a:solidFill>
                          <a:ln w="0" cap="flat">
                            <a:solidFill>
                              <a:srgbClr val="156082"/>
                            </a:solidFill>
                            <a:prstDash val="solid"/>
                            <a:round/>
                            <a:headEnd/>
                            <a:tailEnd/>
                          </a:ln>
                        </wps:spPr>
                        <wps:bodyPr rot="0" vert="horz" wrap="square" lIns="91440" tIns="45720" rIns="91440" bIns="45720" anchor="t" anchorCtr="0" upright="1">
                          <a:noAutofit/>
                        </wps:bodyPr>
                      </wps:wsp>
                      <wps:wsp>
                        <wps:cNvPr id="640097691" name="Freeform 19"/>
                        <wps:cNvSpPr>
                          <a:spLocks noEditPoints="1"/>
                        </wps:cNvSpPr>
                        <wps:spPr bwMode="auto">
                          <a:xfrm>
                            <a:off x="763555" y="3500755"/>
                            <a:ext cx="5099685" cy="83185"/>
                          </a:xfrm>
                          <a:custGeom>
                            <a:avLst/>
                            <a:gdLst>
                              <a:gd name="T0" fmla="*/ 0 w 8031"/>
                              <a:gd name="T1" fmla="*/ 131 h 131"/>
                              <a:gd name="T2" fmla="*/ 7937 w 8031"/>
                              <a:gd name="T3" fmla="*/ 66 h 131"/>
                              <a:gd name="T4" fmla="*/ 7936 w 8031"/>
                              <a:gd name="T5" fmla="*/ 47 h 131"/>
                              <a:gd name="T6" fmla="*/ 0 w 8031"/>
                              <a:gd name="T7" fmla="*/ 113 h 131"/>
                              <a:gd name="T8" fmla="*/ 0 w 8031"/>
                              <a:gd name="T9" fmla="*/ 131 h 131"/>
                              <a:gd name="T10" fmla="*/ 7918 w 8031"/>
                              <a:gd name="T11" fmla="*/ 113 h 131"/>
                              <a:gd name="T12" fmla="*/ 8031 w 8031"/>
                              <a:gd name="T13" fmla="*/ 55 h 131"/>
                              <a:gd name="T14" fmla="*/ 7917 w 8031"/>
                              <a:gd name="T15" fmla="*/ 0 h 131"/>
                              <a:gd name="T16" fmla="*/ 7918 w 8031"/>
                              <a:gd name="T17" fmla="*/ 113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31" h="131">
                                <a:moveTo>
                                  <a:pt x="0" y="131"/>
                                </a:moveTo>
                                <a:lnTo>
                                  <a:pt x="7937" y="66"/>
                                </a:lnTo>
                                <a:lnTo>
                                  <a:pt x="7936" y="47"/>
                                </a:lnTo>
                                <a:lnTo>
                                  <a:pt x="0" y="113"/>
                                </a:lnTo>
                                <a:lnTo>
                                  <a:pt x="0" y="131"/>
                                </a:lnTo>
                                <a:close/>
                                <a:moveTo>
                                  <a:pt x="7918" y="113"/>
                                </a:moveTo>
                                <a:lnTo>
                                  <a:pt x="8031" y="55"/>
                                </a:lnTo>
                                <a:lnTo>
                                  <a:pt x="7917" y="0"/>
                                </a:lnTo>
                                <a:lnTo>
                                  <a:pt x="7918" y="113"/>
                                </a:lnTo>
                                <a:close/>
                              </a:path>
                            </a:pathLst>
                          </a:custGeom>
                          <a:solidFill>
                            <a:srgbClr val="156082"/>
                          </a:solidFill>
                          <a:ln w="0" cap="flat">
                            <a:solidFill>
                              <a:srgbClr val="156082"/>
                            </a:solidFill>
                            <a:prstDash val="solid"/>
                            <a:round/>
                            <a:headEnd/>
                            <a:tailEnd/>
                          </a:ln>
                        </wps:spPr>
                        <wps:bodyPr rot="0" vert="horz" wrap="square" lIns="91440" tIns="45720" rIns="91440" bIns="45720" anchor="t" anchorCtr="0" upright="1">
                          <a:noAutofit/>
                        </wps:bodyPr>
                      </wps:wsp>
                      <wps:wsp>
                        <wps:cNvPr id="990247789" name="Freeform 28"/>
                        <wps:cNvSpPr>
                          <a:spLocks/>
                        </wps:cNvSpPr>
                        <wps:spPr bwMode="auto">
                          <a:xfrm>
                            <a:off x="3096000" y="2616716"/>
                            <a:ext cx="122400" cy="211050"/>
                          </a:xfrm>
                          <a:custGeom>
                            <a:avLst/>
                            <a:gdLst>
                              <a:gd name="T0" fmla="*/ 0 w 1376"/>
                              <a:gd name="T1" fmla="*/ 0 h 2488"/>
                              <a:gd name="T2" fmla="*/ 688 w 1376"/>
                              <a:gd name="T3" fmla="*/ 115 h 2488"/>
                              <a:gd name="T4" fmla="*/ 688 w 1376"/>
                              <a:gd name="T5" fmla="*/ 1130 h 2488"/>
                              <a:gd name="T6" fmla="*/ 1376 w 1376"/>
                              <a:gd name="T7" fmla="*/ 1244 h 2488"/>
                              <a:gd name="T8" fmla="*/ 688 w 1376"/>
                              <a:gd name="T9" fmla="*/ 1359 h 2488"/>
                              <a:gd name="T10" fmla="*/ 688 w 1376"/>
                              <a:gd name="T11" fmla="*/ 2374 h 2488"/>
                              <a:gd name="T12" fmla="*/ 0 w 1376"/>
                              <a:gd name="T13" fmla="*/ 2488 h 2488"/>
                            </a:gdLst>
                            <a:ahLst/>
                            <a:cxnLst>
                              <a:cxn ang="0">
                                <a:pos x="T0" y="T1"/>
                              </a:cxn>
                              <a:cxn ang="0">
                                <a:pos x="T2" y="T3"/>
                              </a:cxn>
                              <a:cxn ang="0">
                                <a:pos x="T4" y="T5"/>
                              </a:cxn>
                              <a:cxn ang="0">
                                <a:pos x="T6" y="T7"/>
                              </a:cxn>
                              <a:cxn ang="0">
                                <a:pos x="T8" y="T9"/>
                              </a:cxn>
                              <a:cxn ang="0">
                                <a:pos x="T10" y="T11"/>
                              </a:cxn>
                              <a:cxn ang="0">
                                <a:pos x="T12" y="T13"/>
                              </a:cxn>
                            </a:cxnLst>
                            <a:rect l="0" t="0" r="r" b="b"/>
                            <a:pathLst>
                              <a:path w="1376" h="2488">
                                <a:moveTo>
                                  <a:pt x="0" y="0"/>
                                </a:moveTo>
                                <a:cubicBezTo>
                                  <a:pt x="380" y="0"/>
                                  <a:pt x="688" y="52"/>
                                  <a:pt x="688" y="115"/>
                                </a:cubicBezTo>
                                <a:lnTo>
                                  <a:pt x="688" y="1130"/>
                                </a:lnTo>
                                <a:cubicBezTo>
                                  <a:pt x="688" y="1193"/>
                                  <a:pt x="996" y="1244"/>
                                  <a:pt x="1376" y="1244"/>
                                </a:cubicBezTo>
                                <a:cubicBezTo>
                                  <a:pt x="996" y="1244"/>
                                  <a:pt x="688" y="1296"/>
                                  <a:pt x="688" y="1359"/>
                                </a:cubicBezTo>
                                <a:lnTo>
                                  <a:pt x="688" y="2374"/>
                                </a:lnTo>
                                <a:cubicBezTo>
                                  <a:pt x="688" y="2437"/>
                                  <a:pt x="380" y="2488"/>
                                  <a:pt x="0" y="2488"/>
                                </a:cubicBezTo>
                              </a:path>
                            </a:pathLst>
                          </a:custGeom>
                          <a:noFill/>
                          <a:ln w="5715" cap="flat">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2460113" name="Rectangle 38"/>
                        <wps:cNvSpPr>
                          <a:spLocks noChangeArrowheads="1"/>
                        </wps:cNvSpPr>
                        <wps:spPr bwMode="auto">
                          <a:xfrm>
                            <a:off x="378460" y="421320"/>
                            <a:ext cx="75946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1A3B" w14:textId="77777777" w:rsidR="00217022" w:rsidRPr="00A52108" w:rsidRDefault="00217022" w:rsidP="00217022">
                              <w:pPr>
                                <w:rPr>
                                  <w:rFonts w:ascii="Times New Roman" w:hAnsi="Times New Roman" w:cs="Times New Roman"/>
                                  <w:b/>
                                  <w:bCs/>
                                </w:rPr>
                              </w:pPr>
                              <w:r w:rsidRPr="00A52108">
                                <w:rPr>
                                  <w:rFonts w:ascii="Times New Roman" w:hAnsi="Times New Roman" w:cs="Times New Roman"/>
                                  <w:b/>
                                  <w:bCs/>
                                  <w:color w:val="000000"/>
                                  <w:kern w:val="0"/>
                                  <w:lang w:val="en-US"/>
                                </w:rPr>
                                <w:t>Wyniki, Y</w:t>
                              </w:r>
                            </w:p>
                          </w:txbxContent>
                        </wps:txbx>
                        <wps:bodyPr rot="0" vert="horz" wrap="square" lIns="0" tIns="0" rIns="0" bIns="0" anchor="t" anchorCtr="0">
                          <a:spAutoFit/>
                        </wps:bodyPr>
                      </wps:wsp>
                      <wps:wsp>
                        <wps:cNvPr id="200747349" name="Rectangle 40"/>
                        <wps:cNvSpPr>
                          <a:spLocks noChangeArrowheads="1"/>
                        </wps:cNvSpPr>
                        <wps:spPr bwMode="auto">
                          <a:xfrm>
                            <a:off x="5516637" y="3688860"/>
                            <a:ext cx="4406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E5D10" w14:textId="77777777" w:rsidR="00217022" w:rsidRPr="00136DFC" w:rsidRDefault="00217022" w:rsidP="00217022">
                              <w:pPr>
                                <w:rPr>
                                  <w:rFonts w:ascii="Times New Roman" w:hAnsi="Times New Roman" w:cs="Times New Roman"/>
                                  <w:b/>
                                  <w:bCs/>
                                </w:rPr>
                              </w:pPr>
                              <w:r w:rsidRPr="00136DFC">
                                <w:rPr>
                                  <w:rFonts w:ascii="Times New Roman" w:hAnsi="Times New Roman" w:cs="Times New Roman"/>
                                  <w:b/>
                                  <w:bCs/>
                                  <w:color w:val="000000"/>
                                  <w:kern w:val="0"/>
                                  <w:lang w:val="en-US"/>
                                </w:rPr>
                                <w:t>Czas, t</w:t>
                              </w:r>
                            </w:p>
                          </w:txbxContent>
                        </wps:txbx>
                        <wps:bodyPr rot="0" vert="horz" wrap="none" lIns="0" tIns="0" rIns="0" bIns="0" anchor="t" anchorCtr="0">
                          <a:spAutoFit/>
                        </wps:bodyPr>
                      </wps:wsp>
                      <wps:wsp>
                        <wps:cNvPr id="351185883" name="Rectangle 48"/>
                        <wps:cNvSpPr>
                          <a:spLocks noChangeArrowheads="1"/>
                        </wps:cNvSpPr>
                        <wps:spPr bwMode="auto">
                          <a:xfrm flipH="1">
                            <a:off x="5267960" y="1763622"/>
                            <a:ext cx="61404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B75CB" w14:textId="77777777" w:rsidR="00217022" w:rsidRPr="00676C05" w:rsidRDefault="00217022" w:rsidP="00217022">
                              <w:pPr>
                                <w:rPr>
                                  <w:rFonts w:ascii="Times New Roman" w:hAnsi="Times New Roman" w:cs="Times New Roman"/>
                                  <w:color w:val="0070C0"/>
                                </w:rPr>
                              </w:pPr>
                              <w:r w:rsidRPr="00676C05">
                                <w:rPr>
                                  <w:rFonts w:ascii="Times New Roman" w:hAnsi="Times New Roman" w:cs="Times New Roman"/>
                                  <w:color w:val="0070C0"/>
                                  <w:kern w:val="0"/>
                                  <w:lang w:val="en-US"/>
                                </w:rPr>
                                <w:t>Różnica 1</w:t>
                              </w:r>
                            </w:p>
                          </w:txbxContent>
                        </wps:txbx>
                        <wps:bodyPr rot="0" vert="horz" wrap="none" lIns="0" tIns="0" rIns="0" bIns="0" anchor="t" anchorCtr="0">
                          <a:noAutofit/>
                        </wps:bodyPr>
                      </wps:wsp>
                      <wps:wsp>
                        <wps:cNvPr id="1189122318" name="Rectangle 57"/>
                        <wps:cNvSpPr>
                          <a:spLocks noChangeArrowheads="1"/>
                        </wps:cNvSpPr>
                        <wps:spPr bwMode="auto">
                          <a:xfrm>
                            <a:off x="5717825" y="2397760"/>
                            <a:ext cx="8572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3D172" w14:textId="77777777" w:rsidR="00217022" w:rsidRDefault="00217022" w:rsidP="00217022"/>
                          </w:txbxContent>
                        </wps:txbx>
                        <wps:bodyPr rot="0" vert="horz" wrap="none" lIns="0" tIns="0" rIns="0" bIns="0" anchor="t" anchorCtr="0">
                          <a:spAutoFit/>
                        </wps:bodyPr>
                      </wps:wsp>
                      <wps:wsp>
                        <wps:cNvPr id="1120725082" name="Rectangle 60"/>
                        <wps:cNvSpPr>
                          <a:spLocks noChangeArrowheads="1"/>
                        </wps:cNvSpPr>
                        <wps:spPr bwMode="auto">
                          <a:xfrm>
                            <a:off x="3372485" y="3327195"/>
                            <a:ext cx="18040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9E808" w14:textId="77777777" w:rsidR="00217022" w:rsidRPr="00676C05" w:rsidRDefault="00217022" w:rsidP="00217022">
                              <w:pPr>
                                <w:rPr>
                                  <w:rFonts w:ascii="Times New Roman" w:hAnsi="Times New Roman" w:cs="Times New Roman"/>
                                </w:rPr>
                              </w:pPr>
                              <w:r w:rsidRPr="00676C05">
                                <w:rPr>
                                  <w:rFonts w:ascii="Times New Roman" w:hAnsi="Times New Roman" w:cs="Times New Roman"/>
                                  <w:color w:val="000000"/>
                                  <w:kern w:val="0"/>
                                  <w:lang w:val="en-US"/>
                                </w:rPr>
                                <w:t xml:space="preserve">Okres po </w:t>
                              </w:r>
                              <w:r>
                                <w:rPr>
                                  <w:rFonts w:ascii="Times New Roman" w:hAnsi="Times New Roman" w:cs="Times New Roman"/>
                                  <w:color w:val="000000"/>
                                  <w:kern w:val="0"/>
                                  <w:lang w:val="en-US"/>
                                </w:rPr>
                                <w:t>i</w:t>
                              </w:r>
                              <w:r w:rsidRPr="00676C05">
                                <w:rPr>
                                  <w:rFonts w:ascii="Times New Roman" w:hAnsi="Times New Roman" w:cs="Times New Roman"/>
                                  <w:color w:val="000000"/>
                                  <w:kern w:val="0"/>
                                  <w:lang w:val="en-US"/>
                                </w:rPr>
                                <w:t>nterwencji t</w:t>
                              </w:r>
                            </w:p>
                          </w:txbxContent>
                        </wps:txbx>
                        <wps:bodyPr rot="0" vert="horz" wrap="square" lIns="0" tIns="0" rIns="0" bIns="0" anchor="t" anchorCtr="0">
                          <a:spAutoFit/>
                        </wps:bodyPr>
                      </wps:wsp>
                      <wps:wsp>
                        <wps:cNvPr id="1383124141" name="Rectangle 62"/>
                        <wps:cNvSpPr>
                          <a:spLocks noChangeArrowheads="1"/>
                        </wps:cNvSpPr>
                        <wps:spPr bwMode="auto">
                          <a:xfrm>
                            <a:off x="777600" y="3341595"/>
                            <a:ext cx="22250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0EAB6" w14:textId="77777777" w:rsidR="00217022" w:rsidRPr="00676C05" w:rsidRDefault="00217022" w:rsidP="00217022">
                              <w:pPr>
                                <w:jc w:val="center"/>
                                <w:rPr>
                                  <w:rFonts w:ascii="Times New Roman" w:hAnsi="Times New Roman" w:cs="Times New Roman"/>
                                </w:rPr>
                              </w:pPr>
                              <w:r w:rsidRPr="00676C05">
                                <w:rPr>
                                  <w:rFonts w:ascii="Times New Roman" w:hAnsi="Times New Roman" w:cs="Times New Roman"/>
                                </w:rPr>
                                <w:t>Okres przed interwencją (t-1)</w:t>
                              </w:r>
                            </w:p>
                          </w:txbxContent>
                        </wps:txbx>
                        <wps:bodyPr rot="0" vert="horz" wrap="square" lIns="0" tIns="0" rIns="0" bIns="0" anchor="t" anchorCtr="0">
                          <a:spAutoFit/>
                        </wps:bodyPr>
                      </wps:wsp>
                      <wps:wsp>
                        <wps:cNvPr id="1758423481" name="Łącznik prosty 1758423481"/>
                        <wps:cNvCnPr/>
                        <wps:spPr>
                          <a:xfrm flipH="1">
                            <a:off x="3045600" y="626400"/>
                            <a:ext cx="7200" cy="3117695"/>
                          </a:xfrm>
                          <a:prstGeom prst="line">
                            <a:avLst/>
                          </a:prstGeom>
                          <a:noFill/>
                          <a:ln w="9525" cap="flat" cmpd="sng" algn="ctr">
                            <a:solidFill>
                              <a:sysClr val="windowText" lastClr="000000"/>
                            </a:solidFill>
                            <a:prstDash val="solid"/>
                            <a:miter lim="800000"/>
                          </a:ln>
                          <a:effectLst/>
                        </wps:spPr>
                        <wps:bodyPr/>
                      </wps:wsp>
                      <wps:wsp>
                        <wps:cNvPr id="1294819986" name="Line 26"/>
                        <wps:cNvCnPr>
                          <a:cxnSpLocks noChangeShapeType="1"/>
                        </wps:cNvCnPr>
                        <wps:spPr bwMode="auto">
                          <a:xfrm flipV="1">
                            <a:off x="1137920" y="2817080"/>
                            <a:ext cx="1879200" cy="0"/>
                          </a:xfrm>
                          <a:prstGeom prst="line">
                            <a:avLst/>
                          </a:prstGeom>
                          <a:noFill/>
                          <a:ln w="14605" cap="flat">
                            <a:solidFill>
                              <a:srgbClr val="FFC000"/>
                            </a:solidFill>
                            <a:prstDash val="solid"/>
                            <a:miter lim="800000"/>
                            <a:headEnd/>
                            <a:tailEnd/>
                          </a:ln>
                          <a:extLst>
                            <a:ext uri="{909E8E84-426E-40DD-AFC4-6F175D3DCCD1}">
                              <a14:hiddenFill xmlns:a14="http://schemas.microsoft.com/office/drawing/2010/main">
                                <a:noFill/>
                              </a14:hiddenFill>
                            </a:ext>
                          </a:extLst>
                        </wps:spPr>
                        <wps:bodyPr/>
                      </wps:wsp>
                      <wps:wsp>
                        <wps:cNvPr id="387209987" name="Line 26"/>
                        <wps:cNvCnPr>
                          <a:cxnSpLocks noChangeShapeType="1"/>
                        </wps:cNvCnPr>
                        <wps:spPr bwMode="auto">
                          <a:xfrm flipV="1">
                            <a:off x="1137920" y="1835749"/>
                            <a:ext cx="1879200" cy="0"/>
                          </a:xfrm>
                          <a:prstGeom prst="line">
                            <a:avLst/>
                          </a:prstGeom>
                          <a:noFill/>
                          <a:ln w="14605" cap="flat">
                            <a:solidFill>
                              <a:srgbClr val="7030A0"/>
                            </a:solidFill>
                            <a:prstDash val="solid"/>
                            <a:miter lim="800000"/>
                            <a:headEnd/>
                            <a:tailEnd/>
                          </a:ln>
                          <a:extLst>
                            <a:ext uri="{909E8E84-426E-40DD-AFC4-6F175D3DCCD1}">
                              <a14:hiddenFill xmlns:a14="http://schemas.microsoft.com/office/drawing/2010/main">
                                <a:noFill/>
                              </a14:hiddenFill>
                            </a:ext>
                          </a:extLst>
                        </wps:spPr>
                        <wps:bodyPr/>
                      </wps:wsp>
                      <wps:wsp>
                        <wps:cNvPr id="613040715" name="Line 26"/>
                        <wps:cNvCnPr>
                          <a:cxnSpLocks noChangeShapeType="1"/>
                        </wps:cNvCnPr>
                        <wps:spPr bwMode="auto">
                          <a:xfrm>
                            <a:off x="3153599" y="997349"/>
                            <a:ext cx="1897200" cy="0"/>
                          </a:xfrm>
                          <a:prstGeom prst="line">
                            <a:avLst/>
                          </a:prstGeom>
                          <a:noFill/>
                          <a:ln w="14605" cap="flat">
                            <a:solidFill>
                              <a:srgbClr val="7030A0"/>
                            </a:solidFill>
                            <a:prstDash val="solid"/>
                            <a:miter lim="800000"/>
                            <a:headEnd/>
                            <a:tailEnd/>
                          </a:ln>
                          <a:extLst>
                            <a:ext uri="{909E8E84-426E-40DD-AFC4-6F175D3DCCD1}">
                              <a14:hiddenFill xmlns:a14="http://schemas.microsoft.com/office/drawing/2010/main">
                                <a:noFill/>
                              </a14:hiddenFill>
                            </a:ext>
                          </a:extLst>
                        </wps:spPr>
                        <wps:bodyPr/>
                      </wps:wsp>
                      <wps:wsp>
                        <wps:cNvPr id="805123423" name="Nawias klamrowy zamykający 805123423"/>
                        <wps:cNvSpPr/>
                        <wps:spPr>
                          <a:xfrm>
                            <a:off x="1562719" y="1843200"/>
                            <a:ext cx="194081" cy="974867"/>
                          </a:xfrm>
                          <a:prstGeom prst="rightBrace">
                            <a:avLst>
                              <a:gd name="adj1" fmla="val 8333"/>
                              <a:gd name="adj2" fmla="val 54037"/>
                            </a:avLst>
                          </a:prstGeom>
                          <a:noFill/>
                          <a:ln w="6350" cap="flat" cmpd="sng" algn="ctr">
                            <a:solidFill>
                              <a:srgbClr val="156082"/>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0581055" name="Rectangle 45"/>
                        <wps:cNvSpPr>
                          <a:spLocks noChangeArrowheads="1"/>
                        </wps:cNvSpPr>
                        <wps:spPr bwMode="auto">
                          <a:xfrm>
                            <a:off x="3312000" y="2651509"/>
                            <a:ext cx="110172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D2B8D" w14:textId="77777777" w:rsidR="00217022" w:rsidRPr="00676C05" w:rsidRDefault="00217022" w:rsidP="00217022">
                              <w:pPr>
                                <w:spacing w:line="276" w:lineRule="auto"/>
                                <w:rPr>
                                  <w:rFonts w:ascii="Times New Romans" w:eastAsia="Aptos" w:hAnsi="Times New Romans"/>
                                  <w:color w:val="FF0000"/>
                                  <w14:ligatures w14:val="none"/>
                                </w:rPr>
                              </w:pPr>
                              <w:r w:rsidRPr="00676C05">
                                <w:rPr>
                                  <w:rFonts w:ascii="Times New Romans" w:eastAsia="Aptos" w:hAnsi="Times New Romans"/>
                                  <w:color w:val="FF0000"/>
                                </w:rPr>
                                <w:t>Różnica 2</w:t>
                              </w:r>
                            </w:p>
                          </w:txbxContent>
                        </wps:txbx>
                        <wps:bodyPr rot="0" vert="horz" wrap="square" lIns="0" tIns="0" rIns="0" bIns="0" anchor="t" anchorCtr="0">
                          <a:spAutoFit/>
                        </wps:bodyPr>
                      </wps:wsp>
                      <wps:wsp>
                        <wps:cNvPr id="718485822" name="Line 26"/>
                        <wps:cNvCnPr>
                          <a:cxnSpLocks noChangeShapeType="1"/>
                        </wps:cNvCnPr>
                        <wps:spPr bwMode="auto">
                          <a:xfrm flipV="1">
                            <a:off x="3099830" y="1598295"/>
                            <a:ext cx="1897200" cy="0"/>
                          </a:xfrm>
                          <a:prstGeom prst="line">
                            <a:avLst/>
                          </a:prstGeom>
                          <a:noFill/>
                          <a:ln w="14605" cap="flat">
                            <a:solidFill>
                              <a:srgbClr val="C198E0"/>
                            </a:solidFill>
                            <a:prstDash val="solid"/>
                            <a:miter lim="800000"/>
                            <a:headEnd/>
                            <a:tailEnd/>
                          </a:ln>
                          <a:extLst>
                            <a:ext uri="{909E8E84-426E-40DD-AFC4-6F175D3DCCD1}">
                              <a14:hiddenFill xmlns:a14="http://schemas.microsoft.com/office/drawing/2010/main">
                                <a:noFill/>
                              </a14:hiddenFill>
                            </a:ext>
                          </a:extLst>
                        </wps:spPr>
                        <wps:bodyPr/>
                      </wps:wsp>
                      <wps:wsp>
                        <wps:cNvPr id="927302801" name="Line 26"/>
                        <wps:cNvCnPr>
                          <a:cxnSpLocks noChangeShapeType="1"/>
                        </wps:cNvCnPr>
                        <wps:spPr bwMode="auto">
                          <a:xfrm flipV="1">
                            <a:off x="3160800" y="2593909"/>
                            <a:ext cx="1897200" cy="0"/>
                          </a:xfrm>
                          <a:prstGeom prst="line">
                            <a:avLst/>
                          </a:prstGeom>
                          <a:noFill/>
                          <a:ln w="14605" cap="flat">
                            <a:solidFill>
                              <a:srgbClr val="FFC000"/>
                            </a:solidFill>
                            <a:prstDash val="solid"/>
                            <a:miter lim="800000"/>
                            <a:headEnd/>
                            <a:tailEnd/>
                          </a:ln>
                          <a:extLst>
                            <a:ext uri="{909E8E84-426E-40DD-AFC4-6F175D3DCCD1}">
                              <a14:hiddenFill xmlns:a14="http://schemas.microsoft.com/office/drawing/2010/main">
                                <a:noFill/>
                              </a14:hiddenFill>
                            </a:ext>
                          </a:extLst>
                        </wps:spPr>
                        <wps:bodyPr/>
                      </wps:wsp>
                      <wps:wsp>
                        <wps:cNvPr id="321730365" name="Freeform 28"/>
                        <wps:cNvSpPr>
                          <a:spLocks/>
                        </wps:cNvSpPr>
                        <wps:spPr bwMode="auto">
                          <a:xfrm flipH="1">
                            <a:off x="2836798" y="997349"/>
                            <a:ext cx="237601" cy="834889"/>
                          </a:xfrm>
                          <a:custGeom>
                            <a:avLst/>
                            <a:gdLst>
                              <a:gd name="T0" fmla="*/ 0 w 1376"/>
                              <a:gd name="T1" fmla="*/ 0 h 2488"/>
                              <a:gd name="T2" fmla="*/ 688 w 1376"/>
                              <a:gd name="T3" fmla="*/ 115 h 2488"/>
                              <a:gd name="T4" fmla="*/ 688 w 1376"/>
                              <a:gd name="T5" fmla="*/ 1130 h 2488"/>
                              <a:gd name="T6" fmla="*/ 1376 w 1376"/>
                              <a:gd name="T7" fmla="*/ 1244 h 2488"/>
                              <a:gd name="T8" fmla="*/ 688 w 1376"/>
                              <a:gd name="T9" fmla="*/ 1359 h 2488"/>
                              <a:gd name="T10" fmla="*/ 688 w 1376"/>
                              <a:gd name="T11" fmla="*/ 2374 h 2488"/>
                              <a:gd name="T12" fmla="*/ 0 w 1376"/>
                              <a:gd name="T13" fmla="*/ 2488 h 2488"/>
                            </a:gdLst>
                            <a:ahLst/>
                            <a:cxnLst>
                              <a:cxn ang="0">
                                <a:pos x="T0" y="T1"/>
                              </a:cxn>
                              <a:cxn ang="0">
                                <a:pos x="T2" y="T3"/>
                              </a:cxn>
                              <a:cxn ang="0">
                                <a:pos x="T4" y="T5"/>
                              </a:cxn>
                              <a:cxn ang="0">
                                <a:pos x="T6" y="T7"/>
                              </a:cxn>
                              <a:cxn ang="0">
                                <a:pos x="T8" y="T9"/>
                              </a:cxn>
                              <a:cxn ang="0">
                                <a:pos x="T10" y="T11"/>
                              </a:cxn>
                              <a:cxn ang="0">
                                <a:pos x="T12" y="T13"/>
                              </a:cxn>
                            </a:cxnLst>
                            <a:rect l="0" t="0" r="r" b="b"/>
                            <a:pathLst>
                              <a:path w="1376" h="2488">
                                <a:moveTo>
                                  <a:pt x="0" y="0"/>
                                </a:moveTo>
                                <a:cubicBezTo>
                                  <a:pt x="380" y="0"/>
                                  <a:pt x="688" y="52"/>
                                  <a:pt x="688" y="115"/>
                                </a:cubicBezTo>
                                <a:lnTo>
                                  <a:pt x="688" y="1130"/>
                                </a:lnTo>
                                <a:cubicBezTo>
                                  <a:pt x="688" y="1193"/>
                                  <a:pt x="996" y="1244"/>
                                  <a:pt x="1376" y="1244"/>
                                </a:cubicBezTo>
                                <a:cubicBezTo>
                                  <a:pt x="996" y="1244"/>
                                  <a:pt x="688" y="1296"/>
                                  <a:pt x="688" y="1359"/>
                                </a:cubicBezTo>
                                <a:lnTo>
                                  <a:pt x="688" y="2374"/>
                                </a:lnTo>
                                <a:cubicBezTo>
                                  <a:pt x="688" y="2437"/>
                                  <a:pt x="380" y="2488"/>
                                  <a:pt x="0" y="2488"/>
                                </a:cubicBezTo>
                              </a:path>
                            </a:pathLst>
                          </a:custGeom>
                          <a:noFill/>
                          <a:ln w="5715" cap="flat">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91094" name="Rectangle 45"/>
                        <wps:cNvSpPr>
                          <a:spLocks noChangeArrowheads="1"/>
                        </wps:cNvSpPr>
                        <wps:spPr bwMode="auto">
                          <a:xfrm>
                            <a:off x="2095200" y="1310386"/>
                            <a:ext cx="857250"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8966B" w14:textId="77777777" w:rsidR="00217022" w:rsidRPr="00676C05" w:rsidRDefault="00217022" w:rsidP="00217022">
                              <w:pPr>
                                <w:spacing w:line="276" w:lineRule="auto"/>
                                <w:rPr>
                                  <w:rFonts w:ascii="Times New Romans" w:eastAsia="Aptos" w:hAnsi="Times New Romans"/>
                                  <w:color w:val="FF0000"/>
                                  <w14:ligatures w14:val="none"/>
                                </w:rPr>
                              </w:pPr>
                              <w:r w:rsidRPr="00676C05">
                                <w:rPr>
                                  <w:rFonts w:ascii="Times New Romans" w:eastAsia="Aptos" w:hAnsi="Times New Romans"/>
                                  <w:color w:val="FF0000"/>
                                </w:rPr>
                                <w:t>Różnica 1</w:t>
                              </w:r>
                            </w:p>
                          </w:txbxContent>
                        </wps:txbx>
                        <wps:bodyPr rot="0" vert="horz" wrap="square" lIns="0" tIns="0" rIns="0" bIns="0" anchor="t" anchorCtr="0">
                          <a:spAutoFit/>
                        </wps:bodyPr>
                      </wps:wsp>
                      <wps:wsp>
                        <wps:cNvPr id="771990926" name="Rectangle 48"/>
                        <wps:cNvSpPr>
                          <a:spLocks noChangeArrowheads="1"/>
                        </wps:cNvSpPr>
                        <wps:spPr bwMode="auto">
                          <a:xfrm flipH="1">
                            <a:off x="1821421" y="2262889"/>
                            <a:ext cx="61404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D85D1" w14:textId="77777777" w:rsidR="00217022" w:rsidRPr="00136DFC" w:rsidRDefault="00217022" w:rsidP="00217022">
                              <w:pPr>
                                <w:spacing w:line="276" w:lineRule="auto"/>
                                <w:rPr>
                                  <w:rFonts w:ascii="Times New Roman" w:eastAsia="Aptos" w:hAnsi="Times New Roman" w:cs="Times New Roman"/>
                                  <w:color w:val="0070C0"/>
                                  <w:kern w:val="0"/>
                                  <w:lang w:val="en-US"/>
                                  <w14:ligatures w14:val="none"/>
                                </w:rPr>
                              </w:pPr>
                              <w:r w:rsidRPr="00136DFC">
                                <w:rPr>
                                  <w:rFonts w:ascii="Times New Roman" w:eastAsia="Aptos" w:hAnsi="Times New Roman" w:cs="Times New Roman"/>
                                  <w:color w:val="0070C0"/>
                                  <w:lang w:val="en-US"/>
                                </w:rPr>
                                <w:t>Różnica 2</w:t>
                              </w:r>
                            </w:p>
                          </w:txbxContent>
                        </wps:txbx>
                        <wps:bodyPr rot="0" vert="horz" wrap="none" lIns="0" tIns="0" rIns="0" bIns="0" anchor="t" anchorCtr="0">
                          <a:noAutofit/>
                        </wps:bodyPr>
                      </wps:wsp>
                      <wps:wsp>
                        <wps:cNvPr id="1312322355" name="Nawias klamrowy zamykający 1312322355"/>
                        <wps:cNvSpPr/>
                        <wps:spPr>
                          <a:xfrm>
                            <a:off x="5050799" y="997189"/>
                            <a:ext cx="193675" cy="1596492"/>
                          </a:xfrm>
                          <a:prstGeom prst="rightBrace">
                            <a:avLst>
                              <a:gd name="adj1" fmla="val 8333"/>
                              <a:gd name="adj2" fmla="val 54037"/>
                            </a:avLst>
                          </a:prstGeom>
                          <a:noFill/>
                          <a:ln w="6350" cap="flat" cmpd="sng" algn="ctr">
                            <a:solidFill>
                              <a:srgbClr val="156082"/>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73850452" name="Line 26"/>
                        <wps:cNvCnPr>
                          <a:cxnSpLocks noChangeShapeType="1"/>
                        </wps:cNvCnPr>
                        <wps:spPr bwMode="auto">
                          <a:xfrm>
                            <a:off x="21714" y="3971873"/>
                            <a:ext cx="208800" cy="0"/>
                          </a:xfrm>
                          <a:prstGeom prst="line">
                            <a:avLst/>
                          </a:prstGeom>
                          <a:noFill/>
                          <a:ln w="14605" cap="flat">
                            <a:solidFill>
                              <a:srgbClr val="7030A0"/>
                            </a:solidFill>
                            <a:prstDash val="solid"/>
                            <a:miter lim="800000"/>
                            <a:headEnd/>
                            <a:tailEnd/>
                          </a:ln>
                          <a:extLst>
                            <a:ext uri="{909E8E84-426E-40DD-AFC4-6F175D3DCCD1}">
                              <a14:hiddenFill xmlns:a14="http://schemas.microsoft.com/office/drawing/2010/main">
                                <a:noFill/>
                              </a14:hiddenFill>
                            </a:ext>
                          </a:extLst>
                        </wps:spPr>
                        <wps:bodyPr/>
                      </wps:wsp>
                      <wps:wsp>
                        <wps:cNvPr id="1673497166" name="Line 26"/>
                        <wps:cNvCnPr>
                          <a:cxnSpLocks noChangeShapeType="1"/>
                        </wps:cNvCnPr>
                        <wps:spPr bwMode="auto">
                          <a:xfrm>
                            <a:off x="2116915" y="3995279"/>
                            <a:ext cx="208800" cy="0"/>
                          </a:xfrm>
                          <a:prstGeom prst="line">
                            <a:avLst/>
                          </a:prstGeom>
                          <a:noFill/>
                          <a:ln w="14605" cap="flat">
                            <a:solidFill>
                              <a:srgbClr val="FFC000"/>
                            </a:solidFill>
                            <a:prstDash val="solid"/>
                            <a:miter lim="800000"/>
                            <a:headEnd/>
                            <a:tailEnd/>
                          </a:ln>
                          <a:extLst>
                            <a:ext uri="{909E8E84-426E-40DD-AFC4-6F175D3DCCD1}">
                              <a14:hiddenFill xmlns:a14="http://schemas.microsoft.com/office/drawing/2010/main">
                                <a:noFill/>
                              </a14:hiddenFill>
                            </a:ext>
                          </a:extLst>
                        </wps:spPr>
                        <wps:bodyPr/>
                      </wps:wsp>
                      <wps:wsp>
                        <wps:cNvPr id="1847834024" name="Line 26"/>
                        <wps:cNvCnPr>
                          <a:cxnSpLocks noChangeShapeType="1"/>
                        </wps:cNvCnPr>
                        <wps:spPr bwMode="auto">
                          <a:xfrm flipV="1">
                            <a:off x="4075200" y="3971859"/>
                            <a:ext cx="208800" cy="0"/>
                          </a:xfrm>
                          <a:prstGeom prst="line">
                            <a:avLst/>
                          </a:prstGeom>
                          <a:noFill/>
                          <a:ln w="14605" cap="flat">
                            <a:solidFill>
                              <a:srgbClr val="C198E0"/>
                            </a:solidFill>
                            <a:prstDash val="solid"/>
                            <a:miter lim="800000"/>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1900D3F1" id="Kanwa 1" o:spid="_x0000_s1075" editas="canvas" style="position:absolute;left:0;text-align:left;margin-left:-.05pt;margin-top:18.2pt;width:469.1pt;height:315.75pt;z-index:251762688;mso-position-horizontal-relative:margin" coordsize="59569,4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">
                <v:shape id="_x0000_s1076" type="#_x0000_t75" style="position:absolute;width:59569;height:40100;visibility:visible;mso-wrap-style:square">
                  <v:fill o:detectmouseclick="t"/>
                  <v:path o:connecttype="none"/>
                </v:shape>
                <v:shape id="Freeform 18" o:spid="_x0000_s1077" style="position:absolute;left:7337;top:6134;width:717;height:29610;visibility:visible;mso-wrap-style:square;v-text-anchor:top" coordsize="113,4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" path="m66,4663l66,94r-19,l47,4663r19,xm113,113l56,,,113r113,xe" fillcolor="#156082" strokecolor="#156082" strokeweight="0">
                  <v:path arrowok="t" o:connecttype="custom" o:connectlocs="41910,2961005;41910,59690;29845,59690;29845,2961005;41910,2961005;71755,71755;35560,0;0,71755;71755,71755" o:connectangles="0,0,0,0,0,0,0,0,0"/>
                  <o:lock v:ext="edit" verticies="t"/>
                </v:shape>
                <v:shape id="Freeform 19" o:spid="_x0000_s1078" style="position:absolute;left:7635;top:35007;width:50997;height:832;visibility:visible;mso-wrap-style:square;v-text-anchor:top" coordsize="803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" path="m,131l7937,66r-1,-19l,113r,18xm7918,113l8031,55,7917,r1,113xe" fillcolor="#156082" strokecolor="#156082" strokeweight="0">
                  <v:path arrowok="t" o:connecttype="custom" o:connectlocs="0,83185;5039995,41910;5039360,29845;0,71755;0,83185;5027930,71755;5099685,34925;5027295,0;5027930,71755" o:connectangles="0,0,0,0,0,0,0,0,0"/>
                  <o:lock v:ext="edit" verticies="t"/>
                </v:shape>
                <v:shape id="Freeform 28" o:spid="_x0000_s1079" style="position:absolute;left:30960;top:26167;width:1224;height:2110;visibility:visible;mso-wrap-style:square;v-text-anchor:top" coordsize="1376,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" path="m,c380,,688,52,688,115r,1015c688,1193,996,1244,1376,1244v-380,,-688,52,-688,115l688,2374v,63,-308,114,-688,114e" filled="f" strokecolor="red" strokeweight=".45pt">
                  <v:stroke joinstyle="miter"/>
                  <v:path arrowok="t" o:connecttype="custom" o:connectlocs="0,0;61200,9755;61200,95855;122400,105525;61200,115280;61200,201380;0,211050" o:connectangles="0,0,0,0,0,0,0"/>
                </v:shape>
                <v:rect id="_x0000_s1080" style="position:absolute;left:3784;top:4213;width:759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" filled="f" stroked="f">
                  <v:textbox style="mso-fit-shape-to-text:t" inset="0,0,0,0">
                    <w:txbxContent>
                      <w:p w14:paraId="0DF71A3B" w14:textId="77777777" w:rsidR="00217022" w:rsidRPr="00A52108" w:rsidRDefault="00217022" w:rsidP="00217022">
                        <w:pPr>
                          <w:rPr>
                            <w:rFonts w:ascii="Times New Roman" w:hAnsi="Times New Roman" w:cs="Times New Roman"/>
                            <w:b/>
                            <w:bCs/>
                          </w:rPr>
                        </w:pPr>
                        <w:r w:rsidRPr="00A52108">
                          <w:rPr>
                            <w:rFonts w:ascii="Times New Roman" w:hAnsi="Times New Roman" w:cs="Times New Roman"/>
                            <w:b/>
                            <w:bCs/>
                            <w:color w:val="000000"/>
                            <w:kern w:val="0"/>
                            <w:lang w:val="en-US"/>
                          </w:rPr>
                          <w:t>Wyniki, Y</w:t>
                        </w:r>
                      </w:p>
                    </w:txbxContent>
                  </v:textbox>
                </v:rect>
                <v:rect id="Rectangle 40" o:spid="_x0000_s1081" style="position:absolute;left:55166;top:36888;width:4407;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" filled="f" stroked="f">
                  <v:textbox style="mso-fit-shape-to-text:t" inset="0,0,0,0">
                    <w:txbxContent>
                      <w:p w14:paraId="70AE5D10" w14:textId="77777777" w:rsidR="00217022" w:rsidRPr="00136DFC" w:rsidRDefault="00217022" w:rsidP="00217022">
                        <w:pPr>
                          <w:rPr>
                            <w:rFonts w:ascii="Times New Roman" w:hAnsi="Times New Roman" w:cs="Times New Roman"/>
                            <w:b/>
                            <w:bCs/>
                          </w:rPr>
                        </w:pPr>
                        <w:r w:rsidRPr="00136DFC">
                          <w:rPr>
                            <w:rFonts w:ascii="Times New Roman" w:hAnsi="Times New Roman" w:cs="Times New Roman"/>
                            <w:b/>
                            <w:bCs/>
                            <w:color w:val="000000"/>
                            <w:kern w:val="0"/>
                            <w:lang w:val="en-US"/>
                          </w:rPr>
                          <w:t>Czas, t</w:t>
                        </w:r>
                      </w:p>
                    </w:txbxContent>
                  </v:textbox>
                </v:rect>
                <v:rect id="Rectangle 48" o:spid="_x0000_s1082" style="position:absolute;left:52679;top:17636;width:6141;height:388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" filled="f" stroked="f">
                  <v:textbox inset="0,0,0,0">
                    <w:txbxContent>
                      <w:p w14:paraId="4D4B75CB" w14:textId="77777777" w:rsidR="00217022" w:rsidRPr="00676C05" w:rsidRDefault="00217022" w:rsidP="00217022">
                        <w:pPr>
                          <w:rPr>
                            <w:rFonts w:ascii="Times New Roman" w:hAnsi="Times New Roman" w:cs="Times New Roman"/>
                            <w:color w:val="0070C0"/>
                          </w:rPr>
                        </w:pPr>
                        <w:r w:rsidRPr="00676C05">
                          <w:rPr>
                            <w:rFonts w:ascii="Times New Roman" w:hAnsi="Times New Roman" w:cs="Times New Roman"/>
                            <w:color w:val="0070C0"/>
                            <w:kern w:val="0"/>
                            <w:lang w:val="en-US"/>
                          </w:rPr>
                          <w:t>Różnica 1</w:t>
                        </w:r>
                      </w:p>
                    </w:txbxContent>
                  </v:textbox>
                </v:rect>
                <v:rect id="Rectangle 57" o:spid="_x0000_s1083" style="position:absolute;left:57178;top:23977;width:857;height:3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" filled="f" stroked="f">
                  <v:textbox style="mso-fit-shape-to-text:t" inset="0,0,0,0">
                    <w:txbxContent>
                      <w:p w14:paraId="14B3D172" w14:textId="77777777" w:rsidR="00217022" w:rsidRDefault="00217022" w:rsidP="00217022"/>
                    </w:txbxContent>
                  </v:textbox>
                </v:rect>
                <v:rect id="Rectangle 60" o:spid="_x0000_s1084" style="position:absolute;left:33724;top:33271;width:1804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" filled="f" stroked="f">
                  <v:textbox style="mso-fit-shape-to-text:t" inset="0,0,0,0">
                    <w:txbxContent>
                      <w:p w14:paraId="5409E808" w14:textId="77777777" w:rsidR="00217022" w:rsidRPr="00676C05" w:rsidRDefault="00217022" w:rsidP="00217022">
                        <w:pPr>
                          <w:rPr>
                            <w:rFonts w:ascii="Times New Roman" w:hAnsi="Times New Roman" w:cs="Times New Roman"/>
                          </w:rPr>
                        </w:pPr>
                        <w:r w:rsidRPr="00676C05">
                          <w:rPr>
                            <w:rFonts w:ascii="Times New Roman" w:hAnsi="Times New Roman" w:cs="Times New Roman"/>
                            <w:color w:val="000000"/>
                            <w:kern w:val="0"/>
                            <w:lang w:val="en-US"/>
                          </w:rPr>
                          <w:t xml:space="preserve">Okres po </w:t>
                        </w:r>
                        <w:r>
                          <w:rPr>
                            <w:rFonts w:ascii="Times New Roman" w:hAnsi="Times New Roman" w:cs="Times New Roman"/>
                            <w:color w:val="000000"/>
                            <w:kern w:val="0"/>
                            <w:lang w:val="en-US"/>
                          </w:rPr>
                          <w:t>i</w:t>
                        </w:r>
                        <w:r w:rsidRPr="00676C05">
                          <w:rPr>
                            <w:rFonts w:ascii="Times New Roman" w:hAnsi="Times New Roman" w:cs="Times New Roman"/>
                            <w:color w:val="000000"/>
                            <w:kern w:val="0"/>
                            <w:lang w:val="en-US"/>
                          </w:rPr>
                          <w:t>nterwencji t</w:t>
                        </w:r>
                      </w:p>
                    </w:txbxContent>
                  </v:textbox>
                </v:rect>
                <v:rect id="Rectangle 62" o:spid="_x0000_s1085" style="position:absolute;left:7776;top:33415;width:2225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" filled="f" stroked="f">
                  <v:textbox style="mso-fit-shape-to-text:t" inset="0,0,0,0">
                    <w:txbxContent>
                      <w:p w14:paraId="6A00EAB6" w14:textId="77777777" w:rsidR="00217022" w:rsidRPr="00676C05" w:rsidRDefault="00217022" w:rsidP="00217022">
                        <w:pPr>
                          <w:jc w:val="center"/>
                          <w:rPr>
                            <w:rFonts w:ascii="Times New Roman" w:hAnsi="Times New Roman" w:cs="Times New Roman"/>
                          </w:rPr>
                        </w:pPr>
                        <w:r w:rsidRPr="00676C05">
                          <w:rPr>
                            <w:rFonts w:ascii="Times New Roman" w:hAnsi="Times New Roman" w:cs="Times New Roman"/>
                          </w:rPr>
                          <w:t>Okres przed interwencją (t-1)</w:t>
                        </w:r>
                      </w:p>
                    </w:txbxContent>
                  </v:textbox>
                </v:rect>
                <v:line id="Łącznik prosty 1758423481" o:spid="_x0000_s1086" style="position:absolute;flip:x;visibility:visible;mso-wrap-style:square" from="30456,6264" to="30528,37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" strokecolor="windowText">
                  <v:stroke joinstyle="miter"/>
                </v:line>
                <v:line id="Line 26" o:spid="_x0000_s1087" style="position:absolute;flip:y;visibility:visible;mso-wrap-style:square" from="11379,28170" to="30171,28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" strokecolor="#ffc000" strokeweight="1.15pt">
                  <v:stroke joinstyle="miter"/>
                </v:line>
                <v:line id="Line 26" o:spid="_x0000_s1088" style="position:absolute;flip:y;visibility:visible;mso-wrap-style:square" from="11379,18357" to="30171,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" strokecolor="#7030a0" strokeweight="1.15pt">
                  <v:stroke joinstyle="miter"/>
                </v:line>
                <v:line id="Line 26" o:spid="_x0000_s1089" style="position:absolute;visibility:visible;mso-wrap-style:square" from="31535,9973" to="50507,9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" strokecolor="#7030a0" strokeweight="1.15pt">
                  <v:stroke joinstyle="miter"/>
                </v:lin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Nawias klamrowy zamykający 805123423" o:spid="_x0000_s1090" type="#_x0000_t88" style="position:absolute;left:15627;top:18432;width:1941;height:9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" adj="358,11672" strokecolor="#156082" strokeweight=".5pt">
                  <v:stroke joinstyle="miter"/>
                </v:shape>
                <v:rect id="Rectangle 45" o:spid="_x0000_s1091" style="position:absolute;left:33120;top:26515;width:11017;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" filled="f" stroked="f">
                  <v:textbox style="mso-fit-shape-to-text:t" inset="0,0,0,0">
                    <w:txbxContent>
                      <w:p w14:paraId="6D1D2B8D" w14:textId="77777777" w:rsidR="00217022" w:rsidRPr="00676C05" w:rsidRDefault="00217022" w:rsidP="00217022">
                        <w:pPr>
                          <w:spacing w:line="276" w:lineRule="auto"/>
                          <w:rPr>
                            <w:rFonts w:ascii="Times New Romans" w:eastAsia="Aptos" w:hAnsi="Times New Romans"/>
                            <w:color w:val="FF0000"/>
                            <w14:ligatures w14:val="none"/>
                          </w:rPr>
                        </w:pPr>
                        <w:r w:rsidRPr="00676C05">
                          <w:rPr>
                            <w:rFonts w:ascii="Times New Romans" w:eastAsia="Aptos" w:hAnsi="Times New Romans"/>
                            <w:color w:val="FF0000"/>
                          </w:rPr>
                          <w:t>Różnica 2</w:t>
                        </w:r>
                      </w:p>
                    </w:txbxContent>
                  </v:textbox>
                </v:rect>
                <v:line id="Line 26" o:spid="_x0000_s1092" style="position:absolute;flip:y;visibility:visible;mso-wrap-style:square" from="30998,15982" to="49970,15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" strokecolor="#c198e0" strokeweight="1.15pt">
                  <v:stroke joinstyle="miter"/>
                </v:line>
                <v:line id="Line 26" o:spid="_x0000_s1093" style="position:absolute;flip:y;visibility:visible;mso-wrap-style:square" from="31608,25939" to="50580,2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" strokecolor="#ffc000" strokeweight="1.15pt">
                  <v:stroke joinstyle="miter"/>
                </v:line>
                <v:shape id="Freeform 28" o:spid="_x0000_s1094" style="position:absolute;left:28367;top:9973;width:2376;height:8349;flip:x;visibility:visible;mso-wrap-style:square;v-text-anchor:top" coordsize="1376,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" path="m,c380,,688,52,688,115r,1015c688,1193,996,1244,1376,1244v-380,,-688,52,-688,115l688,2374v,63,-308,114,-688,114e" filled="f" strokecolor="red" strokeweight=".45pt">
                  <v:stroke joinstyle="miter"/>
                  <v:path arrowok="t" o:connecttype="custom" o:connectlocs="0,0;118801,38590;118801,379190;237601,417445;118801,456035;118801,796634;0,834889" o:connectangles="0,0,0,0,0,0,0"/>
                </v:shape>
                <v:rect id="Rectangle 45" o:spid="_x0000_s1095" style="position:absolute;left:20952;top:13103;width:8572;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" filled="f" stroked="f">
                  <v:textbox style="mso-fit-shape-to-text:t" inset="0,0,0,0">
                    <w:txbxContent>
                      <w:p w14:paraId="4CF8966B" w14:textId="77777777" w:rsidR="00217022" w:rsidRPr="00676C05" w:rsidRDefault="00217022" w:rsidP="00217022">
                        <w:pPr>
                          <w:spacing w:line="276" w:lineRule="auto"/>
                          <w:rPr>
                            <w:rFonts w:ascii="Times New Romans" w:eastAsia="Aptos" w:hAnsi="Times New Romans"/>
                            <w:color w:val="FF0000"/>
                            <w14:ligatures w14:val="none"/>
                          </w:rPr>
                        </w:pPr>
                        <w:r w:rsidRPr="00676C05">
                          <w:rPr>
                            <w:rFonts w:ascii="Times New Romans" w:eastAsia="Aptos" w:hAnsi="Times New Romans"/>
                            <w:color w:val="FF0000"/>
                          </w:rPr>
                          <w:t>Różnica 1</w:t>
                        </w:r>
                      </w:p>
                    </w:txbxContent>
                  </v:textbox>
                </v:rect>
                <v:rect id="Rectangle 48" o:spid="_x0000_s1096" style="position:absolute;left:18214;top:22628;width:6140;height:3887;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" filled="f" stroked="f">
                  <v:textbox inset="0,0,0,0">
                    <w:txbxContent>
                      <w:p w14:paraId="1FAD85D1" w14:textId="77777777" w:rsidR="00217022" w:rsidRPr="00136DFC" w:rsidRDefault="00217022" w:rsidP="00217022">
                        <w:pPr>
                          <w:spacing w:line="276" w:lineRule="auto"/>
                          <w:rPr>
                            <w:rFonts w:ascii="Times New Roman" w:eastAsia="Aptos" w:hAnsi="Times New Roman" w:cs="Times New Roman"/>
                            <w:color w:val="0070C0"/>
                            <w:kern w:val="0"/>
                            <w:lang w:val="en-US"/>
                            <w14:ligatures w14:val="none"/>
                          </w:rPr>
                        </w:pPr>
                        <w:r w:rsidRPr="00136DFC">
                          <w:rPr>
                            <w:rFonts w:ascii="Times New Roman" w:eastAsia="Aptos" w:hAnsi="Times New Roman" w:cs="Times New Roman"/>
                            <w:color w:val="0070C0"/>
                            <w:lang w:val="en-US"/>
                          </w:rPr>
                          <w:t>Różnica 2</w:t>
                        </w:r>
                      </w:p>
                    </w:txbxContent>
                  </v:textbox>
                </v:rect>
                <v:shape id="Nawias klamrowy zamykający 1312322355" o:spid="_x0000_s1097" type="#_x0000_t88" style="position:absolute;left:50507;top:9971;width:1937;height:15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" adj="218,11672" strokecolor="#156082" strokeweight=".5pt">
                  <v:stroke joinstyle="miter"/>
                </v:shape>
                <v:line id="Line 26" o:spid="_x0000_s1098" style="position:absolute;visibility:visible;mso-wrap-style:square" from="217,39718" to="2305,3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" strokecolor="#7030a0" strokeweight="1.15pt">
                  <v:stroke joinstyle="miter"/>
                </v:line>
                <v:line id="Line 26" o:spid="_x0000_s1099" style="position:absolute;visibility:visible;mso-wrap-style:square" from="21169,39952" to="23257,39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" strokecolor="#ffc000" strokeweight="1.15pt">
                  <v:stroke joinstyle="miter"/>
                </v:line>
                <v:line id="Line 26" o:spid="_x0000_s1100" style="position:absolute;flip:y;visibility:visible;mso-wrap-style:square" from="40752,39718" to="42840,3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" strokecolor="#c198e0" strokeweight="1.15pt">
                  <v:stroke joinstyle="miter"/>
                </v:line>
                <w10:wrap anchorx="margin"/>
              </v:group>
            </w:pict>
          </mc:Fallback>
        </mc:AlternateContent>
      </w:r>
      <w:bookmarkStart w:id="22" w:name="_Hlk182908875"/>
      <w:r w:rsidR="00B509C5">
        <w:rPr>
          <w:rFonts w:ascii="Times New Roman" w:hAnsi="Times New Roman" w:cs="Times New Roman"/>
          <w:b/>
          <w:bCs/>
          <w:sz w:val="28"/>
          <w:szCs w:val="28"/>
        </w:rPr>
        <w:t>Rysunek</w:t>
      </w:r>
      <w:r w:rsidRPr="00E226AA">
        <w:rPr>
          <w:rFonts w:ascii="Times New Roman" w:hAnsi="Times New Roman" w:cs="Times New Roman"/>
          <w:b/>
          <w:bCs/>
          <w:sz w:val="28"/>
          <w:szCs w:val="28"/>
        </w:rPr>
        <w:t xml:space="preserve"> </w:t>
      </w:r>
      <w:bookmarkEnd w:id="22"/>
      <w:r w:rsidRPr="00E226AA">
        <w:rPr>
          <w:rFonts w:ascii="Times New Roman" w:hAnsi="Times New Roman" w:cs="Times New Roman"/>
          <w:b/>
          <w:bCs/>
          <w:sz w:val="28"/>
          <w:szCs w:val="28"/>
        </w:rPr>
        <w:t>1</w:t>
      </w:r>
      <w:r w:rsidR="00846C55">
        <w:rPr>
          <w:rFonts w:ascii="Times New Roman" w:hAnsi="Times New Roman" w:cs="Times New Roman"/>
          <w:b/>
          <w:bCs/>
          <w:sz w:val="28"/>
          <w:szCs w:val="28"/>
        </w:rPr>
        <w:t>2</w:t>
      </w:r>
      <w:r w:rsidRPr="00E226AA">
        <w:rPr>
          <w:rFonts w:ascii="Times New Roman" w:hAnsi="Times New Roman" w:cs="Times New Roman"/>
          <w:b/>
          <w:bCs/>
          <w:sz w:val="28"/>
          <w:szCs w:val="28"/>
        </w:rPr>
        <w:t>.</w:t>
      </w:r>
      <w:r w:rsidRPr="00217022">
        <w:rPr>
          <w:rFonts w:ascii="Times New Roman" w:hAnsi="Times New Roman" w:cs="Times New Roman"/>
          <w:sz w:val="28"/>
          <w:szCs w:val="28"/>
        </w:rPr>
        <w:t xml:space="preserve"> Wizualizacja dwóch sposobów obliczania różnicy w różnicach</w:t>
      </w:r>
      <w:r w:rsidRPr="00217022">
        <w:rPr>
          <w:rFonts w:ascii="Times New Roman" w:hAnsi="Times New Roman" w:cs="Times New Roman"/>
          <w:sz w:val="28"/>
          <w:szCs w:val="28"/>
        </w:rPr>
        <w:br/>
        <w:t xml:space="preserve"> w wersji analitycznej</w:t>
      </w:r>
    </w:p>
    <w:p w14:paraId="60956C1C" w14:textId="77777777" w:rsidR="00217022" w:rsidRPr="00217022" w:rsidRDefault="00217022" w:rsidP="00217022">
      <w:pPr>
        <w:jc w:val="both"/>
        <w:rPr>
          <w:rFonts w:ascii="Times New Roman" w:hAnsi="Times New Roman" w:cs="Times New Roman"/>
          <w:sz w:val="28"/>
          <w:szCs w:val="28"/>
        </w:rPr>
      </w:pPr>
    </w:p>
    <w:p w14:paraId="5F61642F" w14:textId="77777777" w:rsidR="00217022" w:rsidRPr="00217022" w:rsidRDefault="00217022" w:rsidP="00217022">
      <w:pPr>
        <w:jc w:val="both"/>
        <w:rPr>
          <w:rFonts w:ascii="Times New Roman" w:hAnsi="Times New Roman" w:cs="Times New Roman"/>
          <w:sz w:val="28"/>
          <w:szCs w:val="28"/>
        </w:rPr>
      </w:pPr>
    </w:p>
    <w:p w14:paraId="364D3C23" w14:textId="77777777" w:rsidR="00217022" w:rsidRPr="00217022" w:rsidRDefault="00217022" w:rsidP="00217022">
      <w:pPr>
        <w:jc w:val="both"/>
        <w:rPr>
          <w:rFonts w:ascii="Times New Roman" w:hAnsi="Times New Roman" w:cs="Times New Roman"/>
          <w:sz w:val="28"/>
          <w:szCs w:val="28"/>
        </w:rPr>
      </w:pPr>
    </w:p>
    <w:p w14:paraId="4C08D51E" w14:textId="77777777" w:rsidR="00217022" w:rsidRPr="00217022" w:rsidRDefault="00217022" w:rsidP="00217022">
      <w:pPr>
        <w:jc w:val="both"/>
        <w:rPr>
          <w:rFonts w:ascii="Times New Roman" w:hAnsi="Times New Roman" w:cs="Times New Roman"/>
          <w:sz w:val="28"/>
          <w:szCs w:val="28"/>
        </w:rPr>
      </w:pPr>
    </w:p>
    <w:p w14:paraId="09E4C7E7" w14:textId="77777777" w:rsidR="00217022" w:rsidRPr="00217022" w:rsidRDefault="00217022" w:rsidP="00217022">
      <w:pPr>
        <w:jc w:val="both"/>
        <w:rPr>
          <w:rFonts w:ascii="Times New Roman" w:hAnsi="Times New Roman" w:cs="Times New Roman"/>
          <w:sz w:val="28"/>
          <w:szCs w:val="28"/>
        </w:rPr>
      </w:pPr>
    </w:p>
    <w:p w14:paraId="28D5A0E4" w14:textId="77777777" w:rsidR="00217022" w:rsidRPr="00217022" w:rsidRDefault="00217022" w:rsidP="00217022">
      <w:pPr>
        <w:jc w:val="both"/>
        <w:rPr>
          <w:rFonts w:ascii="Times New Roman" w:hAnsi="Times New Roman" w:cs="Times New Roman"/>
          <w:sz w:val="28"/>
          <w:szCs w:val="28"/>
        </w:rPr>
      </w:pPr>
    </w:p>
    <w:p w14:paraId="268A189B" w14:textId="77777777" w:rsidR="00217022" w:rsidRPr="00217022" w:rsidRDefault="00217022" w:rsidP="00217022">
      <w:pPr>
        <w:jc w:val="both"/>
        <w:rPr>
          <w:rFonts w:ascii="Times New Roman" w:hAnsi="Times New Roman" w:cs="Times New Roman"/>
          <w:sz w:val="28"/>
          <w:szCs w:val="28"/>
        </w:rPr>
      </w:pPr>
    </w:p>
    <w:p w14:paraId="1ADEBA9E" w14:textId="77777777" w:rsidR="00217022" w:rsidRPr="00217022" w:rsidRDefault="00217022" w:rsidP="00217022">
      <w:pPr>
        <w:jc w:val="both"/>
        <w:rPr>
          <w:rFonts w:ascii="Times New Roman" w:hAnsi="Times New Roman" w:cs="Times New Roman"/>
          <w:sz w:val="28"/>
          <w:szCs w:val="28"/>
        </w:rPr>
      </w:pPr>
    </w:p>
    <w:p w14:paraId="6DA9FDBC" w14:textId="77777777" w:rsidR="00217022" w:rsidRPr="00217022" w:rsidRDefault="00217022" w:rsidP="00217022">
      <w:pPr>
        <w:jc w:val="both"/>
        <w:rPr>
          <w:rFonts w:ascii="Times New Roman" w:hAnsi="Times New Roman" w:cs="Times New Roman"/>
          <w:sz w:val="48"/>
          <w:szCs w:val="48"/>
        </w:rPr>
      </w:pPr>
    </w:p>
    <w:p w14:paraId="2D781A4C" w14:textId="77777777" w:rsidR="00217022" w:rsidRPr="00217022" w:rsidRDefault="00217022" w:rsidP="00217022">
      <w:pPr>
        <w:jc w:val="both"/>
        <w:rPr>
          <w:rFonts w:ascii="Times New Roman" w:hAnsi="Times New Roman" w:cs="Times New Roman"/>
          <w:sz w:val="28"/>
          <w:szCs w:val="28"/>
        </w:rPr>
      </w:pPr>
    </w:p>
    <w:p w14:paraId="739598F8" w14:textId="77777777" w:rsidR="00217022" w:rsidRPr="00217022" w:rsidRDefault="00217022" w:rsidP="00217022">
      <w:pPr>
        <w:tabs>
          <w:tab w:val="center" w:pos="426"/>
          <w:tab w:val="left" w:pos="567"/>
          <w:tab w:val="left" w:pos="3828"/>
          <w:tab w:val="left" w:pos="6804"/>
        </w:tabs>
        <w:spacing w:after="0" w:line="240" w:lineRule="auto"/>
        <w:jc w:val="both"/>
        <w:rPr>
          <w:rFonts w:ascii="Times New Roman" w:hAnsi="Times New Roman" w:cs="Times New Roman"/>
        </w:rPr>
      </w:pPr>
      <w:r w:rsidRPr="00217022">
        <w:rPr>
          <w:rFonts w:ascii="Times New Roman" w:hAnsi="Times New Roman" w:cs="Times New Roman"/>
        </w:rPr>
        <w:tab/>
      </w:r>
      <w:r w:rsidRPr="00217022">
        <w:rPr>
          <w:rFonts w:ascii="Times New Roman" w:hAnsi="Times New Roman" w:cs="Times New Roman"/>
        </w:rPr>
        <w:tab/>
        <w:t xml:space="preserve">Wyniki grupy docelowej </w:t>
      </w:r>
      <w:r w:rsidRPr="00217022">
        <w:rPr>
          <w:rFonts w:ascii="Times New Roman" w:hAnsi="Times New Roman" w:cs="Times New Roman"/>
        </w:rPr>
        <w:tab/>
        <w:t xml:space="preserve">wyniki grupy kontrolnej </w:t>
      </w:r>
      <w:r w:rsidRPr="00217022">
        <w:rPr>
          <w:rFonts w:ascii="Times New Roman" w:hAnsi="Times New Roman" w:cs="Times New Roman"/>
        </w:rPr>
        <w:tab/>
        <w:t>wynik kontrfaktyczny</w:t>
      </w:r>
    </w:p>
    <w:p w14:paraId="4D1A473F" w14:textId="77777777" w:rsidR="00217022" w:rsidRPr="00217022" w:rsidRDefault="00217022" w:rsidP="00217022">
      <w:pPr>
        <w:spacing w:after="0" w:line="240" w:lineRule="auto"/>
        <w:ind w:left="6804"/>
        <w:jc w:val="both"/>
        <w:rPr>
          <w:rFonts w:ascii="Times New Roman" w:hAnsi="Times New Roman" w:cs="Times New Roman"/>
        </w:rPr>
      </w:pPr>
      <w:r w:rsidRPr="00217022">
        <w:rPr>
          <w:rFonts w:ascii="Times New Roman" w:hAnsi="Times New Roman" w:cs="Times New Roman"/>
        </w:rPr>
        <w:t xml:space="preserve">grupy docelowej </w:t>
      </w:r>
    </w:p>
    <w:p w14:paraId="042C1E1F" w14:textId="77777777" w:rsidR="00217022" w:rsidRPr="00217022" w:rsidRDefault="00217022" w:rsidP="00217022">
      <w:pPr>
        <w:spacing w:after="0" w:line="240" w:lineRule="auto"/>
        <w:rPr>
          <w:rFonts w:ascii="Times New Roman" w:hAnsi="Times New Roman" w:cs="Times New Roman"/>
          <w:color w:val="0070C0"/>
          <w:kern w:val="0"/>
          <w:sz w:val="16"/>
          <w:szCs w:val="16"/>
        </w:rPr>
      </w:pPr>
    </w:p>
    <w:p w14:paraId="2B8C43C2" w14:textId="77777777" w:rsidR="00217022" w:rsidRPr="00217022" w:rsidRDefault="00217022" w:rsidP="00217022">
      <w:pPr>
        <w:spacing w:after="120" w:line="240" w:lineRule="auto"/>
        <w:rPr>
          <w:rFonts w:ascii="Times New Roman" w:hAnsi="Times New Roman" w:cs="Times New Roman"/>
          <w:color w:val="0070C0"/>
        </w:rPr>
      </w:pPr>
      <w:r w:rsidRPr="00217022">
        <w:rPr>
          <w:rFonts w:ascii="Times New Roman" w:hAnsi="Times New Roman" w:cs="Times New Roman"/>
          <w:color w:val="0070C0"/>
          <w:kern w:val="0"/>
        </w:rPr>
        <w:t>Sposób 1=Różnica 1 – Różnica 2</w:t>
      </w:r>
      <w:r w:rsidRPr="00217022">
        <w:rPr>
          <w:rFonts w:ascii="Times New Roman" w:hAnsi="Times New Roman" w:cs="Times New Roman"/>
          <w:kern w:val="0"/>
        </w:rPr>
        <w:t>;</w:t>
      </w:r>
      <w:r w:rsidRPr="00217022">
        <w:rPr>
          <w:rFonts w:ascii="Times New Roman" w:hAnsi="Times New Roman" w:cs="Times New Roman"/>
          <w:color w:val="0070C0"/>
          <w:kern w:val="0"/>
        </w:rPr>
        <w:t xml:space="preserve"> </w:t>
      </w:r>
      <w:r w:rsidRPr="00217022">
        <w:rPr>
          <w:rFonts w:ascii="Times New Roman" w:hAnsi="Times New Roman" w:cs="Times New Roman"/>
          <w:color w:val="FF0000"/>
          <w:kern w:val="0"/>
        </w:rPr>
        <w:t xml:space="preserve">Sposób 2=Różnica 1 – Różnica 2 </w:t>
      </w:r>
    </w:p>
    <w:bookmarkEnd w:id="21"/>
    <w:p w14:paraId="6DB40EF1" w14:textId="486D6C04" w:rsidR="00217022" w:rsidRPr="00217022" w:rsidRDefault="00217022" w:rsidP="00217022">
      <w:pPr>
        <w:spacing w:before="180" w:after="0"/>
        <w:jc w:val="both"/>
        <w:rPr>
          <w:rFonts w:ascii="Times New Roman" w:hAnsi="Times New Roman" w:cs="Times New Roman"/>
          <w:i/>
          <w:iCs/>
        </w:rPr>
      </w:pPr>
      <w:r w:rsidRPr="00217022">
        <w:rPr>
          <w:rFonts w:ascii="Times New Roman" w:hAnsi="Times New Roman" w:cs="Times New Roman"/>
          <w:i/>
          <w:iCs/>
        </w:rPr>
        <w:t xml:space="preserve">Źródło: jak w tabeli </w:t>
      </w:r>
      <w:r w:rsidR="00160EAC">
        <w:rPr>
          <w:rFonts w:ascii="Times New Roman" w:hAnsi="Times New Roman" w:cs="Times New Roman"/>
          <w:i/>
          <w:iCs/>
        </w:rPr>
        <w:t>8</w:t>
      </w:r>
      <w:r w:rsidRPr="00217022">
        <w:rPr>
          <w:rFonts w:ascii="Times New Roman" w:hAnsi="Times New Roman" w:cs="Times New Roman"/>
          <w:i/>
          <w:iCs/>
        </w:rPr>
        <w:t xml:space="preserve">. </w:t>
      </w:r>
    </w:p>
    <w:p w14:paraId="2FAE1AE1" w14:textId="77777777" w:rsidR="00217022" w:rsidRPr="00217022" w:rsidRDefault="00217022" w:rsidP="00217022">
      <w:pPr>
        <w:ind w:firstLine="708"/>
        <w:jc w:val="both"/>
        <w:rPr>
          <w:rFonts w:ascii="Times New Roman" w:hAnsi="Times New Roman" w:cs="Times New Roman"/>
          <w:sz w:val="28"/>
          <w:szCs w:val="28"/>
        </w:rPr>
      </w:pPr>
    </w:p>
    <w:p w14:paraId="4549EFCC" w14:textId="298D1817" w:rsidR="00217022" w:rsidRPr="00217022" w:rsidRDefault="00217022" w:rsidP="00217022">
      <w:pPr>
        <w:spacing w:after="0"/>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W tabeli </w:t>
      </w:r>
      <w:r w:rsidR="00160EAC">
        <w:rPr>
          <w:rFonts w:ascii="Times New Roman" w:hAnsi="Times New Roman" w:cs="Times New Roman"/>
          <w:sz w:val="28"/>
          <w:szCs w:val="28"/>
        </w:rPr>
        <w:t>9</w:t>
      </w:r>
      <w:r w:rsidRPr="00217022">
        <w:rPr>
          <w:rFonts w:ascii="Times New Roman" w:hAnsi="Times New Roman" w:cs="Times New Roman"/>
          <w:sz w:val="28"/>
          <w:szCs w:val="28"/>
        </w:rPr>
        <w:t xml:space="preserve"> oraz na </w:t>
      </w:r>
      <w:r w:rsidR="00B509C5">
        <w:rPr>
          <w:rFonts w:ascii="Times New Roman" w:hAnsi="Times New Roman" w:cs="Times New Roman"/>
          <w:sz w:val="28"/>
          <w:szCs w:val="28"/>
        </w:rPr>
        <w:t>rysunku</w:t>
      </w:r>
      <w:r w:rsidRPr="00217022">
        <w:rPr>
          <w:rFonts w:ascii="Times New Roman" w:hAnsi="Times New Roman" w:cs="Times New Roman"/>
          <w:sz w:val="28"/>
          <w:szCs w:val="28"/>
        </w:rPr>
        <w:t xml:space="preserve"> </w:t>
      </w:r>
      <w:r w:rsidR="00FC4629">
        <w:rPr>
          <w:rFonts w:ascii="Times New Roman" w:hAnsi="Times New Roman" w:cs="Times New Roman"/>
          <w:sz w:val="28"/>
          <w:szCs w:val="28"/>
        </w:rPr>
        <w:t>13</w:t>
      </w:r>
      <w:r w:rsidRPr="00217022">
        <w:rPr>
          <w:rFonts w:ascii="Times New Roman" w:hAnsi="Times New Roman" w:cs="Times New Roman"/>
          <w:sz w:val="28"/>
          <w:szCs w:val="28"/>
        </w:rPr>
        <w:t xml:space="preserve"> zamieszczono współczynniki β dla równania regresji opisujących strukturę modelu przy założeniu występowania dwóch okresów oraz równoległych trendów.  </w:t>
      </w:r>
    </w:p>
    <w:p w14:paraId="022B0BBD" w14:textId="77777777" w:rsidR="00186400" w:rsidRDefault="00186400" w:rsidP="00217022">
      <w:pPr>
        <w:jc w:val="center"/>
        <w:rPr>
          <w:rFonts w:ascii="Times New Roman" w:hAnsi="Times New Roman" w:cs="Times New Roman"/>
          <w:b/>
          <w:bCs/>
          <w:sz w:val="28"/>
          <w:szCs w:val="28"/>
        </w:rPr>
      </w:pPr>
    </w:p>
    <w:p w14:paraId="40813894" w14:textId="0CC50F7B" w:rsidR="00217022" w:rsidRPr="00217022" w:rsidRDefault="00217022" w:rsidP="00217022">
      <w:pPr>
        <w:jc w:val="center"/>
        <w:rPr>
          <w:rFonts w:ascii="Times New Roman" w:hAnsi="Times New Roman" w:cs="Times New Roman"/>
          <w:sz w:val="28"/>
          <w:szCs w:val="28"/>
        </w:rPr>
      </w:pPr>
      <w:r w:rsidRPr="00E226AA">
        <w:rPr>
          <w:rFonts w:ascii="Times New Roman" w:hAnsi="Times New Roman" w:cs="Times New Roman"/>
          <w:b/>
          <w:bCs/>
          <w:sz w:val="28"/>
          <w:szCs w:val="28"/>
        </w:rPr>
        <w:lastRenderedPageBreak/>
        <w:t xml:space="preserve">Tabela </w:t>
      </w:r>
      <w:r w:rsidR="00160EAC">
        <w:rPr>
          <w:rFonts w:ascii="Times New Roman" w:hAnsi="Times New Roman" w:cs="Times New Roman"/>
          <w:b/>
          <w:bCs/>
          <w:sz w:val="28"/>
          <w:szCs w:val="28"/>
        </w:rPr>
        <w:t>9</w:t>
      </w:r>
      <w:r w:rsidR="00E226AA">
        <w:rPr>
          <w:rFonts w:ascii="Times New Roman" w:hAnsi="Times New Roman" w:cs="Times New Roman"/>
          <w:sz w:val="28"/>
          <w:szCs w:val="28"/>
        </w:rPr>
        <w:t>.</w:t>
      </w:r>
      <w:r w:rsidRPr="00217022">
        <w:rPr>
          <w:rFonts w:ascii="Times New Roman" w:hAnsi="Times New Roman" w:cs="Times New Roman"/>
          <w:sz w:val="28"/>
          <w:szCs w:val="28"/>
        </w:rPr>
        <w:t xml:space="preserve"> Obliczenie różnicy w różnicach (DID) za pomocą modelu regresji</w:t>
      </w:r>
    </w:p>
    <w:tbl>
      <w:tblPr>
        <w:tblStyle w:val="Tabela-Siatka1"/>
        <w:tblW w:w="0" w:type="auto"/>
        <w:tblLayout w:type="fixed"/>
        <w:tblLook w:val="04A0" w:firstRow="1" w:lastRow="0" w:firstColumn="1" w:lastColumn="0" w:noHBand="0" w:noVBand="1"/>
      </w:tblPr>
      <w:tblGrid>
        <w:gridCol w:w="1838"/>
        <w:gridCol w:w="709"/>
        <w:gridCol w:w="2171"/>
        <w:gridCol w:w="2172"/>
        <w:gridCol w:w="2172"/>
      </w:tblGrid>
      <w:tr w:rsidR="00217022" w:rsidRPr="00217022" w14:paraId="64393ABC" w14:textId="77777777" w:rsidTr="005B507C">
        <w:trPr>
          <w:trHeight w:val="680"/>
        </w:trPr>
        <w:tc>
          <w:tcPr>
            <w:tcW w:w="1838" w:type="dxa"/>
            <w:vAlign w:val="center"/>
          </w:tcPr>
          <w:p w14:paraId="38646CF1" w14:textId="77777777" w:rsidR="00217022" w:rsidRPr="00217022" w:rsidRDefault="00217022" w:rsidP="00217022">
            <w:pPr>
              <w:jc w:val="center"/>
              <w:rPr>
                <w:rFonts w:ascii="Times New Roman" w:hAnsi="Times New Roman" w:cs="Times New Roman"/>
              </w:rPr>
            </w:pPr>
            <w:r w:rsidRPr="00217022">
              <w:rPr>
                <w:rFonts w:ascii="Times New Roman" w:hAnsi="Times New Roman" w:cs="Times New Roman"/>
              </w:rPr>
              <w:t>Badany okres</w:t>
            </w:r>
          </w:p>
        </w:tc>
        <w:tc>
          <w:tcPr>
            <w:tcW w:w="709" w:type="dxa"/>
            <w:vAlign w:val="center"/>
          </w:tcPr>
          <w:p w14:paraId="7FB437F5" w14:textId="77777777" w:rsidR="00217022" w:rsidRPr="00217022" w:rsidRDefault="00217022" w:rsidP="00217022">
            <w:pPr>
              <w:jc w:val="center"/>
              <w:rPr>
                <w:rFonts w:ascii="Times New Roman" w:hAnsi="Times New Roman" w:cs="Times New Roman"/>
                <w:sz w:val="18"/>
                <w:szCs w:val="18"/>
                <w:lang w:val="en-GB"/>
              </w:rPr>
            </w:pPr>
            <w:r w:rsidRPr="00217022">
              <w:rPr>
                <w:rFonts w:ascii="Times New Roman" w:hAnsi="Times New Roman" w:cs="Times New Roman"/>
                <w:sz w:val="18"/>
                <w:szCs w:val="18"/>
                <w:lang w:val="en-GB"/>
              </w:rPr>
              <w:t>1</w:t>
            </w:r>
          </w:p>
        </w:tc>
        <w:tc>
          <w:tcPr>
            <w:tcW w:w="2171" w:type="dxa"/>
            <w:vAlign w:val="center"/>
          </w:tcPr>
          <w:p w14:paraId="3FD3AD1D" w14:textId="77777777" w:rsidR="00217022" w:rsidRPr="00217022" w:rsidRDefault="00217022" w:rsidP="00217022">
            <w:pPr>
              <w:jc w:val="center"/>
              <w:rPr>
                <w:rFonts w:ascii="Times New Roman" w:hAnsi="Times New Roman" w:cs="Times New Roman"/>
                <w:lang w:val="en-GB"/>
              </w:rPr>
            </w:pPr>
            <w:r w:rsidRPr="00217022">
              <w:rPr>
                <w:rFonts w:ascii="Times New Roman" w:hAnsi="Times New Roman" w:cs="Times New Roman"/>
                <w:lang w:val="en-GB"/>
              </w:rPr>
              <w:t xml:space="preserve">Grupa badana </w:t>
            </w:r>
            <w:r w:rsidRPr="00217022">
              <w:rPr>
                <w:rFonts w:ascii="Times New Roman" w:hAnsi="Times New Roman" w:cs="Times New Roman"/>
                <w:lang w:val="en-GB"/>
              </w:rPr>
              <w:br/>
              <w:t>(D=1)</w:t>
            </w:r>
          </w:p>
        </w:tc>
        <w:tc>
          <w:tcPr>
            <w:tcW w:w="2172" w:type="dxa"/>
            <w:vAlign w:val="center"/>
          </w:tcPr>
          <w:p w14:paraId="36A4F5CC" w14:textId="77777777" w:rsidR="00217022" w:rsidRPr="00217022" w:rsidRDefault="00217022" w:rsidP="00217022">
            <w:pPr>
              <w:jc w:val="center"/>
              <w:rPr>
                <w:rFonts w:ascii="Times New Roman" w:hAnsi="Times New Roman" w:cs="Times New Roman"/>
                <w:lang w:val="en-GB"/>
              </w:rPr>
            </w:pPr>
            <w:r w:rsidRPr="00217022">
              <w:rPr>
                <w:rFonts w:ascii="Times New Roman" w:hAnsi="Times New Roman" w:cs="Times New Roman"/>
                <w:lang w:val="en-GB"/>
              </w:rPr>
              <w:t xml:space="preserve">Grupa kontrolna </w:t>
            </w:r>
            <w:r w:rsidRPr="00217022">
              <w:rPr>
                <w:rFonts w:ascii="Times New Roman" w:hAnsi="Times New Roman" w:cs="Times New Roman"/>
                <w:lang w:val="en-GB"/>
              </w:rPr>
              <w:br/>
              <w:t>(D=0)</w:t>
            </w:r>
          </w:p>
        </w:tc>
        <w:tc>
          <w:tcPr>
            <w:tcW w:w="2172" w:type="dxa"/>
            <w:vAlign w:val="center"/>
          </w:tcPr>
          <w:p w14:paraId="717658CA" w14:textId="77777777" w:rsidR="00217022" w:rsidRPr="00217022" w:rsidRDefault="00217022" w:rsidP="00217022">
            <w:pPr>
              <w:jc w:val="center"/>
              <w:rPr>
                <w:rFonts w:ascii="Times New Roman" w:hAnsi="Times New Roman" w:cs="Times New Roman"/>
                <w:b/>
                <w:bCs/>
                <w:lang w:val="en-GB"/>
              </w:rPr>
            </w:pPr>
            <w:r w:rsidRPr="00217022">
              <w:rPr>
                <w:rFonts w:ascii="Times New Roman" w:hAnsi="Times New Roman" w:cs="Times New Roman"/>
                <w:b/>
                <w:bCs/>
                <w:lang w:val="en-GB"/>
              </w:rPr>
              <w:t>Różnica</w:t>
            </w:r>
          </w:p>
        </w:tc>
      </w:tr>
      <w:tr w:rsidR="00217022" w:rsidRPr="00217022" w14:paraId="6C6D8217" w14:textId="77777777" w:rsidTr="005B507C">
        <w:trPr>
          <w:trHeight w:val="227"/>
        </w:trPr>
        <w:tc>
          <w:tcPr>
            <w:tcW w:w="2547" w:type="dxa"/>
            <w:gridSpan w:val="2"/>
            <w:vAlign w:val="center"/>
          </w:tcPr>
          <w:p w14:paraId="028F3A28" w14:textId="77777777" w:rsidR="00217022" w:rsidRPr="00217022" w:rsidRDefault="00217022" w:rsidP="00217022">
            <w:pPr>
              <w:jc w:val="center"/>
              <w:rPr>
                <w:rFonts w:ascii="Times New Roman" w:hAnsi="Times New Roman" w:cs="Times New Roman"/>
                <w:sz w:val="18"/>
                <w:szCs w:val="18"/>
                <w:lang w:val="en-GB"/>
              </w:rPr>
            </w:pPr>
            <w:r w:rsidRPr="00217022">
              <w:rPr>
                <w:rFonts w:ascii="Times New Roman" w:hAnsi="Times New Roman" w:cs="Times New Roman"/>
                <w:sz w:val="18"/>
                <w:szCs w:val="18"/>
              </w:rPr>
              <w:t>a</w:t>
            </w:r>
          </w:p>
        </w:tc>
        <w:tc>
          <w:tcPr>
            <w:tcW w:w="2171" w:type="dxa"/>
            <w:vAlign w:val="center"/>
          </w:tcPr>
          <w:p w14:paraId="4BB6CDAC" w14:textId="77777777" w:rsidR="00217022" w:rsidRPr="00217022" w:rsidRDefault="00217022" w:rsidP="00217022">
            <w:pPr>
              <w:jc w:val="center"/>
              <w:rPr>
                <w:rFonts w:ascii="Times New Roman" w:hAnsi="Times New Roman" w:cs="Times New Roman"/>
                <w:sz w:val="18"/>
                <w:szCs w:val="18"/>
                <w:lang w:val="en-GB"/>
              </w:rPr>
            </w:pPr>
            <w:r w:rsidRPr="00217022">
              <w:rPr>
                <w:rFonts w:ascii="Times New Roman" w:hAnsi="Times New Roman" w:cs="Times New Roman"/>
                <w:sz w:val="18"/>
                <w:szCs w:val="18"/>
                <w:lang w:val="en-GB"/>
              </w:rPr>
              <w:t>b</w:t>
            </w:r>
          </w:p>
        </w:tc>
        <w:tc>
          <w:tcPr>
            <w:tcW w:w="2172" w:type="dxa"/>
            <w:vAlign w:val="center"/>
          </w:tcPr>
          <w:p w14:paraId="3EFD21B8" w14:textId="77777777" w:rsidR="00217022" w:rsidRPr="00217022" w:rsidRDefault="00217022" w:rsidP="00217022">
            <w:pPr>
              <w:jc w:val="center"/>
              <w:rPr>
                <w:rFonts w:ascii="Times New Roman" w:hAnsi="Times New Roman" w:cs="Times New Roman"/>
                <w:sz w:val="18"/>
                <w:szCs w:val="18"/>
                <w:lang w:val="en-GB"/>
              </w:rPr>
            </w:pPr>
            <w:r w:rsidRPr="00217022">
              <w:rPr>
                <w:rFonts w:ascii="Times New Roman" w:hAnsi="Times New Roman" w:cs="Times New Roman"/>
                <w:sz w:val="18"/>
                <w:szCs w:val="18"/>
                <w:lang w:val="en-GB"/>
              </w:rPr>
              <w:t>c</w:t>
            </w:r>
          </w:p>
        </w:tc>
        <w:tc>
          <w:tcPr>
            <w:tcW w:w="2172" w:type="dxa"/>
            <w:vAlign w:val="center"/>
          </w:tcPr>
          <w:p w14:paraId="10035F59" w14:textId="77777777" w:rsidR="00217022" w:rsidRPr="00217022" w:rsidRDefault="00217022" w:rsidP="00217022">
            <w:pPr>
              <w:jc w:val="center"/>
              <w:rPr>
                <w:rFonts w:ascii="Times New Roman" w:hAnsi="Times New Roman" w:cs="Times New Roman"/>
                <w:b/>
                <w:bCs/>
                <w:sz w:val="18"/>
                <w:szCs w:val="18"/>
                <w:lang w:val="en-GB"/>
              </w:rPr>
            </w:pPr>
            <w:r w:rsidRPr="00217022">
              <w:rPr>
                <w:rFonts w:ascii="Times New Roman" w:hAnsi="Times New Roman" w:cs="Times New Roman"/>
                <w:b/>
                <w:bCs/>
                <w:sz w:val="18"/>
                <w:szCs w:val="18"/>
                <w:lang w:val="en-GB"/>
              </w:rPr>
              <w:t>d=b-a</w:t>
            </w:r>
          </w:p>
        </w:tc>
      </w:tr>
      <w:tr w:rsidR="00217022" w:rsidRPr="00217022" w14:paraId="2685599D" w14:textId="77777777" w:rsidTr="000C1DED">
        <w:trPr>
          <w:trHeight w:val="789"/>
        </w:trPr>
        <w:tc>
          <w:tcPr>
            <w:tcW w:w="1838" w:type="dxa"/>
            <w:vAlign w:val="center"/>
          </w:tcPr>
          <w:p w14:paraId="4024A55D" w14:textId="77777777" w:rsidR="00217022" w:rsidRPr="00217022" w:rsidRDefault="00217022" w:rsidP="00217022">
            <w:pPr>
              <w:jc w:val="center"/>
              <w:rPr>
                <w:rFonts w:ascii="Times New Roman" w:hAnsi="Times New Roman" w:cs="Times New Roman"/>
              </w:rPr>
            </w:pPr>
            <w:r w:rsidRPr="00217022">
              <w:rPr>
                <w:rFonts w:ascii="Times New Roman" w:hAnsi="Times New Roman" w:cs="Times New Roman"/>
              </w:rPr>
              <w:t>Okres po interwencji (t)</w:t>
            </w:r>
          </w:p>
        </w:tc>
        <w:tc>
          <w:tcPr>
            <w:tcW w:w="709" w:type="dxa"/>
            <w:vAlign w:val="center"/>
          </w:tcPr>
          <w:p w14:paraId="58E8C81C" w14:textId="77777777" w:rsidR="00217022" w:rsidRPr="00217022" w:rsidRDefault="00217022" w:rsidP="00217022">
            <w:pPr>
              <w:jc w:val="center"/>
              <w:rPr>
                <w:rFonts w:ascii="Times New Roman" w:hAnsi="Times New Roman" w:cs="Times New Roman"/>
                <w:sz w:val="18"/>
                <w:szCs w:val="18"/>
              </w:rPr>
            </w:pPr>
            <w:r w:rsidRPr="00217022">
              <w:rPr>
                <w:rFonts w:ascii="Times New Roman" w:hAnsi="Times New Roman" w:cs="Times New Roman"/>
                <w:sz w:val="18"/>
                <w:szCs w:val="18"/>
              </w:rPr>
              <w:t>2</w:t>
            </w:r>
          </w:p>
        </w:tc>
        <w:tc>
          <w:tcPr>
            <w:tcW w:w="2171" w:type="dxa"/>
            <w:vAlign w:val="center"/>
          </w:tcPr>
          <w:p w14:paraId="7551C684" w14:textId="77777777" w:rsidR="00217022" w:rsidRPr="00217022" w:rsidRDefault="00217022" w:rsidP="00217022">
            <w:pPr>
              <w:jc w:val="center"/>
              <w:rPr>
                <w:rFonts w:ascii="Times New Roman" w:hAnsi="Times New Roman" w:cs="Times New Roman"/>
              </w:rPr>
            </w:pPr>
            <w:r w:rsidRPr="00217022">
              <w:rPr>
                <w:rFonts w:ascii="Times New Roman" w:hAnsi="Times New Roman" w:cs="Times New Roman"/>
              </w:rPr>
              <w:t>β</w:t>
            </w:r>
            <w:r w:rsidRPr="00217022">
              <w:rPr>
                <w:rFonts w:ascii="Times New Roman" w:hAnsi="Times New Roman" w:cs="Times New Roman"/>
                <w:vertAlign w:val="subscript"/>
              </w:rPr>
              <w:t>0</w:t>
            </w:r>
            <w:r w:rsidRPr="00217022">
              <w:rPr>
                <w:rFonts w:ascii="Times New Roman" w:hAnsi="Times New Roman" w:cs="Times New Roman"/>
              </w:rPr>
              <w:t xml:space="preserve"> +</w:t>
            </w:r>
            <w:r w:rsidRPr="00217022">
              <w:t xml:space="preserve"> </w:t>
            </w:r>
            <w:r w:rsidRPr="00217022">
              <w:rPr>
                <w:rFonts w:ascii="Times New Roman" w:hAnsi="Times New Roman" w:cs="Times New Roman"/>
              </w:rPr>
              <w:t>β</w:t>
            </w:r>
            <w:r w:rsidRPr="00217022">
              <w:rPr>
                <w:rFonts w:ascii="Times New Roman" w:hAnsi="Times New Roman" w:cs="Times New Roman"/>
                <w:vertAlign w:val="subscript"/>
              </w:rPr>
              <w:t>1</w:t>
            </w:r>
            <w:r w:rsidRPr="00217022">
              <w:rPr>
                <w:rFonts w:ascii="Times New Roman" w:hAnsi="Times New Roman" w:cs="Times New Roman"/>
              </w:rPr>
              <w:t xml:space="preserve"> +</w:t>
            </w:r>
            <w:r w:rsidRPr="00217022">
              <w:t xml:space="preserve"> </w:t>
            </w:r>
            <w:r w:rsidRPr="00217022">
              <w:rPr>
                <w:rFonts w:ascii="Times New Roman" w:hAnsi="Times New Roman" w:cs="Times New Roman"/>
              </w:rPr>
              <w:t>β</w:t>
            </w:r>
            <w:r w:rsidRPr="00217022">
              <w:rPr>
                <w:rFonts w:ascii="Times New Roman" w:hAnsi="Times New Roman" w:cs="Times New Roman"/>
                <w:vertAlign w:val="subscript"/>
              </w:rPr>
              <w:t>2</w:t>
            </w:r>
            <w:r w:rsidRPr="00217022">
              <w:rPr>
                <w:rFonts w:ascii="Times New Roman" w:hAnsi="Times New Roman" w:cs="Times New Roman"/>
              </w:rPr>
              <w:t xml:space="preserve"> +</w:t>
            </w:r>
            <w:r w:rsidRPr="00217022">
              <w:t xml:space="preserve"> </w:t>
            </w:r>
            <w:r w:rsidRPr="00217022">
              <w:rPr>
                <w:rFonts w:ascii="Times New Roman" w:hAnsi="Times New Roman" w:cs="Times New Roman"/>
              </w:rPr>
              <w:t>β</w:t>
            </w:r>
            <w:r w:rsidRPr="00217022">
              <w:rPr>
                <w:rFonts w:ascii="Times New Roman" w:hAnsi="Times New Roman" w:cs="Times New Roman"/>
                <w:vertAlign w:val="subscript"/>
              </w:rPr>
              <w:t>3</w:t>
            </w:r>
          </w:p>
        </w:tc>
        <w:tc>
          <w:tcPr>
            <w:tcW w:w="2172" w:type="dxa"/>
            <w:vAlign w:val="center"/>
          </w:tcPr>
          <w:p w14:paraId="5D39A8D1" w14:textId="77777777" w:rsidR="00217022" w:rsidRPr="00217022" w:rsidRDefault="00217022" w:rsidP="00217022">
            <w:pPr>
              <w:jc w:val="center"/>
              <w:rPr>
                <w:rFonts w:ascii="Times New Roman" w:hAnsi="Times New Roman" w:cs="Times New Roman"/>
              </w:rPr>
            </w:pPr>
            <w:r w:rsidRPr="00217022">
              <w:rPr>
                <w:rFonts w:ascii="Times New Roman" w:hAnsi="Times New Roman" w:cs="Times New Roman"/>
              </w:rPr>
              <w:t>β</w:t>
            </w:r>
            <w:r w:rsidRPr="00217022">
              <w:rPr>
                <w:rFonts w:ascii="Times New Roman" w:hAnsi="Times New Roman" w:cs="Times New Roman"/>
                <w:vertAlign w:val="subscript"/>
              </w:rPr>
              <w:t>0</w:t>
            </w:r>
            <w:r w:rsidRPr="00217022">
              <w:rPr>
                <w:rFonts w:ascii="Times New Roman" w:hAnsi="Times New Roman" w:cs="Times New Roman"/>
              </w:rPr>
              <w:t xml:space="preserve"> +</w:t>
            </w:r>
            <w:r w:rsidRPr="00217022">
              <w:t xml:space="preserve"> </w:t>
            </w:r>
            <w:r w:rsidRPr="00217022">
              <w:rPr>
                <w:rFonts w:ascii="Times New Roman" w:hAnsi="Times New Roman" w:cs="Times New Roman"/>
              </w:rPr>
              <w:t>β</w:t>
            </w:r>
            <w:r w:rsidRPr="00217022">
              <w:rPr>
                <w:rFonts w:ascii="Times New Roman" w:hAnsi="Times New Roman" w:cs="Times New Roman"/>
                <w:vertAlign w:val="subscript"/>
              </w:rPr>
              <w:t>1</w:t>
            </w:r>
            <w:r w:rsidRPr="00217022">
              <w:rPr>
                <w:rFonts w:ascii="Times New Roman" w:hAnsi="Times New Roman" w:cs="Times New Roman"/>
              </w:rPr>
              <w:t xml:space="preserve"> </w:t>
            </w:r>
          </w:p>
        </w:tc>
        <w:tc>
          <w:tcPr>
            <w:tcW w:w="2172" w:type="dxa"/>
            <w:vAlign w:val="center"/>
          </w:tcPr>
          <w:p w14:paraId="080E454D" w14:textId="77777777" w:rsidR="00217022" w:rsidRPr="00217022" w:rsidRDefault="00217022" w:rsidP="00217022">
            <w:pPr>
              <w:jc w:val="center"/>
              <w:rPr>
                <w:rFonts w:ascii="Times New Roman" w:hAnsi="Times New Roman" w:cs="Times New Roman"/>
                <w:b/>
                <w:bCs/>
              </w:rPr>
            </w:pPr>
            <w:r w:rsidRPr="00217022">
              <w:rPr>
                <w:rFonts w:ascii="Times New Roman" w:hAnsi="Times New Roman" w:cs="Times New Roman"/>
                <w:b/>
                <w:bCs/>
              </w:rPr>
              <w:t>β</w:t>
            </w:r>
            <w:r w:rsidRPr="00217022">
              <w:rPr>
                <w:rFonts w:ascii="Times New Roman" w:hAnsi="Times New Roman" w:cs="Times New Roman"/>
                <w:b/>
                <w:bCs/>
                <w:vertAlign w:val="subscript"/>
              </w:rPr>
              <w:t>2</w:t>
            </w:r>
            <w:r w:rsidRPr="00217022">
              <w:rPr>
                <w:rFonts w:ascii="Times New Roman" w:hAnsi="Times New Roman" w:cs="Times New Roman"/>
                <w:b/>
                <w:bCs/>
              </w:rPr>
              <w:t xml:space="preserve"> +</w:t>
            </w:r>
            <w:r w:rsidRPr="00217022">
              <w:rPr>
                <w:b/>
                <w:bCs/>
              </w:rPr>
              <w:t xml:space="preserve"> </w:t>
            </w:r>
            <w:r w:rsidRPr="00217022">
              <w:rPr>
                <w:rFonts w:ascii="Times New Roman" w:hAnsi="Times New Roman" w:cs="Times New Roman"/>
                <w:b/>
                <w:bCs/>
              </w:rPr>
              <w:t>β</w:t>
            </w:r>
            <w:r w:rsidRPr="00217022">
              <w:rPr>
                <w:rFonts w:ascii="Times New Roman" w:hAnsi="Times New Roman" w:cs="Times New Roman"/>
                <w:b/>
                <w:bCs/>
                <w:vertAlign w:val="subscript"/>
              </w:rPr>
              <w:t>3</w:t>
            </w:r>
          </w:p>
        </w:tc>
      </w:tr>
      <w:tr w:rsidR="00217022" w:rsidRPr="00217022" w14:paraId="35AE6262" w14:textId="77777777" w:rsidTr="005D3575">
        <w:trPr>
          <w:trHeight w:val="850"/>
        </w:trPr>
        <w:tc>
          <w:tcPr>
            <w:tcW w:w="1838" w:type="dxa"/>
            <w:vAlign w:val="center"/>
          </w:tcPr>
          <w:p w14:paraId="64CBB02D" w14:textId="77777777" w:rsidR="00217022" w:rsidRPr="00217022" w:rsidRDefault="00217022" w:rsidP="00217022">
            <w:pPr>
              <w:jc w:val="center"/>
              <w:rPr>
                <w:rFonts w:ascii="Times New Roman" w:hAnsi="Times New Roman" w:cs="Times New Roman"/>
              </w:rPr>
            </w:pPr>
            <w:r w:rsidRPr="00217022">
              <w:rPr>
                <w:rFonts w:ascii="Times New Roman" w:hAnsi="Times New Roman" w:cs="Times New Roman"/>
              </w:rPr>
              <w:t>Okres przed interwencją (t-1)</w:t>
            </w:r>
          </w:p>
        </w:tc>
        <w:tc>
          <w:tcPr>
            <w:tcW w:w="709" w:type="dxa"/>
            <w:vAlign w:val="center"/>
          </w:tcPr>
          <w:p w14:paraId="7532ADDF" w14:textId="77777777" w:rsidR="00217022" w:rsidRPr="00217022" w:rsidRDefault="00217022" w:rsidP="00217022">
            <w:pPr>
              <w:jc w:val="center"/>
              <w:rPr>
                <w:rFonts w:ascii="Times New Roman" w:hAnsi="Times New Roman" w:cs="Times New Roman"/>
                <w:sz w:val="18"/>
                <w:szCs w:val="18"/>
              </w:rPr>
            </w:pPr>
            <w:r w:rsidRPr="00217022">
              <w:rPr>
                <w:rFonts w:ascii="Times New Roman" w:hAnsi="Times New Roman" w:cs="Times New Roman"/>
                <w:sz w:val="18"/>
                <w:szCs w:val="18"/>
              </w:rPr>
              <w:t>3</w:t>
            </w:r>
          </w:p>
        </w:tc>
        <w:tc>
          <w:tcPr>
            <w:tcW w:w="2171" w:type="dxa"/>
            <w:vAlign w:val="center"/>
          </w:tcPr>
          <w:p w14:paraId="34454A0F" w14:textId="77777777" w:rsidR="00217022" w:rsidRPr="00217022" w:rsidRDefault="00217022" w:rsidP="00217022">
            <w:pPr>
              <w:jc w:val="center"/>
              <w:rPr>
                <w:rFonts w:ascii="Times New Roman" w:hAnsi="Times New Roman" w:cs="Times New Roman"/>
              </w:rPr>
            </w:pPr>
            <w:r w:rsidRPr="00217022">
              <w:rPr>
                <w:rFonts w:ascii="Times New Roman" w:hAnsi="Times New Roman" w:cs="Times New Roman"/>
              </w:rPr>
              <w:t>β</w:t>
            </w:r>
            <w:r w:rsidRPr="00217022">
              <w:rPr>
                <w:rFonts w:ascii="Times New Roman" w:hAnsi="Times New Roman" w:cs="Times New Roman"/>
                <w:vertAlign w:val="subscript"/>
              </w:rPr>
              <w:t>0</w:t>
            </w:r>
            <w:r w:rsidRPr="00217022">
              <w:rPr>
                <w:rFonts w:ascii="Times New Roman" w:hAnsi="Times New Roman" w:cs="Times New Roman"/>
              </w:rPr>
              <w:t xml:space="preserve"> +β</w:t>
            </w:r>
            <w:r w:rsidRPr="00217022">
              <w:rPr>
                <w:rFonts w:ascii="Times New Roman" w:hAnsi="Times New Roman" w:cs="Times New Roman"/>
                <w:vertAlign w:val="subscript"/>
              </w:rPr>
              <w:t>2</w:t>
            </w:r>
          </w:p>
        </w:tc>
        <w:tc>
          <w:tcPr>
            <w:tcW w:w="2172" w:type="dxa"/>
            <w:vAlign w:val="center"/>
          </w:tcPr>
          <w:p w14:paraId="6136F9A3" w14:textId="77777777" w:rsidR="00217022" w:rsidRPr="00217022" w:rsidRDefault="00217022" w:rsidP="00217022">
            <w:pPr>
              <w:jc w:val="center"/>
              <w:rPr>
                <w:rFonts w:ascii="Times New Roman" w:hAnsi="Times New Roman" w:cs="Times New Roman"/>
              </w:rPr>
            </w:pPr>
            <w:r w:rsidRPr="00217022">
              <w:rPr>
                <w:rFonts w:ascii="Times New Roman" w:hAnsi="Times New Roman" w:cs="Times New Roman"/>
              </w:rPr>
              <w:t>β</w:t>
            </w:r>
            <w:r w:rsidRPr="00217022">
              <w:rPr>
                <w:rFonts w:ascii="Times New Roman" w:hAnsi="Times New Roman" w:cs="Times New Roman"/>
                <w:vertAlign w:val="subscript"/>
              </w:rPr>
              <w:t>0</w:t>
            </w:r>
            <w:r w:rsidRPr="00217022">
              <w:rPr>
                <w:rFonts w:ascii="Times New Roman" w:hAnsi="Times New Roman" w:cs="Times New Roman"/>
              </w:rPr>
              <w:t xml:space="preserve"> </w:t>
            </w:r>
          </w:p>
        </w:tc>
        <w:tc>
          <w:tcPr>
            <w:tcW w:w="2172" w:type="dxa"/>
            <w:vAlign w:val="center"/>
          </w:tcPr>
          <w:p w14:paraId="1513DA67" w14:textId="77777777" w:rsidR="00217022" w:rsidRPr="00217022" w:rsidRDefault="00217022" w:rsidP="00217022">
            <w:pPr>
              <w:jc w:val="center"/>
              <w:rPr>
                <w:rFonts w:ascii="Times New Roman" w:hAnsi="Times New Roman" w:cs="Times New Roman"/>
                <w:b/>
                <w:bCs/>
              </w:rPr>
            </w:pPr>
            <w:r w:rsidRPr="00217022">
              <w:rPr>
                <w:rFonts w:ascii="Times New Roman" w:hAnsi="Times New Roman" w:cs="Times New Roman"/>
                <w:b/>
                <w:bCs/>
              </w:rPr>
              <w:t>β</w:t>
            </w:r>
            <w:r w:rsidRPr="00217022">
              <w:rPr>
                <w:rFonts w:ascii="Times New Roman" w:hAnsi="Times New Roman" w:cs="Times New Roman"/>
                <w:b/>
                <w:bCs/>
                <w:vertAlign w:val="subscript"/>
              </w:rPr>
              <w:t>2</w:t>
            </w:r>
          </w:p>
        </w:tc>
      </w:tr>
      <w:tr w:rsidR="00217022" w:rsidRPr="00217022" w14:paraId="33AFCE9D" w14:textId="77777777" w:rsidTr="005B507C">
        <w:trPr>
          <w:trHeight w:val="454"/>
        </w:trPr>
        <w:tc>
          <w:tcPr>
            <w:tcW w:w="1838" w:type="dxa"/>
            <w:vAlign w:val="center"/>
          </w:tcPr>
          <w:p w14:paraId="7E010F95" w14:textId="77777777" w:rsidR="00217022" w:rsidRPr="00217022" w:rsidRDefault="00217022" w:rsidP="00217022">
            <w:pPr>
              <w:jc w:val="center"/>
              <w:rPr>
                <w:rFonts w:ascii="Times New Roman" w:hAnsi="Times New Roman" w:cs="Times New Roman"/>
                <w:b/>
                <w:bCs/>
              </w:rPr>
            </w:pPr>
            <w:r w:rsidRPr="00217022">
              <w:rPr>
                <w:rFonts w:ascii="Times New Roman" w:hAnsi="Times New Roman" w:cs="Times New Roman"/>
                <w:b/>
                <w:bCs/>
              </w:rPr>
              <w:t xml:space="preserve">Różnica </w:t>
            </w:r>
          </w:p>
        </w:tc>
        <w:tc>
          <w:tcPr>
            <w:tcW w:w="709" w:type="dxa"/>
            <w:vAlign w:val="center"/>
          </w:tcPr>
          <w:p w14:paraId="09BFB9FF" w14:textId="77777777" w:rsidR="00217022" w:rsidRPr="00217022" w:rsidRDefault="00217022" w:rsidP="00217022">
            <w:pPr>
              <w:jc w:val="center"/>
              <w:rPr>
                <w:rFonts w:ascii="Times New Roman" w:eastAsia="Aptos" w:hAnsi="Times New Roman" w:cs="Times New Roman"/>
                <w:iCs/>
                <w:sz w:val="18"/>
                <w:szCs w:val="18"/>
                <w:lang w:val="en-GB"/>
              </w:rPr>
            </w:pPr>
            <w:r w:rsidRPr="00217022">
              <w:rPr>
                <w:rFonts w:ascii="Times New Roman" w:eastAsia="Aptos" w:hAnsi="Times New Roman" w:cs="Times New Roman"/>
                <w:iCs/>
                <w:sz w:val="18"/>
                <w:szCs w:val="18"/>
                <w:lang w:val="en-GB"/>
              </w:rPr>
              <w:t>4=2-3</w:t>
            </w:r>
          </w:p>
        </w:tc>
        <w:tc>
          <w:tcPr>
            <w:tcW w:w="2171" w:type="dxa"/>
            <w:vAlign w:val="center"/>
          </w:tcPr>
          <w:p w14:paraId="1B4F30A6" w14:textId="77777777" w:rsidR="00217022" w:rsidRPr="00217022" w:rsidRDefault="00217022" w:rsidP="00217022">
            <w:pPr>
              <w:jc w:val="center"/>
              <w:rPr>
                <w:rFonts w:ascii="Times New Roman" w:eastAsia="Aptos" w:hAnsi="Times New Roman" w:cs="Times New Roman"/>
                <w:b/>
                <w:bCs/>
                <w:iCs/>
                <w:lang w:val="en-GB"/>
              </w:rPr>
            </w:pPr>
            <w:r w:rsidRPr="00217022">
              <w:rPr>
                <w:rFonts w:ascii="Times New Roman" w:hAnsi="Times New Roman" w:cs="Times New Roman"/>
                <w:b/>
                <w:bCs/>
              </w:rPr>
              <w:t>β</w:t>
            </w:r>
            <w:r w:rsidRPr="00217022">
              <w:rPr>
                <w:rFonts w:ascii="Times New Roman" w:hAnsi="Times New Roman" w:cs="Times New Roman"/>
                <w:b/>
                <w:bCs/>
                <w:vertAlign w:val="subscript"/>
              </w:rPr>
              <w:t>1</w:t>
            </w:r>
            <w:r w:rsidRPr="00217022">
              <w:rPr>
                <w:rFonts w:ascii="Times New Roman" w:hAnsi="Times New Roman" w:cs="Times New Roman"/>
                <w:b/>
                <w:bCs/>
              </w:rPr>
              <w:t xml:space="preserve"> + β</w:t>
            </w:r>
            <w:r w:rsidRPr="00217022">
              <w:rPr>
                <w:rFonts w:ascii="Times New Roman" w:hAnsi="Times New Roman" w:cs="Times New Roman"/>
                <w:b/>
                <w:bCs/>
                <w:vertAlign w:val="subscript"/>
              </w:rPr>
              <w:t>3</w:t>
            </w:r>
          </w:p>
        </w:tc>
        <w:tc>
          <w:tcPr>
            <w:tcW w:w="2172" w:type="dxa"/>
            <w:vAlign w:val="center"/>
          </w:tcPr>
          <w:p w14:paraId="480A0EF2" w14:textId="77777777" w:rsidR="00217022" w:rsidRPr="00217022" w:rsidRDefault="00217022" w:rsidP="00217022">
            <w:pPr>
              <w:jc w:val="center"/>
              <w:rPr>
                <w:rFonts w:ascii="Times New Roman" w:eastAsia="Aptos" w:hAnsi="Times New Roman" w:cs="Times New Roman"/>
                <w:b/>
                <w:bCs/>
                <w:iCs/>
                <w:lang w:val="en-GB"/>
              </w:rPr>
            </w:pPr>
            <w:r w:rsidRPr="00217022">
              <w:rPr>
                <w:rFonts w:ascii="Times New Roman" w:hAnsi="Times New Roman" w:cs="Times New Roman"/>
                <w:b/>
                <w:bCs/>
              </w:rPr>
              <w:t>β</w:t>
            </w:r>
            <w:r w:rsidRPr="00217022">
              <w:rPr>
                <w:rFonts w:ascii="Times New Roman" w:hAnsi="Times New Roman" w:cs="Times New Roman"/>
                <w:b/>
                <w:bCs/>
                <w:vertAlign w:val="subscript"/>
              </w:rPr>
              <w:t>1</w:t>
            </w:r>
          </w:p>
        </w:tc>
        <w:tc>
          <w:tcPr>
            <w:tcW w:w="2172" w:type="dxa"/>
            <w:vAlign w:val="center"/>
          </w:tcPr>
          <w:p w14:paraId="44EC2E0F" w14:textId="77777777" w:rsidR="00217022" w:rsidRPr="00217022" w:rsidRDefault="00217022" w:rsidP="00217022">
            <w:pPr>
              <w:jc w:val="center"/>
              <w:rPr>
                <w:rFonts w:ascii="Times New Roman" w:eastAsia="Aptos" w:hAnsi="Times New Roman" w:cs="Times New Roman"/>
                <w:b/>
                <w:bCs/>
                <w:iCs/>
                <w:lang w:val="en-GB"/>
              </w:rPr>
            </w:pPr>
            <w:r w:rsidRPr="00217022">
              <w:rPr>
                <w:rFonts w:ascii="Times New Roman" w:eastAsia="Aptos" w:hAnsi="Times New Roman" w:cs="Times New Roman"/>
                <w:b/>
                <w:bCs/>
                <w:iCs/>
              </w:rPr>
              <w:t>β</w:t>
            </w:r>
            <w:r w:rsidRPr="00217022">
              <w:rPr>
                <w:rFonts w:ascii="Times New Roman" w:eastAsia="Aptos" w:hAnsi="Times New Roman" w:cs="Times New Roman"/>
                <w:b/>
                <w:bCs/>
                <w:iCs/>
                <w:vertAlign w:val="subscript"/>
              </w:rPr>
              <w:t>3</w:t>
            </w:r>
          </w:p>
        </w:tc>
      </w:tr>
    </w:tbl>
    <w:p w14:paraId="7A963CB7" w14:textId="77777777" w:rsidR="00217022" w:rsidRPr="00217022" w:rsidRDefault="00217022" w:rsidP="00217022">
      <w:pPr>
        <w:spacing w:before="120" w:after="0"/>
        <w:jc w:val="both"/>
        <w:rPr>
          <w:rFonts w:ascii="Times New Roman" w:hAnsi="Times New Roman" w:cs="Times New Roman"/>
          <w:i/>
          <w:iCs/>
        </w:rPr>
      </w:pPr>
      <w:r w:rsidRPr="00217022">
        <w:rPr>
          <w:rFonts w:ascii="Times New Roman" w:hAnsi="Times New Roman" w:cs="Times New Roman"/>
          <w:i/>
          <w:iCs/>
          <w:lang w:val="en-GB"/>
        </w:rPr>
        <w:t xml:space="preserve">Źródło: opracowano na podstawie Villa, J. M. (2016). diff: Simplifying the estimation of difference-in-differences treatment effects. </w:t>
      </w:r>
      <w:r w:rsidRPr="00217022">
        <w:rPr>
          <w:rFonts w:ascii="Times New Roman" w:hAnsi="Times New Roman" w:cs="Times New Roman"/>
          <w:i/>
          <w:iCs/>
        </w:rPr>
        <w:t xml:space="preserve">The Stata Journal, 16(1), 52-71. </w:t>
      </w:r>
    </w:p>
    <w:bookmarkStart w:id="23" w:name="_Hlk181789314"/>
    <w:p w14:paraId="66DD4638" w14:textId="0018FDBC" w:rsidR="00217022" w:rsidRPr="00217022" w:rsidRDefault="000C1DED" w:rsidP="00B509C5">
      <w:pPr>
        <w:spacing w:before="240"/>
        <w:rPr>
          <w:rFonts w:ascii="Times New Roman" w:hAnsi="Times New Roman" w:cs="Times New Roman"/>
          <w:sz w:val="28"/>
          <w:szCs w:val="28"/>
        </w:rPr>
      </w:pPr>
      <w:r w:rsidRPr="00E226AA">
        <w:rPr>
          <w:rFonts w:ascii="Times New Roman" w:hAnsi="Times New Roman" w:cs="Times New Roman"/>
          <w:b/>
          <w:bCs/>
          <w:noProof/>
          <w:sz w:val="28"/>
          <w:szCs w:val="28"/>
        </w:rPr>
        <mc:AlternateContent>
          <mc:Choice Requires="wpc">
            <w:drawing>
              <wp:anchor distT="0" distB="0" distL="114300" distR="114300" simplePos="0" relativeHeight="251763712" behindDoc="0" locked="0" layoutInCell="1" allowOverlap="1" wp14:anchorId="64F49972" wp14:editId="102148DC">
                <wp:simplePos x="0" y="0"/>
                <wp:positionH relativeFrom="column">
                  <wp:posOffset>0</wp:posOffset>
                </wp:positionH>
                <wp:positionV relativeFrom="paragraph">
                  <wp:posOffset>326491</wp:posOffset>
                </wp:positionV>
                <wp:extent cx="5969000" cy="3982720"/>
                <wp:effectExtent l="0" t="0" r="0" b="5789930"/>
                <wp:wrapNone/>
                <wp:docPr id="1227290546" name="Kanw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18527179" name="Rectangle 5"/>
                        <wps:cNvSpPr>
                          <a:spLocks noChangeArrowheads="1"/>
                        </wps:cNvSpPr>
                        <wps:spPr bwMode="auto">
                          <a:xfrm>
                            <a:off x="240112" y="0"/>
                            <a:ext cx="8572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CBB36" w14:textId="77777777" w:rsidR="00217022" w:rsidRDefault="00217022" w:rsidP="00217022"/>
                          </w:txbxContent>
                        </wps:txbx>
                        <wps:bodyPr rot="0" vert="horz" wrap="none" lIns="0" tIns="0" rIns="0" bIns="0" anchor="t" anchorCtr="0">
                          <a:spAutoFit/>
                        </wps:bodyPr>
                      </wps:wsp>
                      <wps:wsp>
                        <wps:cNvPr id="1169795492" name="Freeform 18"/>
                        <wps:cNvSpPr>
                          <a:spLocks noEditPoints="1"/>
                        </wps:cNvSpPr>
                        <wps:spPr bwMode="auto">
                          <a:xfrm>
                            <a:off x="699217" y="613410"/>
                            <a:ext cx="71755" cy="2961005"/>
                          </a:xfrm>
                          <a:custGeom>
                            <a:avLst/>
                            <a:gdLst>
                              <a:gd name="T0" fmla="*/ 66 w 113"/>
                              <a:gd name="T1" fmla="*/ 4663 h 4663"/>
                              <a:gd name="T2" fmla="*/ 66 w 113"/>
                              <a:gd name="T3" fmla="*/ 94 h 4663"/>
                              <a:gd name="T4" fmla="*/ 47 w 113"/>
                              <a:gd name="T5" fmla="*/ 94 h 4663"/>
                              <a:gd name="T6" fmla="*/ 47 w 113"/>
                              <a:gd name="T7" fmla="*/ 4663 h 4663"/>
                              <a:gd name="T8" fmla="*/ 66 w 113"/>
                              <a:gd name="T9" fmla="*/ 4663 h 4663"/>
                              <a:gd name="T10" fmla="*/ 113 w 113"/>
                              <a:gd name="T11" fmla="*/ 113 h 4663"/>
                              <a:gd name="T12" fmla="*/ 56 w 113"/>
                              <a:gd name="T13" fmla="*/ 0 h 4663"/>
                              <a:gd name="T14" fmla="*/ 0 w 113"/>
                              <a:gd name="T15" fmla="*/ 113 h 4663"/>
                              <a:gd name="T16" fmla="*/ 113 w 113"/>
                              <a:gd name="T17" fmla="*/ 113 h 4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 h="4663">
                                <a:moveTo>
                                  <a:pt x="66" y="4663"/>
                                </a:moveTo>
                                <a:lnTo>
                                  <a:pt x="66" y="94"/>
                                </a:lnTo>
                                <a:lnTo>
                                  <a:pt x="47" y="94"/>
                                </a:lnTo>
                                <a:lnTo>
                                  <a:pt x="47" y="4663"/>
                                </a:lnTo>
                                <a:lnTo>
                                  <a:pt x="66" y="4663"/>
                                </a:lnTo>
                                <a:close/>
                                <a:moveTo>
                                  <a:pt x="113" y="113"/>
                                </a:moveTo>
                                <a:lnTo>
                                  <a:pt x="56" y="0"/>
                                </a:lnTo>
                                <a:lnTo>
                                  <a:pt x="0" y="113"/>
                                </a:lnTo>
                                <a:lnTo>
                                  <a:pt x="113" y="113"/>
                                </a:lnTo>
                                <a:close/>
                              </a:path>
                            </a:pathLst>
                          </a:custGeom>
                          <a:solidFill>
                            <a:srgbClr val="156082"/>
                          </a:solidFill>
                          <a:ln w="0" cap="flat">
                            <a:solidFill>
                              <a:srgbClr val="156082"/>
                            </a:solidFill>
                            <a:prstDash val="solid"/>
                            <a:round/>
                            <a:headEnd/>
                            <a:tailEnd/>
                          </a:ln>
                        </wps:spPr>
                        <wps:bodyPr rot="0" vert="horz" wrap="square" lIns="91440" tIns="45720" rIns="91440" bIns="45720" anchor="t" anchorCtr="0" upright="1">
                          <a:noAutofit/>
                        </wps:bodyPr>
                      </wps:wsp>
                      <wps:wsp>
                        <wps:cNvPr id="1463630794" name="Freeform 19"/>
                        <wps:cNvSpPr>
                          <a:spLocks noEditPoints="1"/>
                        </wps:cNvSpPr>
                        <wps:spPr bwMode="auto">
                          <a:xfrm>
                            <a:off x="729062" y="3500755"/>
                            <a:ext cx="5099685" cy="83185"/>
                          </a:xfrm>
                          <a:custGeom>
                            <a:avLst/>
                            <a:gdLst>
                              <a:gd name="T0" fmla="*/ 0 w 8031"/>
                              <a:gd name="T1" fmla="*/ 131 h 131"/>
                              <a:gd name="T2" fmla="*/ 7937 w 8031"/>
                              <a:gd name="T3" fmla="*/ 66 h 131"/>
                              <a:gd name="T4" fmla="*/ 7936 w 8031"/>
                              <a:gd name="T5" fmla="*/ 47 h 131"/>
                              <a:gd name="T6" fmla="*/ 0 w 8031"/>
                              <a:gd name="T7" fmla="*/ 113 h 131"/>
                              <a:gd name="T8" fmla="*/ 0 w 8031"/>
                              <a:gd name="T9" fmla="*/ 131 h 131"/>
                              <a:gd name="T10" fmla="*/ 7918 w 8031"/>
                              <a:gd name="T11" fmla="*/ 113 h 131"/>
                              <a:gd name="T12" fmla="*/ 8031 w 8031"/>
                              <a:gd name="T13" fmla="*/ 55 h 131"/>
                              <a:gd name="T14" fmla="*/ 7917 w 8031"/>
                              <a:gd name="T15" fmla="*/ 0 h 131"/>
                              <a:gd name="T16" fmla="*/ 7918 w 8031"/>
                              <a:gd name="T17" fmla="*/ 113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31" h="131">
                                <a:moveTo>
                                  <a:pt x="0" y="131"/>
                                </a:moveTo>
                                <a:lnTo>
                                  <a:pt x="7937" y="66"/>
                                </a:lnTo>
                                <a:lnTo>
                                  <a:pt x="7936" y="47"/>
                                </a:lnTo>
                                <a:lnTo>
                                  <a:pt x="0" y="113"/>
                                </a:lnTo>
                                <a:lnTo>
                                  <a:pt x="0" y="131"/>
                                </a:lnTo>
                                <a:close/>
                                <a:moveTo>
                                  <a:pt x="7918" y="113"/>
                                </a:moveTo>
                                <a:lnTo>
                                  <a:pt x="8031" y="55"/>
                                </a:lnTo>
                                <a:lnTo>
                                  <a:pt x="7917" y="0"/>
                                </a:lnTo>
                                <a:lnTo>
                                  <a:pt x="7918" y="113"/>
                                </a:lnTo>
                                <a:close/>
                              </a:path>
                            </a:pathLst>
                          </a:custGeom>
                          <a:solidFill>
                            <a:srgbClr val="156082"/>
                          </a:solidFill>
                          <a:ln w="0" cap="flat">
                            <a:solidFill>
                              <a:srgbClr val="156082"/>
                            </a:solidFill>
                            <a:prstDash val="solid"/>
                            <a:round/>
                            <a:headEnd/>
                            <a:tailEnd/>
                          </a:ln>
                        </wps:spPr>
                        <wps:bodyPr rot="0" vert="horz" wrap="square" lIns="91440" tIns="45720" rIns="91440" bIns="45720" anchor="t" anchorCtr="0" upright="1">
                          <a:noAutofit/>
                        </wps:bodyPr>
                      </wps:wsp>
                      <wps:wsp>
                        <wps:cNvPr id="1705228575" name="Line 26"/>
                        <wps:cNvCnPr>
                          <a:cxnSpLocks noChangeShapeType="1"/>
                        </wps:cNvCnPr>
                        <wps:spPr bwMode="auto">
                          <a:xfrm flipV="1">
                            <a:off x="3011107" y="1429385"/>
                            <a:ext cx="1548000" cy="449580"/>
                          </a:xfrm>
                          <a:prstGeom prst="line">
                            <a:avLst/>
                          </a:prstGeom>
                          <a:noFill/>
                          <a:ln w="14605" cap="flat">
                            <a:solidFill>
                              <a:srgbClr val="FFC000"/>
                            </a:solidFill>
                            <a:prstDash val="sysDash"/>
                            <a:miter lim="800000"/>
                            <a:headEnd/>
                            <a:tailEnd/>
                          </a:ln>
                          <a:extLst>
                            <a:ext uri="{909E8E84-426E-40DD-AFC4-6F175D3DCCD1}">
                              <a14:hiddenFill xmlns:a14="http://schemas.microsoft.com/office/drawing/2010/main">
                                <a:noFill/>
                              </a14:hiddenFill>
                            </a:ext>
                          </a:extLst>
                        </wps:spPr>
                        <wps:bodyPr/>
                      </wps:wsp>
                      <wps:wsp>
                        <wps:cNvPr id="849013951" name="Freeform 28"/>
                        <wps:cNvSpPr>
                          <a:spLocks/>
                        </wps:cNvSpPr>
                        <wps:spPr bwMode="auto">
                          <a:xfrm>
                            <a:off x="4528070" y="1893600"/>
                            <a:ext cx="247015" cy="936000"/>
                          </a:xfrm>
                          <a:custGeom>
                            <a:avLst/>
                            <a:gdLst>
                              <a:gd name="T0" fmla="*/ 0 w 1376"/>
                              <a:gd name="T1" fmla="*/ 0 h 2488"/>
                              <a:gd name="T2" fmla="*/ 688 w 1376"/>
                              <a:gd name="T3" fmla="*/ 115 h 2488"/>
                              <a:gd name="T4" fmla="*/ 688 w 1376"/>
                              <a:gd name="T5" fmla="*/ 1130 h 2488"/>
                              <a:gd name="T6" fmla="*/ 1376 w 1376"/>
                              <a:gd name="T7" fmla="*/ 1244 h 2488"/>
                              <a:gd name="T8" fmla="*/ 688 w 1376"/>
                              <a:gd name="T9" fmla="*/ 1359 h 2488"/>
                              <a:gd name="T10" fmla="*/ 688 w 1376"/>
                              <a:gd name="T11" fmla="*/ 2374 h 2488"/>
                              <a:gd name="T12" fmla="*/ 0 w 1376"/>
                              <a:gd name="T13" fmla="*/ 2488 h 2488"/>
                            </a:gdLst>
                            <a:ahLst/>
                            <a:cxnLst>
                              <a:cxn ang="0">
                                <a:pos x="T0" y="T1"/>
                              </a:cxn>
                              <a:cxn ang="0">
                                <a:pos x="T2" y="T3"/>
                              </a:cxn>
                              <a:cxn ang="0">
                                <a:pos x="T4" y="T5"/>
                              </a:cxn>
                              <a:cxn ang="0">
                                <a:pos x="T6" y="T7"/>
                              </a:cxn>
                              <a:cxn ang="0">
                                <a:pos x="T8" y="T9"/>
                              </a:cxn>
                              <a:cxn ang="0">
                                <a:pos x="T10" y="T11"/>
                              </a:cxn>
                              <a:cxn ang="0">
                                <a:pos x="T12" y="T13"/>
                              </a:cxn>
                            </a:cxnLst>
                            <a:rect l="0" t="0" r="r" b="b"/>
                            <a:pathLst>
                              <a:path w="1376" h="2488">
                                <a:moveTo>
                                  <a:pt x="0" y="0"/>
                                </a:moveTo>
                                <a:cubicBezTo>
                                  <a:pt x="380" y="0"/>
                                  <a:pt x="688" y="52"/>
                                  <a:pt x="688" y="115"/>
                                </a:cubicBezTo>
                                <a:lnTo>
                                  <a:pt x="688" y="1130"/>
                                </a:lnTo>
                                <a:cubicBezTo>
                                  <a:pt x="688" y="1193"/>
                                  <a:pt x="996" y="1244"/>
                                  <a:pt x="1376" y="1244"/>
                                </a:cubicBezTo>
                                <a:cubicBezTo>
                                  <a:pt x="996" y="1244"/>
                                  <a:pt x="688" y="1296"/>
                                  <a:pt x="688" y="1359"/>
                                </a:cubicBezTo>
                                <a:lnTo>
                                  <a:pt x="688" y="2374"/>
                                </a:lnTo>
                                <a:cubicBezTo>
                                  <a:pt x="688" y="2437"/>
                                  <a:pt x="380" y="2488"/>
                                  <a:pt x="0" y="2488"/>
                                </a:cubicBezTo>
                              </a:path>
                            </a:pathLst>
                          </a:custGeom>
                          <a:noFill/>
                          <a:ln w="5715" cap="flat">
                            <a:solidFill>
                              <a:srgbClr val="15608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935662" name="Rectangle 38"/>
                        <wps:cNvSpPr>
                          <a:spLocks noChangeArrowheads="1"/>
                        </wps:cNvSpPr>
                        <wps:spPr bwMode="auto">
                          <a:xfrm>
                            <a:off x="449668" y="375600"/>
                            <a:ext cx="75946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4C9B2" w14:textId="77777777" w:rsidR="00217022" w:rsidRPr="00A06048" w:rsidRDefault="00217022" w:rsidP="00217022">
                              <w:pPr>
                                <w:rPr>
                                  <w:rFonts w:ascii="Times New Roman" w:hAnsi="Times New Roman" w:cs="Times New Roman"/>
                                </w:rPr>
                              </w:pPr>
                              <w:r w:rsidRPr="00D1695B">
                                <w:rPr>
                                  <w:rFonts w:ascii="Times New Roman" w:hAnsi="Times New Roman" w:cs="Times New Roman"/>
                                  <w:b/>
                                  <w:bCs/>
                                  <w:color w:val="000000"/>
                                  <w:kern w:val="0"/>
                                  <w:lang w:val="en-US"/>
                                </w:rPr>
                                <w:t>Wyniki</w:t>
                              </w:r>
                              <w:r w:rsidRPr="00A06048">
                                <w:rPr>
                                  <w:rFonts w:ascii="Times New Roman" w:hAnsi="Times New Roman" w:cs="Times New Roman"/>
                                  <w:color w:val="000000"/>
                                  <w:kern w:val="0"/>
                                  <w:lang w:val="en-US"/>
                                </w:rPr>
                                <w:t xml:space="preserve">, </w:t>
                              </w:r>
                              <w:r w:rsidRPr="00D1695B">
                                <w:rPr>
                                  <w:rFonts w:ascii="Times New Roman" w:hAnsi="Times New Roman" w:cs="Times New Roman"/>
                                  <w:b/>
                                  <w:bCs/>
                                  <w:color w:val="000000"/>
                                  <w:kern w:val="0"/>
                                  <w:lang w:val="en-US"/>
                                </w:rPr>
                                <w:t>Y</w:t>
                              </w:r>
                            </w:p>
                          </w:txbxContent>
                        </wps:txbx>
                        <wps:bodyPr rot="0" vert="horz" wrap="square" lIns="0" tIns="0" rIns="0" bIns="0" anchor="t" anchorCtr="0">
                          <a:spAutoFit/>
                        </wps:bodyPr>
                      </wps:wsp>
                      <wps:wsp>
                        <wps:cNvPr id="842792667" name="Rectangle 40"/>
                        <wps:cNvSpPr>
                          <a:spLocks noChangeArrowheads="1"/>
                        </wps:cNvSpPr>
                        <wps:spPr bwMode="auto">
                          <a:xfrm>
                            <a:off x="5480050" y="3635685"/>
                            <a:ext cx="43370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A2D4B" w14:textId="77777777" w:rsidR="00217022" w:rsidRPr="00061997" w:rsidRDefault="00217022" w:rsidP="00217022">
                              <w:pPr>
                                <w:rPr>
                                  <w:b/>
                                  <w:bCs/>
                                </w:rPr>
                              </w:pPr>
                              <w:r w:rsidRPr="00061997">
                                <w:rPr>
                                  <w:rFonts w:ascii="Times New Roman" w:hAnsi="Times New Roman" w:cs="Times New Roman"/>
                                  <w:b/>
                                  <w:bCs/>
                                  <w:color w:val="000000"/>
                                  <w:kern w:val="0"/>
                                  <w:lang w:val="en-US"/>
                                </w:rPr>
                                <w:t>Czas</w:t>
                              </w:r>
                              <w:r w:rsidRPr="00061997">
                                <w:rPr>
                                  <w:rFonts w:ascii="Aptos" w:hAnsi="Aptos" w:cs="Aptos"/>
                                  <w:b/>
                                  <w:bCs/>
                                  <w:color w:val="000000"/>
                                  <w:kern w:val="0"/>
                                  <w:sz w:val="22"/>
                                  <w:szCs w:val="22"/>
                                  <w:lang w:val="en-US"/>
                                </w:rPr>
                                <w:t>, t</w:t>
                              </w:r>
                            </w:p>
                          </w:txbxContent>
                        </wps:txbx>
                        <wps:bodyPr rot="0" vert="horz" wrap="none" lIns="0" tIns="0" rIns="0" bIns="0" anchor="t" anchorCtr="0">
                          <a:spAutoFit/>
                        </wps:bodyPr>
                      </wps:wsp>
                      <wps:wsp>
                        <wps:cNvPr id="567418827" name="Rectangle 45"/>
                        <wps:cNvSpPr>
                          <a:spLocks noChangeArrowheads="1"/>
                        </wps:cNvSpPr>
                        <wps:spPr bwMode="auto">
                          <a:xfrm>
                            <a:off x="808336" y="2512330"/>
                            <a:ext cx="12890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4B0B2" w14:textId="77777777" w:rsidR="00217022" w:rsidRPr="006249B2" w:rsidRDefault="00217022" w:rsidP="00217022">
                              <w:pPr>
                                <w:rPr>
                                  <w:rFonts w:ascii="Times New Romans" w:hAnsi="Times New Romans"/>
                                </w:rPr>
                              </w:pPr>
                              <w:r w:rsidRPr="006249B2">
                                <w:rPr>
                                  <w:rFonts w:ascii="Times New Romans" w:hAnsi="Times New Romans"/>
                                </w:rPr>
                                <w:t>β</w:t>
                              </w:r>
                              <w:r w:rsidRPr="006249B2">
                                <w:rPr>
                                  <w:rFonts w:ascii="Times New Romans" w:hAnsi="Times New Romans"/>
                                  <w:vertAlign w:val="subscript"/>
                                </w:rPr>
                                <w:t>2</w:t>
                              </w:r>
                            </w:p>
                          </w:txbxContent>
                        </wps:txbx>
                        <wps:bodyPr rot="0" vert="horz" wrap="none" lIns="0" tIns="0" rIns="0" bIns="0" anchor="t" anchorCtr="0">
                          <a:spAutoFit/>
                        </wps:bodyPr>
                      </wps:wsp>
                      <wps:wsp>
                        <wps:cNvPr id="15073972" name="Rectangle 47"/>
                        <wps:cNvSpPr>
                          <a:spLocks noChangeArrowheads="1"/>
                        </wps:cNvSpPr>
                        <wps:spPr bwMode="auto">
                          <a:xfrm>
                            <a:off x="2451182" y="1096645"/>
                            <a:ext cx="2857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0C973" w14:textId="77777777" w:rsidR="00217022" w:rsidRDefault="00217022" w:rsidP="00217022">
                              <w:r>
                                <w:rPr>
                                  <w:rFonts w:ascii="Aptos" w:hAnsi="Aptos" w:cs="Aptos"/>
                                  <w:color w:val="000000"/>
                                  <w:kern w:val="0"/>
                                  <w:sz w:val="22"/>
                                  <w:szCs w:val="22"/>
                                  <w:lang w:val="en-US"/>
                                </w:rPr>
                                <w:t xml:space="preserve"> </w:t>
                              </w:r>
                            </w:p>
                          </w:txbxContent>
                        </wps:txbx>
                        <wps:bodyPr rot="0" vert="horz" wrap="none" lIns="0" tIns="0" rIns="0" bIns="0" anchor="t" anchorCtr="0">
                          <a:spAutoFit/>
                        </wps:bodyPr>
                      </wps:wsp>
                      <wps:wsp>
                        <wps:cNvPr id="116775242" name="Rectangle 48"/>
                        <wps:cNvSpPr>
                          <a:spLocks noChangeArrowheads="1"/>
                        </wps:cNvSpPr>
                        <wps:spPr bwMode="auto">
                          <a:xfrm flipH="1">
                            <a:off x="4773914" y="1137600"/>
                            <a:ext cx="19939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A6C6A" w14:textId="77777777" w:rsidR="00217022" w:rsidRDefault="00217022" w:rsidP="00217022">
                              <w:r>
                                <w:rPr>
                                  <w:rFonts w:ascii="Aptos" w:hAnsi="Aptos" w:cs="Aptos"/>
                                  <w:color w:val="000000"/>
                                  <w:kern w:val="0"/>
                                  <w:sz w:val="22"/>
                                  <w:szCs w:val="22"/>
                                  <w:lang w:val="en-US"/>
                                </w:rPr>
                                <w:t>β</w:t>
                              </w:r>
                              <w:r w:rsidRPr="003203DD">
                                <w:rPr>
                                  <w:rFonts w:ascii="Aptos" w:hAnsi="Aptos" w:cs="Aptos"/>
                                  <w:color w:val="000000"/>
                                  <w:kern w:val="0"/>
                                  <w:sz w:val="22"/>
                                  <w:szCs w:val="22"/>
                                  <w:vertAlign w:val="subscript"/>
                                  <w:lang w:val="en-US"/>
                                </w:rPr>
                                <w:t>3</w:t>
                              </w:r>
                              <w:r>
                                <w:rPr>
                                  <w:rFonts w:ascii="Aptos" w:hAnsi="Aptos" w:cs="Aptos"/>
                                  <w:color w:val="000000"/>
                                  <w:kern w:val="0"/>
                                  <w:sz w:val="22"/>
                                  <w:szCs w:val="22"/>
                                  <w:lang w:val="en-US"/>
                                </w:rPr>
                                <w:t>α</w:t>
                              </w:r>
                            </w:p>
                          </w:txbxContent>
                        </wps:txbx>
                        <wps:bodyPr rot="0" vert="horz" wrap="none" lIns="0" tIns="0" rIns="0" bIns="0" anchor="t" anchorCtr="0">
                          <a:noAutofit/>
                        </wps:bodyPr>
                      </wps:wsp>
                      <wps:wsp>
                        <wps:cNvPr id="1429206386" name="Rectangle 57"/>
                        <wps:cNvSpPr>
                          <a:spLocks noChangeArrowheads="1"/>
                        </wps:cNvSpPr>
                        <wps:spPr bwMode="auto">
                          <a:xfrm>
                            <a:off x="5683332" y="2397760"/>
                            <a:ext cx="8572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F77FD" w14:textId="77777777" w:rsidR="00217022" w:rsidRDefault="00217022" w:rsidP="00217022"/>
                          </w:txbxContent>
                        </wps:txbx>
                        <wps:bodyPr rot="0" vert="horz" wrap="none" lIns="0" tIns="0" rIns="0" bIns="0" anchor="t" anchorCtr="0">
                          <a:spAutoFit/>
                        </wps:bodyPr>
                      </wps:wsp>
                      <wps:wsp>
                        <wps:cNvPr id="742810280" name="Rectangle 60"/>
                        <wps:cNvSpPr>
                          <a:spLocks noChangeArrowheads="1"/>
                        </wps:cNvSpPr>
                        <wps:spPr bwMode="auto">
                          <a:xfrm>
                            <a:off x="3338207" y="3647376"/>
                            <a:ext cx="1804035" cy="240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F09E9" w14:textId="77777777" w:rsidR="00217022" w:rsidRPr="00D1695B" w:rsidRDefault="00217022" w:rsidP="00217022">
                              <w:pPr>
                                <w:rPr>
                                  <w:rFonts w:ascii="Times New Roman" w:hAnsi="Times New Roman" w:cs="Times New Roman"/>
                                </w:rPr>
                              </w:pPr>
                              <w:r w:rsidRPr="00D1695B">
                                <w:rPr>
                                  <w:rFonts w:ascii="Times New Roman" w:hAnsi="Times New Roman" w:cs="Times New Roman"/>
                                  <w:color w:val="000000"/>
                                  <w:kern w:val="0"/>
                                  <w:lang w:val="en-US"/>
                                </w:rPr>
                                <w:t xml:space="preserve">Okres po </w:t>
                              </w:r>
                              <w:r>
                                <w:rPr>
                                  <w:rFonts w:ascii="Times New Roman" w:hAnsi="Times New Roman" w:cs="Times New Roman"/>
                                  <w:color w:val="000000"/>
                                  <w:kern w:val="0"/>
                                  <w:lang w:val="en-US"/>
                                </w:rPr>
                                <w:t>i</w:t>
                              </w:r>
                              <w:r w:rsidRPr="00D1695B">
                                <w:rPr>
                                  <w:rFonts w:ascii="Times New Roman" w:hAnsi="Times New Roman" w:cs="Times New Roman"/>
                                  <w:color w:val="000000"/>
                                  <w:kern w:val="0"/>
                                  <w:lang w:val="en-US"/>
                                </w:rPr>
                                <w:t>nterwencji t</w:t>
                              </w:r>
                            </w:p>
                          </w:txbxContent>
                        </wps:txbx>
                        <wps:bodyPr rot="0" vert="horz" wrap="square" lIns="0" tIns="0" rIns="0" bIns="0" anchor="t" anchorCtr="0">
                          <a:noAutofit/>
                        </wps:bodyPr>
                      </wps:wsp>
                      <wps:wsp>
                        <wps:cNvPr id="1832885019" name="Rectangle 62"/>
                        <wps:cNvSpPr>
                          <a:spLocks noChangeArrowheads="1"/>
                        </wps:cNvSpPr>
                        <wps:spPr bwMode="auto">
                          <a:xfrm>
                            <a:off x="757507" y="3627723"/>
                            <a:ext cx="2225040" cy="25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7ABC8" w14:textId="77777777" w:rsidR="00217022" w:rsidRPr="00D1695B" w:rsidRDefault="00217022" w:rsidP="00217022">
                              <w:pPr>
                                <w:jc w:val="center"/>
                                <w:rPr>
                                  <w:rFonts w:ascii="Times New Roman" w:hAnsi="Times New Roman" w:cs="Times New Roman"/>
                                </w:rPr>
                              </w:pPr>
                              <w:r w:rsidRPr="00D1695B">
                                <w:rPr>
                                  <w:rFonts w:ascii="Times New Roman" w:hAnsi="Times New Roman" w:cs="Times New Roman"/>
                                </w:rPr>
                                <w:t>Okres przed interwencją (t-1)</w:t>
                              </w:r>
                            </w:p>
                          </w:txbxContent>
                        </wps:txbx>
                        <wps:bodyPr rot="0" vert="horz" wrap="square" lIns="0" tIns="0" rIns="0" bIns="0" anchor="t" anchorCtr="0">
                          <a:noAutofit/>
                        </wps:bodyPr>
                      </wps:wsp>
                      <wps:wsp>
                        <wps:cNvPr id="1171113624" name="Rectangle 63"/>
                        <wps:cNvSpPr>
                          <a:spLocks noChangeArrowheads="1"/>
                        </wps:cNvSpPr>
                        <wps:spPr bwMode="auto">
                          <a:xfrm>
                            <a:off x="1836502" y="3701415"/>
                            <a:ext cx="5461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A3102" w14:textId="77777777" w:rsidR="00217022" w:rsidRDefault="00217022" w:rsidP="00217022">
                              <w:r>
                                <w:rPr>
                                  <w:rFonts w:ascii="Aptos" w:hAnsi="Aptos" w:cs="Aptos"/>
                                  <w:color w:val="000000"/>
                                  <w:kern w:val="0"/>
                                  <w:sz w:val="16"/>
                                  <w:szCs w:val="16"/>
                                  <w:lang w:val="en-US"/>
                                </w:rPr>
                                <w:t>1</w:t>
                              </w:r>
                            </w:p>
                          </w:txbxContent>
                        </wps:txbx>
                        <wps:bodyPr rot="0" vert="horz" wrap="none" lIns="0" tIns="0" rIns="0" bIns="0" anchor="t" anchorCtr="0">
                          <a:spAutoFit/>
                        </wps:bodyPr>
                      </wps:wsp>
                      <wps:wsp>
                        <wps:cNvPr id="1523073183" name="Rectangle 64"/>
                        <wps:cNvSpPr>
                          <a:spLocks noChangeArrowheads="1"/>
                        </wps:cNvSpPr>
                        <wps:spPr bwMode="auto">
                          <a:xfrm>
                            <a:off x="1891112" y="3627755"/>
                            <a:ext cx="3365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57F6F" w14:textId="77777777" w:rsidR="00217022" w:rsidRDefault="00217022" w:rsidP="00217022">
                              <w:r>
                                <w:rPr>
                                  <w:rFonts w:ascii="Aptos" w:hAnsi="Aptos" w:cs="Aptos"/>
                                  <w:color w:val="000000"/>
                                  <w:kern w:val="0"/>
                                  <w:sz w:val="26"/>
                                  <w:szCs w:val="26"/>
                                  <w:lang w:val="en-US"/>
                                </w:rPr>
                                <w:t xml:space="preserve"> </w:t>
                              </w:r>
                            </w:p>
                          </w:txbxContent>
                        </wps:txbx>
                        <wps:bodyPr rot="0" vert="horz" wrap="none" lIns="0" tIns="0" rIns="0" bIns="0" anchor="t" anchorCtr="0">
                          <a:spAutoFit/>
                        </wps:bodyPr>
                      </wps:wsp>
                      <wps:wsp>
                        <wps:cNvPr id="1094214665" name="Łącznik prosty 1094214665"/>
                        <wps:cNvCnPr/>
                        <wps:spPr>
                          <a:xfrm flipH="1">
                            <a:off x="3010512" y="640080"/>
                            <a:ext cx="20627" cy="3247438"/>
                          </a:xfrm>
                          <a:prstGeom prst="line">
                            <a:avLst/>
                          </a:prstGeom>
                          <a:noFill/>
                          <a:ln w="9525" cap="flat" cmpd="sng" algn="ctr">
                            <a:solidFill>
                              <a:sysClr val="windowText" lastClr="000000"/>
                            </a:solidFill>
                            <a:prstDash val="solid"/>
                            <a:miter lim="800000"/>
                          </a:ln>
                          <a:effectLst/>
                        </wps:spPr>
                        <wps:bodyPr/>
                      </wps:wsp>
                      <wps:wsp>
                        <wps:cNvPr id="541251626" name="Line 26"/>
                        <wps:cNvCnPr>
                          <a:cxnSpLocks noChangeShapeType="1"/>
                        </wps:cNvCnPr>
                        <wps:spPr bwMode="auto">
                          <a:xfrm flipV="1">
                            <a:off x="1102042" y="1886315"/>
                            <a:ext cx="3406570" cy="964470"/>
                          </a:xfrm>
                          <a:prstGeom prst="line">
                            <a:avLst/>
                          </a:prstGeom>
                          <a:noFill/>
                          <a:ln w="14605" cap="flat">
                            <a:solidFill>
                              <a:srgbClr val="FFC000"/>
                            </a:solidFill>
                            <a:prstDash val="solid"/>
                            <a:miter lim="800000"/>
                            <a:headEnd/>
                            <a:tailEnd/>
                          </a:ln>
                          <a:extLst>
                            <a:ext uri="{909E8E84-426E-40DD-AFC4-6F175D3DCCD1}">
                              <a14:hiddenFill xmlns:a14="http://schemas.microsoft.com/office/drawing/2010/main">
                                <a:noFill/>
                              </a14:hiddenFill>
                            </a:ext>
                          </a:extLst>
                        </wps:spPr>
                        <wps:bodyPr/>
                      </wps:wsp>
                      <wps:wsp>
                        <wps:cNvPr id="1689060274" name="Line 26"/>
                        <wps:cNvCnPr>
                          <a:cxnSpLocks noChangeShapeType="1"/>
                        </wps:cNvCnPr>
                        <wps:spPr bwMode="auto">
                          <a:xfrm flipV="1">
                            <a:off x="1109027" y="1893600"/>
                            <a:ext cx="1909280" cy="518400"/>
                          </a:xfrm>
                          <a:prstGeom prst="line">
                            <a:avLst/>
                          </a:prstGeom>
                          <a:noFill/>
                          <a:ln w="14605" cap="flat">
                            <a:solidFill>
                              <a:srgbClr val="7030A0"/>
                            </a:solidFill>
                            <a:prstDash val="solid"/>
                            <a:miter lim="800000"/>
                            <a:headEnd/>
                            <a:tailEnd/>
                          </a:ln>
                          <a:extLst>
                            <a:ext uri="{909E8E84-426E-40DD-AFC4-6F175D3DCCD1}">
                              <a14:hiddenFill xmlns:a14="http://schemas.microsoft.com/office/drawing/2010/main">
                                <a:noFill/>
                              </a14:hiddenFill>
                            </a:ext>
                          </a:extLst>
                        </wps:spPr>
                        <wps:bodyPr/>
                      </wps:wsp>
                      <wps:wsp>
                        <wps:cNvPr id="2071903875" name="Line 26"/>
                        <wps:cNvCnPr>
                          <a:cxnSpLocks noChangeShapeType="1"/>
                        </wps:cNvCnPr>
                        <wps:spPr bwMode="auto">
                          <a:xfrm flipV="1">
                            <a:off x="3018307" y="993600"/>
                            <a:ext cx="1540800" cy="900000"/>
                          </a:xfrm>
                          <a:prstGeom prst="line">
                            <a:avLst/>
                          </a:prstGeom>
                          <a:noFill/>
                          <a:ln w="14605" cap="flat">
                            <a:solidFill>
                              <a:srgbClr val="7030A0"/>
                            </a:solidFill>
                            <a:prstDash val="solid"/>
                            <a:miter lim="800000"/>
                            <a:headEnd/>
                            <a:tailEnd/>
                          </a:ln>
                          <a:extLst>
                            <a:ext uri="{909E8E84-426E-40DD-AFC4-6F175D3DCCD1}">
                              <a14:hiddenFill xmlns:a14="http://schemas.microsoft.com/office/drawing/2010/main">
                                <a:noFill/>
                              </a14:hiddenFill>
                            </a:ext>
                          </a:extLst>
                        </wps:spPr>
                        <wps:bodyPr/>
                      </wps:wsp>
                      <wps:wsp>
                        <wps:cNvPr id="1082413112" name="Łącznik prosty 1082413112"/>
                        <wps:cNvCnPr/>
                        <wps:spPr>
                          <a:xfrm flipH="1">
                            <a:off x="4544707" y="990185"/>
                            <a:ext cx="7200" cy="439200"/>
                          </a:xfrm>
                          <a:prstGeom prst="line">
                            <a:avLst/>
                          </a:prstGeom>
                          <a:noFill/>
                          <a:ln w="6350" cap="flat" cmpd="sng" algn="ctr">
                            <a:solidFill>
                              <a:sysClr val="windowText" lastClr="000000"/>
                            </a:solidFill>
                            <a:prstDash val="sysDot"/>
                            <a:miter lim="800000"/>
                          </a:ln>
                          <a:effectLst/>
                        </wps:spPr>
                        <wps:bodyPr/>
                      </wps:wsp>
                      <wps:wsp>
                        <wps:cNvPr id="554701797" name="Nawias klamrowy zamykający 554701797"/>
                        <wps:cNvSpPr/>
                        <wps:spPr>
                          <a:xfrm>
                            <a:off x="4566307" y="1008000"/>
                            <a:ext cx="180000" cy="421385"/>
                          </a:xfrm>
                          <a:prstGeom prst="rightBrace">
                            <a:avLst/>
                          </a:prstGeom>
                          <a:noFill/>
                          <a:ln w="635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369096" name="Łącznik prosty 544369096"/>
                        <wps:cNvCnPr/>
                        <wps:spPr>
                          <a:xfrm flipH="1">
                            <a:off x="1102042" y="2412000"/>
                            <a:ext cx="6985" cy="438785"/>
                          </a:xfrm>
                          <a:prstGeom prst="line">
                            <a:avLst/>
                          </a:prstGeom>
                          <a:noFill/>
                          <a:ln w="6350" cap="flat" cmpd="sng" algn="ctr">
                            <a:solidFill>
                              <a:sysClr val="windowText" lastClr="000000"/>
                            </a:solidFill>
                            <a:prstDash val="sysDot"/>
                            <a:miter lim="800000"/>
                          </a:ln>
                          <a:effectLst/>
                        </wps:spPr>
                        <wps:bodyPr/>
                      </wps:wsp>
                      <wps:wsp>
                        <wps:cNvPr id="1625109959" name="Nawias klamrowy zamykający 1625109959"/>
                        <wps:cNvSpPr/>
                        <wps:spPr>
                          <a:xfrm flipH="1">
                            <a:off x="973506" y="2397760"/>
                            <a:ext cx="115199" cy="454725"/>
                          </a:xfrm>
                          <a:prstGeom prst="rightBrace">
                            <a:avLst>
                              <a:gd name="adj1" fmla="val 8333"/>
                              <a:gd name="adj2" fmla="val 53293"/>
                            </a:avLst>
                          </a:prstGeom>
                          <a:noFill/>
                          <a:ln w="6350" cap="flat" cmpd="sng" algn="ctr">
                            <a:solidFill>
                              <a:srgbClr val="156082"/>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13699696" name="Łącznik prosty 1713699696"/>
                        <wps:cNvCnPr/>
                        <wps:spPr>
                          <a:xfrm flipH="1">
                            <a:off x="4484870" y="1908000"/>
                            <a:ext cx="23087" cy="928800"/>
                          </a:xfrm>
                          <a:prstGeom prst="line">
                            <a:avLst/>
                          </a:prstGeom>
                          <a:noFill/>
                          <a:ln w="6350" cap="flat" cmpd="sng" algn="ctr">
                            <a:solidFill>
                              <a:sysClr val="windowText" lastClr="000000"/>
                            </a:solidFill>
                            <a:prstDash val="sysDot"/>
                            <a:miter lim="800000"/>
                          </a:ln>
                          <a:effectLst/>
                        </wps:spPr>
                        <wps:bodyPr/>
                      </wps:wsp>
                      <wps:wsp>
                        <wps:cNvPr id="642317118" name="Łącznik prosty 642317118"/>
                        <wps:cNvCnPr/>
                        <wps:spPr>
                          <a:xfrm flipV="1">
                            <a:off x="1117452" y="2817130"/>
                            <a:ext cx="3383520" cy="48470"/>
                          </a:xfrm>
                          <a:prstGeom prst="line">
                            <a:avLst/>
                          </a:prstGeom>
                          <a:noFill/>
                          <a:ln w="6350" cap="flat" cmpd="sng" algn="ctr">
                            <a:solidFill>
                              <a:sysClr val="windowText" lastClr="000000"/>
                            </a:solidFill>
                            <a:prstDash val="sysDot"/>
                            <a:miter lim="800000"/>
                          </a:ln>
                          <a:effectLst/>
                        </wps:spPr>
                        <wps:bodyPr/>
                      </wps:wsp>
                      <wps:wsp>
                        <wps:cNvPr id="1262187913" name="Rectangle 45"/>
                        <wps:cNvSpPr>
                          <a:spLocks noChangeArrowheads="1"/>
                        </wps:cNvSpPr>
                        <wps:spPr bwMode="auto">
                          <a:xfrm>
                            <a:off x="4793754" y="2275200"/>
                            <a:ext cx="110172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484A9" w14:textId="77777777" w:rsidR="00217022" w:rsidRDefault="00217022" w:rsidP="00217022">
                              <w:pPr>
                                <w:spacing w:line="276" w:lineRule="auto"/>
                                <w:rPr>
                                  <w:rFonts w:ascii="Times New Romans" w:eastAsia="Aptos" w:hAnsi="Times New Romans"/>
                                  <w14:ligatures w14:val="none"/>
                                </w:rPr>
                              </w:pPr>
                              <w:r>
                                <w:rPr>
                                  <w:rFonts w:ascii="Times New Romans" w:eastAsia="Aptos" w:hAnsi="Times New Romans"/>
                                </w:rPr>
                                <w:t>β</w:t>
                              </w:r>
                              <w:r>
                                <w:rPr>
                                  <w:rFonts w:ascii="Times New Romans" w:eastAsia="Aptos" w:hAnsi="Times New Romans"/>
                                  <w:position w:val="-6"/>
                                  <w:vertAlign w:val="subscript"/>
                                </w:rPr>
                                <w:t>1</w:t>
                              </w:r>
                            </w:p>
                          </w:txbxContent>
                        </wps:txbx>
                        <wps:bodyPr rot="0" vert="horz" wrap="square" lIns="0" tIns="0" rIns="0" bIns="0" anchor="t" anchorCtr="0">
                          <a:spAutoFit/>
                        </wps:bodyPr>
                      </wps:wsp>
                      <wps:wsp>
                        <wps:cNvPr id="127369902" name="Rectangle 38"/>
                        <wps:cNvSpPr>
                          <a:spLocks noChangeArrowheads="1"/>
                        </wps:cNvSpPr>
                        <wps:spPr bwMode="auto">
                          <a:xfrm>
                            <a:off x="1081299" y="2102400"/>
                            <a:ext cx="281008" cy="34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C3B7F" w14:textId="77777777" w:rsidR="00217022" w:rsidRPr="004C4720" w:rsidRDefault="00217022" w:rsidP="00217022">
                              <w:pPr>
                                <w:spacing w:before="120" w:after="0" w:line="120" w:lineRule="auto"/>
                                <w:rPr>
                                  <w:rFonts w:eastAsia="Aptos"/>
                                  <w:color w:val="000000"/>
                                  <w:kern w:val="0"/>
                                  <w:lang w:val="en-US"/>
                                  <w14:ligatures w14:val="none"/>
                                </w:rPr>
                              </w:pPr>
                              <w:r w:rsidRPr="004C4720">
                                <w:rPr>
                                  <w:rFonts w:eastAsia="Aptos"/>
                                  <w:color w:val="000000"/>
                                  <w:lang w:val="en-US"/>
                                </w:rPr>
                                <w:t>A</w:t>
                              </w:r>
                              <w:r>
                                <w:rPr>
                                  <w:rFonts w:eastAsia="Aptos"/>
                                  <w:color w:val="000000"/>
                                  <w:lang w:val="en-US"/>
                                </w:rPr>
                                <w:br/>
                              </w:r>
                              <w:r w:rsidRPr="004C4720">
                                <w:rPr>
                                  <w:rFonts w:eastAsia="Aptos"/>
                                  <w:color w:val="000000"/>
                                  <w:sz w:val="52"/>
                                  <w:szCs w:val="52"/>
                                  <w:lang w:val="en-US"/>
                                </w:rPr>
                                <w:t>.</w:t>
                              </w:r>
                            </w:p>
                          </w:txbxContent>
                        </wps:txbx>
                        <wps:bodyPr rot="0" vert="horz" wrap="square" lIns="0" tIns="0" rIns="0" bIns="0" anchor="t" anchorCtr="0">
                          <a:noAutofit/>
                        </wps:bodyPr>
                      </wps:wsp>
                      <wps:wsp>
                        <wps:cNvPr id="357944346" name="Rectangle 38"/>
                        <wps:cNvSpPr>
                          <a:spLocks noChangeArrowheads="1"/>
                        </wps:cNvSpPr>
                        <wps:spPr bwMode="auto">
                          <a:xfrm>
                            <a:off x="4508402" y="698400"/>
                            <a:ext cx="28067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CF7F0" w14:textId="77777777" w:rsidR="00217022" w:rsidRDefault="00217022" w:rsidP="00217022">
                              <w:pPr>
                                <w:spacing w:before="120" w:line="120" w:lineRule="auto"/>
                                <w:rPr>
                                  <w:rFonts w:ascii="Aptos" w:eastAsia="Aptos" w:hAnsi="Aptos"/>
                                  <w:color w:val="000000"/>
                                  <w:lang w:val="en-US"/>
                                  <w14:ligatures w14:val="none"/>
                                </w:rPr>
                              </w:pPr>
                              <w:r>
                                <w:rPr>
                                  <w:rFonts w:ascii="Aptos" w:eastAsia="Aptos" w:hAnsi="Aptos"/>
                                  <w:color w:val="000000"/>
                                  <w:lang w:val="en-US"/>
                                </w:rPr>
                                <w:t>C</w:t>
                              </w:r>
                              <w:r>
                                <w:rPr>
                                  <w:rFonts w:ascii="Aptos" w:eastAsia="Aptos" w:hAnsi="Aptos"/>
                                  <w:color w:val="000000"/>
                                  <w:lang w:val="en-US"/>
                                </w:rPr>
                                <w:br/>
                              </w:r>
                              <w:r>
                                <w:rPr>
                                  <w:rFonts w:ascii="Aptos" w:eastAsia="Aptos" w:hAnsi="Aptos"/>
                                  <w:color w:val="000000"/>
                                  <w:sz w:val="52"/>
                                  <w:szCs w:val="52"/>
                                  <w:lang w:val="en-US"/>
                                </w:rPr>
                                <w:t>.</w:t>
                              </w:r>
                            </w:p>
                          </w:txbxContent>
                        </wps:txbx>
                        <wps:bodyPr rot="0" vert="horz" wrap="square" lIns="0" tIns="0" rIns="0" bIns="0" anchor="t" anchorCtr="0">
                          <a:noAutofit/>
                        </wps:bodyPr>
                      </wps:wsp>
                      <wps:wsp>
                        <wps:cNvPr id="756252077" name="Rectangle 38"/>
                        <wps:cNvSpPr>
                          <a:spLocks noChangeArrowheads="1"/>
                        </wps:cNvSpPr>
                        <wps:spPr bwMode="auto">
                          <a:xfrm>
                            <a:off x="1069168" y="2512330"/>
                            <a:ext cx="331463" cy="67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7B70E" w14:textId="77777777" w:rsidR="00217022" w:rsidRPr="004C4720" w:rsidRDefault="00217022" w:rsidP="00217022">
                              <w:pPr>
                                <w:spacing w:before="120" w:after="0" w:line="240" w:lineRule="auto"/>
                                <w:rPr>
                                  <w:rFonts w:ascii="Aptos" w:eastAsia="Aptos" w:hAnsi="Aptos"/>
                                  <w:color w:val="000000"/>
                                  <w:sz w:val="44"/>
                                  <w:szCs w:val="44"/>
                                  <w:lang w:val="en-US"/>
                                </w:rPr>
                              </w:pPr>
                              <w:r w:rsidRPr="004C4720">
                                <w:rPr>
                                  <w:rFonts w:ascii="Aptos" w:eastAsia="Aptos" w:hAnsi="Aptos"/>
                                  <w:color w:val="000000"/>
                                  <w:sz w:val="44"/>
                                  <w:szCs w:val="44"/>
                                  <w:lang w:val="en-US"/>
                                </w:rPr>
                                <w:t>.</w:t>
                              </w:r>
                            </w:p>
                            <w:p w14:paraId="64E66BD3" w14:textId="77777777" w:rsidR="00217022" w:rsidRDefault="00217022" w:rsidP="00217022">
                              <w:pPr>
                                <w:spacing w:after="0" w:line="240" w:lineRule="auto"/>
                                <w:rPr>
                                  <w:rFonts w:ascii="Aptos" w:eastAsia="Aptos" w:hAnsi="Aptos"/>
                                  <w:color w:val="000000"/>
                                  <w:lang w:val="en-US"/>
                                  <w14:ligatures w14:val="none"/>
                                </w:rPr>
                              </w:pPr>
                              <w:r>
                                <w:rPr>
                                  <w:rFonts w:ascii="Aptos" w:eastAsia="Aptos" w:hAnsi="Aptos"/>
                                  <w:color w:val="000000"/>
                                  <w:lang w:val="en-US"/>
                                </w:rPr>
                                <w:t>B</w:t>
                              </w:r>
                            </w:p>
                          </w:txbxContent>
                        </wps:txbx>
                        <wps:bodyPr rot="0" vert="horz" wrap="square" lIns="0" tIns="0" rIns="0" bIns="0" anchor="t" anchorCtr="0">
                          <a:noAutofit/>
                        </wps:bodyPr>
                      </wps:wsp>
                      <wps:wsp>
                        <wps:cNvPr id="664842162" name="Rectangle 38"/>
                        <wps:cNvSpPr>
                          <a:spLocks noChangeArrowheads="1"/>
                        </wps:cNvSpPr>
                        <wps:spPr bwMode="auto">
                          <a:xfrm>
                            <a:off x="4466064" y="1576800"/>
                            <a:ext cx="28003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84004" w14:textId="77777777" w:rsidR="00217022" w:rsidRDefault="00217022" w:rsidP="00217022">
                              <w:pPr>
                                <w:spacing w:before="120" w:line="120" w:lineRule="auto"/>
                                <w:rPr>
                                  <w:rFonts w:ascii="Aptos" w:eastAsia="Aptos" w:hAnsi="Aptos"/>
                                  <w:color w:val="000000"/>
                                  <w:lang w:val="en-US"/>
                                  <w14:ligatures w14:val="none"/>
                                </w:rPr>
                              </w:pPr>
                              <w:r>
                                <w:rPr>
                                  <w:rFonts w:ascii="Aptos" w:eastAsia="Aptos" w:hAnsi="Aptos"/>
                                  <w:color w:val="000000"/>
                                  <w:lang w:val="en-US"/>
                                </w:rPr>
                                <w:t>D</w:t>
                              </w:r>
                              <w:r>
                                <w:rPr>
                                  <w:rFonts w:ascii="Aptos" w:eastAsia="Aptos" w:hAnsi="Aptos"/>
                                  <w:color w:val="000000"/>
                                  <w:lang w:val="en-US"/>
                                </w:rPr>
                                <w:br/>
                              </w:r>
                              <w:r>
                                <w:rPr>
                                  <w:rFonts w:ascii="Aptos" w:eastAsia="Aptos" w:hAnsi="Aptos"/>
                                  <w:color w:val="000000"/>
                                  <w:sz w:val="52"/>
                                  <w:szCs w:val="52"/>
                                  <w:lang w:val="en-US"/>
                                </w:rPr>
                                <w:t>.</w:t>
                              </w:r>
                            </w:p>
                          </w:txbxContent>
                        </wps:txbx>
                        <wps:bodyPr rot="0" vert="horz" wrap="square" lIns="0" tIns="0" rIns="0" bIns="0" anchor="t" anchorCtr="0">
                          <a:noAutofit/>
                        </wps:bodyPr>
                      </wps:wsp>
                      <wps:wsp>
                        <wps:cNvPr id="2047557238" name="Nawias klamrowy zamykający 2047557238"/>
                        <wps:cNvSpPr/>
                        <wps:spPr>
                          <a:xfrm flipH="1">
                            <a:off x="966363" y="2877454"/>
                            <a:ext cx="88803" cy="650605"/>
                          </a:xfrm>
                          <a:prstGeom prst="rightBrace">
                            <a:avLst>
                              <a:gd name="adj1" fmla="val 8333"/>
                              <a:gd name="adj2" fmla="val 53293"/>
                            </a:avLst>
                          </a:prstGeom>
                          <a:noFill/>
                          <a:ln w="6350" cap="flat" cmpd="sng" algn="ctr">
                            <a:solidFill>
                              <a:srgbClr val="156082"/>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86425916" name="Rectangle 45"/>
                        <wps:cNvSpPr>
                          <a:spLocks noChangeArrowheads="1"/>
                        </wps:cNvSpPr>
                        <wps:spPr bwMode="auto">
                          <a:xfrm>
                            <a:off x="808336" y="3124641"/>
                            <a:ext cx="12890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9B9B9" w14:textId="77777777" w:rsidR="00217022" w:rsidRDefault="00217022" w:rsidP="00217022">
                              <w:pPr>
                                <w:spacing w:line="276" w:lineRule="auto"/>
                                <w:rPr>
                                  <w:rFonts w:ascii="Times New Romans" w:eastAsia="Aptos" w:hAnsi="Times New Romans"/>
                                  <w14:ligatures w14:val="none"/>
                                </w:rPr>
                              </w:pPr>
                              <w:r>
                                <w:rPr>
                                  <w:rFonts w:ascii="Times New Romans" w:eastAsia="Aptos" w:hAnsi="Times New Romans"/>
                                </w:rPr>
                                <w:t>β</w:t>
                              </w:r>
                              <w:r w:rsidRPr="00D1695B">
                                <w:rPr>
                                  <w:rFonts w:ascii="Times New Romans" w:eastAsia="Aptos" w:hAnsi="Times New Romans"/>
                                  <w:vertAlign w:val="subscript"/>
                                </w:rPr>
                                <w:t>0</w:t>
                              </w:r>
                            </w:p>
                          </w:txbxContent>
                        </wps:txbx>
                        <wps:bodyPr rot="0" vert="horz" wrap="none" lIns="0" tIns="0" rIns="0" bIns="0" anchor="t" anchorCtr="0">
                          <a:spAutoFit/>
                        </wps:bodyPr>
                      </wps:wsp>
                      <wps:wsp>
                        <wps:cNvPr id="1631119734" name="Line 26"/>
                        <wps:cNvCnPr>
                          <a:cxnSpLocks noChangeShapeType="1"/>
                        </wps:cNvCnPr>
                        <wps:spPr bwMode="auto">
                          <a:xfrm>
                            <a:off x="1076269" y="9744370"/>
                            <a:ext cx="208280" cy="0"/>
                          </a:xfrm>
                          <a:prstGeom prst="line">
                            <a:avLst/>
                          </a:prstGeom>
                          <a:noFill/>
                          <a:ln w="14605" cap="flat">
                            <a:solidFill>
                              <a:srgbClr val="7030A0"/>
                            </a:solidFill>
                            <a:prstDash val="solid"/>
                            <a:miter lim="800000"/>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64F49972" id="_x0000_s1101" editas="canvas" style="position:absolute;margin-left:0;margin-top:25.7pt;width:470pt;height:313.6pt;z-index:251763712" coordsize="59690,39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">
                <v:shape id="_x0000_s1102" type="#_x0000_t75" style="position:absolute;width:59690;height:39827;visibility:visible;mso-wrap-style:square">
                  <v:fill o:detectmouseclick="t"/>
                  <v:path o:connecttype="none"/>
                </v:shape>
                <v:rect id="Rectangle 5" o:spid="_x0000_s1103" style="position:absolute;left:2401;width:857;height:3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" filled="f" stroked="f">
                  <v:textbox style="mso-fit-shape-to-text:t" inset="0,0,0,0">
                    <w:txbxContent>
                      <w:p w14:paraId="389CBB36" w14:textId="77777777" w:rsidR="00217022" w:rsidRDefault="00217022" w:rsidP="00217022"/>
                    </w:txbxContent>
                  </v:textbox>
                </v:rect>
                <v:shape id="Freeform 18" o:spid="_x0000_s1104" style="position:absolute;left:6992;top:6134;width:717;height:29610;visibility:visible;mso-wrap-style:square;v-text-anchor:top" coordsize="113,4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" path="m66,4663l66,94r-19,l47,4663r19,xm113,113l56,,,113r113,xe" fillcolor="#156082" strokecolor="#156082" strokeweight="0">
                  <v:path arrowok="t" o:connecttype="custom" o:connectlocs="41910,2961005;41910,59690;29845,59690;29845,2961005;41910,2961005;71755,71755;35560,0;0,71755;71755,71755" o:connectangles="0,0,0,0,0,0,0,0,0"/>
                  <o:lock v:ext="edit" verticies="t"/>
                </v:shape>
                <v:shape id="Freeform 19" o:spid="_x0000_s1105" style="position:absolute;left:7290;top:35007;width:50997;height:832;visibility:visible;mso-wrap-style:square;v-text-anchor:top" coordsize="803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" path="m,131l7937,66r-1,-19l,113r,18xm7918,113l8031,55,7917,r1,113xe" fillcolor="#156082" strokecolor="#156082" strokeweight="0">
                  <v:path arrowok="t" o:connecttype="custom" o:connectlocs="0,83185;5039995,41910;5039360,29845;0,71755;0,83185;5027930,71755;5099685,34925;5027295,0;5027930,71755" o:connectangles="0,0,0,0,0,0,0,0,0"/>
                  <o:lock v:ext="edit" verticies="t"/>
                </v:shape>
                <v:line id="Line 26" o:spid="_x0000_s1106" style="position:absolute;flip:y;visibility:visible;mso-wrap-style:square" from="30111,14293" to="45591,18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" strokecolor="#ffc000" strokeweight="1.15pt">
                  <v:stroke dashstyle="3 1" joinstyle="miter"/>
                </v:line>
                <v:shape id="Freeform 28" o:spid="_x0000_s1107" style="position:absolute;left:45280;top:18936;width:2470;height:9360;visibility:visible;mso-wrap-style:square;v-text-anchor:top" coordsize="1376,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" path="m,c380,,688,52,688,115r,1015c688,1193,996,1244,1376,1244v-380,,-688,52,-688,115l688,2374v,63,-308,114,-688,114e" filled="f" strokecolor="#156082" strokeweight=".45pt">
                  <v:stroke joinstyle="miter"/>
                  <v:path arrowok="t" o:connecttype="custom" o:connectlocs="0,0;123508,43264;123508,425113;247015,468000;123508,511264;123508,893113;0,936000" o:connectangles="0,0,0,0,0,0,0"/>
                </v:shape>
                <v:rect id="_x0000_s1108" style="position:absolute;left:4496;top:3756;width:759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" filled="f" stroked="f">
                  <v:textbox style="mso-fit-shape-to-text:t" inset="0,0,0,0">
                    <w:txbxContent>
                      <w:p w14:paraId="3A44C9B2" w14:textId="77777777" w:rsidR="00217022" w:rsidRPr="00A06048" w:rsidRDefault="00217022" w:rsidP="00217022">
                        <w:pPr>
                          <w:rPr>
                            <w:rFonts w:ascii="Times New Roman" w:hAnsi="Times New Roman" w:cs="Times New Roman"/>
                          </w:rPr>
                        </w:pPr>
                        <w:r w:rsidRPr="00D1695B">
                          <w:rPr>
                            <w:rFonts w:ascii="Times New Roman" w:hAnsi="Times New Roman" w:cs="Times New Roman"/>
                            <w:b/>
                            <w:bCs/>
                            <w:color w:val="000000"/>
                            <w:kern w:val="0"/>
                            <w:lang w:val="en-US"/>
                          </w:rPr>
                          <w:t>Wyniki</w:t>
                        </w:r>
                        <w:r w:rsidRPr="00A06048">
                          <w:rPr>
                            <w:rFonts w:ascii="Times New Roman" w:hAnsi="Times New Roman" w:cs="Times New Roman"/>
                            <w:color w:val="000000"/>
                            <w:kern w:val="0"/>
                            <w:lang w:val="en-US"/>
                          </w:rPr>
                          <w:t xml:space="preserve">, </w:t>
                        </w:r>
                        <w:r w:rsidRPr="00D1695B">
                          <w:rPr>
                            <w:rFonts w:ascii="Times New Roman" w:hAnsi="Times New Roman" w:cs="Times New Roman"/>
                            <w:b/>
                            <w:bCs/>
                            <w:color w:val="000000"/>
                            <w:kern w:val="0"/>
                            <w:lang w:val="en-US"/>
                          </w:rPr>
                          <w:t>Y</w:t>
                        </w:r>
                      </w:p>
                    </w:txbxContent>
                  </v:textbox>
                </v:rect>
                <v:rect id="Rectangle 40" o:spid="_x0000_s1109" style="position:absolute;left:54800;top:36356;width:4337;height:31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" filled="f" stroked="f">
                  <v:textbox style="mso-fit-shape-to-text:t" inset="0,0,0,0">
                    <w:txbxContent>
                      <w:p w14:paraId="551A2D4B" w14:textId="77777777" w:rsidR="00217022" w:rsidRPr="00061997" w:rsidRDefault="00217022" w:rsidP="00217022">
                        <w:pPr>
                          <w:rPr>
                            <w:b/>
                            <w:bCs/>
                          </w:rPr>
                        </w:pPr>
                        <w:r w:rsidRPr="00061997">
                          <w:rPr>
                            <w:rFonts w:ascii="Times New Roman" w:hAnsi="Times New Roman" w:cs="Times New Roman"/>
                            <w:b/>
                            <w:bCs/>
                            <w:color w:val="000000"/>
                            <w:kern w:val="0"/>
                            <w:lang w:val="en-US"/>
                          </w:rPr>
                          <w:t>Czas</w:t>
                        </w:r>
                        <w:r w:rsidRPr="00061997">
                          <w:rPr>
                            <w:rFonts w:ascii="Aptos" w:hAnsi="Aptos" w:cs="Aptos"/>
                            <w:b/>
                            <w:bCs/>
                            <w:color w:val="000000"/>
                            <w:kern w:val="0"/>
                            <w:sz w:val="22"/>
                            <w:szCs w:val="22"/>
                            <w:lang w:val="en-US"/>
                          </w:rPr>
                          <w:t>, t</w:t>
                        </w:r>
                      </w:p>
                    </w:txbxContent>
                  </v:textbox>
                </v:rect>
                <v:rect id="Rectangle 45" o:spid="_x0000_s1110" style="position:absolute;left:8083;top:25123;width:128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" filled="f" stroked="f">
                  <v:textbox style="mso-fit-shape-to-text:t" inset="0,0,0,0">
                    <w:txbxContent>
                      <w:p w14:paraId="4084B0B2" w14:textId="77777777" w:rsidR="00217022" w:rsidRPr="006249B2" w:rsidRDefault="00217022" w:rsidP="00217022">
                        <w:pPr>
                          <w:rPr>
                            <w:rFonts w:ascii="Times New Romans" w:hAnsi="Times New Romans"/>
                          </w:rPr>
                        </w:pPr>
                        <w:r w:rsidRPr="006249B2">
                          <w:rPr>
                            <w:rFonts w:ascii="Times New Romans" w:hAnsi="Times New Romans"/>
                          </w:rPr>
                          <w:t>β</w:t>
                        </w:r>
                        <w:r w:rsidRPr="006249B2">
                          <w:rPr>
                            <w:rFonts w:ascii="Times New Romans" w:hAnsi="Times New Romans"/>
                            <w:vertAlign w:val="subscript"/>
                          </w:rPr>
                          <w:t>2</w:t>
                        </w:r>
                      </w:p>
                    </w:txbxContent>
                  </v:textbox>
                </v:rect>
                <v:rect id="Rectangle 47" o:spid="_x0000_s1111" style="position:absolute;left:24511;top:10966;width:286;height:3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" filled="f" stroked="f">
                  <v:textbox style="mso-fit-shape-to-text:t" inset="0,0,0,0">
                    <w:txbxContent>
                      <w:p w14:paraId="4410C973" w14:textId="77777777" w:rsidR="00217022" w:rsidRDefault="00217022" w:rsidP="00217022">
                        <w:r>
                          <w:rPr>
                            <w:rFonts w:ascii="Aptos" w:hAnsi="Aptos" w:cs="Aptos"/>
                            <w:color w:val="000000"/>
                            <w:kern w:val="0"/>
                            <w:sz w:val="22"/>
                            <w:szCs w:val="22"/>
                            <w:lang w:val="en-US"/>
                          </w:rPr>
                          <w:t xml:space="preserve"> </w:t>
                        </w:r>
                      </w:p>
                    </w:txbxContent>
                  </v:textbox>
                </v:rect>
                <v:rect id="Rectangle 48" o:spid="_x0000_s1112" style="position:absolute;left:47739;top:11376;width:1994;height:2057;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" filled="f" stroked="f">
                  <v:textbox inset="0,0,0,0">
                    <w:txbxContent>
                      <w:p w14:paraId="392A6C6A" w14:textId="77777777" w:rsidR="00217022" w:rsidRDefault="00217022" w:rsidP="00217022">
                        <w:r>
                          <w:rPr>
                            <w:rFonts w:ascii="Aptos" w:hAnsi="Aptos" w:cs="Aptos"/>
                            <w:color w:val="000000"/>
                            <w:kern w:val="0"/>
                            <w:sz w:val="22"/>
                            <w:szCs w:val="22"/>
                            <w:lang w:val="en-US"/>
                          </w:rPr>
                          <w:t>β</w:t>
                        </w:r>
                        <w:r w:rsidRPr="003203DD">
                          <w:rPr>
                            <w:rFonts w:ascii="Aptos" w:hAnsi="Aptos" w:cs="Aptos"/>
                            <w:color w:val="000000"/>
                            <w:kern w:val="0"/>
                            <w:sz w:val="22"/>
                            <w:szCs w:val="22"/>
                            <w:vertAlign w:val="subscript"/>
                            <w:lang w:val="en-US"/>
                          </w:rPr>
                          <w:t>3</w:t>
                        </w:r>
                        <w:r>
                          <w:rPr>
                            <w:rFonts w:ascii="Aptos" w:hAnsi="Aptos" w:cs="Aptos"/>
                            <w:color w:val="000000"/>
                            <w:kern w:val="0"/>
                            <w:sz w:val="22"/>
                            <w:szCs w:val="22"/>
                            <w:lang w:val="en-US"/>
                          </w:rPr>
                          <w:t>α</w:t>
                        </w:r>
                      </w:p>
                    </w:txbxContent>
                  </v:textbox>
                </v:rect>
                <v:rect id="Rectangle 57" o:spid="_x0000_s1113" style="position:absolute;left:56833;top:23977;width:857;height:3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" filled="f" stroked="f">
                  <v:textbox style="mso-fit-shape-to-text:t" inset="0,0,0,0">
                    <w:txbxContent>
                      <w:p w14:paraId="012F77FD" w14:textId="77777777" w:rsidR="00217022" w:rsidRDefault="00217022" w:rsidP="00217022"/>
                    </w:txbxContent>
                  </v:textbox>
                </v:rect>
                <v:rect id="Rectangle 60" o:spid="_x0000_s1114" style="position:absolute;left:33382;top:36473;width:18040;height:2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" filled="f" stroked="f">
                  <v:textbox inset="0,0,0,0">
                    <w:txbxContent>
                      <w:p w14:paraId="43CF09E9" w14:textId="77777777" w:rsidR="00217022" w:rsidRPr="00D1695B" w:rsidRDefault="00217022" w:rsidP="00217022">
                        <w:pPr>
                          <w:rPr>
                            <w:rFonts w:ascii="Times New Roman" w:hAnsi="Times New Roman" w:cs="Times New Roman"/>
                          </w:rPr>
                        </w:pPr>
                        <w:r w:rsidRPr="00D1695B">
                          <w:rPr>
                            <w:rFonts w:ascii="Times New Roman" w:hAnsi="Times New Roman" w:cs="Times New Roman"/>
                            <w:color w:val="000000"/>
                            <w:kern w:val="0"/>
                            <w:lang w:val="en-US"/>
                          </w:rPr>
                          <w:t xml:space="preserve">Okres po </w:t>
                        </w:r>
                        <w:r>
                          <w:rPr>
                            <w:rFonts w:ascii="Times New Roman" w:hAnsi="Times New Roman" w:cs="Times New Roman"/>
                            <w:color w:val="000000"/>
                            <w:kern w:val="0"/>
                            <w:lang w:val="en-US"/>
                          </w:rPr>
                          <w:t>i</w:t>
                        </w:r>
                        <w:r w:rsidRPr="00D1695B">
                          <w:rPr>
                            <w:rFonts w:ascii="Times New Roman" w:hAnsi="Times New Roman" w:cs="Times New Roman"/>
                            <w:color w:val="000000"/>
                            <w:kern w:val="0"/>
                            <w:lang w:val="en-US"/>
                          </w:rPr>
                          <w:t>nterwencji t</w:t>
                        </w:r>
                      </w:p>
                    </w:txbxContent>
                  </v:textbox>
                </v:rect>
                <v:rect id="Rectangle 62" o:spid="_x0000_s1115" style="position:absolute;left:7575;top:36277;width:22250;height:2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" filled="f" stroked="f">
                  <v:textbox inset="0,0,0,0">
                    <w:txbxContent>
                      <w:p w14:paraId="6227ABC8" w14:textId="77777777" w:rsidR="00217022" w:rsidRPr="00D1695B" w:rsidRDefault="00217022" w:rsidP="00217022">
                        <w:pPr>
                          <w:jc w:val="center"/>
                          <w:rPr>
                            <w:rFonts w:ascii="Times New Roman" w:hAnsi="Times New Roman" w:cs="Times New Roman"/>
                          </w:rPr>
                        </w:pPr>
                        <w:r w:rsidRPr="00D1695B">
                          <w:rPr>
                            <w:rFonts w:ascii="Times New Roman" w:hAnsi="Times New Roman" w:cs="Times New Roman"/>
                          </w:rPr>
                          <w:t>Okres przed interwencją (t-1)</w:t>
                        </w:r>
                      </w:p>
                    </w:txbxContent>
                  </v:textbox>
                </v:rect>
                <v:rect id="Rectangle 63" o:spid="_x0000_s1116" style="position:absolute;left:18365;top:37014;width:546;height:24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" filled="f" stroked="f">
                  <v:textbox style="mso-fit-shape-to-text:t" inset="0,0,0,0">
                    <w:txbxContent>
                      <w:p w14:paraId="48EA3102" w14:textId="77777777" w:rsidR="00217022" w:rsidRDefault="00217022" w:rsidP="00217022">
                        <w:r>
                          <w:rPr>
                            <w:rFonts w:ascii="Aptos" w:hAnsi="Aptos" w:cs="Aptos"/>
                            <w:color w:val="000000"/>
                            <w:kern w:val="0"/>
                            <w:sz w:val="16"/>
                            <w:szCs w:val="16"/>
                            <w:lang w:val="en-US"/>
                          </w:rPr>
                          <w:t>1</w:t>
                        </w:r>
                      </w:p>
                    </w:txbxContent>
                  </v:textbox>
                </v:rect>
                <v:rect id="Rectangle 64" o:spid="_x0000_s1117" style="position:absolute;left:18911;top:36277;width:336;height:3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" filled="f" stroked="f">
                  <v:textbox style="mso-fit-shape-to-text:t" inset="0,0,0,0">
                    <w:txbxContent>
                      <w:p w14:paraId="19557F6F" w14:textId="77777777" w:rsidR="00217022" w:rsidRDefault="00217022" w:rsidP="00217022">
                        <w:r>
                          <w:rPr>
                            <w:rFonts w:ascii="Aptos" w:hAnsi="Aptos" w:cs="Aptos"/>
                            <w:color w:val="000000"/>
                            <w:kern w:val="0"/>
                            <w:sz w:val="26"/>
                            <w:szCs w:val="26"/>
                            <w:lang w:val="en-US"/>
                          </w:rPr>
                          <w:t xml:space="preserve"> </w:t>
                        </w:r>
                      </w:p>
                    </w:txbxContent>
                  </v:textbox>
                </v:rect>
                <v:line id="Łącznik prosty 1094214665" o:spid="_x0000_s1118" style="position:absolute;flip:x;visibility:visible;mso-wrap-style:square" from="30105,6400" to="30311,38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" strokecolor="windowText">
                  <v:stroke joinstyle="miter"/>
                </v:line>
                <v:line id="Line 26" o:spid="_x0000_s1119" style="position:absolute;flip:y;visibility:visible;mso-wrap-style:square" from="11020,18863" to="45086,28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" strokecolor="#ffc000" strokeweight="1.15pt">
                  <v:stroke joinstyle="miter"/>
                </v:line>
                <v:line id="Line 26" o:spid="_x0000_s1120" style="position:absolute;flip:y;visibility:visible;mso-wrap-style:square" from="11090,18936" to="30183,2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" strokecolor="#7030a0" strokeweight="1.15pt">
                  <v:stroke joinstyle="miter"/>
                </v:line>
                <v:line id="Line 26" o:spid="_x0000_s1121" style="position:absolute;flip:y;visibility:visible;mso-wrap-style:square" from="30183,9936" to="45591,18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" strokecolor="#7030a0" strokeweight="1.15pt">
                  <v:stroke joinstyle="miter"/>
                </v:line>
                <v:line id="Łącznik prosty 1082413112" o:spid="_x0000_s1122" style="position:absolute;flip:x;visibility:visible;mso-wrap-style:square" from="45447,9901" to="45519,1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" strokecolor="windowText" strokeweight=".5pt">
                  <v:stroke dashstyle="1 1" joinstyle="miter"/>
                </v:line>
                <v:shape id="Nawias klamrowy zamykający 554701797" o:spid="_x0000_s1123" type="#_x0000_t88" style="position:absolute;left:45663;top:10080;width:1800;height:4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" adj="769" strokecolor="#156082" strokeweight=".5pt">
                  <v:stroke joinstyle="miter"/>
                </v:shape>
                <v:line id="Łącznik prosty 544369096" o:spid="_x0000_s1124" style="position:absolute;flip:x;visibility:visible;mso-wrap-style:square" from="11020,24120" to="11090,28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" strokecolor="windowText" strokeweight=".5pt">
                  <v:stroke dashstyle="1 1" joinstyle="miter"/>
                </v:line>
                <v:shape id="Nawias klamrowy zamykający 1625109959" o:spid="_x0000_s1125" type="#_x0000_t88" style="position:absolute;left:9735;top:23977;width:1152;height:454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" adj="456,11511" strokecolor="#156082" strokeweight=".5pt">
                  <v:stroke joinstyle="miter"/>
                </v:shape>
                <v:line id="Łącznik prosty 1713699696" o:spid="_x0000_s1126" style="position:absolute;flip:x;visibility:visible;mso-wrap-style:square" from="44848,19080" to="45079,28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" strokecolor="windowText" strokeweight=".5pt">
                  <v:stroke dashstyle="1 1" joinstyle="miter"/>
                </v:line>
                <v:line id="Łącznik prosty 642317118" o:spid="_x0000_s1127" style="position:absolute;flip:y;visibility:visible;mso-wrap-style:square" from="11174,28171" to="45009,28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" strokecolor="windowText" strokeweight=".5pt">
                  <v:stroke dashstyle="1 1" joinstyle="miter"/>
                </v:line>
                <v:rect id="Rectangle 45" o:spid="_x0000_s1128" style="position:absolute;left:47937;top:22752;width:11017;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" filled="f" stroked="f">
                  <v:textbox style="mso-fit-shape-to-text:t" inset="0,0,0,0">
                    <w:txbxContent>
                      <w:p w14:paraId="15E484A9" w14:textId="77777777" w:rsidR="00217022" w:rsidRDefault="00217022" w:rsidP="00217022">
                        <w:pPr>
                          <w:spacing w:line="276" w:lineRule="auto"/>
                          <w:rPr>
                            <w:rFonts w:ascii="Times New Romans" w:eastAsia="Aptos" w:hAnsi="Times New Romans"/>
                            <w14:ligatures w14:val="none"/>
                          </w:rPr>
                        </w:pPr>
                        <w:r>
                          <w:rPr>
                            <w:rFonts w:ascii="Times New Romans" w:eastAsia="Aptos" w:hAnsi="Times New Romans"/>
                          </w:rPr>
                          <w:t>β</w:t>
                        </w:r>
                        <w:r>
                          <w:rPr>
                            <w:rFonts w:ascii="Times New Romans" w:eastAsia="Aptos" w:hAnsi="Times New Romans"/>
                            <w:position w:val="-6"/>
                            <w:vertAlign w:val="subscript"/>
                          </w:rPr>
                          <w:t>1</w:t>
                        </w:r>
                      </w:p>
                    </w:txbxContent>
                  </v:textbox>
                </v:rect>
                <v:rect id="_x0000_s1129" style="position:absolute;left:10812;top:21024;width:2811;height:3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" filled="f" stroked="f">
                  <v:textbox inset="0,0,0,0">
                    <w:txbxContent>
                      <w:p w14:paraId="019C3B7F" w14:textId="77777777" w:rsidR="00217022" w:rsidRPr="004C4720" w:rsidRDefault="00217022" w:rsidP="00217022">
                        <w:pPr>
                          <w:spacing w:before="120" w:after="0" w:line="120" w:lineRule="auto"/>
                          <w:rPr>
                            <w:rFonts w:eastAsia="Aptos"/>
                            <w:color w:val="000000"/>
                            <w:kern w:val="0"/>
                            <w:lang w:val="en-US"/>
                            <w14:ligatures w14:val="none"/>
                          </w:rPr>
                        </w:pPr>
                        <w:r w:rsidRPr="004C4720">
                          <w:rPr>
                            <w:rFonts w:eastAsia="Aptos"/>
                            <w:color w:val="000000"/>
                            <w:lang w:val="en-US"/>
                          </w:rPr>
                          <w:t>A</w:t>
                        </w:r>
                        <w:r>
                          <w:rPr>
                            <w:rFonts w:eastAsia="Aptos"/>
                            <w:color w:val="000000"/>
                            <w:lang w:val="en-US"/>
                          </w:rPr>
                          <w:br/>
                        </w:r>
                        <w:r w:rsidRPr="004C4720">
                          <w:rPr>
                            <w:rFonts w:eastAsia="Aptos"/>
                            <w:color w:val="000000"/>
                            <w:sz w:val="52"/>
                            <w:szCs w:val="52"/>
                            <w:lang w:val="en-US"/>
                          </w:rPr>
                          <w:t>.</w:t>
                        </w:r>
                      </w:p>
                    </w:txbxContent>
                  </v:textbox>
                </v:rect>
                <v:rect id="_x0000_s1130" style="position:absolute;left:45084;top:6984;width:2806;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" filled="f" stroked="f">
                  <v:textbox inset="0,0,0,0">
                    <w:txbxContent>
                      <w:p w14:paraId="491CF7F0" w14:textId="77777777" w:rsidR="00217022" w:rsidRDefault="00217022" w:rsidP="00217022">
                        <w:pPr>
                          <w:spacing w:before="120" w:line="120" w:lineRule="auto"/>
                          <w:rPr>
                            <w:rFonts w:ascii="Aptos" w:eastAsia="Aptos" w:hAnsi="Aptos"/>
                            <w:color w:val="000000"/>
                            <w:lang w:val="en-US"/>
                            <w14:ligatures w14:val="none"/>
                          </w:rPr>
                        </w:pPr>
                        <w:r>
                          <w:rPr>
                            <w:rFonts w:ascii="Aptos" w:eastAsia="Aptos" w:hAnsi="Aptos"/>
                            <w:color w:val="000000"/>
                            <w:lang w:val="en-US"/>
                          </w:rPr>
                          <w:t>C</w:t>
                        </w:r>
                        <w:r>
                          <w:rPr>
                            <w:rFonts w:ascii="Aptos" w:eastAsia="Aptos" w:hAnsi="Aptos"/>
                            <w:color w:val="000000"/>
                            <w:lang w:val="en-US"/>
                          </w:rPr>
                          <w:br/>
                        </w:r>
                        <w:r>
                          <w:rPr>
                            <w:rFonts w:ascii="Aptos" w:eastAsia="Aptos" w:hAnsi="Aptos"/>
                            <w:color w:val="000000"/>
                            <w:sz w:val="52"/>
                            <w:szCs w:val="52"/>
                            <w:lang w:val="en-US"/>
                          </w:rPr>
                          <w:t>.</w:t>
                        </w:r>
                      </w:p>
                    </w:txbxContent>
                  </v:textbox>
                </v:rect>
                <v:rect id="_x0000_s1131" style="position:absolute;left:10691;top:25123;width:3315;height:6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" filled="f" stroked="f">
                  <v:textbox inset="0,0,0,0">
                    <w:txbxContent>
                      <w:p w14:paraId="4B67B70E" w14:textId="77777777" w:rsidR="00217022" w:rsidRPr="004C4720" w:rsidRDefault="00217022" w:rsidP="00217022">
                        <w:pPr>
                          <w:spacing w:before="120" w:after="0" w:line="240" w:lineRule="auto"/>
                          <w:rPr>
                            <w:rFonts w:ascii="Aptos" w:eastAsia="Aptos" w:hAnsi="Aptos"/>
                            <w:color w:val="000000"/>
                            <w:sz w:val="44"/>
                            <w:szCs w:val="44"/>
                            <w:lang w:val="en-US"/>
                          </w:rPr>
                        </w:pPr>
                        <w:r w:rsidRPr="004C4720">
                          <w:rPr>
                            <w:rFonts w:ascii="Aptos" w:eastAsia="Aptos" w:hAnsi="Aptos"/>
                            <w:color w:val="000000"/>
                            <w:sz w:val="44"/>
                            <w:szCs w:val="44"/>
                            <w:lang w:val="en-US"/>
                          </w:rPr>
                          <w:t>.</w:t>
                        </w:r>
                      </w:p>
                      <w:p w14:paraId="64E66BD3" w14:textId="77777777" w:rsidR="00217022" w:rsidRDefault="00217022" w:rsidP="00217022">
                        <w:pPr>
                          <w:spacing w:after="0" w:line="240" w:lineRule="auto"/>
                          <w:rPr>
                            <w:rFonts w:ascii="Aptos" w:eastAsia="Aptos" w:hAnsi="Aptos"/>
                            <w:color w:val="000000"/>
                            <w:lang w:val="en-US"/>
                            <w14:ligatures w14:val="none"/>
                          </w:rPr>
                        </w:pPr>
                        <w:r>
                          <w:rPr>
                            <w:rFonts w:ascii="Aptos" w:eastAsia="Aptos" w:hAnsi="Aptos"/>
                            <w:color w:val="000000"/>
                            <w:lang w:val="en-US"/>
                          </w:rPr>
                          <w:t>B</w:t>
                        </w:r>
                      </w:p>
                    </w:txbxContent>
                  </v:textbox>
                </v:rect>
                <v:rect id="_x0000_s1132" style="position:absolute;left:44660;top:15768;width:2800;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" filled="f" stroked="f">
                  <v:textbox inset="0,0,0,0">
                    <w:txbxContent>
                      <w:p w14:paraId="43084004" w14:textId="77777777" w:rsidR="00217022" w:rsidRDefault="00217022" w:rsidP="00217022">
                        <w:pPr>
                          <w:spacing w:before="120" w:line="120" w:lineRule="auto"/>
                          <w:rPr>
                            <w:rFonts w:ascii="Aptos" w:eastAsia="Aptos" w:hAnsi="Aptos"/>
                            <w:color w:val="000000"/>
                            <w:lang w:val="en-US"/>
                            <w14:ligatures w14:val="none"/>
                          </w:rPr>
                        </w:pPr>
                        <w:r>
                          <w:rPr>
                            <w:rFonts w:ascii="Aptos" w:eastAsia="Aptos" w:hAnsi="Aptos"/>
                            <w:color w:val="000000"/>
                            <w:lang w:val="en-US"/>
                          </w:rPr>
                          <w:t>D</w:t>
                        </w:r>
                        <w:r>
                          <w:rPr>
                            <w:rFonts w:ascii="Aptos" w:eastAsia="Aptos" w:hAnsi="Aptos"/>
                            <w:color w:val="000000"/>
                            <w:lang w:val="en-US"/>
                          </w:rPr>
                          <w:br/>
                        </w:r>
                        <w:r>
                          <w:rPr>
                            <w:rFonts w:ascii="Aptos" w:eastAsia="Aptos" w:hAnsi="Aptos"/>
                            <w:color w:val="000000"/>
                            <w:sz w:val="52"/>
                            <w:szCs w:val="52"/>
                            <w:lang w:val="en-US"/>
                          </w:rPr>
                          <w:t>.</w:t>
                        </w:r>
                      </w:p>
                    </w:txbxContent>
                  </v:textbox>
                </v:rect>
                <v:shape id="Nawias klamrowy zamykający 2047557238" o:spid="_x0000_s1133" type="#_x0000_t88" style="position:absolute;left:9663;top:28774;width:888;height:650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" adj="246,11511" strokecolor="#156082" strokeweight=".5pt">
                  <v:stroke joinstyle="miter"/>
                </v:shape>
                <v:rect id="Rectangle 45" o:spid="_x0000_s1134" style="position:absolute;left:8083;top:31246;width:1289;height:30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" filled="f" stroked="f">
                  <v:textbox style="mso-fit-shape-to-text:t" inset="0,0,0,0">
                    <w:txbxContent>
                      <w:p w14:paraId="6939B9B9" w14:textId="77777777" w:rsidR="00217022" w:rsidRDefault="00217022" w:rsidP="00217022">
                        <w:pPr>
                          <w:spacing w:line="276" w:lineRule="auto"/>
                          <w:rPr>
                            <w:rFonts w:ascii="Times New Romans" w:eastAsia="Aptos" w:hAnsi="Times New Romans"/>
                            <w14:ligatures w14:val="none"/>
                          </w:rPr>
                        </w:pPr>
                        <w:r>
                          <w:rPr>
                            <w:rFonts w:ascii="Times New Romans" w:eastAsia="Aptos" w:hAnsi="Times New Romans"/>
                          </w:rPr>
                          <w:t>β</w:t>
                        </w:r>
                        <w:r w:rsidRPr="00D1695B">
                          <w:rPr>
                            <w:rFonts w:ascii="Times New Romans" w:eastAsia="Aptos" w:hAnsi="Times New Romans"/>
                            <w:vertAlign w:val="subscript"/>
                          </w:rPr>
                          <w:t>0</w:t>
                        </w:r>
                      </w:p>
                    </w:txbxContent>
                  </v:textbox>
                </v:rect>
                <v:line id="Line 26" o:spid="_x0000_s1135" style="position:absolute;visibility:visible;mso-wrap-style:square" from="10762,97443" to="12845,97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" strokecolor="#7030a0" strokeweight="1.15pt">
                  <v:stroke joinstyle="miter"/>
                </v:line>
              </v:group>
            </w:pict>
          </mc:Fallback>
        </mc:AlternateContent>
      </w:r>
      <w:r w:rsidR="00B509C5" w:rsidRPr="00B509C5">
        <w:rPr>
          <w:rFonts w:ascii="Times New Roman" w:hAnsi="Times New Roman" w:cs="Times New Roman"/>
          <w:b/>
          <w:bCs/>
          <w:noProof/>
          <w:sz w:val="28"/>
          <w:szCs w:val="28"/>
        </w:rPr>
        <w:t xml:space="preserve">Rysunek </w:t>
      </w:r>
      <w:r w:rsidR="00217022" w:rsidRPr="00E226AA">
        <w:rPr>
          <w:rFonts w:ascii="Times New Roman" w:hAnsi="Times New Roman" w:cs="Times New Roman"/>
          <w:b/>
          <w:bCs/>
          <w:sz w:val="28"/>
          <w:szCs w:val="28"/>
        </w:rPr>
        <w:t xml:space="preserve"> </w:t>
      </w:r>
      <w:r w:rsidR="00FC4629">
        <w:rPr>
          <w:rFonts w:ascii="Times New Roman" w:hAnsi="Times New Roman" w:cs="Times New Roman"/>
          <w:b/>
          <w:bCs/>
          <w:sz w:val="28"/>
          <w:szCs w:val="28"/>
        </w:rPr>
        <w:t>13</w:t>
      </w:r>
      <w:r w:rsidR="00217022" w:rsidRPr="00E226AA">
        <w:rPr>
          <w:rFonts w:ascii="Times New Roman" w:hAnsi="Times New Roman" w:cs="Times New Roman"/>
          <w:b/>
          <w:bCs/>
          <w:sz w:val="28"/>
          <w:szCs w:val="28"/>
        </w:rPr>
        <w:t>.</w:t>
      </w:r>
      <w:r w:rsidR="00217022" w:rsidRPr="00217022">
        <w:rPr>
          <w:rFonts w:ascii="Times New Roman" w:hAnsi="Times New Roman" w:cs="Times New Roman"/>
          <w:sz w:val="28"/>
          <w:szCs w:val="28"/>
        </w:rPr>
        <w:t xml:space="preserve"> Graficzna prezentacja współczynników regresji </w:t>
      </w:r>
      <w:r w:rsidR="005B507C">
        <w:rPr>
          <w:rFonts w:ascii="Times New Roman" w:hAnsi="Times New Roman" w:cs="Times New Roman"/>
          <w:sz w:val="28"/>
          <w:szCs w:val="28"/>
        </w:rPr>
        <w:br/>
      </w:r>
      <w:r w:rsidR="00217022" w:rsidRPr="00217022">
        <w:rPr>
          <w:rFonts w:ascii="Times New Roman" w:hAnsi="Times New Roman" w:cs="Times New Roman"/>
          <w:sz w:val="28"/>
          <w:szCs w:val="28"/>
        </w:rPr>
        <w:t>w klasycznej metodzie DID</w:t>
      </w:r>
    </w:p>
    <w:p w14:paraId="51DBBDDD" w14:textId="77777777" w:rsidR="00217022" w:rsidRPr="00217022" w:rsidRDefault="00217022" w:rsidP="00217022">
      <w:pPr>
        <w:ind w:firstLine="708"/>
        <w:jc w:val="both"/>
        <w:rPr>
          <w:rFonts w:ascii="Times New Roman" w:hAnsi="Times New Roman" w:cs="Times New Roman"/>
          <w:sz w:val="28"/>
          <w:szCs w:val="28"/>
        </w:rPr>
      </w:pPr>
    </w:p>
    <w:p w14:paraId="760FBA39" w14:textId="77777777" w:rsidR="00217022" w:rsidRPr="00217022" w:rsidRDefault="00217022" w:rsidP="00217022">
      <w:pPr>
        <w:ind w:firstLine="708"/>
        <w:jc w:val="both"/>
        <w:rPr>
          <w:rFonts w:ascii="Times New Roman" w:hAnsi="Times New Roman" w:cs="Times New Roman"/>
          <w:sz w:val="28"/>
          <w:szCs w:val="28"/>
        </w:rPr>
      </w:pPr>
    </w:p>
    <w:p w14:paraId="54680EF9" w14:textId="77777777" w:rsidR="00217022" w:rsidRPr="00217022" w:rsidRDefault="00217022" w:rsidP="00217022">
      <w:pPr>
        <w:ind w:firstLine="708"/>
        <w:jc w:val="both"/>
        <w:rPr>
          <w:rFonts w:ascii="Times New Roman" w:hAnsi="Times New Roman" w:cs="Times New Roman"/>
          <w:sz w:val="28"/>
          <w:szCs w:val="28"/>
        </w:rPr>
      </w:pPr>
    </w:p>
    <w:p w14:paraId="37134072" w14:textId="77777777" w:rsidR="00217022" w:rsidRPr="00217022" w:rsidRDefault="00217022" w:rsidP="00217022">
      <w:pPr>
        <w:ind w:firstLine="708"/>
        <w:jc w:val="both"/>
        <w:rPr>
          <w:rFonts w:ascii="Times New Roman" w:hAnsi="Times New Roman" w:cs="Times New Roman"/>
          <w:sz w:val="28"/>
          <w:szCs w:val="28"/>
        </w:rPr>
      </w:pPr>
    </w:p>
    <w:p w14:paraId="789C3505" w14:textId="77777777" w:rsidR="00217022" w:rsidRPr="00217022" w:rsidRDefault="00217022" w:rsidP="00217022">
      <w:pPr>
        <w:ind w:firstLine="708"/>
        <w:jc w:val="both"/>
        <w:rPr>
          <w:rFonts w:ascii="Times New Roman" w:hAnsi="Times New Roman" w:cs="Times New Roman"/>
          <w:sz w:val="28"/>
          <w:szCs w:val="28"/>
        </w:rPr>
      </w:pPr>
    </w:p>
    <w:p w14:paraId="1BAAF854" w14:textId="77777777" w:rsidR="00217022" w:rsidRPr="00217022" w:rsidRDefault="00217022" w:rsidP="00217022">
      <w:pPr>
        <w:ind w:firstLine="708"/>
        <w:jc w:val="both"/>
        <w:rPr>
          <w:rFonts w:ascii="Times New Roman" w:hAnsi="Times New Roman" w:cs="Times New Roman"/>
          <w:sz w:val="28"/>
          <w:szCs w:val="28"/>
        </w:rPr>
      </w:pPr>
    </w:p>
    <w:p w14:paraId="09057D92" w14:textId="77777777" w:rsidR="00217022" w:rsidRPr="00217022" w:rsidRDefault="00217022" w:rsidP="00217022">
      <w:pPr>
        <w:ind w:firstLine="708"/>
        <w:jc w:val="both"/>
        <w:rPr>
          <w:rFonts w:ascii="Times New Roman" w:hAnsi="Times New Roman" w:cs="Times New Roman"/>
          <w:sz w:val="28"/>
          <w:szCs w:val="28"/>
        </w:rPr>
      </w:pPr>
    </w:p>
    <w:p w14:paraId="32AEEF5B" w14:textId="77777777" w:rsidR="00217022" w:rsidRPr="00217022" w:rsidRDefault="00217022" w:rsidP="00217022">
      <w:pPr>
        <w:ind w:firstLine="708"/>
        <w:jc w:val="both"/>
        <w:rPr>
          <w:rFonts w:ascii="Times New Roman" w:hAnsi="Times New Roman" w:cs="Times New Roman"/>
          <w:sz w:val="28"/>
          <w:szCs w:val="28"/>
        </w:rPr>
      </w:pPr>
    </w:p>
    <w:p w14:paraId="7C213B10" w14:textId="77777777" w:rsidR="00217022" w:rsidRPr="00217022" w:rsidRDefault="00217022" w:rsidP="00217022">
      <w:pPr>
        <w:ind w:firstLine="708"/>
        <w:jc w:val="both"/>
        <w:rPr>
          <w:rFonts w:ascii="Times New Roman" w:hAnsi="Times New Roman" w:cs="Times New Roman"/>
          <w:sz w:val="28"/>
          <w:szCs w:val="28"/>
        </w:rPr>
      </w:pPr>
    </w:p>
    <w:p w14:paraId="21E3E02E" w14:textId="77777777" w:rsidR="00217022" w:rsidRPr="00217022" w:rsidRDefault="00217022" w:rsidP="00217022">
      <w:pPr>
        <w:ind w:firstLine="708"/>
        <w:jc w:val="both"/>
        <w:rPr>
          <w:rFonts w:ascii="Times New Roman" w:hAnsi="Times New Roman" w:cs="Times New Roman"/>
          <w:i/>
          <w:iCs/>
        </w:rPr>
      </w:pPr>
    </w:p>
    <w:p w14:paraId="3E1C18DB" w14:textId="77777777" w:rsidR="00217022" w:rsidRPr="00217022" w:rsidRDefault="00217022" w:rsidP="00217022">
      <w:pPr>
        <w:jc w:val="both"/>
        <w:rPr>
          <w:rFonts w:ascii="Times New Roman" w:hAnsi="Times New Roman" w:cs="Times New Roman"/>
          <w:i/>
          <w:iCs/>
        </w:rPr>
      </w:pPr>
    </w:p>
    <w:p w14:paraId="56F262B9" w14:textId="77777777" w:rsidR="00217022" w:rsidRPr="00217022" w:rsidRDefault="00217022" w:rsidP="00217022">
      <w:pPr>
        <w:tabs>
          <w:tab w:val="center" w:pos="426"/>
          <w:tab w:val="left" w:pos="567"/>
          <w:tab w:val="left" w:pos="3828"/>
          <w:tab w:val="left" w:pos="6804"/>
        </w:tabs>
        <w:spacing w:after="0" w:line="240" w:lineRule="auto"/>
        <w:jc w:val="both"/>
        <w:rPr>
          <w:rFonts w:ascii="Times New Roman" w:hAnsi="Times New Roman" w:cs="Times New Roman"/>
        </w:rPr>
      </w:pPr>
      <w:r w:rsidRPr="00217022">
        <w:rPr>
          <w:noProof/>
        </w:rPr>
        <mc:AlternateContent>
          <mc:Choice Requires="wps">
            <w:drawing>
              <wp:anchor distT="0" distB="0" distL="114300" distR="114300" simplePos="0" relativeHeight="251766784" behindDoc="0" locked="0" layoutInCell="1" allowOverlap="1" wp14:anchorId="6A5136AA" wp14:editId="48AB1530">
                <wp:simplePos x="0" y="0"/>
                <wp:positionH relativeFrom="column">
                  <wp:posOffset>4023360</wp:posOffset>
                </wp:positionH>
                <wp:positionV relativeFrom="paragraph">
                  <wp:posOffset>98425</wp:posOffset>
                </wp:positionV>
                <wp:extent cx="208800" cy="0"/>
                <wp:effectExtent l="0" t="0" r="0" b="0"/>
                <wp:wrapNone/>
                <wp:docPr id="165887659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800" cy="0"/>
                        </a:xfrm>
                        <a:prstGeom prst="line">
                          <a:avLst/>
                        </a:prstGeom>
                        <a:noFill/>
                        <a:ln w="9525" cap="flat" cmpd="sng" algn="ctr">
                          <a:solidFill>
                            <a:srgbClr val="E97132"/>
                          </a:solidFill>
                          <a:prstDash val="dash"/>
                          <a:round/>
                          <a:headEnd type="none" w="med" len="med"/>
                          <a:tailEnd type="none" w="med" len="med"/>
                        </a:ln>
                        <a:effectLst/>
                      </wps:spPr>
                      <wps:bodyPr/>
                    </wps:wsp>
                  </a:graphicData>
                </a:graphic>
                <wp14:sizeRelH relativeFrom="margin">
                  <wp14:pctWidth>0</wp14:pctWidth>
                </wp14:sizeRelH>
              </wp:anchor>
            </w:drawing>
          </mc:Choice>
          <mc:Fallback>
            <w:pict>
              <v:line w14:anchorId="4815FEAB" id="Line 26" o:spid="_x0000_s1026" style="position:absolute;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6.8pt,7.75pt" to="333.2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" strokecolor="#e97132">
                <v:stroke dashstyle="dash"/>
              </v:line>
            </w:pict>
          </mc:Fallback>
        </mc:AlternateContent>
      </w:r>
      <w:r w:rsidRPr="00217022">
        <w:rPr>
          <w:noProof/>
        </w:rPr>
        <mc:AlternateContent>
          <mc:Choice Requires="wps">
            <w:drawing>
              <wp:anchor distT="0" distB="0" distL="114300" distR="114300" simplePos="0" relativeHeight="251765760" behindDoc="0" locked="0" layoutInCell="1" allowOverlap="1" wp14:anchorId="6658AED2" wp14:editId="7337AD11">
                <wp:simplePos x="0" y="0"/>
                <wp:positionH relativeFrom="column">
                  <wp:posOffset>2103120</wp:posOffset>
                </wp:positionH>
                <wp:positionV relativeFrom="paragraph">
                  <wp:posOffset>79375</wp:posOffset>
                </wp:positionV>
                <wp:extent cx="208800" cy="0"/>
                <wp:effectExtent l="0" t="0" r="0" b="0"/>
                <wp:wrapNone/>
                <wp:docPr id="156361238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800" cy="0"/>
                        </a:xfrm>
                        <a:prstGeom prst="line">
                          <a:avLst/>
                        </a:prstGeom>
                        <a:noFill/>
                        <a:ln w="14605" cap="flat">
                          <a:solidFill>
                            <a:srgbClr val="FFC000"/>
                          </a:solidFill>
                          <a:prstDash val="solid"/>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2DC9321F" id="Line 26" o:spid="_x0000_s1026" style="position:absolute;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6pt,6.25pt" to="182.0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" strokecolor="#ffc000" strokeweight="1.15pt">
                <v:stroke joinstyle="miter"/>
              </v:line>
            </w:pict>
          </mc:Fallback>
        </mc:AlternateContent>
      </w:r>
      <w:r w:rsidRPr="00217022">
        <w:rPr>
          <w:rFonts w:ascii="Times New Roman" w:hAnsi="Times New Roman" w:cs="Times New Roman"/>
        </w:rPr>
        <w:tab/>
      </w:r>
      <w:r w:rsidRPr="00217022">
        <w:rPr>
          <w:noProof/>
        </w:rPr>
        <mc:AlternateContent>
          <mc:Choice Requires="wps">
            <w:drawing>
              <wp:anchor distT="0" distB="0" distL="114300" distR="114300" simplePos="0" relativeHeight="251764736" behindDoc="0" locked="0" layoutInCell="1" allowOverlap="1" wp14:anchorId="39F74BE7" wp14:editId="5F27B7F4">
                <wp:simplePos x="0" y="0"/>
                <wp:positionH relativeFrom="column">
                  <wp:posOffset>-635</wp:posOffset>
                </wp:positionH>
                <wp:positionV relativeFrom="paragraph">
                  <wp:posOffset>79375</wp:posOffset>
                </wp:positionV>
                <wp:extent cx="208800" cy="0"/>
                <wp:effectExtent l="0" t="0" r="0" b="0"/>
                <wp:wrapNone/>
                <wp:docPr id="17093727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800" cy="0"/>
                        </a:xfrm>
                        <a:prstGeom prst="line">
                          <a:avLst/>
                        </a:prstGeom>
                        <a:noFill/>
                        <a:ln w="14605" cap="flat">
                          <a:solidFill>
                            <a:srgbClr val="7030A0"/>
                          </a:solidFill>
                          <a:prstDash val="solid"/>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6B41661" id="Line 26"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6.25pt" to="16.4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" strokecolor="#7030a0" strokeweight="1.15pt">
                <v:stroke joinstyle="miter"/>
              </v:line>
            </w:pict>
          </mc:Fallback>
        </mc:AlternateContent>
      </w:r>
      <w:r w:rsidRPr="00217022">
        <w:rPr>
          <w:rFonts w:ascii="Times New Roman" w:hAnsi="Times New Roman" w:cs="Times New Roman"/>
        </w:rPr>
        <w:tab/>
        <w:t xml:space="preserve">wyniki grupy docelowej </w:t>
      </w:r>
      <w:r w:rsidRPr="00217022">
        <w:rPr>
          <w:rFonts w:ascii="Times New Roman" w:hAnsi="Times New Roman" w:cs="Times New Roman"/>
        </w:rPr>
        <w:tab/>
        <w:t xml:space="preserve">wyniki grupy kontrolnej </w:t>
      </w:r>
      <w:r w:rsidRPr="00217022">
        <w:rPr>
          <w:rFonts w:ascii="Times New Roman" w:hAnsi="Times New Roman" w:cs="Times New Roman"/>
        </w:rPr>
        <w:tab/>
        <w:t>wynik kontrfaktyczny</w:t>
      </w:r>
    </w:p>
    <w:p w14:paraId="2BC232E4" w14:textId="77777777" w:rsidR="00217022" w:rsidRPr="00217022" w:rsidRDefault="00217022" w:rsidP="00217022">
      <w:pPr>
        <w:spacing w:after="0" w:line="240" w:lineRule="auto"/>
        <w:ind w:left="6804"/>
        <w:jc w:val="both"/>
        <w:rPr>
          <w:rFonts w:ascii="Times New Roman" w:hAnsi="Times New Roman" w:cs="Times New Roman"/>
        </w:rPr>
      </w:pPr>
      <w:r w:rsidRPr="00217022">
        <w:rPr>
          <w:rFonts w:ascii="Times New Roman" w:hAnsi="Times New Roman" w:cs="Times New Roman"/>
        </w:rPr>
        <w:t xml:space="preserve">grupy docelowej </w:t>
      </w:r>
    </w:p>
    <w:p w14:paraId="54272CF1" w14:textId="77777777" w:rsidR="00217022" w:rsidRPr="00217022" w:rsidRDefault="00217022" w:rsidP="00217022">
      <w:pPr>
        <w:spacing w:before="360" w:after="0"/>
        <w:jc w:val="both"/>
        <w:rPr>
          <w:rFonts w:ascii="Times New Roman" w:hAnsi="Times New Roman" w:cs="Times New Roman"/>
          <w:sz w:val="28"/>
          <w:szCs w:val="28"/>
          <w:lang w:val="en-GB"/>
        </w:rPr>
      </w:pPr>
      <w:bookmarkStart w:id="24" w:name="_Hlk179385462"/>
      <w:bookmarkEnd w:id="23"/>
      <w:r w:rsidRPr="00217022">
        <w:rPr>
          <w:rFonts w:ascii="Times New Roman" w:hAnsi="Times New Roman" w:cs="Times New Roman"/>
          <w:i/>
          <w:iCs/>
        </w:rPr>
        <w:t xml:space="preserve">Źródło: opracowano na podstawie Keisha, F. (2022). </w:t>
      </w:r>
      <w:r w:rsidRPr="00217022">
        <w:rPr>
          <w:rFonts w:ascii="Times New Roman" w:hAnsi="Times New Roman" w:cs="Times New Roman"/>
          <w:i/>
          <w:iCs/>
          <w:lang w:val="en-GB"/>
        </w:rPr>
        <w:t>Difference-in-Differences. Medium.&lt; https://medium. com/bukalapak-data/difference-in-differences-8c925e691fff&gt;.</w:t>
      </w:r>
    </w:p>
    <w:bookmarkEnd w:id="24"/>
    <w:p w14:paraId="7DF40AC4" w14:textId="6D121548" w:rsidR="00217022" w:rsidRPr="00217022" w:rsidRDefault="00217022" w:rsidP="00217022">
      <w:pPr>
        <w:autoSpaceDE w:val="0"/>
        <w:autoSpaceDN w:val="0"/>
        <w:adjustRightInd w:val="0"/>
        <w:spacing w:after="240" w:line="264" w:lineRule="auto"/>
        <w:ind w:firstLine="709"/>
        <w:jc w:val="both"/>
        <w:rPr>
          <w:rFonts w:ascii="Times New Roman" w:hAnsi="Times New Roman" w:cs="Times New Roman"/>
          <w:color w:val="000000"/>
          <w:kern w:val="0"/>
          <w:sz w:val="28"/>
          <w:szCs w:val="28"/>
        </w:rPr>
      </w:pPr>
      <w:r w:rsidRPr="00217022">
        <w:rPr>
          <w:rFonts w:ascii="Times New Roman" w:hAnsi="Times New Roman" w:cs="Times New Roman"/>
          <w:color w:val="000000"/>
          <w:kern w:val="0"/>
          <w:sz w:val="28"/>
          <w:szCs w:val="28"/>
        </w:rPr>
        <w:t>Przykładowa ścieżka estymacji kanonicznego DID w programie R dla danych panelowy</w:t>
      </w:r>
      <w:r w:rsidR="00E37AAA">
        <w:rPr>
          <w:rFonts w:ascii="Times New Roman" w:hAnsi="Times New Roman" w:cs="Times New Roman"/>
          <w:color w:val="000000"/>
          <w:kern w:val="0"/>
          <w:sz w:val="28"/>
          <w:szCs w:val="28"/>
        </w:rPr>
        <w:t>ch</w:t>
      </w:r>
      <w:r w:rsidRPr="00217022">
        <w:rPr>
          <w:rFonts w:ascii="Times New Roman" w:hAnsi="Times New Roman" w:cs="Times New Roman"/>
          <w:color w:val="000000"/>
          <w:kern w:val="0"/>
          <w:sz w:val="28"/>
          <w:szCs w:val="28"/>
        </w:rPr>
        <w:t xml:space="preserve"> z uwzględnieniem zmiennej wynikowej „country” oraz czasowej „year” zaprezentowana przez Fernandeza (2023) wygląda  następująco:</w:t>
      </w:r>
    </w:p>
    <w:p w14:paraId="164DECA7"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color w:val="32535C"/>
          <w:kern w:val="0"/>
          <w:lang w:val="en-GB"/>
        </w:rPr>
      </w:pPr>
      <w:r w:rsidRPr="00217022">
        <w:rPr>
          <w:rFonts w:ascii="Courier New" w:hAnsi="Courier New" w:cs="Courier New"/>
          <w:color w:val="05287D"/>
          <w:kern w:val="0"/>
          <w:lang w:val="en-GB"/>
        </w:rPr>
        <w:lastRenderedPageBreak/>
        <w:t>library</w:t>
      </w:r>
      <w:r w:rsidRPr="00217022">
        <w:rPr>
          <w:rFonts w:ascii="Courier New" w:hAnsi="Courier New" w:cs="Courier New"/>
          <w:color w:val="323232"/>
          <w:kern w:val="0"/>
          <w:lang w:val="en-GB"/>
        </w:rPr>
        <w:t xml:space="preserve">(plm) </w:t>
      </w:r>
      <w:r w:rsidRPr="00217022">
        <w:rPr>
          <w:rFonts w:ascii="Courier New" w:hAnsi="Courier New" w:cs="Courier New"/>
          <w:i/>
          <w:iCs/>
          <w:color w:val="32535C"/>
          <w:kern w:val="0"/>
          <w:lang w:val="en-GB"/>
        </w:rPr>
        <w:t xml:space="preserve">#panel linear model; </w:t>
      </w:r>
      <w:r w:rsidRPr="00217022">
        <w:rPr>
          <w:rFonts w:ascii="Courier New" w:hAnsi="Courier New" w:cs="Courier New"/>
          <w:color w:val="05287D"/>
          <w:kern w:val="0"/>
          <w:lang w:val="en-GB"/>
        </w:rPr>
        <w:t>library</w:t>
      </w:r>
      <w:r w:rsidRPr="00217022">
        <w:rPr>
          <w:rFonts w:ascii="Courier New" w:hAnsi="Courier New" w:cs="Courier New"/>
          <w:color w:val="323232"/>
          <w:kern w:val="0"/>
          <w:lang w:val="en-GB"/>
        </w:rPr>
        <w:t xml:space="preserve">(lfe) </w:t>
      </w:r>
      <w:r w:rsidRPr="00217022">
        <w:rPr>
          <w:rFonts w:ascii="Courier New" w:hAnsi="Courier New" w:cs="Courier New"/>
          <w:i/>
          <w:iCs/>
          <w:color w:val="32535C"/>
          <w:kern w:val="0"/>
          <w:lang w:val="en-GB"/>
        </w:rPr>
        <w:t>#linear fixed effect model</w:t>
      </w:r>
    </w:p>
    <w:p w14:paraId="467C886D"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color w:val="323232"/>
          <w:kern w:val="0"/>
          <w:lang w:val="en-GB"/>
        </w:rPr>
      </w:pPr>
      <w:r w:rsidRPr="00217022">
        <w:rPr>
          <w:rFonts w:ascii="Courier New" w:hAnsi="Courier New" w:cs="Courier New"/>
          <w:color w:val="05287D"/>
          <w:kern w:val="0"/>
          <w:lang w:val="en-GB"/>
        </w:rPr>
        <w:t>library</w:t>
      </w:r>
      <w:r w:rsidRPr="00217022">
        <w:rPr>
          <w:rFonts w:ascii="Courier New" w:hAnsi="Courier New" w:cs="Courier New"/>
          <w:color w:val="323232"/>
          <w:kern w:val="0"/>
          <w:lang w:val="en-GB"/>
        </w:rPr>
        <w:t>(fixest)</w:t>
      </w:r>
    </w:p>
    <w:p w14:paraId="328A9B8F"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color w:val="323232"/>
          <w:kern w:val="0"/>
          <w:lang w:val="en-GB"/>
        </w:rPr>
      </w:pPr>
      <w:r w:rsidRPr="00217022">
        <w:rPr>
          <w:rFonts w:ascii="Courier New" w:hAnsi="Courier New" w:cs="Courier New"/>
          <w:color w:val="323232"/>
          <w:kern w:val="0"/>
          <w:lang w:val="en-GB"/>
        </w:rPr>
        <w:t>reg1</w:t>
      </w:r>
      <w:r w:rsidRPr="00217022">
        <w:rPr>
          <w:rFonts w:ascii="Courier New" w:hAnsi="Courier New" w:cs="Courier New"/>
          <w:color w:val="006F20"/>
          <w:kern w:val="0"/>
          <w:lang w:val="en-GB"/>
        </w:rPr>
        <w:t>&lt;-</w:t>
      </w:r>
      <w:r w:rsidRPr="00217022">
        <w:rPr>
          <w:rFonts w:ascii="Courier New" w:hAnsi="Courier New" w:cs="Courier New"/>
          <w:color w:val="05287D"/>
          <w:kern w:val="0"/>
          <w:lang w:val="en-GB"/>
        </w:rPr>
        <w:t>lm</w:t>
      </w:r>
      <w:r w:rsidRPr="00217022">
        <w:rPr>
          <w:rFonts w:ascii="Courier New" w:hAnsi="Courier New" w:cs="Courier New"/>
          <w:color w:val="323232"/>
          <w:kern w:val="0"/>
          <w:lang w:val="en-GB"/>
        </w:rPr>
        <w:t>(y</w:t>
      </w:r>
      <w:r w:rsidRPr="00217022">
        <w:rPr>
          <w:rFonts w:ascii="Courier New" w:hAnsi="Courier New" w:cs="Courier New"/>
          <w:color w:val="406FA0"/>
          <w:kern w:val="0"/>
          <w:lang w:val="en-GB"/>
        </w:rPr>
        <w:t>~</w:t>
      </w:r>
      <w:r w:rsidRPr="00217022">
        <w:rPr>
          <w:rFonts w:ascii="Courier New" w:hAnsi="Courier New" w:cs="Courier New"/>
          <w:color w:val="323232"/>
          <w:kern w:val="0"/>
          <w:lang w:val="en-GB"/>
        </w:rPr>
        <w:t>time</w:t>
      </w:r>
      <w:r w:rsidRPr="00217022">
        <w:rPr>
          <w:rFonts w:ascii="Courier New" w:hAnsi="Courier New" w:cs="Courier New"/>
          <w:color w:val="406FA0"/>
          <w:kern w:val="0"/>
          <w:lang w:val="en-GB"/>
        </w:rPr>
        <w:t>+</w:t>
      </w:r>
      <w:r w:rsidRPr="00217022">
        <w:rPr>
          <w:rFonts w:ascii="Courier New" w:hAnsi="Courier New" w:cs="Courier New"/>
          <w:color w:val="323232"/>
          <w:kern w:val="0"/>
          <w:lang w:val="en-GB"/>
        </w:rPr>
        <w:t>treated</w:t>
      </w:r>
      <w:r w:rsidRPr="00217022">
        <w:rPr>
          <w:rFonts w:ascii="Courier New" w:hAnsi="Courier New" w:cs="Courier New"/>
          <w:color w:val="406FA0"/>
          <w:kern w:val="0"/>
          <w:lang w:val="en-GB"/>
        </w:rPr>
        <w:t>+</w:t>
      </w:r>
      <w:r w:rsidRPr="00217022">
        <w:rPr>
          <w:rFonts w:ascii="Courier New" w:hAnsi="Courier New" w:cs="Courier New"/>
          <w:color w:val="323232"/>
          <w:kern w:val="0"/>
          <w:lang w:val="en-GB"/>
        </w:rPr>
        <w:t xml:space="preserve">did, </w:t>
      </w:r>
      <w:r w:rsidRPr="00217022">
        <w:rPr>
          <w:rFonts w:ascii="Courier New" w:hAnsi="Courier New" w:cs="Courier New"/>
          <w:color w:val="7D8F29"/>
          <w:kern w:val="0"/>
          <w:lang w:val="en-GB"/>
        </w:rPr>
        <w:t>data=</w:t>
      </w:r>
      <w:r w:rsidRPr="00217022">
        <w:rPr>
          <w:rFonts w:ascii="Courier New" w:hAnsi="Courier New" w:cs="Courier New"/>
          <w:color w:val="323232"/>
          <w:kern w:val="0"/>
          <w:lang w:val="en-GB"/>
        </w:rPr>
        <w:t>mydata)</w:t>
      </w:r>
    </w:p>
    <w:p w14:paraId="0A7E8E40"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color w:val="323232"/>
          <w:kern w:val="0"/>
          <w:lang w:val="en-GB"/>
        </w:rPr>
      </w:pPr>
      <w:r w:rsidRPr="00217022">
        <w:rPr>
          <w:rFonts w:ascii="Courier New" w:hAnsi="Courier New" w:cs="Courier New"/>
          <w:color w:val="323232"/>
          <w:kern w:val="0"/>
          <w:lang w:val="en-GB"/>
        </w:rPr>
        <w:t>reg2</w:t>
      </w:r>
      <w:r w:rsidRPr="00217022">
        <w:rPr>
          <w:rFonts w:ascii="Courier New" w:hAnsi="Courier New" w:cs="Courier New"/>
          <w:color w:val="006F20"/>
          <w:kern w:val="0"/>
          <w:lang w:val="en-GB"/>
        </w:rPr>
        <w:t>&lt;-</w:t>
      </w:r>
      <w:r w:rsidRPr="00217022">
        <w:rPr>
          <w:rFonts w:ascii="Courier New" w:hAnsi="Courier New" w:cs="Courier New"/>
          <w:color w:val="05287D"/>
          <w:kern w:val="0"/>
          <w:lang w:val="en-GB"/>
        </w:rPr>
        <w:t>lm</w:t>
      </w:r>
      <w:r w:rsidRPr="00217022">
        <w:rPr>
          <w:rFonts w:ascii="Courier New" w:hAnsi="Courier New" w:cs="Courier New"/>
          <w:color w:val="323232"/>
          <w:kern w:val="0"/>
          <w:lang w:val="en-GB"/>
        </w:rPr>
        <w:t>(y</w:t>
      </w:r>
      <w:r w:rsidRPr="00217022">
        <w:rPr>
          <w:rFonts w:ascii="Courier New" w:hAnsi="Courier New" w:cs="Courier New"/>
          <w:color w:val="406FA0"/>
          <w:kern w:val="0"/>
          <w:lang w:val="en-GB"/>
        </w:rPr>
        <w:t>~</w:t>
      </w:r>
      <w:r w:rsidRPr="00217022">
        <w:rPr>
          <w:rFonts w:ascii="Courier New" w:hAnsi="Courier New" w:cs="Courier New"/>
          <w:color w:val="323232"/>
          <w:kern w:val="0"/>
          <w:lang w:val="en-GB"/>
        </w:rPr>
        <w:t>time</w:t>
      </w:r>
      <w:r w:rsidRPr="00217022">
        <w:rPr>
          <w:rFonts w:ascii="Courier New" w:hAnsi="Courier New" w:cs="Courier New"/>
          <w:color w:val="406FA0"/>
          <w:kern w:val="0"/>
          <w:lang w:val="en-GB"/>
        </w:rPr>
        <w:t>*</w:t>
      </w:r>
      <w:r w:rsidRPr="00217022">
        <w:rPr>
          <w:rFonts w:ascii="Courier New" w:hAnsi="Courier New" w:cs="Courier New"/>
          <w:color w:val="323232"/>
          <w:kern w:val="0"/>
          <w:lang w:val="en-GB"/>
        </w:rPr>
        <w:t xml:space="preserve">treated, </w:t>
      </w:r>
      <w:r w:rsidRPr="00217022">
        <w:rPr>
          <w:rFonts w:ascii="Courier New" w:hAnsi="Courier New" w:cs="Courier New"/>
          <w:color w:val="7D8F29"/>
          <w:kern w:val="0"/>
          <w:lang w:val="en-GB"/>
        </w:rPr>
        <w:t>data=</w:t>
      </w:r>
      <w:r w:rsidRPr="00217022">
        <w:rPr>
          <w:rFonts w:ascii="Courier New" w:hAnsi="Courier New" w:cs="Courier New"/>
          <w:color w:val="323232"/>
          <w:kern w:val="0"/>
          <w:lang w:val="en-GB"/>
        </w:rPr>
        <w:t>mydata)</w:t>
      </w:r>
    </w:p>
    <w:p w14:paraId="3423E3CD"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color w:val="7D8F29"/>
          <w:kern w:val="0"/>
          <w:lang w:val="en-GB"/>
        </w:rPr>
      </w:pPr>
      <w:r w:rsidRPr="00217022">
        <w:rPr>
          <w:rFonts w:ascii="Courier New" w:hAnsi="Courier New" w:cs="Courier New"/>
          <w:color w:val="323232"/>
          <w:kern w:val="0"/>
          <w:lang w:val="en-GB"/>
        </w:rPr>
        <w:t>reg3</w:t>
      </w:r>
      <w:r w:rsidRPr="00217022">
        <w:rPr>
          <w:rFonts w:ascii="Courier New" w:hAnsi="Courier New" w:cs="Courier New"/>
          <w:color w:val="006F20"/>
          <w:kern w:val="0"/>
          <w:lang w:val="en-GB"/>
        </w:rPr>
        <w:t>&lt;-</w:t>
      </w:r>
      <w:r w:rsidRPr="00217022">
        <w:rPr>
          <w:rFonts w:ascii="Courier New" w:hAnsi="Courier New" w:cs="Courier New"/>
          <w:color w:val="05287D"/>
          <w:kern w:val="0"/>
          <w:lang w:val="en-GB"/>
        </w:rPr>
        <w:t>plm</w:t>
      </w:r>
      <w:r w:rsidRPr="00217022">
        <w:rPr>
          <w:rFonts w:ascii="Courier New" w:hAnsi="Courier New" w:cs="Courier New"/>
          <w:color w:val="323232"/>
          <w:kern w:val="0"/>
          <w:lang w:val="en-GB"/>
        </w:rPr>
        <w:t>(y</w:t>
      </w:r>
      <w:r w:rsidRPr="00217022">
        <w:rPr>
          <w:rFonts w:ascii="Courier New" w:hAnsi="Courier New" w:cs="Courier New"/>
          <w:color w:val="406FA0"/>
          <w:kern w:val="0"/>
          <w:lang w:val="en-GB"/>
        </w:rPr>
        <w:t>~</w:t>
      </w:r>
      <w:r w:rsidRPr="00217022">
        <w:rPr>
          <w:rFonts w:ascii="Courier New" w:hAnsi="Courier New" w:cs="Courier New"/>
          <w:color w:val="323232"/>
          <w:kern w:val="0"/>
          <w:lang w:val="en-GB"/>
        </w:rPr>
        <w:t xml:space="preserve">did, </w:t>
      </w:r>
      <w:r w:rsidRPr="00217022">
        <w:rPr>
          <w:rFonts w:ascii="Courier New" w:hAnsi="Courier New" w:cs="Courier New"/>
          <w:color w:val="7D8F29"/>
          <w:kern w:val="0"/>
          <w:lang w:val="en-GB"/>
        </w:rPr>
        <w:t xml:space="preserve">data = </w:t>
      </w:r>
      <w:r w:rsidRPr="00217022">
        <w:rPr>
          <w:rFonts w:ascii="Courier New" w:hAnsi="Courier New" w:cs="Courier New"/>
          <w:color w:val="323232"/>
          <w:kern w:val="0"/>
          <w:lang w:val="en-GB"/>
        </w:rPr>
        <w:t xml:space="preserve">mydata, </w:t>
      </w:r>
      <w:r w:rsidRPr="00217022">
        <w:rPr>
          <w:rFonts w:ascii="Courier New" w:hAnsi="Courier New" w:cs="Courier New"/>
          <w:color w:val="7D8F29"/>
          <w:kern w:val="0"/>
          <w:lang w:val="en-GB"/>
        </w:rPr>
        <w:t xml:space="preserve">index = </w:t>
      </w:r>
      <w:r w:rsidRPr="00217022">
        <w:rPr>
          <w:rFonts w:ascii="Courier New" w:hAnsi="Courier New" w:cs="Courier New"/>
          <w:color w:val="05287D"/>
          <w:kern w:val="0"/>
          <w:lang w:val="en-GB"/>
        </w:rPr>
        <w:t>c</w:t>
      </w:r>
      <w:r w:rsidRPr="00217022">
        <w:rPr>
          <w:rFonts w:ascii="Courier New" w:hAnsi="Courier New" w:cs="Courier New"/>
          <w:color w:val="323232"/>
          <w:kern w:val="0"/>
          <w:lang w:val="en-GB"/>
        </w:rPr>
        <w:t>(</w:t>
      </w:r>
      <w:r w:rsidRPr="00217022">
        <w:rPr>
          <w:rFonts w:ascii="Courier New" w:hAnsi="Courier New" w:cs="Courier New"/>
          <w:color w:val="406FA0"/>
          <w:kern w:val="0"/>
          <w:lang w:val="en-GB"/>
        </w:rPr>
        <w:t>"country"</w:t>
      </w:r>
      <w:r w:rsidRPr="00217022">
        <w:rPr>
          <w:rFonts w:ascii="Courier New" w:hAnsi="Courier New" w:cs="Courier New"/>
          <w:color w:val="323232"/>
          <w:kern w:val="0"/>
          <w:lang w:val="en-GB"/>
        </w:rPr>
        <w:t>,</w:t>
      </w:r>
      <w:r w:rsidRPr="00217022">
        <w:rPr>
          <w:rFonts w:ascii="Courier New" w:hAnsi="Courier New" w:cs="Courier New"/>
          <w:color w:val="406FA0"/>
          <w:kern w:val="0"/>
          <w:lang w:val="en-GB"/>
        </w:rPr>
        <w:t>"year"</w:t>
      </w:r>
      <w:r w:rsidRPr="00217022">
        <w:rPr>
          <w:rFonts w:ascii="Courier New" w:hAnsi="Courier New" w:cs="Courier New"/>
          <w:color w:val="323232"/>
          <w:kern w:val="0"/>
          <w:lang w:val="en-GB"/>
        </w:rPr>
        <w:t xml:space="preserve">), </w:t>
      </w:r>
      <w:r w:rsidRPr="00217022">
        <w:rPr>
          <w:rFonts w:ascii="Courier New" w:hAnsi="Courier New" w:cs="Courier New"/>
          <w:color w:val="7D8F29"/>
          <w:kern w:val="0"/>
          <w:lang w:val="en-GB"/>
        </w:rPr>
        <w:t xml:space="preserve">effect = </w:t>
      </w:r>
      <w:r w:rsidRPr="00217022">
        <w:rPr>
          <w:rFonts w:ascii="Courier New" w:hAnsi="Courier New" w:cs="Courier New"/>
          <w:color w:val="406FA0"/>
          <w:kern w:val="0"/>
          <w:lang w:val="en-GB"/>
        </w:rPr>
        <w:t>"twoways"</w:t>
      </w:r>
      <w:r w:rsidRPr="00217022">
        <w:rPr>
          <w:rFonts w:ascii="Courier New" w:hAnsi="Courier New" w:cs="Courier New"/>
          <w:color w:val="323232"/>
          <w:kern w:val="0"/>
          <w:lang w:val="en-GB"/>
        </w:rPr>
        <w:t xml:space="preserve">, </w:t>
      </w:r>
      <w:r w:rsidRPr="00217022">
        <w:rPr>
          <w:rFonts w:ascii="Courier New" w:hAnsi="Courier New" w:cs="Courier New"/>
          <w:color w:val="7D8F29"/>
          <w:kern w:val="0"/>
          <w:lang w:val="en-GB"/>
        </w:rPr>
        <w:t>model =</w:t>
      </w:r>
    </w:p>
    <w:p w14:paraId="5FE6EBF0"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color w:val="323232"/>
          <w:kern w:val="0"/>
          <w:lang w:val="en-GB"/>
        </w:rPr>
      </w:pPr>
      <w:r w:rsidRPr="00217022">
        <w:rPr>
          <w:rFonts w:ascii="Courier New" w:hAnsi="Courier New" w:cs="Courier New"/>
          <w:color w:val="323232"/>
          <w:kern w:val="0"/>
          <w:lang w:val="en-GB"/>
        </w:rPr>
        <w:t xml:space="preserve">reg4 </w:t>
      </w:r>
      <w:r w:rsidRPr="00217022">
        <w:rPr>
          <w:rFonts w:ascii="Courier New" w:hAnsi="Courier New" w:cs="Courier New"/>
          <w:color w:val="006F20"/>
          <w:kern w:val="0"/>
          <w:lang w:val="en-GB"/>
        </w:rPr>
        <w:t>&lt;-</w:t>
      </w:r>
      <w:r w:rsidRPr="00217022">
        <w:rPr>
          <w:rFonts w:ascii="Courier New" w:hAnsi="Courier New" w:cs="Courier New"/>
          <w:color w:val="05287D"/>
          <w:kern w:val="0"/>
          <w:lang w:val="en-GB"/>
        </w:rPr>
        <w:t>felm</w:t>
      </w:r>
      <w:r w:rsidRPr="00217022">
        <w:rPr>
          <w:rFonts w:ascii="Courier New" w:hAnsi="Courier New" w:cs="Courier New"/>
          <w:color w:val="323232"/>
          <w:kern w:val="0"/>
          <w:lang w:val="en-GB"/>
        </w:rPr>
        <w:t>(y</w:t>
      </w:r>
      <w:r w:rsidRPr="00217022">
        <w:rPr>
          <w:rFonts w:ascii="Courier New" w:hAnsi="Courier New" w:cs="Courier New"/>
          <w:color w:val="406FA0"/>
          <w:kern w:val="0"/>
          <w:lang w:val="en-GB"/>
        </w:rPr>
        <w:t>~</w:t>
      </w:r>
      <w:r w:rsidRPr="00217022">
        <w:rPr>
          <w:rFonts w:ascii="Courier New" w:hAnsi="Courier New" w:cs="Courier New"/>
          <w:color w:val="323232"/>
          <w:kern w:val="0"/>
          <w:lang w:val="en-GB"/>
        </w:rPr>
        <w:t xml:space="preserve">did </w:t>
      </w:r>
      <w:r w:rsidRPr="00217022">
        <w:rPr>
          <w:rFonts w:ascii="Courier New" w:hAnsi="Courier New" w:cs="Courier New"/>
          <w:color w:val="406FA0"/>
          <w:kern w:val="0"/>
          <w:lang w:val="en-GB"/>
        </w:rPr>
        <w:t xml:space="preserve">| </w:t>
      </w:r>
      <w:r w:rsidRPr="00217022">
        <w:rPr>
          <w:rFonts w:ascii="Courier New" w:hAnsi="Courier New" w:cs="Courier New"/>
          <w:color w:val="323232"/>
          <w:kern w:val="0"/>
          <w:lang w:val="en-GB"/>
        </w:rPr>
        <w:t xml:space="preserve">country </w:t>
      </w:r>
      <w:r w:rsidRPr="00217022">
        <w:rPr>
          <w:rFonts w:ascii="Courier New" w:hAnsi="Courier New" w:cs="Courier New"/>
          <w:color w:val="406FA0"/>
          <w:kern w:val="0"/>
          <w:lang w:val="en-GB"/>
        </w:rPr>
        <w:t xml:space="preserve">+ </w:t>
      </w:r>
      <w:r w:rsidRPr="00217022">
        <w:rPr>
          <w:rFonts w:ascii="Courier New" w:hAnsi="Courier New" w:cs="Courier New"/>
          <w:color w:val="323232"/>
          <w:kern w:val="0"/>
          <w:lang w:val="en-GB"/>
        </w:rPr>
        <w:t xml:space="preserve">year, </w:t>
      </w:r>
      <w:r w:rsidRPr="00217022">
        <w:rPr>
          <w:rFonts w:ascii="Courier New" w:hAnsi="Courier New" w:cs="Courier New"/>
          <w:color w:val="7D8F29"/>
          <w:kern w:val="0"/>
          <w:lang w:val="en-GB"/>
        </w:rPr>
        <w:t xml:space="preserve">data = </w:t>
      </w:r>
      <w:r w:rsidRPr="00217022">
        <w:rPr>
          <w:rFonts w:ascii="Courier New" w:hAnsi="Courier New" w:cs="Courier New"/>
          <w:color w:val="323232"/>
          <w:kern w:val="0"/>
          <w:lang w:val="en-GB"/>
        </w:rPr>
        <w:t>mydata)</w:t>
      </w:r>
    </w:p>
    <w:p w14:paraId="38F6466E" w14:textId="77777777" w:rsidR="00217022" w:rsidRPr="00217022" w:rsidRDefault="00217022" w:rsidP="00217022">
      <w:pPr>
        <w:pBdr>
          <w:top w:val="single" w:sz="4" w:space="1" w:color="auto"/>
          <w:left w:val="single" w:sz="4" w:space="4" w:color="auto"/>
          <w:bottom w:val="single" w:sz="4" w:space="1" w:color="auto"/>
          <w:right w:val="single" w:sz="4" w:space="4" w:color="auto"/>
        </w:pBdr>
        <w:spacing w:line="264" w:lineRule="auto"/>
        <w:rPr>
          <w:rFonts w:ascii="Courier New" w:hAnsi="Courier New" w:cs="Courier New"/>
          <w:lang w:val="en-GB"/>
        </w:rPr>
      </w:pPr>
      <w:r w:rsidRPr="00217022">
        <w:rPr>
          <w:rFonts w:ascii="Courier New" w:hAnsi="Courier New" w:cs="Courier New"/>
          <w:color w:val="323232"/>
          <w:lang w:val="en-GB"/>
        </w:rPr>
        <w:t xml:space="preserve">reg5 </w:t>
      </w:r>
      <w:r w:rsidRPr="00217022">
        <w:rPr>
          <w:rFonts w:ascii="Courier New" w:hAnsi="Courier New" w:cs="Courier New"/>
          <w:color w:val="006F20"/>
          <w:lang w:val="en-GB"/>
        </w:rPr>
        <w:t>&lt;-</w:t>
      </w:r>
      <w:r w:rsidRPr="00217022">
        <w:rPr>
          <w:rFonts w:ascii="Courier New" w:hAnsi="Courier New" w:cs="Courier New"/>
          <w:color w:val="05287D"/>
          <w:lang w:val="en-GB"/>
        </w:rPr>
        <w:t>feols</w:t>
      </w:r>
      <w:r w:rsidRPr="00217022">
        <w:rPr>
          <w:rFonts w:ascii="Courier New" w:hAnsi="Courier New" w:cs="Courier New"/>
          <w:color w:val="323232"/>
          <w:lang w:val="en-GB"/>
        </w:rPr>
        <w:t>(y</w:t>
      </w:r>
      <w:r w:rsidRPr="00217022">
        <w:rPr>
          <w:rFonts w:ascii="Courier New" w:hAnsi="Courier New" w:cs="Courier New"/>
          <w:color w:val="406FA0"/>
          <w:lang w:val="en-GB"/>
        </w:rPr>
        <w:t>~</w:t>
      </w:r>
      <w:r w:rsidRPr="00217022">
        <w:rPr>
          <w:rFonts w:ascii="Courier New" w:hAnsi="Courier New" w:cs="Courier New"/>
          <w:color w:val="323232"/>
          <w:lang w:val="en-GB"/>
        </w:rPr>
        <w:t xml:space="preserve">did </w:t>
      </w:r>
      <w:r w:rsidRPr="00217022">
        <w:rPr>
          <w:rFonts w:ascii="Courier New" w:hAnsi="Courier New" w:cs="Courier New"/>
          <w:color w:val="406FA0"/>
          <w:lang w:val="en-GB"/>
        </w:rPr>
        <w:t xml:space="preserve">| </w:t>
      </w:r>
      <w:r w:rsidRPr="00217022">
        <w:rPr>
          <w:rFonts w:ascii="Courier New" w:hAnsi="Courier New" w:cs="Courier New"/>
          <w:color w:val="323232"/>
          <w:lang w:val="en-GB"/>
        </w:rPr>
        <w:t xml:space="preserve">country </w:t>
      </w:r>
      <w:r w:rsidRPr="00217022">
        <w:rPr>
          <w:rFonts w:ascii="Courier New" w:hAnsi="Courier New" w:cs="Courier New"/>
          <w:color w:val="406FA0"/>
          <w:lang w:val="en-GB"/>
        </w:rPr>
        <w:t xml:space="preserve">+ </w:t>
      </w:r>
      <w:r w:rsidRPr="00217022">
        <w:rPr>
          <w:rFonts w:ascii="Courier New" w:hAnsi="Courier New" w:cs="Courier New"/>
          <w:color w:val="323232"/>
          <w:lang w:val="en-GB"/>
        </w:rPr>
        <w:t xml:space="preserve">year, </w:t>
      </w:r>
      <w:r w:rsidRPr="00217022">
        <w:rPr>
          <w:rFonts w:ascii="Courier New" w:hAnsi="Courier New" w:cs="Courier New"/>
          <w:color w:val="7D8F29"/>
          <w:lang w:val="en-GB"/>
        </w:rPr>
        <w:t xml:space="preserve">data = </w:t>
      </w:r>
      <w:r w:rsidRPr="00217022">
        <w:rPr>
          <w:rFonts w:ascii="Courier New" w:hAnsi="Courier New" w:cs="Courier New"/>
          <w:color w:val="323232"/>
          <w:lang w:val="en-GB"/>
        </w:rPr>
        <w:t>mydata)</w:t>
      </w:r>
    </w:p>
    <w:p w14:paraId="5AF8C78C" w14:textId="77777777"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Szczegółowy opis wykorzystania programu R do obliczania DID umieścili również w swojej pracy badacze niemieccy Hanc i in. (2024).</w:t>
      </w:r>
    </w:p>
    <w:p w14:paraId="150C1AAE" w14:textId="45A45C0D"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Zaletą zastosowania klasycznej metody DID, tj. z uwzględnieniem modelu TWFE</w:t>
      </w:r>
      <w:r w:rsidR="00F105C0">
        <w:rPr>
          <w:rFonts w:ascii="Times New Roman" w:hAnsi="Times New Roman" w:cs="Times New Roman"/>
          <w:sz w:val="28"/>
          <w:szCs w:val="28"/>
        </w:rPr>
        <w:t>,</w:t>
      </w:r>
      <w:r w:rsidRPr="00217022">
        <w:rPr>
          <w:rFonts w:ascii="Times New Roman" w:hAnsi="Times New Roman" w:cs="Times New Roman"/>
          <w:sz w:val="28"/>
          <w:szCs w:val="28"/>
        </w:rPr>
        <w:t xml:space="preserve"> jest fakt, że przy założeniu występowania równoległych trendów i homogeniczności skutków interwencji w podmiotach tworzących grupę docelową otrzymujemy efekt interwencji ATT w postaci jednej liczby (β</w:t>
      </w:r>
      <w:r w:rsidRPr="00217022">
        <w:rPr>
          <w:rFonts w:ascii="Times New Roman" w:hAnsi="Times New Roman" w:cs="Times New Roman"/>
          <w:sz w:val="28"/>
          <w:szCs w:val="28"/>
          <w:vertAlign w:val="subscript"/>
        </w:rPr>
        <w:t>3</w:t>
      </w:r>
      <w:r w:rsidRPr="00217022">
        <w:rPr>
          <w:rFonts w:ascii="Times New Roman" w:hAnsi="Times New Roman" w:cs="Times New Roman"/>
          <w:sz w:val="28"/>
          <w:szCs w:val="28"/>
        </w:rPr>
        <w:t>). Pozwala to jednocześnie zidentyfikować zarówno przyczynowy charakter oddziaływania interwencji, jak również jej efekt (siłę wpływu na daną cechę). Jest to bardzo atrakcyjne zwłaszcza w przypadku syntetycznej prezentacji wyników badań i potrzeby przedstawienia ich różnym grupom interesariuszy. W związku tym model TWFE cieszy się bardzo dużą popularnością i jest bardzo powszechnie wykorzystywany (De Chaisemartin i d’Haultfoeuille, 2020). Model ten jest również stosunkowo odporny w sytuacji heterogeniczności skutków interwencji w grupie docelowej. Wtedy badacze czasami interpretują β</w:t>
      </w:r>
      <w:r w:rsidRPr="00217022">
        <w:rPr>
          <w:rFonts w:ascii="Times New Roman" w:hAnsi="Times New Roman" w:cs="Times New Roman"/>
          <w:sz w:val="28"/>
          <w:szCs w:val="28"/>
          <w:vertAlign w:val="subscript"/>
        </w:rPr>
        <w:t>3</w:t>
      </w:r>
      <w:r w:rsidRPr="00217022">
        <w:rPr>
          <w:rFonts w:ascii="Times New Roman" w:hAnsi="Times New Roman" w:cs="Times New Roman"/>
          <w:sz w:val="28"/>
          <w:szCs w:val="28"/>
        </w:rPr>
        <w:t xml:space="preserve"> jako miarę uśrednionego efektu działania instrumentu interwencji (ATE), jednak w niektórych sytuacjach może to prowadzić do niewłaściwych oszacowań parametrów modelu. </w:t>
      </w:r>
    </w:p>
    <w:p w14:paraId="0C68505E" w14:textId="77777777" w:rsidR="00217022" w:rsidRDefault="00217022" w:rsidP="00217022">
      <w:pPr>
        <w:spacing w:after="0" w:line="264" w:lineRule="auto"/>
        <w:ind w:firstLine="709"/>
        <w:jc w:val="both"/>
        <w:rPr>
          <w:rFonts w:ascii="Times New Roman" w:hAnsi="Times New Roman" w:cs="Times New Roman"/>
          <w:sz w:val="28"/>
          <w:szCs w:val="28"/>
        </w:rPr>
      </w:pPr>
    </w:p>
    <w:p w14:paraId="18DFE0BF" w14:textId="77777777" w:rsidR="00217022" w:rsidRPr="00217022" w:rsidRDefault="00217022" w:rsidP="00217022">
      <w:pPr>
        <w:jc w:val="both"/>
        <w:rPr>
          <w:rFonts w:ascii="Times New Roman" w:hAnsi="Times New Roman" w:cs="Times New Roman"/>
          <w:b/>
          <w:bCs/>
          <w:sz w:val="28"/>
          <w:szCs w:val="28"/>
        </w:rPr>
      </w:pPr>
      <w:r w:rsidRPr="00217022">
        <w:rPr>
          <w:rFonts w:ascii="Times New Roman" w:hAnsi="Times New Roman" w:cs="Times New Roman"/>
          <w:b/>
          <w:bCs/>
          <w:sz w:val="28"/>
          <w:szCs w:val="28"/>
        </w:rPr>
        <w:t>6.2. Istota i używane procedury, mocne i słabe strony oraz typowe wydruki estymacji</w:t>
      </w:r>
    </w:p>
    <w:p w14:paraId="5FBDB482" w14:textId="71E3CE90"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Wyzwaniem dla klasycznego podejścia do metody DID (dwa okresy i dwie analizowane grupy) jest problem efektywnego jego zastosowania w przypadku, gdy w grupie docelowej obiekty zostały poddane interwencji w różnych momentach czasu, tj. w odmiennych okresach (Callaway, 2023)</w:t>
      </w:r>
      <w:bookmarkStart w:id="25" w:name="_Hlk179368346"/>
      <w:r w:rsidRPr="00217022">
        <w:rPr>
          <w:rFonts w:ascii="Times New Roman" w:hAnsi="Times New Roman" w:cs="Times New Roman"/>
          <w:sz w:val="28"/>
          <w:szCs w:val="28"/>
        </w:rPr>
        <w:t>.  Rozwiązaniem tego problemu jest</w:t>
      </w:r>
      <w:r w:rsidR="00F105C0">
        <w:rPr>
          <w:rFonts w:ascii="Times New Roman" w:hAnsi="Times New Roman" w:cs="Times New Roman"/>
          <w:sz w:val="28"/>
          <w:szCs w:val="28"/>
        </w:rPr>
        <w:t>,</w:t>
      </w:r>
      <w:r w:rsidRPr="00217022">
        <w:rPr>
          <w:rFonts w:ascii="Times New Roman" w:hAnsi="Times New Roman" w:cs="Times New Roman"/>
          <w:sz w:val="28"/>
          <w:szCs w:val="28"/>
        </w:rPr>
        <w:t xml:space="preserve"> między innymi</w:t>
      </w:r>
      <w:r w:rsidR="00F105C0">
        <w:rPr>
          <w:rFonts w:ascii="Times New Roman" w:hAnsi="Times New Roman" w:cs="Times New Roman"/>
          <w:sz w:val="28"/>
          <w:szCs w:val="28"/>
        </w:rPr>
        <w:t>,</w:t>
      </w:r>
      <w:r w:rsidRPr="00217022">
        <w:rPr>
          <w:rFonts w:ascii="Times New Roman" w:hAnsi="Times New Roman" w:cs="Times New Roman"/>
          <w:sz w:val="28"/>
          <w:szCs w:val="28"/>
        </w:rPr>
        <w:t xml:space="preserve"> zastosowanie średniej ważonej prostych estymatorów dla modelu regresji TWFE lub uogólniony model z rozłożonym w czasie momentem zastosowania interwencji. Stanowią one rozwinięcie klasycznej metody DID i podobnie jak w tamtym przypadku muszą być jednocześnie zachowane warunki: równoległości trendów oraz braku efektu antycypacyjnego przy uwzględnieniu wszystkich podgrup. W prezentowanym przykładnie graficznym grupa docelowa została poddana interwencji w dwóch odmiennych okresach </w:t>
      </w:r>
      <w:r w:rsidRPr="00217022">
        <w:rPr>
          <w:rFonts w:ascii="Times New Roman" w:hAnsi="Times New Roman" w:cs="Times New Roman"/>
          <w:sz w:val="28"/>
          <w:szCs w:val="28"/>
        </w:rPr>
        <w:lastRenderedPageBreak/>
        <w:t>czasowych (</w:t>
      </w:r>
      <w:r w:rsidR="00B509C5">
        <w:rPr>
          <w:rFonts w:ascii="Times New Roman" w:hAnsi="Times New Roman" w:cs="Times New Roman"/>
          <w:sz w:val="28"/>
          <w:szCs w:val="28"/>
        </w:rPr>
        <w:t>rysunek</w:t>
      </w:r>
      <w:r w:rsidRPr="00217022">
        <w:rPr>
          <w:rFonts w:ascii="Times New Roman" w:hAnsi="Times New Roman" w:cs="Times New Roman"/>
          <w:sz w:val="28"/>
          <w:szCs w:val="28"/>
        </w:rPr>
        <w:t xml:space="preserve"> </w:t>
      </w:r>
      <w:r w:rsidR="00783684">
        <w:rPr>
          <w:rFonts w:ascii="Times New Roman" w:hAnsi="Times New Roman" w:cs="Times New Roman"/>
          <w:sz w:val="28"/>
          <w:szCs w:val="28"/>
        </w:rPr>
        <w:t>14</w:t>
      </w:r>
      <w:r w:rsidRPr="00217022">
        <w:rPr>
          <w:rFonts w:ascii="Times New Roman" w:hAnsi="Times New Roman" w:cs="Times New Roman"/>
          <w:sz w:val="28"/>
          <w:szCs w:val="28"/>
        </w:rPr>
        <w:t>). Tym samym mamy dwie podgrupy poddanej interwencji, w tym pierwsza o wynika Y</w:t>
      </w:r>
      <w:r w:rsidRPr="00217022">
        <w:rPr>
          <w:rFonts w:ascii="Times New Roman" w:hAnsi="Times New Roman" w:cs="Times New Roman"/>
          <w:sz w:val="28"/>
          <w:szCs w:val="28"/>
          <w:vertAlign w:val="superscript"/>
        </w:rPr>
        <w:t>k</w:t>
      </w:r>
      <w:r w:rsidRPr="00217022">
        <w:rPr>
          <w:rFonts w:ascii="Times New Roman" w:hAnsi="Times New Roman" w:cs="Times New Roman"/>
          <w:sz w:val="28"/>
          <w:szCs w:val="28"/>
        </w:rPr>
        <w:t xml:space="preserve"> </w:t>
      </w:r>
      <w:r w:rsidR="00F105C0">
        <w:rPr>
          <w:rFonts w:ascii="Times New Roman" w:hAnsi="Times New Roman" w:cs="Times New Roman"/>
          <w:sz w:val="28"/>
          <w:szCs w:val="28"/>
        </w:rPr>
        <w:t>,</w:t>
      </w:r>
      <w:r w:rsidRPr="00217022">
        <w:rPr>
          <w:rFonts w:ascii="Times New Roman" w:hAnsi="Times New Roman" w:cs="Times New Roman"/>
          <w:sz w:val="28"/>
          <w:szCs w:val="28"/>
        </w:rPr>
        <w:t>na którą instrument zaczął oddziaływać od momentu k, drugą o wynikach Y</w:t>
      </w:r>
      <w:r w:rsidRPr="00217022">
        <w:rPr>
          <w:rFonts w:ascii="Times New Roman" w:hAnsi="Times New Roman" w:cs="Times New Roman"/>
          <w:sz w:val="28"/>
          <w:szCs w:val="28"/>
          <w:vertAlign w:val="superscript"/>
        </w:rPr>
        <w:t>l</w:t>
      </w:r>
      <w:r w:rsidRPr="00217022">
        <w:rPr>
          <w:rFonts w:ascii="Times New Roman" w:hAnsi="Times New Roman" w:cs="Times New Roman"/>
          <w:sz w:val="28"/>
          <w:szCs w:val="28"/>
        </w:rPr>
        <w:t xml:space="preserve"> i momentem interwencji l, oraz klasyczną grupę odniesienia o wynikach Y</w:t>
      </w:r>
      <w:r w:rsidRPr="00217022">
        <w:rPr>
          <w:rFonts w:ascii="Times New Roman" w:hAnsi="Times New Roman" w:cs="Times New Roman"/>
          <w:sz w:val="28"/>
          <w:szCs w:val="28"/>
          <w:vertAlign w:val="superscript"/>
        </w:rPr>
        <w:t>U</w:t>
      </w:r>
      <w:r w:rsidRPr="00217022">
        <w:rPr>
          <w:rFonts w:ascii="Times New Roman" w:hAnsi="Times New Roman" w:cs="Times New Roman"/>
          <w:sz w:val="28"/>
          <w:szCs w:val="28"/>
        </w:rPr>
        <w:t xml:space="preserve"> w całym badanym okresie niepoddaną interwencji (placebo/grupa odniesienia w klasycznej metodzie DID). </w:t>
      </w:r>
    </w:p>
    <w:p w14:paraId="0BC2D71E" w14:textId="77777777" w:rsidR="00217022" w:rsidRPr="00217022" w:rsidRDefault="00217022" w:rsidP="00217022">
      <w:pPr>
        <w:spacing w:after="0" w:line="264" w:lineRule="auto"/>
        <w:ind w:firstLine="709"/>
        <w:jc w:val="both"/>
        <w:rPr>
          <w:rFonts w:ascii="Times New Roman" w:hAnsi="Times New Roman" w:cs="Times New Roman"/>
          <w:sz w:val="28"/>
          <w:szCs w:val="28"/>
        </w:rPr>
      </w:pPr>
    </w:p>
    <w:p w14:paraId="4CC33EFD" w14:textId="45830E03" w:rsidR="00217022" w:rsidRPr="00217022" w:rsidRDefault="00B509C5" w:rsidP="00217022">
      <w:pPr>
        <w:spacing w:after="0" w:line="264" w:lineRule="auto"/>
        <w:jc w:val="center"/>
        <w:rPr>
          <w:rFonts w:ascii="Times New Roman" w:hAnsi="Times New Roman" w:cs="Times New Roman"/>
          <w:sz w:val="28"/>
          <w:szCs w:val="28"/>
        </w:rPr>
      </w:pPr>
      <w:r w:rsidRPr="00B509C5">
        <w:rPr>
          <w:rFonts w:ascii="Times New Roman" w:hAnsi="Times New Roman" w:cs="Times New Roman"/>
          <w:b/>
          <w:bCs/>
          <w:sz w:val="28"/>
          <w:szCs w:val="28"/>
        </w:rPr>
        <w:t xml:space="preserve">Rysunek </w:t>
      </w:r>
      <w:r w:rsidR="00217022" w:rsidRPr="00E226AA">
        <w:rPr>
          <w:rFonts w:ascii="Times New Roman" w:hAnsi="Times New Roman" w:cs="Times New Roman"/>
          <w:b/>
          <w:bCs/>
          <w:sz w:val="28"/>
          <w:szCs w:val="28"/>
        </w:rPr>
        <w:t xml:space="preserve"> </w:t>
      </w:r>
      <w:r w:rsidR="00783684">
        <w:rPr>
          <w:rFonts w:ascii="Times New Roman" w:hAnsi="Times New Roman" w:cs="Times New Roman"/>
          <w:b/>
          <w:bCs/>
          <w:sz w:val="28"/>
          <w:szCs w:val="28"/>
        </w:rPr>
        <w:t>14</w:t>
      </w:r>
      <w:r w:rsidR="00217022" w:rsidRPr="00E226AA">
        <w:rPr>
          <w:rFonts w:ascii="Times New Roman" w:hAnsi="Times New Roman" w:cs="Times New Roman"/>
          <w:b/>
          <w:bCs/>
          <w:sz w:val="28"/>
          <w:szCs w:val="28"/>
        </w:rPr>
        <w:t>.</w:t>
      </w:r>
      <w:r w:rsidR="00217022" w:rsidRPr="00217022">
        <w:rPr>
          <w:rFonts w:ascii="Times New Roman" w:hAnsi="Times New Roman" w:cs="Times New Roman"/>
          <w:sz w:val="28"/>
          <w:szCs w:val="28"/>
        </w:rPr>
        <w:t xml:space="preserve"> Graficzna prezentacja metody DID przy odmiennym momencie poddaniu interwencji grupy docelowej</w:t>
      </w:r>
    </w:p>
    <w:p w14:paraId="79544660" w14:textId="77777777" w:rsidR="00217022" w:rsidRPr="00217022" w:rsidRDefault="00217022" w:rsidP="00563A9C">
      <w:pPr>
        <w:spacing w:after="0" w:line="240" w:lineRule="auto"/>
        <w:ind w:hanging="426"/>
        <w:jc w:val="center"/>
      </w:pPr>
      <w:r w:rsidRPr="00217022">
        <w:rPr>
          <w:rFonts w:ascii="Times New Roman" w:hAnsi="Times New Roman" w:cs="Times New Roman"/>
          <w:noProof/>
          <w:sz w:val="28"/>
          <w:szCs w:val="28"/>
        </w:rPr>
        <mc:AlternateContent>
          <mc:Choice Requires="wpc">
            <w:drawing>
              <wp:anchor distT="0" distB="0" distL="114300" distR="114300" simplePos="0" relativeHeight="251773952" behindDoc="0" locked="0" layoutInCell="1" allowOverlap="1" wp14:anchorId="11C90015" wp14:editId="6714E371">
                <wp:simplePos x="0" y="0"/>
                <wp:positionH relativeFrom="margin">
                  <wp:align>left</wp:align>
                </wp:positionH>
                <wp:positionV relativeFrom="paragraph">
                  <wp:posOffset>182245</wp:posOffset>
                </wp:positionV>
                <wp:extent cx="6271260" cy="4251960"/>
                <wp:effectExtent l="0" t="0" r="0" b="0"/>
                <wp:wrapNone/>
                <wp:docPr id="1471300289" name="Kanw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27688184" name="Freeform 18"/>
                        <wps:cNvSpPr>
                          <a:spLocks noEditPoints="1"/>
                        </wps:cNvSpPr>
                        <wps:spPr bwMode="auto">
                          <a:xfrm>
                            <a:off x="733710" y="613410"/>
                            <a:ext cx="71755" cy="2961005"/>
                          </a:xfrm>
                          <a:custGeom>
                            <a:avLst/>
                            <a:gdLst>
                              <a:gd name="T0" fmla="*/ 66 w 113"/>
                              <a:gd name="T1" fmla="*/ 4663 h 4663"/>
                              <a:gd name="T2" fmla="*/ 66 w 113"/>
                              <a:gd name="T3" fmla="*/ 94 h 4663"/>
                              <a:gd name="T4" fmla="*/ 47 w 113"/>
                              <a:gd name="T5" fmla="*/ 94 h 4663"/>
                              <a:gd name="T6" fmla="*/ 47 w 113"/>
                              <a:gd name="T7" fmla="*/ 4663 h 4663"/>
                              <a:gd name="T8" fmla="*/ 66 w 113"/>
                              <a:gd name="T9" fmla="*/ 4663 h 4663"/>
                              <a:gd name="T10" fmla="*/ 113 w 113"/>
                              <a:gd name="T11" fmla="*/ 113 h 4663"/>
                              <a:gd name="T12" fmla="*/ 56 w 113"/>
                              <a:gd name="T13" fmla="*/ 0 h 4663"/>
                              <a:gd name="T14" fmla="*/ 0 w 113"/>
                              <a:gd name="T15" fmla="*/ 113 h 4663"/>
                              <a:gd name="T16" fmla="*/ 113 w 113"/>
                              <a:gd name="T17" fmla="*/ 113 h 4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 h="4663">
                                <a:moveTo>
                                  <a:pt x="66" y="4663"/>
                                </a:moveTo>
                                <a:lnTo>
                                  <a:pt x="66" y="94"/>
                                </a:lnTo>
                                <a:lnTo>
                                  <a:pt x="47" y="94"/>
                                </a:lnTo>
                                <a:lnTo>
                                  <a:pt x="47" y="4663"/>
                                </a:lnTo>
                                <a:lnTo>
                                  <a:pt x="66" y="4663"/>
                                </a:lnTo>
                                <a:close/>
                                <a:moveTo>
                                  <a:pt x="113" y="113"/>
                                </a:moveTo>
                                <a:lnTo>
                                  <a:pt x="56" y="0"/>
                                </a:lnTo>
                                <a:lnTo>
                                  <a:pt x="0" y="113"/>
                                </a:lnTo>
                                <a:lnTo>
                                  <a:pt x="113" y="113"/>
                                </a:lnTo>
                                <a:close/>
                              </a:path>
                            </a:pathLst>
                          </a:custGeom>
                          <a:solidFill>
                            <a:srgbClr val="156082"/>
                          </a:solidFill>
                          <a:ln w="0" cap="flat">
                            <a:solidFill>
                              <a:srgbClr val="156082"/>
                            </a:solidFill>
                            <a:prstDash val="solid"/>
                            <a:round/>
                            <a:headEnd/>
                            <a:tailEnd/>
                          </a:ln>
                        </wps:spPr>
                        <wps:bodyPr rot="0" vert="horz" wrap="square" lIns="91440" tIns="45720" rIns="91440" bIns="45720" anchor="t" anchorCtr="0" upright="1">
                          <a:noAutofit/>
                        </wps:bodyPr>
                      </wps:wsp>
                      <wps:wsp>
                        <wps:cNvPr id="641210460" name="Freeform 19"/>
                        <wps:cNvSpPr>
                          <a:spLocks noEditPoints="1"/>
                        </wps:cNvSpPr>
                        <wps:spPr bwMode="auto">
                          <a:xfrm>
                            <a:off x="763555" y="3500755"/>
                            <a:ext cx="5099685" cy="83185"/>
                          </a:xfrm>
                          <a:custGeom>
                            <a:avLst/>
                            <a:gdLst>
                              <a:gd name="T0" fmla="*/ 0 w 8031"/>
                              <a:gd name="T1" fmla="*/ 131 h 131"/>
                              <a:gd name="T2" fmla="*/ 7937 w 8031"/>
                              <a:gd name="T3" fmla="*/ 66 h 131"/>
                              <a:gd name="T4" fmla="*/ 7936 w 8031"/>
                              <a:gd name="T5" fmla="*/ 47 h 131"/>
                              <a:gd name="T6" fmla="*/ 0 w 8031"/>
                              <a:gd name="T7" fmla="*/ 113 h 131"/>
                              <a:gd name="T8" fmla="*/ 0 w 8031"/>
                              <a:gd name="T9" fmla="*/ 131 h 131"/>
                              <a:gd name="T10" fmla="*/ 7918 w 8031"/>
                              <a:gd name="T11" fmla="*/ 113 h 131"/>
                              <a:gd name="T12" fmla="*/ 8031 w 8031"/>
                              <a:gd name="T13" fmla="*/ 55 h 131"/>
                              <a:gd name="T14" fmla="*/ 7917 w 8031"/>
                              <a:gd name="T15" fmla="*/ 0 h 131"/>
                              <a:gd name="T16" fmla="*/ 7918 w 8031"/>
                              <a:gd name="T17" fmla="*/ 113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31" h="131">
                                <a:moveTo>
                                  <a:pt x="0" y="131"/>
                                </a:moveTo>
                                <a:lnTo>
                                  <a:pt x="7937" y="66"/>
                                </a:lnTo>
                                <a:lnTo>
                                  <a:pt x="7936" y="47"/>
                                </a:lnTo>
                                <a:lnTo>
                                  <a:pt x="0" y="113"/>
                                </a:lnTo>
                                <a:lnTo>
                                  <a:pt x="0" y="131"/>
                                </a:lnTo>
                                <a:close/>
                                <a:moveTo>
                                  <a:pt x="7918" y="113"/>
                                </a:moveTo>
                                <a:lnTo>
                                  <a:pt x="8031" y="55"/>
                                </a:lnTo>
                                <a:lnTo>
                                  <a:pt x="7917" y="0"/>
                                </a:lnTo>
                                <a:lnTo>
                                  <a:pt x="7918" y="113"/>
                                </a:lnTo>
                                <a:close/>
                              </a:path>
                            </a:pathLst>
                          </a:custGeom>
                          <a:solidFill>
                            <a:srgbClr val="156082"/>
                          </a:solidFill>
                          <a:ln w="0" cap="flat">
                            <a:solidFill>
                              <a:srgbClr val="156082"/>
                            </a:solidFill>
                            <a:prstDash val="solid"/>
                            <a:round/>
                            <a:headEnd/>
                            <a:tailEnd/>
                          </a:ln>
                        </wps:spPr>
                        <wps:bodyPr rot="0" vert="horz" wrap="square" lIns="91440" tIns="45720" rIns="91440" bIns="45720" anchor="t" anchorCtr="0" upright="1">
                          <a:noAutofit/>
                        </wps:bodyPr>
                      </wps:wsp>
                      <wps:wsp>
                        <wps:cNvPr id="1710828777" name="Rectangle 38"/>
                        <wps:cNvSpPr>
                          <a:spLocks noChangeArrowheads="1"/>
                        </wps:cNvSpPr>
                        <wps:spPr bwMode="auto">
                          <a:xfrm>
                            <a:off x="541311" y="192720"/>
                            <a:ext cx="75946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CA045" w14:textId="77777777" w:rsidR="00217022" w:rsidRPr="00A06048" w:rsidRDefault="00217022" w:rsidP="00217022">
                              <w:pPr>
                                <w:rPr>
                                  <w:rFonts w:ascii="Times New Roman" w:hAnsi="Times New Roman" w:cs="Times New Roman"/>
                                </w:rPr>
                              </w:pPr>
                              <w:r w:rsidRPr="00D1695B">
                                <w:rPr>
                                  <w:rFonts w:ascii="Times New Roman" w:hAnsi="Times New Roman" w:cs="Times New Roman"/>
                                  <w:b/>
                                  <w:bCs/>
                                  <w:color w:val="000000"/>
                                  <w:kern w:val="0"/>
                                  <w:lang w:val="en-US"/>
                                </w:rPr>
                                <w:t>Wyniki</w:t>
                              </w:r>
                              <w:r w:rsidRPr="00A06048">
                                <w:rPr>
                                  <w:rFonts w:ascii="Times New Roman" w:hAnsi="Times New Roman" w:cs="Times New Roman"/>
                                  <w:color w:val="000000"/>
                                  <w:kern w:val="0"/>
                                  <w:lang w:val="en-US"/>
                                </w:rPr>
                                <w:t xml:space="preserve">, </w:t>
                              </w:r>
                              <w:r w:rsidRPr="00D1695B">
                                <w:rPr>
                                  <w:rFonts w:ascii="Times New Roman" w:hAnsi="Times New Roman" w:cs="Times New Roman"/>
                                  <w:b/>
                                  <w:bCs/>
                                  <w:color w:val="000000"/>
                                  <w:kern w:val="0"/>
                                  <w:lang w:val="en-US"/>
                                </w:rPr>
                                <w:t>Y</w:t>
                              </w:r>
                            </w:p>
                          </w:txbxContent>
                        </wps:txbx>
                        <wps:bodyPr rot="0" vert="horz" wrap="square" lIns="0" tIns="0" rIns="0" bIns="0" anchor="t" anchorCtr="0">
                          <a:spAutoFit/>
                        </wps:bodyPr>
                      </wps:wsp>
                      <wps:wsp>
                        <wps:cNvPr id="1726776464" name="Rectangle 40"/>
                        <wps:cNvSpPr>
                          <a:spLocks noChangeArrowheads="1"/>
                        </wps:cNvSpPr>
                        <wps:spPr bwMode="auto">
                          <a:xfrm>
                            <a:off x="5448585" y="2943868"/>
                            <a:ext cx="609600" cy="608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7FF0B" w14:textId="77777777" w:rsidR="00217022" w:rsidRDefault="00217022" w:rsidP="00217022">
                              <w:pPr>
                                <w:rPr>
                                  <w:rFonts w:ascii="Times New Roman" w:hAnsi="Times New Roman" w:cs="Times New Roman"/>
                                  <w:b/>
                                  <w:bCs/>
                                  <w:color w:val="000000"/>
                                  <w:kern w:val="0"/>
                                  <w:lang w:val="en-US"/>
                                </w:rPr>
                              </w:pPr>
                            </w:p>
                            <w:p w14:paraId="42E01C3E" w14:textId="77777777" w:rsidR="00217022" w:rsidRPr="00D94F74" w:rsidRDefault="00217022" w:rsidP="00217022">
                              <w:pPr>
                                <w:rPr>
                                  <w:rFonts w:ascii="Times New Roman" w:hAnsi="Times New Roman" w:cs="Times New Roman"/>
                                </w:rPr>
                              </w:pPr>
                              <w:r w:rsidRPr="00D94F74">
                                <w:rPr>
                                  <w:rFonts w:ascii="Times New Roman" w:hAnsi="Times New Roman" w:cs="Times New Roman"/>
                                  <w:b/>
                                  <w:bCs/>
                                  <w:color w:val="000000"/>
                                  <w:kern w:val="0"/>
                                  <w:lang w:val="en-US"/>
                                </w:rPr>
                                <w:t>Czas</w:t>
                              </w:r>
                              <w:r w:rsidRPr="00D94F74">
                                <w:rPr>
                                  <w:rFonts w:ascii="Times New Roman" w:hAnsi="Times New Roman" w:cs="Times New Roman"/>
                                  <w:color w:val="000000"/>
                                  <w:kern w:val="0"/>
                                  <w:lang w:val="en-US"/>
                                </w:rPr>
                                <w:t>.</w:t>
                              </w:r>
                              <w:r w:rsidRPr="00D94F74">
                                <w:rPr>
                                  <w:rFonts w:ascii="Times New Roman" w:hAnsi="Times New Roman" w:cs="Times New Roman"/>
                                  <w:b/>
                                  <w:bCs/>
                                  <w:color w:val="000000"/>
                                  <w:kern w:val="0"/>
                                  <w:lang w:val="en-US"/>
                                </w:rPr>
                                <w:t xml:space="preserve"> t</w:t>
                              </w:r>
                            </w:p>
                          </w:txbxContent>
                        </wps:txbx>
                        <wps:bodyPr rot="0" vert="horz" wrap="square" lIns="0" tIns="0" rIns="0" bIns="0" anchor="t" anchorCtr="0">
                          <a:spAutoFit/>
                        </wps:bodyPr>
                      </wps:wsp>
                      <wps:wsp>
                        <wps:cNvPr id="837281157" name="Rectangle 47"/>
                        <wps:cNvSpPr>
                          <a:spLocks noChangeArrowheads="1"/>
                        </wps:cNvSpPr>
                        <wps:spPr bwMode="auto">
                          <a:xfrm>
                            <a:off x="2485675" y="1096645"/>
                            <a:ext cx="2857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D7E86" w14:textId="77777777" w:rsidR="00217022" w:rsidRDefault="00217022" w:rsidP="00217022">
                              <w:r>
                                <w:rPr>
                                  <w:rFonts w:ascii="Aptos" w:hAnsi="Aptos" w:cs="Aptos"/>
                                  <w:color w:val="000000"/>
                                  <w:kern w:val="0"/>
                                  <w:sz w:val="22"/>
                                  <w:szCs w:val="22"/>
                                  <w:lang w:val="en-US"/>
                                </w:rPr>
                                <w:t xml:space="preserve"> </w:t>
                              </w:r>
                            </w:p>
                          </w:txbxContent>
                        </wps:txbx>
                        <wps:bodyPr rot="0" vert="horz" wrap="none" lIns="0" tIns="0" rIns="0" bIns="0" anchor="t" anchorCtr="0">
                          <a:spAutoFit/>
                        </wps:bodyPr>
                      </wps:wsp>
                      <wps:wsp>
                        <wps:cNvPr id="1554213983" name="Rectangle 57"/>
                        <wps:cNvSpPr>
                          <a:spLocks noChangeArrowheads="1"/>
                        </wps:cNvSpPr>
                        <wps:spPr bwMode="auto">
                          <a:xfrm>
                            <a:off x="5717825" y="2397760"/>
                            <a:ext cx="8572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AD0EF" w14:textId="77777777" w:rsidR="00217022" w:rsidRDefault="00217022" w:rsidP="00217022"/>
                          </w:txbxContent>
                        </wps:txbx>
                        <wps:bodyPr rot="0" vert="horz" wrap="none" lIns="0" tIns="0" rIns="0" bIns="0" anchor="t" anchorCtr="0">
                          <a:spAutoFit/>
                        </wps:bodyPr>
                      </wps:wsp>
                      <wps:wsp>
                        <wps:cNvPr id="1257511981" name="Rectangle 60"/>
                        <wps:cNvSpPr>
                          <a:spLocks noChangeArrowheads="1"/>
                        </wps:cNvSpPr>
                        <wps:spPr bwMode="auto">
                          <a:xfrm>
                            <a:off x="4610100" y="3559141"/>
                            <a:ext cx="163068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041B4" w14:textId="77777777" w:rsidR="00217022" w:rsidRPr="00D1695B" w:rsidRDefault="00217022" w:rsidP="00217022">
                              <w:pPr>
                                <w:rPr>
                                  <w:rFonts w:ascii="Times New Roman" w:hAnsi="Times New Roman" w:cs="Times New Roman"/>
                                </w:rPr>
                              </w:pPr>
                              <w:r w:rsidRPr="00D1695B">
                                <w:rPr>
                                  <w:rFonts w:ascii="Times New Roman" w:hAnsi="Times New Roman" w:cs="Times New Roman"/>
                                  <w:color w:val="000000"/>
                                  <w:kern w:val="0"/>
                                  <w:lang w:val="en-US"/>
                                </w:rPr>
                                <w:t xml:space="preserve">Okres po </w:t>
                              </w:r>
                              <w:r>
                                <w:rPr>
                                  <w:rFonts w:ascii="Times New Roman" w:hAnsi="Times New Roman" w:cs="Times New Roman"/>
                                  <w:color w:val="000000"/>
                                  <w:kern w:val="0"/>
                                  <w:lang w:val="en-US"/>
                                </w:rPr>
                                <w:t>i</w:t>
                              </w:r>
                              <w:r w:rsidRPr="00D1695B">
                                <w:rPr>
                                  <w:rFonts w:ascii="Times New Roman" w:hAnsi="Times New Roman" w:cs="Times New Roman"/>
                                  <w:color w:val="000000"/>
                                  <w:kern w:val="0"/>
                                  <w:lang w:val="en-US"/>
                                </w:rPr>
                                <w:t xml:space="preserve">nterwencji </w:t>
                              </w:r>
                              <w:r>
                                <w:rPr>
                                  <w:rFonts w:ascii="Times New Roman" w:hAnsi="Times New Roman" w:cs="Times New Roman"/>
                                  <w:color w:val="000000"/>
                                  <w:kern w:val="0"/>
                                  <w:lang w:val="en-US"/>
                                </w:rPr>
                                <w:t>t</w:t>
                              </w:r>
                            </w:p>
                          </w:txbxContent>
                        </wps:txbx>
                        <wps:bodyPr rot="0" vert="horz" wrap="square" lIns="0" tIns="0" rIns="0" bIns="0" anchor="t" anchorCtr="0">
                          <a:spAutoFit/>
                        </wps:bodyPr>
                      </wps:wsp>
                      <wps:wsp>
                        <wps:cNvPr id="521863466" name="Rectangle 62"/>
                        <wps:cNvSpPr>
                          <a:spLocks noChangeArrowheads="1"/>
                        </wps:cNvSpPr>
                        <wps:spPr bwMode="auto">
                          <a:xfrm>
                            <a:off x="637680" y="3615023"/>
                            <a:ext cx="22250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91E16" w14:textId="77777777" w:rsidR="00217022" w:rsidRPr="00D1695B" w:rsidRDefault="00217022" w:rsidP="00217022">
                              <w:pPr>
                                <w:jc w:val="center"/>
                                <w:rPr>
                                  <w:rFonts w:ascii="Times New Roman" w:hAnsi="Times New Roman" w:cs="Times New Roman"/>
                                </w:rPr>
                              </w:pPr>
                              <w:r w:rsidRPr="00D1695B">
                                <w:rPr>
                                  <w:rFonts w:ascii="Times New Roman" w:hAnsi="Times New Roman" w:cs="Times New Roman"/>
                                </w:rPr>
                                <w:t>Okres przed interwencją (</w:t>
                              </w:r>
                              <w:r>
                                <w:rPr>
                                  <w:rFonts w:ascii="Times New Roman" w:hAnsi="Times New Roman" w:cs="Times New Roman"/>
                                </w:rPr>
                                <w:t>k</w:t>
                              </w:r>
                              <w:r w:rsidRPr="00D1695B">
                                <w:rPr>
                                  <w:rFonts w:ascii="Times New Roman" w:hAnsi="Times New Roman" w:cs="Times New Roman"/>
                                </w:rPr>
                                <w:t>)</w:t>
                              </w:r>
                            </w:p>
                          </w:txbxContent>
                        </wps:txbx>
                        <wps:bodyPr rot="0" vert="horz" wrap="square" lIns="0" tIns="0" rIns="0" bIns="0" anchor="t" anchorCtr="0">
                          <a:spAutoFit/>
                        </wps:bodyPr>
                      </wps:wsp>
                      <wps:wsp>
                        <wps:cNvPr id="1378186728" name="Rectangle 64"/>
                        <wps:cNvSpPr>
                          <a:spLocks noChangeArrowheads="1"/>
                        </wps:cNvSpPr>
                        <wps:spPr bwMode="auto">
                          <a:xfrm>
                            <a:off x="1925605" y="3627755"/>
                            <a:ext cx="3365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7BAF5" w14:textId="77777777" w:rsidR="00217022" w:rsidRDefault="00217022" w:rsidP="00217022">
                              <w:r>
                                <w:rPr>
                                  <w:rFonts w:ascii="Aptos" w:hAnsi="Aptos" w:cs="Aptos"/>
                                  <w:color w:val="000000"/>
                                  <w:kern w:val="0"/>
                                  <w:sz w:val="26"/>
                                  <w:szCs w:val="26"/>
                                  <w:lang w:val="en-US"/>
                                </w:rPr>
                                <w:t xml:space="preserve"> </w:t>
                              </w:r>
                            </w:p>
                          </w:txbxContent>
                        </wps:txbx>
                        <wps:bodyPr rot="0" vert="horz" wrap="none" lIns="0" tIns="0" rIns="0" bIns="0" anchor="t" anchorCtr="0">
                          <a:spAutoFit/>
                        </wps:bodyPr>
                      </wps:wsp>
                      <wps:wsp>
                        <wps:cNvPr id="749091486" name="Łącznik prosty 749091486"/>
                        <wps:cNvCnPr/>
                        <wps:spPr>
                          <a:xfrm>
                            <a:off x="3098940" y="175694"/>
                            <a:ext cx="0" cy="3459600"/>
                          </a:xfrm>
                          <a:prstGeom prst="line">
                            <a:avLst/>
                          </a:prstGeom>
                          <a:noFill/>
                          <a:ln w="9525" cap="flat" cmpd="sng" algn="ctr">
                            <a:solidFill>
                              <a:sysClr val="windowText" lastClr="000000"/>
                            </a:solidFill>
                            <a:prstDash val="solid"/>
                            <a:miter lim="800000"/>
                          </a:ln>
                          <a:effectLst/>
                        </wps:spPr>
                        <wps:bodyPr/>
                      </wps:wsp>
                      <wps:wsp>
                        <wps:cNvPr id="455782072" name="Line 26"/>
                        <wps:cNvCnPr>
                          <a:cxnSpLocks noChangeShapeType="1"/>
                        </wps:cNvCnPr>
                        <wps:spPr bwMode="auto">
                          <a:xfrm flipV="1">
                            <a:off x="1136535" y="1562100"/>
                            <a:ext cx="4753725" cy="1288621"/>
                          </a:xfrm>
                          <a:prstGeom prst="line">
                            <a:avLst/>
                          </a:prstGeom>
                          <a:noFill/>
                          <a:ln w="14605" cap="flat">
                            <a:solidFill>
                              <a:srgbClr val="FFC000"/>
                            </a:solidFill>
                            <a:prstDash val="solid"/>
                            <a:miter lim="800000"/>
                            <a:headEnd/>
                            <a:tailEnd/>
                          </a:ln>
                          <a:extLst>
                            <a:ext uri="{909E8E84-426E-40DD-AFC4-6F175D3DCCD1}">
                              <a14:hiddenFill xmlns:a14="http://schemas.microsoft.com/office/drawing/2010/main">
                                <a:noFill/>
                              </a14:hiddenFill>
                            </a:ext>
                          </a:extLst>
                        </wps:spPr>
                        <wps:bodyPr/>
                      </wps:wsp>
                      <wps:wsp>
                        <wps:cNvPr id="728184576" name="Line 26"/>
                        <wps:cNvCnPr>
                          <a:cxnSpLocks noChangeShapeType="1"/>
                        </wps:cNvCnPr>
                        <wps:spPr bwMode="auto">
                          <a:xfrm flipV="1">
                            <a:off x="1189660" y="1390659"/>
                            <a:ext cx="1909280" cy="518400"/>
                          </a:xfrm>
                          <a:prstGeom prst="line">
                            <a:avLst/>
                          </a:prstGeom>
                          <a:noFill/>
                          <a:ln w="14605" cap="flat">
                            <a:solidFill>
                              <a:srgbClr val="7030A0"/>
                            </a:solidFill>
                            <a:prstDash val="solid"/>
                            <a:miter lim="800000"/>
                            <a:headEnd/>
                            <a:tailEnd/>
                          </a:ln>
                          <a:extLst>
                            <a:ext uri="{909E8E84-426E-40DD-AFC4-6F175D3DCCD1}">
                              <a14:hiddenFill xmlns:a14="http://schemas.microsoft.com/office/drawing/2010/main">
                                <a:noFill/>
                              </a14:hiddenFill>
                            </a:ext>
                          </a:extLst>
                        </wps:spPr>
                        <wps:bodyPr/>
                      </wps:wsp>
                      <wps:wsp>
                        <wps:cNvPr id="1409856603" name="Line 26"/>
                        <wps:cNvCnPr>
                          <a:cxnSpLocks noChangeShapeType="1"/>
                        </wps:cNvCnPr>
                        <wps:spPr bwMode="auto">
                          <a:xfrm flipV="1">
                            <a:off x="3053085" y="99051"/>
                            <a:ext cx="2682815" cy="1314459"/>
                          </a:xfrm>
                          <a:prstGeom prst="line">
                            <a:avLst/>
                          </a:prstGeom>
                          <a:noFill/>
                          <a:ln w="14605" cap="flat">
                            <a:solidFill>
                              <a:srgbClr val="7030A0"/>
                            </a:solidFill>
                            <a:prstDash val="solid"/>
                            <a:miter lim="800000"/>
                            <a:headEnd/>
                            <a:tailEnd/>
                          </a:ln>
                          <a:extLst>
                            <a:ext uri="{909E8E84-426E-40DD-AFC4-6F175D3DCCD1}">
                              <a14:hiddenFill xmlns:a14="http://schemas.microsoft.com/office/drawing/2010/main">
                                <a:noFill/>
                              </a14:hiddenFill>
                            </a:ext>
                          </a:extLst>
                        </wps:spPr>
                        <wps:bodyPr/>
                      </wps:wsp>
                      <wps:wsp>
                        <wps:cNvPr id="1901425989" name="Łącznik prosty 1901425989"/>
                        <wps:cNvCnPr/>
                        <wps:spPr>
                          <a:xfrm>
                            <a:off x="4392300" y="175694"/>
                            <a:ext cx="0" cy="3459600"/>
                          </a:xfrm>
                          <a:prstGeom prst="line">
                            <a:avLst/>
                          </a:prstGeom>
                          <a:noFill/>
                          <a:ln w="9525" cap="flat" cmpd="sng" algn="ctr">
                            <a:solidFill>
                              <a:sysClr val="windowText" lastClr="000000"/>
                            </a:solidFill>
                            <a:prstDash val="solid"/>
                            <a:miter lim="800000"/>
                          </a:ln>
                          <a:effectLst/>
                        </wps:spPr>
                        <wps:bodyPr/>
                      </wps:wsp>
                      <wps:wsp>
                        <wps:cNvPr id="484123513" name="Line 26"/>
                        <wps:cNvCnPr>
                          <a:cxnSpLocks noChangeShapeType="1"/>
                        </wps:cNvCnPr>
                        <wps:spPr bwMode="auto">
                          <a:xfrm flipV="1">
                            <a:off x="1049655" y="1562100"/>
                            <a:ext cx="3339465" cy="914379"/>
                          </a:xfrm>
                          <a:prstGeom prst="line">
                            <a:avLst/>
                          </a:prstGeom>
                          <a:noFill/>
                          <a:ln w="14605" cap="flat">
                            <a:solidFill>
                              <a:srgbClr val="4EA72E">
                                <a:lumMod val="75000"/>
                              </a:srgbClr>
                            </a:solidFill>
                            <a:prstDash val="solid"/>
                            <a:miter lim="800000"/>
                            <a:headEnd/>
                            <a:tailEnd/>
                          </a:ln>
                          <a:extLst>
                            <a:ext uri="{909E8E84-426E-40DD-AFC4-6F175D3DCCD1}">
                              <a14:hiddenFill xmlns:a14="http://schemas.microsoft.com/office/drawing/2010/main">
                                <a:noFill/>
                              </a14:hiddenFill>
                            </a:ext>
                          </a:extLst>
                        </wps:spPr>
                        <wps:bodyPr/>
                      </wps:wsp>
                      <wps:wsp>
                        <wps:cNvPr id="2054867189" name="Line 26"/>
                        <wps:cNvCnPr>
                          <a:cxnSpLocks noChangeShapeType="1"/>
                        </wps:cNvCnPr>
                        <wps:spPr bwMode="auto">
                          <a:xfrm flipV="1">
                            <a:off x="4405290" y="827602"/>
                            <a:ext cx="1416390" cy="734498"/>
                          </a:xfrm>
                          <a:prstGeom prst="line">
                            <a:avLst/>
                          </a:prstGeom>
                          <a:noFill/>
                          <a:ln w="14605" cap="flat">
                            <a:solidFill>
                              <a:srgbClr val="4EA72E">
                                <a:lumMod val="75000"/>
                              </a:srgbClr>
                            </a:solidFill>
                            <a:prstDash val="solid"/>
                            <a:miter lim="800000"/>
                            <a:headEnd/>
                            <a:tailEnd/>
                          </a:ln>
                          <a:extLst>
                            <a:ext uri="{909E8E84-426E-40DD-AFC4-6F175D3DCCD1}">
                              <a14:hiddenFill xmlns:a14="http://schemas.microsoft.com/office/drawing/2010/main">
                                <a:noFill/>
                              </a14:hiddenFill>
                            </a:ext>
                          </a:extLst>
                        </wps:spPr>
                        <wps:bodyPr/>
                      </wps:wsp>
                      <wps:wsp>
                        <wps:cNvPr id="2091439241" name="Rectangle 38"/>
                        <wps:cNvSpPr>
                          <a:spLocks noChangeArrowheads="1"/>
                        </wps:cNvSpPr>
                        <wps:spPr bwMode="auto">
                          <a:xfrm>
                            <a:off x="3052800" y="3627723"/>
                            <a:ext cx="28067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FFE4D" w14:textId="77777777" w:rsidR="00217022" w:rsidRDefault="00217022" w:rsidP="00217022">
                              <w:pPr>
                                <w:spacing w:before="120" w:line="120" w:lineRule="auto"/>
                                <w:rPr>
                                  <w:rFonts w:ascii="Aptos" w:eastAsia="Aptos" w:hAnsi="Aptos"/>
                                  <w:color w:val="000000"/>
                                  <w:lang w:val="en-US"/>
                                  <w14:ligatures w14:val="none"/>
                                </w:rPr>
                              </w:pPr>
                              <w:r>
                                <w:rPr>
                                  <w:rFonts w:ascii="Aptos" w:eastAsia="Aptos" w:hAnsi="Aptos"/>
                                  <w:color w:val="000000"/>
                                  <w:lang w:val="en-US"/>
                                </w:rPr>
                                <w:t>k</w:t>
                              </w:r>
                            </w:p>
                          </w:txbxContent>
                        </wps:txbx>
                        <wps:bodyPr rot="0" vert="horz" wrap="square" lIns="0" tIns="0" rIns="0" bIns="0" anchor="t" anchorCtr="0">
                          <a:noAutofit/>
                        </wps:bodyPr>
                      </wps:wsp>
                      <wps:wsp>
                        <wps:cNvPr id="109160239" name="Rectangle 38"/>
                        <wps:cNvSpPr>
                          <a:spLocks noChangeArrowheads="1"/>
                        </wps:cNvSpPr>
                        <wps:spPr bwMode="auto">
                          <a:xfrm>
                            <a:off x="4367190" y="3635294"/>
                            <a:ext cx="280670" cy="38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8DE8E" w14:textId="77777777" w:rsidR="00217022" w:rsidRDefault="00217022" w:rsidP="00217022">
                              <w:pPr>
                                <w:spacing w:before="120" w:line="120" w:lineRule="auto"/>
                                <w:rPr>
                                  <w:rFonts w:ascii="Aptos" w:eastAsia="Aptos" w:hAnsi="Aptos"/>
                                  <w:color w:val="000000"/>
                                  <w:lang w:val="en-US"/>
                                  <w14:ligatures w14:val="none"/>
                                </w:rPr>
                              </w:pPr>
                              <w:r>
                                <w:rPr>
                                  <w:rFonts w:ascii="Aptos" w:eastAsia="Aptos" w:hAnsi="Aptos"/>
                                  <w:color w:val="000000"/>
                                  <w:lang w:val="en-US"/>
                                </w:rPr>
                                <w:t>l</w:t>
                              </w:r>
                            </w:p>
                          </w:txbxContent>
                        </wps:txbx>
                        <wps:bodyPr rot="0" vert="horz" wrap="square" lIns="0" tIns="0" rIns="0" bIns="0" anchor="t" anchorCtr="0">
                          <a:noAutofit/>
                        </wps:bodyPr>
                      </wps:wsp>
                      <wps:wsp>
                        <wps:cNvPr id="1941171920" name="Rectangle 60"/>
                        <wps:cNvSpPr>
                          <a:spLocks noChangeArrowheads="1"/>
                        </wps:cNvSpPr>
                        <wps:spPr bwMode="auto">
                          <a:xfrm>
                            <a:off x="3395640" y="3722971"/>
                            <a:ext cx="180403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C5021" w14:textId="77777777" w:rsidR="00217022" w:rsidRPr="00C15141" w:rsidRDefault="00217022" w:rsidP="00217022">
                              <w:pPr>
                                <w:spacing w:line="276" w:lineRule="auto"/>
                                <w:rPr>
                                  <w:rFonts w:ascii="Times New Roman" w:eastAsia="Aptos" w:hAnsi="Times New Roman" w:cs="Times New Roman"/>
                                  <w:color w:val="000000"/>
                                  <w:kern w:val="0"/>
                                  <w14:ligatures w14:val="none"/>
                                </w:rPr>
                              </w:pPr>
                              <w:r w:rsidRPr="00C15141">
                                <w:rPr>
                                  <w:rFonts w:ascii="Times New Roman" w:eastAsia="Aptos" w:hAnsi="Times New Roman" w:cs="Times New Roman"/>
                                  <w:color w:val="000000"/>
                                </w:rPr>
                                <w:t xml:space="preserve">Okres l-k </w:t>
                              </w:r>
                            </w:p>
                          </w:txbxContent>
                        </wps:txbx>
                        <wps:bodyPr rot="0" vert="horz" wrap="square" lIns="0" tIns="0" rIns="0" bIns="0" anchor="t" anchorCtr="0">
                          <a:spAutoFit/>
                        </wps:bodyPr>
                      </wps:wsp>
                      <wps:wsp>
                        <wps:cNvPr id="1677353375" name="Rectangle 38"/>
                        <wps:cNvSpPr>
                          <a:spLocks noChangeArrowheads="1"/>
                        </wps:cNvSpPr>
                        <wps:spPr bwMode="auto">
                          <a:xfrm>
                            <a:off x="2598080" y="1023861"/>
                            <a:ext cx="75946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DFE43" w14:textId="77777777" w:rsidR="00217022" w:rsidRDefault="00000000" w:rsidP="00217022">
                              <w:pPr>
                                <w:spacing w:line="276" w:lineRule="auto"/>
                                <w:rPr>
                                  <w:rFonts w:eastAsia="Aptos"/>
                                  <w:b/>
                                  <w:bCs/>
                                  <w:color w:val="000000"/>
                                  <w:kern w:val="0"/>
                                  <w:lang w:val="en-US"/>
                                  <w14:ligatures w14:val="none"/>
                                </w:rPr>
                              </w:pPr>
                              <m:oMath>
                                <m:sSup>
                                  <m:sSupPr>
                                    <m:ctrlPr>
                                      <w:rPr>
                                        <w:rFonts w:ascii="Cambria Math" w:eastAsia="Aptos" w:hAnsi="Cambria Math"/>
                                        <w:b/>
                                        <w:bCs/>
                                        <w:i/>
                                        <w:color w:val="000000"/>
                                        <w:kern w:val="0"/>
                                        <w:lang w:val="en-US"/>
                                        <w14:ligatures w14:val="none"/>
                                      </w:rPr>
                                    </m:ctrlPr>
                                  </m:sSupPr>
                                  <m:e>
                                    <m:r>
                                      <m:rPr>
                                        <m:sty m:val="bi"/>
                                      </m:rPr>
                                      <w:rPr>
                                        <w:rFonts w:ascii="Cambria Math" w:eastAsia="Aptos" w:hAnsi="Cambria Math"/>
                                        <w:color w:val="000000"/>
                                        <w:kern w:val="0"/>
                                        <w:lang w:val="en-US"/>
                                        <w14:ligatures w14:val="none"/>
                                      </w:rPr>
                                      <m:t>Y</m:t>
                                    </m:r>
                                  </m:e>
                                  <m:sup>
                                    <m:r>
                                      <m:rPr>
                                        <m:sty m:val="bi"/>
                                      </m:rPr>
                                      <w:rPr>
                                        <w:rFonts w:ascii="Cambria Math" w:eastAsia="Aptos" w:hAnsi="Cambria Math"/>
                                        <w:color w:val="000000"/>
                                        <w:kern w:val="0"/>
                                        <w:lang w:val="en-US"/>
                                        <w14:ligatures w14:val="none"/>
                                      </w:rPr>
                                      <m:t>k</m:t>
                                    </m:r>
                                  </m:sup>
                                </m:sSup>
                              </m:oMath>
                              <w:r w:rsidR="00217022" w:rsidRPr="00801C45">
                                <w:rPr>
                                  <w:rFonts w:eastAsia="Aptos"/>
                                  <w:b/>
                                  <w:bCs/>
                                  <w:color w:val="000000"/>
                                  <w:kern w:val="0"/>
                                  <w:vertAlign w:val="subscript"/>
                                  <w:lang w:val="en-US"/>
                                  <w14:ligatures w14:val="none"/>
                                </w:rPr>
                                <w:t>it</w:t>
                              </w:r>
                            </w:p>
                          </w:txbxContent>
                        </wps:txbx>
                        <wps:bodyPr rot="0" vert="horz" wrap="square" lIns="0" tIns="0" rIns="0" bIns="0" anchor="t" anchorCtr="0">
                          <a:spAutoFit/>
                        </wps:bodyPr>
                      </wps:wsp>
                      <wps:wsp>
                        <wps:cNvPr id="2043820256" name="Rectangle 38"/>
                        <wps:cNvSpPr>
                          <a:spLocks noChangeArrowheads="1"/>
                        </wps:cNvSpPr>
                        <wps:spPr bwMode="auto">
                          <a:xfrm>
                            <a:off x="3645830" y="1349616"/>
                            <a:ext cx="75946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9A037" w14:textId="77777777" w:rsidR="00217022" w:rsidRDefault="00000000" w:rsidP="00217022">
                              <w:pPr>
                                <w:spacing w:line="276" w:lineRule="auto"/>
                                <w:rPr>
                                  <w:rFonts w:ascii="Cambria Math" w:eastAsia="Aptos"/>
                                  <w:b/>
                                  <w:bCs/>
                                  <w:i/>
                                  <w:iCs/>
                                  <w:color w:val="000000"/>
                                  <w:kern w:val="0"/>
                                  <w14:ligatures w14:val="none"/>
                                </w:rPr>
                              </w:pPr>
                              <m:oMath>
                                <m:sSup>
                                  <m:sSupPr>
                                    <m:ctrlPr>
                                      <w:rPr>
                                        <w:rFonts w:ascii="Cambria Math" w:eastAsia="Aptos" w:hAnsi="Cambria Math"/>
                                        <w:b/>
                                        <w:bCs/>
                                        <w:i/>
                                        <w:iCs/>
                                        <w:color w:val="000000"/>
                                      </w:rPr>
                                    </m:ctrlPr>
                                  </m:sSupPr>
                                  <m:e>
                                    <m:r>
                                      <m:rPr>
                                        <m:sty m:val="bi"/>
                                      </m:rPr>
                                      <w:rPr>
                                        <w:rFonts w:ascii="Cambria Math" w:eastAsia="Aptos" w:hAnsi="Cambria Math"/>
                                        <w:color w:val="000000"/>
                                        <w:lang w:val="en-US"/>
                                      </w:rPr>
                                      <m:t>Y</m:t>
                                    </m:r>
                                  </m:e>
                                  <m:sup>
                                    <m:r>
                                      <m:rPr>
                                        <m:sty m:val="bi"/>
                                      </m:rPr>
                                      <w:rPr>
                                        <w:rFonts w:ascii="Cambria Math" w:eastAsia="Aptos" w:hAnsi="Cambria Math"/>
                                        <w:color w:val="000000"/>
                                        <w:lang w:val="en-US"/>
                                      </w:rPr>
                                      <m:t>l</m:t>
                                    </m:r>
                                  </m:sup>
                                </m:sSup>
                              </m:oMath>
                              <w:r w:rsidR="00217022">
                                <w:rPr>
                                  <w:rFonts w:ascii="Aptos" w:eastAsia="Aptos" w:hAnsi="Aptos"/>
                                  <w:b/>
                                  <w:bCs/>
                                  <w:i/>
                                  <w:iCs/>
                                  <w:color w:val="000000"/>
                                  <w:position w:val="-6"/>
                                  <w:vertAlign w:val="subscript"/>
                                  <w:lang w:val="en-US"/>
                                </w:rPr>
                                <w:t>it</w:t>
                              </w:r>
                            </w:p>
                          </w:txbxContent>
                        </wps:txbx>
                        <wps:bodyPr rot="0" vert="horz" wrap="square" lIns="0" tIns="0" rIns="0" bIns="0" anchor="t" anchorCtr="0">
                          <a:spAutoFit/>
                        </wps:bodyPr>
                      </wps:wsp>
                      <wps:wsp>
                        <wps:cNvPr id="244884965" name="Rectangle 38"/>
                        <wps:cNvSpPr>
                          <a:spLocks noChangeArrowheads="1"/>
                        </wps:cNvSpPr>
                        <wps:spPr bwMode="auto">
                          <a:xfrm>
                            <a:off x="5024120" y="1482986"/>
                            <a:ext cx="75946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B800C" w14:textId="77777777" w:rsidR="00217022" w:rsidRDefault="00000000" w:rsidP="00217022">
                              <w:pPr>
                                <w:spacing w:line="276" w:lineRule="auto"/>
                                <w:rPr>
                                  <w:rFonts w:ascii="Cambria Math" w:eastAsia="Aptos"/>
                                  <w:b/>
                                  <w:bCs/>
                                  <w:i/>
                                  <w:iCs/>
                                  <w:color w:val="000000"/>
                                  <w14:ligatures w14:val="none"/>
                                </w:rPr>
                              </w:pPr>
                              <m:oMath>
                                <m:sSup>
                                  <m:sSupPr>
                                    <m:ctrlPr>
                                      <w:rPr>
                                        <w:rFonts w:ascii="Cambria Math" w:eastAsia="Aptos" w:hAnsi="Cambria Math"/>
                                        <w:b/>
                                        <w:bCs/>
                                        <w:i/>
                                        <w:iCs/>
                                        <w:color w:val="000000"/>
                                      </w:rPr>
                                    </m:ctrlPr>
                                  </m:sSupPr>
                                  <m:e>
                                    <m:r>
                                      <m:rPr>
                                        <m:sty m:val="bi"/>
                                      </m:rPr>
                                      <w:rPr>
                                        <w:rFonts w:ascii="Cambria Math" w:eastAsia="Aptos" w:hAnsi="Cambria Math"/>
                                        <w:color w:val="000000"/>
                                        <w:lang w:val="en-US"/>
                                      </w:rPr>
                                      <m:t>Y</m:t>
                                    </m:r>
                                  </m:e>
                                  <m:sup>
                                    <m:r>
                                      <m:rPr>
                                        <m:sty m:val="bi"/>
                                      </m:rPr>
                                      <w:rPr>
                                        <w:rFonts w:ascii="Cambria Math" w:eastAsia="Aptos" w:hAnsi="Cambria Math"/>
                                        <w:color w:val="000000"/>
                                        <w:lang w:val="en-US"/>
                                      </w:rPr>
                                      <m:t>U</m:t>
                                    </m:r>
                                  </m:sup>
                                </m:sSup>
                              </m:oMath>
                              <w:r w:rsidR="00217022">
                                <w:rPr>
                                  <w:rFonts w:ascii="Aptos" w:eastAsia="Aptos" w:hAnsi="Aptos"/>
                                  <w:b/>
                                  <w:bCs/>
                                  <w:i/>
                                  <w:iCs/>
                                  <w:color w:val="000000"/>
                                  <w:position w:val="-6"/>
                                  <w:vertAlign w:val="subscript"/>
                                  <w:lang w:val="en-US"/>
                                </w:rPr>
                                <w:t>it</w:t>
                              </w:r>
                            </w:p>
                          </w:txbxContent>
                        </wps:txbx>
                        <wps:bodyPr rot="0" vert="horz" wrap="squar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11C90015" id="_x0000_s1136" editas="canvas" style="position:absolute;left:0;text-align:left;margin-left:0;margin-top:14.35pt;width:493.8pt;height:334.8pt;z-index:251773952;mso-position-horizontal:left;mso-position-horizontal-relative:margin" coordsize="62712,4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">
                <v:shape id="_x0000_s1137" type="#_x0000_t75" style="position:absolute;width:62712;height:42519;visibility:visible;mso-wrap-style:square">
                  <v:fill o:detectmouseclick="t"/>
                  <v:path o:connecttype="none"/>
                </v:shape>
                <v:shape id="Freeform 18" o:spid="_x0000_s1138" style="position:absolute;left:7337;top:6134;width:717;height:29610;visibility:visible;mso-wrap-style:square;v-text-anchor:top" coordsize="113,4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" path="m66,4663l66,94r-19,l47,4663r19,xm113,113l56,,,113r113,xe" fillcolor="#156082" strokecolor="#156082" strokeweight="0">
                  <v:path arrowok="t" o:connecttype="custom" o:connectlocs="41910,2961005;41910,59690;29845,59690;29845,2961005;41910,2961005;71755,71755;35560,0;0,71755;71755,71755" o:connectangles="0,0,0,0,0,0,0,0,0"/>
                  <o:lock v:ext="edit" verticies="t"/>
                </v:shape>
                <v:shape id="Freeform 19" o:spid="_x0000_s1139" style="position:absolute;left:7635;top:35007;width:50997;height:832;visibility:visible;mso-wrap-style:square;v-text-anchor:top" coordsize="803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" path="m,131l7937,66r-1,-19l,113r,18xm7918,113l8031,55,7917,r1,113xe" fillcolor="#156082" strokecolor="#156082" strokeweight="0">
                  <v:path arrowok="t" o:connecttype="custom" o:connectlocs="0,83185;5039995,41910;5039360,29845;0,71755;0,83185;5027930,71755;5099685,34925;5027295,0;5027930,71755" o:connectangles="0,0,0,0,0,0,0,0,0"/>
                  <o:lock v:ext="edit" verticies="t"/>
                </v:shape>
                <v:rect id="_x0000_s1140" style="position:absolute;left:5413;top:1927;width:759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" filled="f" stroked="f">
                  <v:textbox style="mso-fit-shape-to-text:t" inset="0,0,0,0">
                    <w:txbxContent>
                      <w:p w14:paraId="44CCA045" w14:textId="77777777" w:rsidR="00217022" w:rsidRPr="00A06048" w:rsidRDefault="00217022" w:rsidP="00217022">
                        <w:pPr>
                          <w:rPr>
                            <w:rFonts w:ascii="Times New Roman" w:hAnsi="Times New Roman" w:cs="Times New Roman"/>
                          </w:rPr>
                        </w:pPr>
                        <w:r w:rsidRPr="00D1695B">
                          <w:rPr>
                            <w:rFonts w:ascii="Times New Roman" w:hAnsi="Times New Roman" w:cs="Times New Roman"/>
                            <w:b/>
                            <w:bCs/>
                            <w:color w:val="000000"/>
                            <w:kern w:val="0"/>
                            <w:lang w:val="en-US"/>
                          </w:rPr>
                          <w:t>Wyniki</w:t>
                        </w:r>
                        <w:r w:rsidRPr="00A06048">
                          <w:rPr>
                            <w:rFonts w:ascii="Times New Roman" w:hAnsi="Times New Roman" w:cs="Times New Roman"/>
                            <w:color w:val="000000"/>
                            <w:kern w:val="0"/>
                            <w:lang w:val="en-US"/>
                          </w:rPr>
                          <w:t xml:space="preserve">, </w:t>
                        </w:r>
                        <w:r w:rsidRPr="00D1695B">
                          <w:rPr>
                            <w:rFonts w:ascii="Times New Roman" w:hAnsi="Times New Roman" w:cs="Times New Roman"/>
                            <w:b/>
                            <w:bCs/>
                            <w:color w:val="000000"/>
                            <w:kern w:val="0"/>
                            <w:lang w:val="en-US"/>
                          </w:rPr>
                          <w:t>Y</w:t>
                        </w:r>
                      </w:p>
                    </w:txbxContent>
                  </v:textbox>
                </v:rect>
                <v:rect id="Rectangle 40" o:spid="_x0000_s1141" style="position:absolute;left:54485;top:29438;width:6096;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" filled="f" stroked="f">
                  <v:textbox style="mso-fit-shape-to-text:t" inset="0,0,0,0">
                    <w:txbxContent>
                      <w:p w14:paraId="5857FF0B" w14:textId="77777777" w:rsidR="00217022" w:rsidRDefault="00217022" w:rsidP="00217022">
                        <w:pPr>
                          <w:rPr>
                            <w:rFonts w:ascii="Times New Roman" w:hAnsi="Times New Roman" w:cs="Times New Roman"/>
                            <w:b/>
                            <w:bCs/>
                            <w:color w:val="000000"/>
                            <w:kern w:val="0"/>
                            <w:lang w:val="en-US"/>
                          </w:rPr>
                        </w:pPr>
                      </w:p>
                      <w:p w14:paraId="42E01C3E" w14:textId="77777777" w:rsidR="00217022" w:rsidRPr="00D94F74" w:rsidRDefault="00217022" w:rsidP="00217022">
                        <w:pPr>
                          <w:rPr>
                            <w:rFonts w:ascii="Times New Roman" w:hAnsi="Times New Roman" w:cs="Times New Roman"/>
                          </w:rPr>
                        </w:pPr>
                        <w:r w:rsidRPr="00D94F74">
                          <w:rPr>
                            <w:rFonts w:ascii="Times New Roman" w:hAnsi="Times New Roman" w:cs="Times New Roman"/>
                            <w:b/>
                            <w:bCs/>
                            <w:color w:val="000000"/>
                            <w:kern w:val="0"/>
                            <w:lang w:val="en-US"/>
                          </w:rPr>
                          <w:t>Czas</w:t>
                        </w:r>
                        <w:r w:rsidRPr="00D94F74">
                          <w:rPr>
                            <w:rFonts w:ascii="Times New Roman" w:hAnsi="Times New Roman" w:cs="Times New Roman"/>
                            <w:color w:val="000000"/>
                            <w:kern w:val="0"/>
                            <w:lang w:val="en-US"/>
                          </w:rPr>
                          <w:t>.</w:t>
                        </w:r>
                        <w:r w:rsidRPr="00D94F74">
                          <w:rPr>
                            <w:rFonts w:ascii="Times New Roman" w:hAnsi="Times New Roman" w:cs="Times New Roman"/>
                            <w:b/>
                            <w:bCs/>
                            <w:color w:val="000000"/>
                            <w:kern w:val="0"/>
                            <w:lang w:val="en-US"/>
                          </w:rPr>
                          <w:t xml:space="preserve"> t</w:t>
                        </w:r>
                      </w:p>
                    </w:txbxContent>
                  </v:textbox>
                </v:rect>
                <v:rect id="Rectangle 47" o:spid="_x0000_s1142" style="position:absolute;left:24856;top:10966;width:286;height:3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" filled="f" stroked="f">
                  <v:textbox style="mso-fit-shape-to-text:t" inset="0,0,0,0">
                    <w:txbxContent>
                      <w:p w14:paraId="14FD7E86" w14:textId="77777777" w:rsidR="00217022" w:rsidRDefault="00217022" w:rsidP="00217022">
                        <w:r>
                          <w:rPr>
                            <w:rFonts w:ascii="Aptos" w:hAnsi="Aptos" w:cs="Aptos"/>
                            <w:color w:val="000000"/>
                            <w:kern w:val="0"/>
                            <w:sz w:val="22"/>
                            <w:szCs w:val="22"/>
                            <w:lang w:val="en-US"/>
                          </w:rPr>
                          <w:t xml:space="preserve"> </w:t>
                        </w:r>
                      </w:p>
                    </w:txbxContent>
                  </v:textbox>
                </v:rect>
                <v:rect id="Rectangle 57" o:spid="_x0000_s1143" style="position:absolute;left:57178;top:23977;width:857;height:3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" filled="f" stroked="f">
                  <v:textbox style="mso-fit-shape-to-text:t" inset="0,0,0,0">
                    <w:txbxContent>
                      <w:p w14:paraId="75CAD0EF" w14:textId="77777777" w:rsidR="00217022" w:rsidRDefault="00217022" w:rsidP="00217022"/>
                    </w:txbxContent>
                  </v:textbox>
                </v:rect>
                <v:rect id="Rectangle 60" o:spid="_x0000_s1144" style="position:absolute;left:46101;top:35591;width:1630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" filled="f" stroked="f">
                  <v:textbox style="mso-fit-shape-to-text:t" inset="0,0,0,0">
                    <w:txbxContent>
                      <w:p w14:paraId="221041B4" w14:textId="77777777" w:rsidR="00217022" w:rsidRPr="00D1695B" w:rsidRDefault="00217022" w:rsidP="00217022">
                        <w:pPr>
                          <w:rPr>
                            <w:rFonts w:ascii="Times New Roman" w:hAnsi="Times New Roman" w:cs="Times New Roman"/>
                          </w:rPr>
                        </w:pPr>
                        <w:r w:rsidRPr="00D1695B">
                          <w:rPr>
                            <w:rFonts w:ascii="Times New Roman" w:hAnsi="Times New Roman" w:cs="Times New Roman"/>
                            <w:color w:val="000000"/>
                            <w:kern w:val="0"/>
                            <w:lang w:val="en-US"/>
                          </w:rPr>
                          <w:t xml:space="preserve">Okres po </w:t>
                        </w:r>
                        <w:r>
                          <w:rPr>
                            <w:rFonts w:ascii="Times New Roman" w:hAnsi="Times New Roman" w:cs="Times New Roman"/>
                            <w:color w:val="000000"/>
                            <w:kern w:val="0"/>
                            <w:lang w:val="en-US"/>
                          </w:rPr>
                          <w:t>i</w:t>
                        </w:r>
                        <w:r w:rsidRPr="00D1695B">
                          <w:rPr>
                            <w:rFonts w:ascii="Times New Roman" w:hAnsi="Times New Roman" w:cs="Times New Roman"/>
                            <w:color w:val="000000"/>
                            <w:kern w:val="0"/>
                            <w:lang w:val="en-US"/>
                          </w:rPr>
                          <w:t xml:space="preserve">nterwencji </w:t>
                        </w:r>
                        <w:r>
                          <w:rPr>
                            <w:rFonts w:ascii="Times New Roman" w:hAnsi="Times New Roman" w:cs="Times New Roman"/>
                            <w:color w:val="000000"/>
                            <w:kern w:val="0"/>
                            <w:lang w:val="en-US"/>
                          </w:rPr>
                          <w:t>t</w:t>
                        </w:r>
                      </w:p>
                    </w:txbxContent>
                  </v:textbox>
                </v:rect>
                <v:rect id="Rectangle 62" o:spid="_x0000_s1145" style="position:absolute;left:6376;top:36150;width:2225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" filled="f" stroked="f">
                  <v:textbox style="mso-fit-shape-to-text:t" inset="0,0,0,0">
                    <w:txbxContent>
                      <w:p w14:paraId="1D691E16" w14:textId="77777777" w:rsidR="00217022" w:rsidRPr="00D1695B" w:rsidRDefault="00217022" w:rsidP="00217022">
                        <w:pPr>
                          <w:jc w:val="center"/>
                          <w:rPr>
                            <w:rFonts w:ascii="Times New Roman" w:hAnsi="Times New Roman" w:cs="Times New Roman"/>
                          </w:rPr>
                        </w:pPr>
                        <w:r w:rsidRPr="00D1695B">
                          <w:rPr>
                            <w:rFonts w:ascii="Times New Roman" w:hAnsi="Times New Roman" w:cs="Times New Roman"/>
                          </w:rPr>
                          <w:t>Okres przed interwencją (</w:t>
                        </w:r>
                        <w:r>
                          <w:rPr>
                            <w:rFonts w:ascii="Times New Roman" w:hAnsi="Times New Roman" w:cs="Times New Roman"/>
                          </w:rPr>
                          <w:t>k</w:t>
                        </w:r>
                        <w:r w:rsidRPr="00D1695B">
                          <w:rPr>
                            <w:rFonts w:ascii="Times New Roman" w:hAnsi="Times New Roman" w:cs="Times New Roman"/>
                          </w:rPr>
                          <w:t>)</w:t>
                        </w:r>
                      </w:p>
                    </w:txbxContent>
                  </v:textbox>
                </v:rect>
                <v:rect id="Rectangle 64" o:spid="_x0000_s1146" style="position:absolute;left:19256;top:36277;width:336;height:3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" filled="f" stroked="f">
                  <v:textbox style="mso-fit-shape-to-text:t" inset="0,0,0,0">
                    <w:txbxContent>
                      <w:p w14:paraId="6787BAF5" w14:textId="77777777" w:rsidR="00217022" w:rsidRDefault="00217022" w:rsidP="00217022">
                        <w:r>
                          <w:rPr>
                            <w:rFonts w:ascii="Aptos" w:hAnsi="Aptos" w:cs="Aptos"/>
                            <w:color w:val="000000"/>
                            <w:kern w:val="0"/>
                            <w:sz w:val="26"/>
                            <w:szCs w:val="26"/>
                            <w:lang w:val="en-US"/>
                          </w:rPr>
                          <w:t xml:space="preserve"> </w:t>
                        </w:r>
                      </w:p>
                    </w:txbxContent>
                  </v:textbox>
                </v:rect>
                <v:line id="Łącznik prosty 749091486" o:spid="_x0000_s1147" style="position:absolute;visibility:visible;mso-wrap-style:square" from="30989,1756" to="30989,36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" strokecolor="windowText">
                  <v:stroke joinstyle="miter"/>
                </v:line>
                <v:line id="Line 26" o:spid="_x0000_s1148" style="position:absolute;flip:y;visibility:visible;mso-wrap-style:square" from="11365,15621" to="58902,28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" strokecolor="#ffc000" strokeweight="1.15pt">
                  <v:stroke joinstyle="miter"/>
                </v:line>
                <v:line id="Line 26" o:spid="_x0000_s1149" style="position:absolute;flip:y;visibility:visible;mso-wrap-style:square" from="11896,13906" to="30989,19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" strokecolor="#7030a0" strokeweight="1.15pt">
                  <v:stroke joinstyle="miter"/>
                </v:line>
                <v:line id="Line 26" o:spid="_x0000_s1150" style="position:absolute;flip:y;visibility:visible;mso-wrap-style:square" from="30530,990" to="57359,14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" strokecolor="#7030a0" strokeweight="1.15pt">
                  <v:stroke joinstyle="miter"/>
                </v:line>
                <v:line id="Łącznik prosty 1901425989" o:spid="_x0000_s1151" style="position:absolute;visibility:visible;mso-wrap-style:square" from="43923,1756" to="43923,36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" strokecolor="windowText">
                  <v:stroke joinstyle="miter"/>
                </v:line>
                <v:line id="Line 26" o:spid="_x0000_s1152" style="position:absolute;flip:y;visibility:visible;mso-wrap-style:square" from="10496,15621" to="43891,24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" strokecolor="#3b7d23" strokeweight="1.15pt">
                  <v:stroke joinstyle="miter"/>
                </v:line>
                <v:line id="Line 26" o:spid="_x0000_s1153" style="position:absolute;flip:y;visibility:visible;mso-wrap-style:square" from="44052,8276" to="58216,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" strokecolor="#3b7d23" strokeweight="1.15pt">
                  <v:stroke joinstyle="miter"/>
                </v:line>
                <v:rect id="_x0000_s1154" style="position:absolute;left:30528;top:36277;width:2806;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" filled="f" stroked="f">
                  <v:textbox inset="0,0,0,0">
                    <w:txbxContent>
                      <w:p w14:paraId="1F3FFE4D" w14:textId="77777777" w:rsidR="00217022" w:rsidRDefault="00217022" w:rsidP="00217022">
                        <w:pPr>
                          <w:spacing w:before="120" w:line="120" w:lineRule="auto"/>
                          <w:rPr>
                            <w:rFonts w:ascii="Aptos" w:eastAsia="Aptos" w:hAnsi="Aptos"/>
                            <w:color w:val="000000"/>
                            <w:lang w:val="en-US"/>
                            <w14:ligatures w14:val="none"/>
                          </w:rPr>
                        </w:pPr>
                        <w:r>
                          <w:rPr>
                            <w:rFonts w:ascii="Aptos" w:eastAsia="Aptos" w:hAnsi="Aptos"/>
                            <w:color w:val="000000"/>
                            <w:lang w:val="en-US"/>
                          </w:rPr>
                          <w:t>k</w:t>
                        </w:r>
                      </w:p>
                    </w:txbxContent>
                  </v:textbox>
                </v:rect>
                <v:rect id="_x0000_s1155" style="position:absolute;left:43671;top:36352;width:2807;height:3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" filled="f" stroked="f">
                  <v:textbox inset="0,0,0,0">
                    <w:txbxContent>
                      <w:p w14:paraId="5908DE8E" w14:textId="77777777" w:rsidR="00217022" w:rsidRDefault="00217022" w:rsidP="00217022">
                        <w:pPr>
                          <w:spacing w:before="120" w:line="120" w:lineRule="auto"/>
                          <w:rPr>
                            <w:rFonts w:ascii="Aptos" w:eastAsia="Aptos" w:hAnsi="Aptos"/>
                            <w:color w:val="000000"/>
                            <w:lang w:val="en-US"/>
                            <w14:ligatures w14:val="none"/>
                          </w:rPr>
                        </w:pPr>
                        <w:r>
                          <w:rPr>
                            <w:rFonts w:ascii="Aptos" w:eastAsia="Aptos" w:hAnsi="Aptos"/>
                            <w:color w:val="000000"/>
                            <w:lang w:val="en-US"/>
                          </w:rPr>
                          <w:t>l</w:t>
                        </w:r>
                      </w:p>
                    </w:txbxContent>
                  </v:textbox>
                </v:rect>
                <v:rect id="Rectangle 60" o:spid="_x0000_s1156" style="position:absolute;left:33956;top:37229;width:18040;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" filled="f" stroked="f">
                  <v:textbox style="mso-fit-shape-to-text:t" inset="0,0,0,0">
                    <w:txbxContent>
                      <w:p w14:paraId="203C5021" w14:textId="77777777" w:rsidR="00217022" w:rsidRPr="00C15141" w:rsidRDefault="00217022" w:rsidP="00217022">
                        <w:pPr>
                          <w:spacing w:line="276" w:lineRule="auto"/>
                          <w:rPr>
                            <w:rFonts w:ascii="Times New Roman" w:eastAsia="Aptos" w:hAnsi="Times New Roman" w:cs="Times New Roman"/>
                            <w:color w:val="000000"/>
                            <w:kern w:val="0"/>
                            <w14:ligatures w14:val="none"/>
                          </w:rPr>
                        </w:pPr>
                        <w:r w:rsidRPr="00C15141">
                          <w:rPr>
                            <w:rFonts w:ascii="Times New Roman" w:eastAsia="Aptos" w:hAnsi="Times New Roman" w:cs="Times New Roman"/>
                            <w:color w:val="000000"/>
                          </w:rPr>
                          <w:t xml:space="preserve">Okres l-k </w:t>
                        </w:r>
                      </w:p>
                    </w:txbxContent>
                  </v:textbox>
                </v:rect>
                <v:rect id="_x0000_s1157" style="position:absolute;left:25980;top:10238;width:7595;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" filled="f" stroked="f">
                  <v:textbox style="mso-fit-shape-to-text:t" inset="0,0,0,0">
                    <w:txbxContent>
                      <w:p w14:paraId="190DFE43" w14:textId="77777777" w:rsidR="00217022" w:rsidRDefault="00BA0572" w:rsidP="00217022">
                        <w:pPr>
                          <w:spacing w:line="276" w:lineRule="auto"/>
                          <w:rPr>
                            <w:rFonts w:eastAsia="Aptos"/>
                            <w:b/>
                            <w:bCs/>
                            <w:color w:val="000000"/>
                            <w:kern w:val="0"/>
                            <w:lang w:val="en-US"/>
                            <w14:ligatures w14:val="none"/>
                          </w:rPr>
                        </w:pPr>
                        <m:oMath>
                          <m:sSup>
                            <m:sSupPr>
                              <m:ctrlPr>
                                <w:rPr>
                                  <w:rFonts w:ascii="Cambria Math" w:eastAsia="Aptos" w:hAnsi="Cambria Math"/>
                                  <w:b/>
                                  <w:bCs/>
                                  <w:i/>
                                  <w:color w:val="000000"/>
                                  <w:kern w:val="0"/>
                                  <w:lang w:val="en-US"/>
                                  <w14:ligatures w14:val="none"/>
                                </w:rPr>
                              </m:ctrlPr>
                            </m:sSupPr>
                            <m:e>
                              <m:r>
                                <m:rPr>
                                  <m:sty m:val="bi"/>
                                </m:rPr>
                                <w:rPr>
                                  <w:rFonts w:ascii="Cambria Math" w:eastAsia="Aptos" w:hAnsi="Cambria Math"/>
                                  <w:color w:val="000000"/>
                                  <w:kern w:val="0"/>
                                  <w:lang w:val="en-US"/>
                                  <w14:ligatures w14:val="none"/>
                                </w:rPr>
                                <m:t>Y</m:t>
                              </m:r>
                            </m:e>
                            <m:sup>
                              <m:r>
                                <m:rPr>
                                  <m:sty m:val="bi"/>
                                </m:rPr>
                                <w:rPr>
                                  <w:rFonts w:ascii="Cambria Math" w:eastAsia="Aptos" w:hAnsi="Cambria Math"/>
                                  <w:color w:val="000000"/>
                                  <w:kern w:val="0"/>
                                  <w:lang w:val="en-US"/>
                                  <w14:ligatures w14:val="none"/>
                                </w:rPr>
                                <m:t>k</m:t>
                              </m:r>
                            </m:sup>
                          </m:sSup>
                        </m:oMath>
                        <w:r w:rsidR="00217022" w:rsidRPr="00801C45">
                          <w:rPr>
                            <w:rFonts w:eastAsia="Aptos"/>
                            <w:b/>
                            <w:bCs/>
                            <w:color w:val="000000"/>
                            <w:kern w:val="0"/>
                            <w:vertAlign w:val="subscript"/>
                            <w:lang w:val="en-US"/>
                            <w14:ligatures w14:val="none"/>
                          </w:rPr>
                          <w:t>it</w:t>
                        </w:r>
                      </w:p>
                    </w:txbxContent>
                  </v:textbox>
                </v:rect>
                <v:rect id="_x0000_s1158" style="position:absolute;left:36458;top:13496;width:7594;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" filled="f" stroked="f">
                  <v:textbox style="mso-fit-shape-to-text:t" inset="0,0,0,0">
                    <w:txbxContent>
                      <w:p w14:paraId="5749A037" w14:textId="77777777" w:rsidR="00217022" w:rsidRDefault="00BA0572" w:rsidP="00217022">
                        <w:pPr>
                          <w:spacing w:line="276" w:lineRule="auto"/>
                          <w:rPr>
                            <w:rFonts w:ascii="Cambria Math" w:eastAsia="Aptos"/>
                            <w:b/>
                            <w:bCs/>
                            <w:i/>
                            <w:iCs/>
                            <w:color w:val="000000"/>
                            <w:kern w:val="0"/>
                            <w14:ligatures w14:val="none"/>
                          </w:rPr>
                        </w:pPr>
                        <m:oMath>
                          <m:sSup>
                            <m:sSupPr>
                              <m:ctrlPr>
                                <w:rPr>
                                  <w:rFonts w:ascii="Cambria Math" w:eastAsia="Aptos" w:hAnsi="Cambria Math"/>
                                  <w:b/>
                                  <w:bCs/>
                                  <w:i/>
                                  <w:iCs/>
                                  <w:color w:val="000000"/>
                                </w:rPr>
                              </m:ctrlPr>
                            </m:sSupPr>
                            <m:e>
                              <m:r>
                                <m:rPr>
                                  <m:sty m:val="bi"/>
                                </m:rPr>
                                <w:rPr>
                                  <w:rFonts w:ascii="Cambria Math" w:eastAsia="Aptos" w:hAnsi="Cambria Math"/>
                                  <w:color w:val="000000"/>
                                  <w:lang w:val="en-US"/>
                                </w:rPr>
                                <m:t>Y</m:t>
                              </m:r>
                            </m:e>
                            <m:sup>
                              <m:r>
                                <m:rPr>
                                  <m:sty m:val="bi"/>
                                </m:rPr>
                                <w:rPr>
                                  <w:rFonts w:ascii="Cambria Math" w:eastAsia="Aptos" w:hAnsi="Cambria Math"/>
                                  <w:color w:val="000000"/>
                                  <w:lang w:val="en-US"/>
                                </w:rPr>
                                <m:t>l</m:t>
                              </m:r>
                            </m:sup>
                          </m:sSup>
                        </m:oMath>
                        <w:r w:rsidR="00217022">
                          <w:rPr>
                            <w:rFonts w:ascii="Aptos" w:eastAsia="Aptos" w:hAnsi="Aptos"/>
                            <w:b/>
                            <w:bCs/>
                            <w:i/>
                            <w:iCs/>
                            <w:color w:val="000000"/>
                            <w:position w:val="-6"/>
                            <w:vertAlign w:val="subscript"/>
                            <w:lang w:val="en-US"/>
                          </w:rPr>
                          <w:t>it</w:t>
                        </w:r>
                      </w:p>
                    </w:txbxContent>
                  </v:textbox>
                </v:rect>
                <v:rect id="_x0000_s1159" style="position:absolute;left:50241;top:14829;width:7594;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" filled="f" stroked="f">
                  <v:textbox style="mso-fit-shape-to-text:t" inset="0,0,0,0">
                    <w:txbxContent>
                      <w:p w14:paraId="579B800C" w14:textId="77777777" w:rsidR="00217022" w:rsidRDefault="00BA0572" w:rsidP="00217022">
                        <w:pPr>
                          <w:spacing w:line="276" w:lineRule="auto"/>
                          <w:rPr>
                            <w:rFonts w:ascii="Cambria Math" w:eastAsia="Aptos"/>
                            <w:b/>
                            <w:bCs/>
                            <w:i/>
                            <w:iCs/>
                            <w:color w:val="000000"/>
                            <w14:ligatures w14:val="none"/>
                          </w:rPr>
                        </w:pPr>
                        <m:oMath>
                          <m:sSup>
                            <m:sSupPr>
                              <m:ctrlPr>
                                <w:rPr>
                                  <w:rFonts w:ascii="Cambria Math" w:eastAsia="Aptos" w:hAnsi="Cambria Math"/>
                                  <w:b/>
                                  <w:bCs/>
                                  <w:i/>
                                  <w:iCs/>
                                  <w:color w:val="000000"/>
                                </w:rPr>
                              </m:ctrlPr>
                            </m:sSupPr>
                            <m:e>
                              <m:r>
                                <m:rPr>
                                  <m:sty m:val="bi"/>
                                </m:rPr>
                                <w:rPr>
                                  <w:rFonts w:ascii="Cambria Math" w:eastAsia="Aptos" w:hAnsi="Cambria Math"/>
                                  <w:color w:val="000000"/>
                                  <w:lang w:val="en-US"/>
                                </w:rPr>
                                <m:t>Y</m:t>
                              </m:r>
                            </m:e>
                            <m:sup>
                              <m:r>
                                <m:rPr>
                                  <m:sty m:val="bi"/>
                                </m:rPr>
                                <w:rPr>
                                  <w:rFonts w:ascii="Cambria Math" w:eastAsia="Aptos" w:hAnsi="Cambria Math"/>
                                  <w:color w:val="000000"/>
                                  <w:lang w:val="en-US"/>
                                </w:rPr>
                                <m:t>U</m:t>
                              </m:r>
                            </m:sup>
                          </m:sSup>
                        </m:oMath>
                        <w:r w:rsidR="00217022">
                          <w:rPr>
                            <w:rFonts w:ascii="Aptos" w:eastAsia="Aptos" w:hAnsi="Aptos"/>
                            <w:b/>
                            <w:bCs/>
                            <w:i/>
                            <w:iCs/>
                            <w:color w:val="000000"/>
                            <w:position w:val="-6"/>
                            <w:vertAlign w:val="subscript"/>
                            <w:lang w:val="en-US"/>
                          </w:rPr>
                          <w:t>it</w:t>
                        </w:r>
                      </w:p>
                    </w:txbxContent>
                  </v:textbox>
                </v:rect>
                <w10:wrap anchorx="margin"/>
              </v:group>
            </w:pict>
          </mc:Fallback>
        </mc:AlternateContent>
      </w:r>
      <w:bookmarkEnd w:id="25"/>
    </w:p>
    <w:p w14:paraId="311CC23E" w14:textId="77777777" w:rsidR="00217022" w:rsidRPr="00217022" w:rsidRDefault="00217022" w:rsidP="00217022"/>
    <w:p w14:paraId="3754979F" w14:textId="77777777" w:rsidR="00217022" w:rsidRPr="00217022" w:rsidRDefault="00217022" w:rsidP="00217022"/>
    <w:p w14:paraId="43497319" w14:textId="77777777" w:rsidR="00217022" w:rsidRPr="00217022" w:rsidRDefault="00217022" w:rsidP="00217022"/>
    <w:p w14:paraId="73D152BB" w14:textId="77777777" w:rsidR="00217022" w:rsidRPr="00217022" w:rsidRDefault="00217022" w:rsidP="00217022"/>
    <w:p w14:paraId="405FC92B" w14:textId="77777777" w:rsidR="00217022" w:rsidRPr="00217022" w:rsidRDefault="00217022" w:rsidP="00217022"/>
    <w:p w14:paraId="35B54C91" w14:textId="77777777" w:rsidR="00217022" w:rsidRPr="00217022" w:rsidRDefault="00217022" w:rsidP="00217022"/>
    <w:p w14:paraId="07471745" w14:textId="77777777" w:rsidR="00217022" w:rsidRPr="00217022" w:rsidRDefault="00217022" w:rsidP="00217022"/>
    <w:p w14:paraId="4D545535" w14:textId="77777777" w:rsidR="00217022" w:rsidRPr="00217022" w:rsidRDefault="00217022" w:rsidP="00217022"/>
    <w:p w14:paraId="3755B35D" w14:textId="77777777" w:rsidR="00217022" w:rsidRPr="00217022" w:rsidRDefault="00217022" w:rsidP="00217022"/>
    <w:p w14:paraId="6DCEB9D8" w14:textId="77777777" w:rsidR="00217022" w:rsidRPr="00217022" w:rsidRDefault="00217022" w:rsidP="00217022"/>
    <w:p w14:paraId="2EBC831D" w14:textId="77777777" w:rsidR="00217022" w:rsidRPr="00217022" w:rsidRDefault="00217022" w:rsidP="00217022">
      <w:pPr>
        <w:rPr>
          <w:sz w:val="32"/>
          <w:szCs w:val="32"/>
        </w:rPr>
      </w:pPr>
    </w:p>
    <w:p w14:paraId="10FEBBE4" w14:textId="77777777" w:rsidR="00217022" w:rsidRPr="00217022" w:rsidRDefault="00217022" w:rsidP="00217022"/>
    <w:p w14:paraId="177AD0D4" w14:textId="77777777" w:rsidR="00217022" w:rsidRPr="00217022" w:rsidRDefault="00217022" w:rsidP="00217022"/>
    <w:p w14:paraId="5DAA14EE" w14:textId="77777777" w:rsidR="00217022" w:rsidRPr="00217022" w:rsidRDefault="00217022" w:rsidP="00217022">
      <w:pPr>
        <w:spacing w:before="120" w:after="120"/>
        <w:ind w:firstLine="709"/>
        <w:rPr>
          <w:rFonts w:ascii="Times New Roman" w:hAnsi="Times New Roman" w:cs="Times New Roman"/>
        </w:rPr>
      </w:pPr>
      <w:r w:rsidRPr="00217022">
        <w:rPr>
          <w:noProof/>
        </w:rPr>
        <mc:AlternateContent>
          <mc:Choice Requires="wps">
            <w:drawing>
              <wp:anchor distT="0" distB="0" distL="114300" distR="114300" simplePos="0" relativeHeight="251772928" behindDoc="0" locked="0" layoutInCell="1" allowOverlap="1" wp14:anchorId="276660A3" wp14:editId="1D9606FD">
                <wp:simplePos x="0" y="0"/>
                <wp:positionH relativeFrom="margin">
                  <wp:posOffset>405130</wp:posOffset>
                </wp:positionH>
                <wp:positionV relativeFrom="paragraph">
                  <wp:posOffset>274320</wp:posOffset>
                </wp:positionV>
                <wp:extent cx="335280" cy="363220"/>
                <wp:effectExtent l="0" t="0" r="7620" b="17145"/>
                <wp:wrapNone/>
                <wp:docPr id="50207926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84A68" w14:textId="77777777" w:rsidR="00217022" w:rsidRDefault="00000000" w:rsidP="00217022">
                            <w:pPr>
                              <w:spacing w:line="276" w:lineRule="auto"/>
                              <w:rPr>
                                <w:rFonts w:ascii="Cambria Math" w:eastAsia="Aptos"/>
                                <w:b/>
                                <w:bCs/>
                                <w:i/>
                                <w:iCs/>
                                <w:color w:val="000000"/>
                                <w:kern w:val="0"/>
                                <w14:ligatures w14:val="none"/>
                              </w:rPr>
                            </w:pPr>
                            <m:oMath>
                              <m:sSup>
                                <m:sSupPr>
                                  <m:ctrlPr>
                                    <w:rPr>
                                      <w:rFonts w:ascii="Cambria Math" w:eastAsia="Aptos" w:hAnsi="Cambria Math"/>
                                      <w:b/>
                                      <w:bCs/>
                                      <w:i/>
                                      <w:iCs/>
                                      <w:color w:val="000000"/>
                                    </w:rPr>
                                  </m:ctrlPr>
                                </m:sSupPr>
                                <m:e>
                                  <m:r>
                                    <m:rPr>
                                      <m:sty m:val="bi"/>
                                    </m:rPr>
                                    <w:rPr>
                                      <w:rFonts w:ascii="Cambria Math" w:eastAsia="Aptos" w:hAnsi="Cambria Math"/>
                                      <w:color w:val="000000"/>
                                      <w:lang w:val="en-US"/>
                                    </w:rPr>
                                    <m:t>Y</m:t>
                                  </m:r>
                                </m:e>
                                <m:sup>
                                  <m:r>
                                    <m:rPr>
                                      <m:sty m:val="bi"/>
                                    </m:rPr>
                                    <w:rPr>
                                      <w:rFonts w:ascii="Cambria Math" w:eastAsia="Aptos" w:hAnsi="Cambria Math"/>
                                      <w:color w:val="000000"/>
                                      <w:lang w:val="en-US"/>
                                    </w:rPr>
                                    <m:t>l</m:t>
                                  </m:r>
                                </m:sup>
                              </m:sSup>
                            </m:oMath>
                            <w:r w:rsidR="00217022">
                              <w:rPr>
                                <w:rFonts w:ascii="Aptos" w:eastAsia="Aptos" w:hAnsi="Aptos"/>
                                <w:b/>
                                <w:bCs/>
                                <w:i/>
                                <w:iCs/>
                                <w:color w:val="000000"/>
                                <w:position w:val="-6"/>
                                <w:vertAlign w:val="subscript"/>
                                <w:lang w:val="en-US"/>
                              </w:rPr>
                              <w:t>it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rect w14:anchorId="276660A3" id="Rectangle 38" o:spid="_x0000_s1160" style="position:absolute;left:0;text-align:left;margin-left:31.9pt;margin-top:21.6pt;width:26.4pt;height:28.6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" filled="f" stroked="f">
                <v:textbox style="mso-fit-shape-to-text:t" inset="0,0,0,0">
                  <w:txbxContent>
                    <w:p w14:paraId="32184A68" w14:textId="77777777" w:rsidR="00217022" w:rsidRDefault="00BA0572" w:rsidP="00217022">
                      <w:pPr>
                        <w:spacing w:line="276" w:lineRule="auto"/>
                        <w:rPr>
                          <w:rFonts w:ascii="Cambria Math" w:eastAsia="Aptos"/>
                          <w:b/>
                          <w:bCs/>
                          <w:i/>
                          <w:iCs/>
                          <w:color w:val="000000"/>
                          <w:kern w:val="0"/>
                          <w14:ligatures w14:val="none"/>
                        </w:rPr>
                      </w:pPr>
                      <m:oMath>
                        <m:sSup>
                          <m:sSupPr>
                            <m:ctrlPr>
                              <w:rPr>
                                <w:rFonts w:ascii="Cambria Math" w:eastAsia="Aptos" w:hAnsi="Cambria Math"/>
                                <w:b/>
                                <w:bCs/>
                                <w:i/>
                                <w:iCs/>
                                <w:color w:val="000000"/>
                              </w:rPr>
                            </m:ctrlPr>
                          </m:sSupPr>
                          <m:e>
                            <m:r>
                              <m:rPr>
                                <m:sty m:val="bi"/>
                              </m:rPr>
                              <w:rPr>
                                <w:rFonts w:ascii="Cambria Math" w:eastAsia="Aptos" w:hAnsi="Cambria Math"/>
                                <w:color w:val="000000"/>
                                <w:lang w:val="en-US"/>
                              </w:rPr>
                              <m:t>Y</m:t>
                            </m:r>
                          </m:e>
                          <m:sup>
                            <m:r>
                              <m:rPr>
                                <m:sty m:val="bi"/>
                              </m:rPr>
                              <w:rPr>
                                <w:rFonts w:ascii="Cambria Math" w:eastAsia="Aptos" w:hAnsi="Cambria Math"/>
                                <w:color w:val="000000"/>
                                <w:lang w:val="en-US"/>
                              </w:rPr>
                              <m:t>l</m:t>
                            </m:r>
                          </m:sup>
                        </m:sSup>
                      </m:oMath>
                      <w:r w:rsidR="00217022">
                        <w:rPr>
                          <w:rFonts w:ascii="Aptos" w:eastAsia="Aptos" w:hAnsi="Aptos"/>
                          <w:b/>
                          <w:bCs/>
                          <w:i/>
                          <w:iCs/>
                          <w:color w:val="000000"/>
                          <w:position w:val="-6"/>
                          <w:vertAlign w:val="subscript"/>
                          <w:lang w:val="en-US"/>
                        </w:rPr>
                        <w:t>it</w:t>
                      </w:r>
                    </w:p>
                  </w:txbxContent>
                </v:textbox>
                <w10:wrap anchorx="margin"/>
              </v:rect>
            </w:pict>
          </mc:Fallback>
        </mc:AlternateContent>
      </w:r>
      <w:r w:rsidRPr="00217022">
        <w:rPr>
          <w:noProof/>
        </w:rPr>
        <mc:AlternateContent>
          <mc:Choice Requires="wps">
            <w:drawing>
              <wp:anchor distT="0" distB="0" distL="114300" distR="114300" simplePos="0" relativeHeight="251768832" behindDoc="0" locked="0" layoutInCell="1" allowOverlap="1" wp14:anchorId="1F96CD1D" wp14:editId="774783A9">
                <wp:simplePos x="0" y="0"/>
                <wp:positionH relativeFrom="margin">
                  <wp:posOffset>386081</wp:posOffset>
                </wp:positionH>
                <wp:positionV relativeFrom="paragraph">
                  <wp:posOffset>7620</wp:posOffset>
                </wp:positionV>
                <wp:extent cx="1021080" cy="333375"/>
                <wp:effectExtent l="0" t="0" r="7620" b="9525"/>
                <wp:wrapNone/>
                <wp:docPr id="106899593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10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C8DE" w14:textId="77777777" w:rsidR="00217022" w:rsidRDefault="00000000" w:rsidP="00217022">
                            <w:pPr>
                              <w:spacing w:line="276" w:lineRule="auto"/>
                              <w:rPr>
                                <w:rFonts w:ascii="Cambria Math" w:eastAsia="Aptos"/>
                                <w:b/>
                                <w:bCs/>
                                <w:i/>
                                <w:iCs/>
                                <w:color w:val="000000"/>
                                <w:kern w:val="0"/>
                                <w14:ligatures w14:val="none"/>
                              </w:rPr>
                            </w:pPr>
                            <m:oMath>
                              <m:sSup>
                                <m:sSupPr>
                                  <m:ctrlPr>
                                    <w:rPr>
                                      <w:rFonts w:ascii="Cambria Math" w:eastAsia="Aptos" w:hAnsi="Cambria Math"/>
                                      <w:b/>
                                      <w:bCs/>
                                      <w:i/>
                                      <w:iCs/>
                                      <w:color w:val="000000"/>
                                    </w:rPr>
                                  </m:ctrlPr>
                                </m:sSupPr>
                                <m:e>
                                  <m:r>
                                    <m:rPr>
                                      <m:sty m:val="bi"/>
                                    </m:rPr>
                                    <w:rPr>
                                      <w:rFonts w:ascii="Cambria Math" w:eastAsia="Aptos" w:hAnsi="Cambria Math"/>
                                      <w:color w:val="000000"/>
                                      <w:lang w:val="en-US"/>
                                    </w:rPr>
                                    <m:t>Y</m:t>
                                  </m:r>
                                </m:e>
                                <m:sup>
                                  <m:r>
                                    <m:rPr>
                                      <m:sty m:val="bi"/>
                                    </m:rPr>
                                    <w:rPr>
                                      <w:rFonts w:ascii="Cambria Math" w:eastAsia="Aptos" w:hAnsi="Cambria Math"/>
                                      <w:color w:val="000000"/>
                                      <w:lang w:val="en-US"/>
                                    </w:rPr>
                                    <m:t>k</m:t>
                                  </m:r>
                                </m:sup>
                              </m:sSup>
                            </m:oMath>
                            <w:r w:rsidR="00217022">
                              <w:rPr>
                                <w:rFonts w:ascii="Aptos" w:eastAsia="Aptos" w:hAnsi="Aptos"/>
                                <w:b/>
                                <w:bCs/>
                                <w:i/>
                                <w:iCs/>
                                <w:color w:val="000000"/>
                                <w:position w:val="-6"/>
                                <w:vertAlign w:val="subscript"/>
                                <w:lang w:val="en-US"/>
                              </w:rPr>
                              <w:t>it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F96CD1D" id="_x0000_s1161" style="position:absolute;left:0;text-align:left;margin-left:30.4pt;margin-top:.6pt;width:80.4pt;height:26.2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" filled="f" stroked="f">
                <v:textbox inset="0,0,0,0">
                  <w:txbxContent>
                    <w:p w14:paraId="277BC8DE" w14:textId="77777777" w:rsidR="00217022" w:rsidRDefault="00BA0572" w:rsidP="00217022">
                      <w:pPr>
                        <w:spacing w:line="276" w:lineRule="auto"/>
                        <w:rPr>
                          <w:rFonts w:ascii="Cambria Math" w:eastAsia="Aptos"/>
                          <w:b/>
                          <w:bCs/>
                          <w:i/>
                          <w:iCs/>
                          <w:color w:val="000000"/>
                          <w:kern w:val="0"/>
                          <w14:ligatures w14:val="none"/>
                        </w:rPr>
                      </w:pPr>
                      <m:oMath>
                        <m:sSup>
                          <m:sSupPr>
                            <m:ctrlPr>
                              <w:rPr>
                                <w:rFonts w:ascii="Cambria Math" w:eastAsia="Aptos" w:hAnsi="Cambria Math"/>
                                <w:b/>
                                <w:bCs/>
                                <w:i/>
                                <w:iCs/>
                                <w:color w:val="000000"/>
                              </w:rPr>
                            </m:ctrlPr>
                          </m:sSupPr>
                          <m:e>
                            <m:r>
                              <m:rPr>
                                <m:sty m:val="bi"/>
                              </m:rPr>
                              <w:rPr>
                                <w:rFonts w:ascii="Cambria Math" w:eastAsia="Aptos" w:hAnsi="Cambria Math"/>
                                <w:color w:val="000000"/>
                                <w:lang w:val="en-US"/>
                              </w:rPr>
                              <m:t>Y</m:t>
                            </m:r>
                          </m:e>
                          <m:sup>
                            <m:r>
                              <m:rPr>
                                <m:sty m:val="bi"/>
                              </m:rPr>
                              <w:rPr>
                                <w:rFonts w:ascii="Cambria Math" w:eastAsia="Aptos" w:hAnsi="Cambria Math"/>
                                <w:color w:val="000000"/>
                                <w:lang w:val="en-US"/>
                              </w:rPr>
                              <m:t>k</m:t>
                            </m:r>
                          </m:sup>
                        </m:sSup>
                      </m:oMath>
                      <w:r w:rsidR="00217022">
                        <w:rPr>
                          <w:rFonts w:ascii="Aptos" w:eastAsia="Aptos" w:hAnsi="Aptos"/>
                          <w:b/>
                          <w:bCs/>
                          <w:i/>
                          <w:iCs/>
                          <w:color w:val="000000"/>
                          <w:position w:val="-6"/>
                          <w:vertAlign w:val="subscript"/>
                          <w:lang w:val="en-US"/>
                        </w:rPr>
                        <w:t>it</w:t>
                      </w:r>
                    </w:p>
                  </w:txbxContent>
                </v:textbox>
                <w10:wrap anchorx="margin"/>
              </v:rect>
            </w:pict>
          </mc:Fallback>
        </mc:AlternateContent>
      </w:r>
      <w:r w:rsidRPr="00217022">
        <w:rPr>
          <w:noProof/>
        </w:rPr>
        <mc:AlternateContent>
          <mc:Choice Requires="wps">
            <w:drawing>
              <wp:anchor distT="0" distB="0" distL="114300" distR="114300" simplePos="0" relativeHeight="251767808" behindDoc="0" locked="0" layoutInCell="1" allowOverlap="1" wp14:anchorId="0D92D818" wp14:editId="5578C132">
                <wp:simplePos x="0" y="0"/>
                <wp:positionH relativeFrom="column">
                  <wp:posOffset>0</wp:posOffset>
                </wp:positionH>
                <wp:positionV relativeFrom="paragraph">
                  <wp:posOffset>107950</wp:posOffset>
                </wp:positionV>
                <wp:extent cx="237600" cy="0"/>
                <wp:effectExtent l="0" t="0" r="0" b="0"/>
                <wp:wrapNone/>
                <wp:docPr id="167074063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7600" cy="0"/>
                        </a:xfrm>
                        <a:prstGeom prst="line">
                          <a:avLst/>
                        </a:prstGeom>
                        <a:noFill/>
                        <a:ln w="14605" cap="flat">
                          <a:solidFill>
                            <a:srgbClr val="7030A0"/>
                          </a:solidFill>
                          <a:prstDash val="solid"/>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8FDA574" id="Line 26" o:spid="_x0000_s1026" style="position:absolute;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18.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" strokecolor="#7030a0" strokeweight="1.15pt">
                <v:stroke joinstyle="miter"/>
              </v:line>
            </w:pict>
          </mc:Fallback>
        </mc:AlternateContent>
      </w:r>
      <w:r w:rsidRPr="00217022">
        <w:t xml:space="preserve">         </w:t>
      </w:r>
      <w:r w:rsidRPr="00217022">
        <w:rPr>
          <w:rFonts w:ascii="Times New Roman" w:hAnsi="Times New Roman" w:cs="Times New Roman"/>
        </w:rPr>
        <w:t>Wyniki podgrupy poddanej interwencji w momencie k;</w:t>
      </w:r>
    </w:p>
    <w:p w14:paraId="60F1C5FA" w14:textId="77777777" w:rsidR="00217022" w:rsidRPr="00217022" w:rsidRDefault="00217022" w:rsidP="00217022">
      <w:pPr>
        <w:tabs>
          <w:tab w:val="left" w:pos="1134"/>
        </w:tabs>
        <w:spacing w:after="120"/>
        <w:rPr>
          <w:rFonts w:ascii="Times New Roman" w:hAnsi="Times New Roman" w:cs="Times New Roman"/>
        </w:rPr>
      </w:pPr>
      <w:r w:rsidRPr="00217022">
        <w:tab/>
      </w:r>
      <w:r w:rsidRPr="00217022">
        <w:rPr>
          <w:rFonts w:ascii="Times New Roman" w:hAnsi="Times New Roman" w:cs="Times New Roman"/>
        </w:rPr>
        <w:t xml:space="preserve">Wyniki </w:t>
      </w:r>
      <w:r w:rsidRPr="00217022">
        <w:rPr>
          <w:noProof/>
        </w:rPr>
        <mc:AlternateContent>
          <mc:Choice Requires="wps">
            <w:drawing>
              <wp:anchor distT="0" distB="0" distL="114300" distR="114300" simplePos="0" relativeHeight="251771904" behindDoc="0" locked="0" layoutInCell="1" allowOverlap="1" wp14:anchorId="14988903" wp14:editId="3ACCF681">
                <wp:simplePos x="0" y="0"/>
                <wp:positionH relativeFrom="column">
                  <wp:posOffset>0</wp:posOffset>
                </wp:positionH>
                <wp:positionV relativeFrom="paragraph">
                  <wp:posOffset>71755</wp:posOffset>
                </wp:positionV>
                <wp:extent cx="237600" cy="0"/>
                <wp:effectExtent l="0" t="0" r="0" b="0"/>
                <wp:wrapNone/>
                <wp:docPr id="12632065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00" cy="0"/>
                        </a:xfrm>
                        <a:prstGeom prst="line">
                          <a:avLst/>
                        </a:prstGeom>
                        <a:noFill/>
                        <a:ln w="14605" cap="flat">
                          <a:solidFill>
                            <a:srgbClr val="4EA72E">
                              <a:lumMod val="75000"/>
                            </a:srgbClr>
                          </a:solidFill>
                          <a:prstDash val="solid"/>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6BCAC9F3" id="Line 26" o:spid="_x0000_s1026" style="position:absolute;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65pt" to="18.7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" strokecolor="#3b7d23" strokeweight="1.15pt">
                <v:stroke joinstyle="miter"/>
              </v:line>
            </w:pict>
          </mc:Fallback>
        </mc:AlternateContent>
      </w:r>
      <w:r w:rsidRPr="00217022">
        <w:rPr>
          <w:rFonts w:ascii="Times New Roman" w:hAnsi="Times New Roman" w:cs="Times New Roman"/>
        </w:rPr>
        <w:t>podgrupy poddanej interwencji w momencie l;</w:t>
      </w:r>
    </w:p>
    <w:p w14:paraId="3644E7A8" w14:textId="77777777" w:rsidR="00217022" w:rsidRPr="00217022" w:rsidRDefault="00217022" w:rsidP="00217022">
      <w:pPr>
        <w:ind w:firstLine="1134"/>
        <w:rPr>
          <w:rFonts w:ascii="Times New Roman" w:hAnsi="Times New Roman" w:cs="Times New Roman"/>
        </w:rPr>
      </w:pPr>
      <w:r w:rsidRPr="00217022">
        <w:rPr>
          <w:noProof/>
        </w:rPr>
        <mc:AlternateContent>
          <mc:Choice Requires="wps">
            <w:drawing>
              <wp:anchor distT="0" distB="0" distL="114300" distR="114300" simplePos="0" relativeHeight="251769856" behindDoc="0" locked="0" layoutInCell="1" allowOverlap="1" wp14:anchorId="64199877" wp14:editId="44FAF2C2">
                <wp:simplePos x="0" y="0"/>
                <wp:positionH relativeFrom="margin">
                  <wp:posOffset>377190</wp:posOffset>
                </wp:positionH>
                <wp:positionV relativeFrom="paragraph">
                  <wp:posOffset>11430</wp:posOffset>
                </wp:positionV>
                <wp:extent cx="619125" cy="359410"/>
                <wp:effectExtent l="0" t="0" r="9525" b="1270"/>
                <wp:wrapNone/>
                <wp:docPr id="191747829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63AB5" w14:textId="77777777" w:rsidR="00217022" w:rsidRDefault="00000000" w:rsidP="00217022">
                            <w:pPr>
                              <w:spacing w:line="276" w:lineRule="auto"/>
                              <w:rPr>
                                <w:rFonts w:ascii="Cambria Math" w:eastAsia="Aptos"/>
                                <w:b/>
                                <w:bCs/>
                                <w:i/>
                                <w:iCs/>
                                <w:color w:val="000000"/>
                                <w:kern w:val="0"/>
                                <w14:ligatures w14:val="none"/>
                              </w:rPr>
                            </w:pPr>
                            <m:oMath>
                              <m:sSup>
                                <m:sSupPr>
                                  <m:ctrlPr>
                                    <w:rPr>
                                      <w:rFonts w:ascii="Cambria Math" w:eastAsia="Aptos" w:hAnsi="Cambria Math"/>
                                      <w:b/>
                                      <w:bCs/>
                                      <w:i/>
                                      <w:iCs/>
                                      <w:color w:val="000000"/>
                                    </w:rPr>
                                  </m:ctrlPr>
                                </m:sSupPr>
                                <m:e>
                                  <m:r>
                                    <m:rPr>
                                      <m:sty m:val="bi"/>
                                    </m:rPr>
                                    <w:rPr>
                                      <w:rFonts w:ascii="Cambria Math" w:eastAsia="Aptos" w:hAnsi="Cambria Math"/>
                                      <w:color w:val="000000"/>
                                      <w:lang w:val="en-US"/>
                                    </w:rPr>
                                    <m:t>Y</m:t>
                                  </m:r>
                                </m:e>
                                <m:sup>
                                  <m:r>
                                    <m:rPr>
                                      <m:sty m:val="bi"/>
                                    </m:rPr>
                                    <w:rPr>
                                      <w:rFonts w:ascii="Cambria Math" w:eastAsia="Aptos" w:hAnsi="Cambria Math"/>
                                      <w:color w:val="000000"/>
                                      <w:lang w:val="en-US"/>
                                    </w:rPr>
                                    <m:t>U</m:t>
                                  </m:r>
                                </m:sup>
                              </m:sSup>
                            </m:oMath>
                            <w:r w:rsidR="00217022">
                              <w:rPr>
                                <w:rFonts w:ascii="Aptos" w:eastAsia="Aptos" w:hAnsi="Aptos"/>
                                <w:b/>
                                <w:bCs/>
                                <w:i/>
                                <w:iCs/>
                                <w:color w:val="000000"/>
                                <w:position w:val="-6"/>
                                <w:vertAlign w:val="subscript"/>
                                <w:lang w:val="en-US"/>
                              </w:rPr>
                              <w:t>it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rect w14:anchorId="64199877" id="_x0000_s1162" style="position:absolute;left:0;text-align:left;margin-left:29.7pt;margin-top:.9pt;width:48.75pt;height:28.3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" filled="f" stroked="f">
                <v:textbox style="mso-fit-shape-to-text:t" inset="0,0,0,0">
                  <w:txbxContent>
                    <w:p w14:paraId="68A63AB5" w14:textId="77777777" w:rsidR="00217022" w:rsidRDefault="00BA0572" w:rsidP="00217022">
                      <w:pPr>
                        <w:spacing w:line="276" w:lineRule="auto"/>
                        <w:rPr>
                          <w:rFonts w:ascii="Cambria Math" w:eastAsia="Aptos"/>
                          <w:b/>
                          <w:bCs/>
                          <w:i/>
                          <w:iCs/>
                          <w:color w:val="000000"/>
                          <w:kern w:val="0"/>
                          <w14:ligatures w14:val="none"/>
                        </w:rPr>
                      </w:pPr>
                      <m:oMath>
                        <m:sSup>
                          <m:sSupPr>
                            <m:ctrlPr>
                              <w:rPr>
                                <w:rFonts w:ascii="Cambria Math" w:eastAsia="Aptos" w:hAnsi="Cambria Math"/>
                                <w:b/>
                                <w:bCs/>
                                <w:i/>
                                <w:iCs/>
                                <w:color w:val="000000"/>
                              </w:rPr>
                            </m:ctrlPr>
                          </m:sSupPr>
                          <m:e>
                            <m:r>
                              <m:rPr>
                                <m:sty m:val="bi"/>
                              </m:rPr>
                              <w:rPr>
                                <w:rFonts w:ascii="Cambria Math" w:eastAsia="Aptos" w:hAnsi="Cambria Math"/>
                                <w:color w:val="000000"/>
                                <w:lang w:val="en-US"/>
                              </w:rPr>
                              <m:t>Y</m:t>
                            </m:r>
                          </m:e>
                          <m:sup>
                            <m:r>
                              <m:rPr>
                                <m:sty m:val="bi"/>
                              </m:rPr>
                              <w:rPr>
                                <w:rFonts w:ascii="Cambria Math" w:eastAsia="Aptos" w:hAnsi="Cambria Math"/>
                                <w:color w:val="000000"/>
                                <w:lang w:val="en-US"/>
                              </w:rPr>
                              <m:t>U</m:t>
                            </m:r>
                          </m:sup>
                        </m:sSup>
                      </m:oMath>
                      <w:r w:rsidR="00217022">
                        <w:rPr>
                          <w:rFonts w:ascii="Aptos" w:eastAsia="Aptos" w:hAnsi="Aptos"/>
                          <w:b/>
                          <w:bCs/>
                          <w:i/>
                          <w:iCs/>
                          <w:color w:val="000000"/>
                          <w:position w:val="-6"/>
                          <w:vertAlign w:val="subscript"/>
                          <w:lang w:val="en-US"/>
                        </w:rPr>
                        <w:t>it</w:t>
                      </w:r>
                    </w:p>
                  </w:txbxContent>
                </v:textbox>
                <w10:wrap anchorx="margin"/>
              </v:rect>
            </w:pict>
          </mc:Fallback>
        </mc:AlternateContent>
      </w:r>
      <w:r w:rsidRPr="00217022">
        <w:rPr>
          <w:noProof/>
        </w:rPr>
        <mc:AlternateContent>
          <mc:Choice Requires="wps">
            <w:drawing>
              <wp:anchor distT="0" distB="0" distL="114300" distR="114300" simplePos="0" relativeHeight="251770880" behindDoc="0" locked="0" layoutInCell="1" allowOverlap="1" wp14:anchorId="6A3FDB09" wp14:editId="2EC2CAF4">
                <wp:simplePos x="0" y="0"/>
                <wp:positionH relativeFrom="column">
                  <wp:posOffset>0</wp:posOffset>
                </wp:positionH>
                <wp:positionV relativeFrom="paragraph">
                  <wp:posOffset>107950</wp:posOffset>
                </wp:positionV>
                <wp:extent cx="237600" cy="0"/>
                <wp:effectExtent l="0" t="0" r="0" b="0"/>
                <wp:wrapNone/>
                <wp:docPr id="201941433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7600" cy="0"/>
                        </a:xfrm>
                        <a:prstGeom prst="line">
                          <a:avLst/>
                        </a:prstGeom>
                        <a:noFill/>
                        <a:ln w="14605" cap="flat">
                          <a:solidFill>
                            <a:srgbClr val="FFFF00"/>
                          </a:solidFill>
                          <a:prstDash val="solid"/>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9B48DB8" id="Line 26" o:spid="_x0000_s1026" style="position:absolute;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18.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" strokecolor="yellow" strokeweight="1.15pt">
                <v:stroke joinstyle="miter"/>
              </v:line>
            </w:pict>
          </mc:Fallback>
        </mc:AlternateContent>
      </w:r>
      <w:r w:rsidRPr="00217022">
        <w:rPr>
          <w:rFonts w:ascii="Times New Roman" w:hAnsi="Times New Roman" w:cs="Times New Roman"/>
        </w:rPr>
        <w:t>Wyniki grupy niepoddanej interwencji.</w:t>
      </w:r>
    </w:p>
    <w:p w14:paraId="0C77D7B9" w14:textId="2D89A43D" w:rsidR="00217022" w:rsidRPr="00217022" w:rsidRDefault="00217022" w:rsidP="00217022">
      <w:pPr>
        <w:spacing w:before="240" w:after="0"/>
        <w:jc w:val="both"/>
        <w:rPr>
          <w:rFonts w:ascii="Times New Roman" w:hAnsi="Times New Roman" w:cs="Times New Roman"/>
          <w:sz w:val="28"/>
          <w:szCs w:val="28"/>
        </w:rPr>
      </w:pPr>
      <w:r w:rsidRPr="00217022">
        <w:rPr>
          <w:rFonts w:ascii="Times New Roman" w:hAnsi="Times New Roman" w:cs="Times New Roman"/>
          <w:i/>
          <w:iCs/>
        </w:rPr>
        <w:t>Źródło: opracowano na podstawie</w:t>
      </w:r>
      <w:r w:rsidR="00F105C0">
        <w:rPr>
          <w:rFonts w:ascii="Times New Roman" w:hAnsi="Times New Roman" w:cs="Times New Roman"/>
          <w:i/>
          <w:iCs/>
        </w:rPr>
        <w:t>:</w:t>
      </w:r>
      <w:r w:rsidRPr="00217022">
        <w:rPr>
          <w:rFonts w:ascii="Times New Roman" w:hAnsi="Times New Roman" w:cs="Times New Roman"/>
          <w:i/>
          <w:iCs/>
        </w:rPr>
        <w:t xml:space="preserve"> </w:t>
      </w:r>
      <w:bookmarkStart w:id="26" w:name="_Hlk180060814"/>
      <w:r w:rsidRPr="00217022">
        <w:rPr>
          <w:rFonts w:ascii="Times New Roman" w:hAnsi="Times New Roman" w:cs="Times New Roman"/>
          <w:i/>
          <w:iCs/>
        </w:rPr>
        <w:t>Goodman-Bacon, A. (2021</w:t>
      </w:r>
      <w:bookmarkEnd w:id="26"/>
      <w:r w:rsidRPr="00217022">
        <w:rPr>
          <w:rFonts w:ascii="Times New Roman" w:hAnsi="Times New Roman" w:cs="Times New Roman"/>
          <w:i/>
          <w:iCs/>
        </w:rPr>
        <w:t xml:space="preserve">). </w:t>
      </w:r>
      <w:r w:rsidRPr="00217022">
        <w:rPr>
          <w:rFonts w:ascii="Times New Roman" w:hAnsi="Times New Roman" w:cs="Times New Roman"/>
          <w:i/>
          <w:iCs/>
          <w:lang w:val="en-GB"/>
        </w:rPr>
        <w:t xml:space="preserve">Difference-in-differences with variation in treatment timing. </w:t>
      </w:r>
      <w:r w:rsidRPr="00217022">
        <w:rPr>
          <w:rFonts w:ascii="Times New Roman" w:hAnsi="Times New Roman" w:cs="Times New Roman"/>
          <w:i/>
          <w:iCs/>
        </w:rPr>
        <w:t>Journal of Econometrics, 225 (2), 254-277.</w:t>
      </w:r>
    </w:p>
    <w:p w14:paraId="6C9B96D1" w14:textId="77777777" w:rsidR="00217022" w:rsidRPr="00217022" w:rsidRDefault="00217022" w:rsidP="00217022">
      <w:pPr>
        <w:spacing w:after="0" w:line="264" w:lineRule="auto"/>
      </w:pPr>
    </w:p>
    <w:p w14:paraId="27F5BC20" w14:textId="77777777"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W takiej sytuacji można obliczyć cząstkowe ATT (analitycznie lub wykorzystując model TWFE) dla</w:t>
      </w:r>
      <w:r w:rsidRPr="00217022">
        <w:t xml:space="preserve"> (</w:t>
      </w:r>
      <w:r w:rsidRPr="00217022">
        <w:rPr>
          <w:rFonts w:ascii="Times New Roman" w:hAnsi="Times New Roman" w:cs="Times New Roman"/>
          <w:sz w:val="28"/>
          <w:szCs w:val="28"/>
        </w:rPr>
        <w:t>De Chaisemartini i D’haultfœuille, 2023):</w:t>
      </w:r>
    </w:p>
    <w:p w14:paraId="193ED631" w14:textId="77777777" w:rsidR="00217022" w:rsidRPr="00F105C0" w:rsidRDefault="00217022" w:rsidP="00F105C0">
      <w:pPr>
        <w:pStyle w:val="Akapitzlist"/>
        <w:numPr>
          <w:ilvl w:val="0"/>
          <w:numId w:val="82"/>
        </w:numPr>
        <w:spacing w:after="120" w:line="264" w:lineRule="auto"/>
        <w:jc w:val="both"/>
        <w:rPr>
          <w:rFonts w:ascii="Times New Roman" w:hAnsi="Times New Roman" w:cs="Times New Roman"/>
          <w:sz w:val="28"/>
          <w:szCs w:val="28"/>
          <w:lang w:val="de-AT"/>
        </w:rPr>
      </w:pPr>
      <w:r w:rsidRPr="00F105C0">
        <w:rPr>
          <w:rFonts w:ascii="Times New Roman" w:hAnsi="Times New Roman" w:cs="Times New Roman"/>
          <w:sz w:val="28"/>
          <w:szCs w:val="28"/>
          <w:lang w:val="de-AT"/>
        </w:rPr>
        <w:t>podgrupy k:</w:t>
      </w:r>
    </w:p>
    <w:p w14:paraId="1AABE2FB" w14:textId="77777777" w:rsidR="00217022" w:rsidRPr="00217022" w:rsidRDefault="00217022" w:rsidP="00217022">
      <w:pPr>
        <w:spacing w:before="240" w:after="240" w:line="240" w:lineRule="auto"/>
        <w:ind w:firstLine="709"/>
        <w:jc w:val="center"/>
        <w:rPr>
          <w:rFonts w:ascii="Times New Roman" w:hAnsi="Times New Roman" w:cs="Times New Roman"/>
          <w:sz w:val="28"/>
          <w:szCs w:val="28"/>
          <w:lang w:val="de-AT"/>
        </w:rPr>
      </w:pPr>
      <w:bookmarkStart w:id="27" w:name="_Hlk182305094"/>
      <w:r w:rsidRPr="00217022">
        <w:rPr>
          <w:rFonts w:ascii="Times New Roman" w:hAnsi="Times New Roman" w:cs="Times New Roman"/>
          <w:sz w:val="28"/>
          <w:szCs w:val="28"/>
          <w:lang w:val="de-AT"/>
        </w:rPr>
        <w:t>ATT</w:t>
      </w:r>
      <w:r w:rsidRPr="00217022">
        <w:rPr>
          <w:rFonts w:ascii="Times New Roman" w:hAnsi="Times New Roman" w:cs="Times New Roman"/>
          <w:sz w:val="28"/>
          <w:szCs w:val="28"/>
          <w:vertAlign w:val="subscript"/>
          <w:lang w:val="de-AT"/>
        </w:rPr>
        <w:t>k</w:t>
      </w:r>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k-t</w:t>
      </w:r>
      <w:r w:rsidRPr="00217022">
        <w:rPr>
          <w:rFonts w:ascii="Times New Roman" w:hAnsi="Times New Roman" w:cs="Times New Roman"/>
          <w:sz w:val="28"/>
          <w:szCs w:val="28"/>
          <w:lang w:val="de-AT"/>
        </w:rPr>
        <w:t>, D</w:t>
      </w:r>
      <w:r w:rsidRPr="00217022">
        <w:rPr>
          <w:rFonts w:ascii="Times New Roman" w:hAnsi="Times New Roman" w:cs="Times New Roman"/>
          <w:sz w:val="28"/>
          <w:szCs w:val="28"/>
          <w:vertAlign w:val="subscript"/>
          <w:lang w:val="de-AT"/>
        </w:rPr>
        <w:t>k=1</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t-k</w:t>
      </w:r>
      <w:r w:rsidRPr="00217022">
        <w:rPr>
          <w:rFonts w:ascii="Times New Roman" w:hAnsi="Times New Roman" w:cs="Times New Roman"/>
          <w:sz w:val="28"/>
          <w:szCs w:val="28"/>
          <w:lang w:val="de-AT"/>
        </w:rPr>
        <w:t>, D</w:t>
      </w:r>
      <w:r w:rsidRPr="00217022">
        <w:rPr>
          <w:rFonts w:ascii="Times New Roman" w:hAnsi="Times New Roman" w:cs="Times New Roman"/>
          <w:sz w:val="28"/>
          <w:szCs w:val="28"/>
          <w:vertAlign w:val="subscript"/>
          <w:lang w:val="de-AT"/>
        </w:rPr>
        <w:t>k=1</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 (</w:t>
      </w:r>
      <m:oMath>
        <m:r>
          <m:rPr>
            <m:sty m:val="p"/>
          </m:rPr>
          <w:rPr>
            <w:rFonts w:ascii="Cambria Math" w:hAnsi="Cambria Math" w:cs="Times New Roman"/>
            <w:sz w:val="28"/>
            <w:szCs w:val="28"/>
            <w:lang w:val="de-AT"/>
          </w:rPr>
          <m:t>E[Y</m:t>
        </m:r>
      </m:oMath>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k-t,</w:t>
      </w:r>
      <w:r w:rsidRPr="00217022">
        <w:rPr>
          <w:rFonts w:ascii="Times New Roman" w:hAnsi="Times New Roman" w:cs="Times New Roman"/>
          <w:sz w:val="28"/>
          <w:szCs w:val="28"/>
          <w:lang w:val="de-AT"/>
        </w:rPr>
        <w:t xml:space="preserve"> D</w:t>
      </w:r>
      <w:r w:rsidRPr="00217022">
        <w:rPr>
          <w:rFonts w:ascii="Times New Roman" w:hAnsi="Times New Roman" w:cs="Times New Roman"/>
          <w:sz w:val="28"/>
          <w:szCs w:val="28"/>
          <w:vertAlign w:val="subscript"/>
          <w:lang w:val="de-AT"/>
        </w:rPr>
        <w:t>=0</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t-k</w:t>
      </w:r>
      <w:r w:rsidRPr="00217022">
        <w:rPr>
          <w:rFonts w:ascii="Times New Roman" w:hAnsi="Times New Roman" w:cs="Times New Roman"/>
          <w:sz w:val="28"/>
          <w:szCs w:val="28"/>
          <w:lang w:val="de-AT"/>
        </w:rPr>
        <w:t>, D</w:t>
      </w:r>
      <w:r w:rsidRPr="00217022">
        <w:rPr>
          <w:rFonts w:ascii="Times New Roman" w:hAnsi="Times New Roman" w:cs="Times New Roman"/>
          <w:sz w:val="28"/>
          <w:szCs w:val="28"/>
          <w:vertAlign w:val="subscript"/>
          <w:lang w:val="de-AT"/>
        </w:rPr>
        <w:t>=0</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w:t>
      </w:r>
      <w:bookmarkEnd w:id="27"/>
      <w:r w:rsidRPr="00217022">
        <w:rPr>
          <w:rFonts w:ascii="Times New Roman" w:hAnsi="Times New Roman" w:cs="Times New Roman"/>
          <w:sz w:val="28"/>
          <w:szCs w:val="28"/>
          <w:lang w:val="de-AT"/>
        </w:rPr>
        <w:t>,</w:t>
      </w:r>
    </w:p>
    <w:p w14:paraId="4F2F6E1B" w14:textId="77777777" w:rsidR="00217022" w:rsidRPr="00F105C0" w:rsidRDefault="00217022" w:rsidP="00F105C0">
      <w:pPr>
        <w:pStyle w:val="Akapitzlist"/>
        <w:numPr>
          <w:ilvl w:val="0"/>
          <w:numId w:val="83"/>
        </w:numPr>
        <w:jc w:val="both"/>
        <w:rPr>
          <w:rFonts w:ascii="Times New Roman" w:hAnsi="Times New Roman" w:cs="Times New Roman"/>
          <w:sz w:val="28"/>
          <w:szCs w:val="28"/>
          <w:lang w:val="de-AT"/>
        </w:rPr>
      </w:pPr>
      <w:r w:rsidRPr="00F105C0">
        <w:rPr>
          <w:rFonts w:ascii="Times New Roman" w:hAnsi="Times New Roman" w:cs="Times New Roman"/>
          <w:sz w:val="28"/>
          <w:szCs w:val="28"/>
          <w:lang w:val="de-AT"/>
        </w:rPr>
        <w:lastRenderedPageBreak/>
        <w:t>dla podgrupy l:</w:t>
      </w:r>
    </w:p>
    <w:p w14:paraId="699FE11D" w14:textId="77777777" w:rsidR="00217022" w:rsidRPr="00217022" w:rsidRDefault="00217022" w:rsidP="00217022">
      <w:pPr>
        <w:ind w:firstLine="708"/>
        <w:jc w:val="center"/>
        <w:rPr>
          <w:rFonts w:ascii="Times New Roman" w:hAnsi="Times New Roman" w:cs="Times New Roman"/>
          <w:sz w:val="28"/>
          <w:szCs w:val="28"/>
          <w:lang w:val="de-AT"/>
        </w:rPr>
      </w:pPr>
      <w:r w:rsidRPr="00217022">
        <w:rPr>
          <w:rFonts w:ascii="Times New Roman" w:hAnsi="Times New Roman" w:cs="Times New Roman"/>
          <w:sz w:val="28"/>
          <w:szCs w:val="28"/>
          <w:lang w:val="de-AT"/>
        </w:rPr>
        <w:t>ATT</w:t>
      </w:r>
      <w:r w:rsidRPr="00217022">
        <w:rPr>
          <w:rFonts w:ascii="Times New Roman" w:hAnsi="Times New Roman" w:cs="Times New Roman"/>
          <w:sz w:val="28"/>
          <w:szCs w:val="28"/>
          <w:vertAlign w:val="subscript"/>
          <w:lang w:val="de-AT"/>
        </w:rPr>
        <w:t>l</w:t>
      </w:r>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l-t</w:t>
      </w:r>
      <w:r w:rsidRPr="00217022">
        <w:rPr>
          <w:rFonts w:ascii="Times New Roman" w:hAnsi="Times New Roman" w:cs="Times New Roman"/>
          <w:sz w:val="28"/>
          <w:szCs w:val="28"/>
          <w:lang w:val="de-AT"/>
        </w:rPr>
        <w:t>, D</w:t>
      </w:r>
      <w:r w:rsidRPr="00217022">
        <w:rPr>
          <w:rFonts w:ascii="Times New Roman" w:hAnsi="Times New Roman" w:cs="Times New Roman"/>
          <w:sz w:val="28"/>
          <w:szCs w:val="28"/>
          <w:vertAlign w:val="subscript"/>
          <w:lang w:val="de-AT"/>
        </w:rPr>
        <w:t>l=1</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t-l</w:t>
      </w:r>
      <w:r w:rsidRPr="00217022">
        <w:rPr>
          <w:rFonts w:ascii="Times New Roman" w:hAnsi="Times New Roman" w:cs="Times New Roman"/>
          <w:sz w:val="28"/>
          <w:szCs w:val="28"/>
          <w:lang w:val="de-AT"/>
        </w:rPr>
        <w:t>, D</w:t>
      </w:r>
      <w:r w:rsidRPr="00217022">
        <w:rPr>
          <w:rFonts w:ascii="Times New Roman" w:hAnsi="Times New Roman" w:cs="Times New Roman"/>
          <w:sz w:val="28"/>
          <w:szCs w:val="28"/>
          <w:vertAlign w:val="subscript"/>
          <w:lang w:val="de-AT"/>
        </w:rPr>
        <w:t>l=1</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 (</w:t>
      </w:r>
      <m:oMath>
        <m:r>
          <m:rPr>
            <m:sty m:val="p"/>
          </m:rPr>
          <w:rPr>
            <w:rFonts w:ascii="Cambria Math" w:hAnsi="Cambria Math" w:cs="Times New Roman"/>
            <w:sz w:val="28"/>
            <w:szCs w:val="28"/>
            <w:lang w:val="de-AT"/>
          </w:rPr>
          <m:t>E[Y</m:t>
        </m:r>
      </m:oMath>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l-t,</w:t>
      </w:r>
      <w:r w:rsidRPr="00217022">
        <w:rPr>
          <w:rFonts w:ascii="Times New Roman" w:hAnsi="Times New Roman" w:cs="Times New Roman"/>
          <w:sz w:val="28"/>
          <w:szCs w:val="28"/>
          <w:lang w:val="de-AT"/>
        </w:rPr>
        <w:t xml:space="preserve"> D</w:t>
      </w:r>
      <w:r w:rsidRPr="00217022">
        <w:rPr>
          <w:rFonts w:ascii="Times New Roman" w:hAnsi="Times New Roman" w:cs="Times New Roman"/>
          <w:sz w:val="28"/>
          <w:szCs w:val="28"/>
          <w:vertAlign w:val="subscript"/>
          <w:lang w:val="de-AT"/>
        </w:rPr>
        <w:t>=0</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t-k</w:t>
      </w:r>
      <w:r w:rsidRPr="00217022">
        <w:rPr>
          <w:rFonts w:ascii="Times New Roman" w:hAnsi="Times New Roman" w:cs="Times New Roman"/>
          <w:sz w:val="28"/>
          <w:szCs w:val="28"/>
          <w:lang w:val="de-AT"/>
        </w:rPr>
        <w:t>, D</w:t>
      </w:r>
      <w:r w:rsidRPr="00217022">
        <w:rPr>
          <w:rFonts w:ascii="Times New Roman" w:hAnsi="Times New Roman" w:cs="Times New Roman"/>
          <w:sz w:val="28"/>
          <w:szCs w:val="28"/>
          <w:vertAlign w:val="subscript"/>
          <w:lang w:val="de-AT"/>
        </w:rPr>
        <w:t>=0</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w:t>
      </w:r>
    </w:p>
    <w:p w14:paraId="358C1789" w14:textId="77777777" w:rsidR="00217022" w:rsidRPr="00217022" w:rsidRDefault="00217022" w:rsidP="00217022">
      <w:pPr>
        <w:ind w:firstLine="708"/>
        <w:rPr>
          <w:rFonts w:ascii="Times New Roman" w:hAnsi="Times New Roman" w:cs="Times New Roman"/>
          <w:sz w:val="28"/>
          <w:szCs w:val="28"/>
        </w:rPr>
      </w:pPr>
      <w:r w:rsidRPr="00217022">
        <w:rPr>
          <w:rFonts w:ascii="Times New Roman" w:hAnsi="Times New Roman" w:cs="Times New Roman"/>
          <w:sz w:val="28"/>
          <w:szCs w:val="28"/>
        </w:rPr>
        <w:t>oraz średnia arytmetyczną:</w:t>
      </w:r>
    </w:p>
    <w:p w14:paraId="5A6FC23A" w14:textId="77777777" w:rsidR="00217022" w:rsidRPr="00217022" w:rsidRDefault="00217022" w:rsidP="00217022">
      <w:pPr>
        <w:ind w:firstLine="708"/>
        <w:jc w:val="center"/>
        <w:rPr>
          <w:rFonts w:ascii="Times New Roman" w:hAnsi="Times New Roman" w:cs="Times New Roman"/>
          <w:sz w:val="28"/>
          <w:szCs w:val="28"/>
        </w:rPr>
      </w:pPr>
      <w:r w:rsidRPr="00217022">
        <w:rPr>
          <w:rFonts w:ascii="Times New Roman" w:hAnsi="Times New Roman" w:cs="Times New Roman"/>
          <w:sz w:val="28"/>
          <w:szCs w:val="28"/>
        </w:rPr>
        <w:t>ATT</w:t>
      </w:r>
      <w:r w:rsidRPr="00217022">
        <w:rPr>
          <w:rFonts w:ascii="Times New Roman" w:hAnsi="Times New Roman" w:cs="Times New Roman"/>
          <w:sz w:val="28"/>
          <w:szCs w:val="28"/>
          <w:vertAlign w:val="subscript"/>
        </w:rPr>
        <w:t>o</w:t>
      </w:r>
      <w:r w:rsidRPr="00217022">
        <w:rPr>
          <w:rFonts w:ascii="Times New Roman" w:hAnsi="Times New Roman" w:cs="Times New Roman"/>
          <w:sz w:val="28"/>
          <w:szCs w:val="28"/>
        </w:rPr>
        <w:t xml:space="preserve"> = ½×ATT</w:t>
      </w:r>
      <w:r w:rsidRPr="00217022">
        <w:rPr>
          <w:rFonts w:ascii="Times New Roman" w:hAnsi="Times New Roman" w:cs="Times New Roman"/>
          <w:sz w:val="28"/>
          <w:szCs w:val="28"/>
          <w:vertAlign w:val="subscript"/>
        </w:rPr>
        <w:t xml:space="preserve">k </w:t>
      </w:r>
      <w:r w:rsidRPr="00217022">
        <w:rPr>
          <w:rFonts w:ascii="Times New Roman" w:hAnsi="Times New Roman" w:cs="Times New Roman"/>
          <w:sz w:val="28"/>
          <w:szCs w:val="28"/>
        </w:rPr>
        <w:t>+½×ATT.</w:t>
      </w:r>
    </w:p>
    <w:p w14:paraId="0C7B14A6" w14:textId="77777777" w:rsidR="00217022" w:rsidRPr="00217022" w:rsidRDefault="00217022" w:rsidP="00217022">
      <w:pPr>
        <w:spacing w:after="0" w:line="264" w:lineRule="auto"/>
        <w:ind w:firstLine="708"/>
        <w:jc w:val="both"/>
        <w:rPr>
          <w:rFonts w:ascii="Times New Roman" w:hAnsi="Times New Roman" w:cs="Times New Roman"/>
          <w:sz w:val="28"/>
          <w:szCs w:val="28"/>
        </w:rPr>
      </w:pPr>
      <w:r w:rsidRPr="00217022">
        <w:rPr>
          <w:rFonts w:ascii="Times New Roman" w:hAnsi="Times New Roman" w:cs="Times New Roman"/>
          <w:sz w:val="28"/>
          <w:szCs w:val="28"/>
        </w:rPr>
        <w:t>Uśredniona wartość ATT</w:t>
      </w:r>
      <w:r w:rsidRPr="00217022">
        <w:rPr>
          <w:rFonts w:ascii="Times New Roman" w:hAnsi="Times New Roman" w:cs="Times New Roman"/>
          <w:sz w:val="28"/>
          <w:szCs w:val="28"/>
          <w:vertAlign w:val="subscript"/>
        </w:rPr>
        <w:t xml:space="preserve"> k</w:t>
      </w:r>
      <w:r w:rsidRPr="00217022">
        <w:rPr>
          <w:rFonts w:ascii="Times New Roman" w:hAnsi="Times New Roman" w:cs="Times New Roman"/>
          <w:sz w:val="28"/>
          <w:szCs w:val="28"/>
        </w:rPr>
        <w:t xml:space="preserve"> i ATT</w:t>
      </w:r>
      <w:r w:rsidRPr="00217022">
        <w:rPr>
          <w:rFonts w:ascii="Times New Roman" w:hAnsi="Times New Roman" w:cs="Times New Roman"/>
          <w:sz w:val="28"/>
          <w:szCs w:val="28"/>
          <w:vertAlign w:val="subscript"/>
        </w:rPr>
        <w:t xml:space="preserve">l </w:t>
      </w:r>
      <w:r w:rsidRPr="00217022">
        <w:rPr>
          <w:rFonts w:ascii="Times New Roman" w:hAnsi="Times New Roman" w:cs="Times New Roman"/>
          <w:sz w:val="28"/>
          <w:szCs w:val="28"/>
        </w:rPr>
        <w:t>jest najprostszym sposobem na problem braku jednorodności momentu oddziaływania-uruchomienia interwencji w grupie docelowej. W przypadku większej ilości podgrup (g) tworzących grupę poddaną interwencji w okresie G (g</w:t>
      </w:r>
      <w:r w:rsidRPr="00217022">
        <w:rPr>
          <w:rFonts w:ascii="Cambria Math" w:hAnsi="Cambria Math" w:cs="Cambria Math"/>
        </w:rPr>
        <w:t>∈</w:t>
      </w:r>
      <w:r w:rsidRPr="00217022">
        <w:rPr>
          <w:rFonts w:ascii="Times New Roman" w:hAnsi="Times New Roman" w:cs="Times New Roman"/>
          <w:sz w:val="28"/>
          <w:szCs w:val="28"/>
        </w:rPr>
        <w:t>G), wydzielonych na podstawie momentu rozpoczęcia interwencji (p, gdzie p</w:t>
      </w:r>
      <w:r w:rsidRPr="00217022">
        <w:rPr>
          <w:rFonts w:ascii="Cambria Math" w:hAnsi="Cambria Math" w:cs="Cambria Math"/>
        </w:rPr>
        <w:t>∈</w:t>
      </w:r>
      <w:r w:rsidRPr="00217022">
        <w:rPr>
          <w:rFonts w:ascii="Times New Roman" w:hAnsi="Times New Roman" w:cs="Times New Roman"/>
          <w:sz w:val="28"/>
          <w:szCs w:val="28"/>
        </w:rPr>
        <w:t>t) można obliczać obliczyć ATT</w:t>
      </w:r>
      <w:r w:rsidRPr="00217022">
        <w:rPr>
          <w:rFonts w:ascii="Times New Roman" w:hAnsi="Times New Roman" w:cs="Times New Roman"/>
          <w:sz w:val="28"/>
          <w:szCs w:val="28"/>
          <w:vertAlign w:val="subscript"/>
        </w:rPr>
        <w:t>gp</w:t>
      </w:r>
      <w:r w:rsidRPr="00217022">
        <w:rPr>
          <w:rFonts w:ascii="Times New Roman" w:hAnsi="Times New Roman" w:cs="Times New Roman"/>
          <w:sz w:val="28"/>
          <w:szCs w:val="28"/>
        </w:rPr>
        <w:t xml:space="preserve">, jako sumę różnic dla poszczególnych podgrup docelowych </w:t>
      </w:r>
      <m:oMath>
        <m:r>
          <m:rPr>
            <m:sty m:val="p"/>
          </m:rPr>
          <w:rPr>
            <w:rFonts w:ascii="Cambria Math" w:hAnsi="Cambria Math" w:cs="Times New Roman"/>
            <w:sz w:val="28"/>
            <w:szCs w:val="28"/>
          </w:rPr>
          <m:t>E[</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Y</m:t>
            </m:r>
          </m:e>
          <m:sub>
            <m:r>
              <w:rPr>
                <w:rFonts w:ascii="Cambria Math" w:hAnsi="Cambria Math" w:cs="Times New Roman"/>
                <w:sz w:val="28"/>
                <w:szCs w:val="28"/>
              </w:rPr>
              <m:t>g</m:t>
            </m:r>
          </m:sub>
          <m:sup>
            <m:r>
              <w:rPr>
                <w:rFonts w:ascii="Cambria Math" w:hAnsi="Cambria Math" w:cs="Times New Roman"/>
                <w:sz w:val="28"/>
                <w:szCs w:val="28"/>
              </w:rPr>
              <m:t>p</m:t>
            </m:r>
          </m:sup>
        </m:sSubSup>
        <m:r>
          <m:rPr>
            <m:sty m:val="p"/>
          </m:rPr>
          <w:rPr>
            <w:rFonts w:ascii="Cambria Math" w:hAnsi="Cambria Math" w:cs="Times New Roman"/>
            <w:sz w:val="28"/>
            <w:szCs w:val="28"/>
          </w:rPr>
          <m:t xml:space="preserve"> </m:t>
        </m:r>
      </m:oMath>
      <w:r w:rsidRPr="00217022">
        <w:rPr>
          <w:rFonts w:ascii="Times New Roman" w:hAnsi="Times New Roman" w:cs="Times New Roman"/>
        </w:rPr>
        <w:t>*</w:t>
      </w:r>
      <w:r w:rsidRPr="00217022">
        <w:rPr>
          <w:rFonts w:ascii="Times New Roman" w:hAnsi="Times New Roman" w:cs="Times New Roman"/>
          <w:sz w:val="28"/>
          <w:szCs w:val="28"/>
        </w:rPr>
        <w:t>(G) -</w:t>
      </w:r>
      <m:oMath>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w:rPr>
                <w:rFonts w:ascii="Cambria Math" w:hAnsi="Cambria Math" w:cs="Times New Roman"/>
                <w:sz w:val="28"/>
                <w:szCs w:val="28"/>
              </w:rPr>
              <m:t>Y</m:t>
            </m:r>
          </m:e>
          <m:sub>
            <m:r>
              <w:rPr>
                <w:rFonts w:ascii="Cambria Math" w:hAnsi="Cambria Math" w:cs="Times New Roman"/>
                <w:sz w:val="28"/>
                <w:szCs w:val="28"/>
              </w:rPr>
              <m:t>t-p</m:t>
            </m:r>
          </m:sub>
          <m:sup>
            <m:r>
              <w:rPr>
                <w:rFonts w:ascii="Cambria Math" w:hAnsi="Cambria Math" w:cs="Times New Roman"/>
                <w:sz w:val="28"/>
                <w:szCs w:val="28"/>
              </w:rPr>
              <m:t>U</m:t>
            </m:r>
          </m:sup>
        </m:sSubSup>
      </m:oMath>
      <w:r w:rsidRPr="00217022">
        <w:rPr>
          <w:rFonts w:ascii="Times New Roman" w:hAnsi="Times New Roman" w:cs="Times New Roman"/>
          <w:sz w:val="28"/>
          <w:szCs w:val="28"/>
        </w:rPr>
        <w:t>,</w:t>
      </w:r>
      <w:r w:rsidRPr="00217022">
        <w:rPr>
          <w:rFonts w:ascii="Times New Roman" w:hAnsi="Times New Roman" w:cs="Times New Roman"/>
        </w:rPr>
        <w:t>*</w:t>
      </w:r>
      <w:r w:rsidRPr="00217022">
        <w:rPr>
          <w:rFonts w:ascii="Times New Roman" w:hAnsi="Times New Roman" w:cs="Times New Roman"/>
          <w:sz w:val="28"/>
          <w:szCs w:val="28"/>
        </w:rPr>
        <w:t>(U)</w:t>
      </w:r>
      <m:oMath>
        <m:r>
          <m:rPr>
            <m:sty m:val="p"/>
          </m:rPr>
          <w:rPr>
            <w:rFonts w:ascii="Cambria Math" w:hAnsi="Cambria Math" w:cs="Times New Roman"/>
            <w:sz w:val="28"/>
            <w:szCs w:val="28"/>
          </w:rPr>
          <m:t>]</m:t>
        </m:r>
      </m:oMath>
      <w:r w:rsidRPr="00217022">
        <w:rPr>
          <w:rFonts w:ascii="Times New Roman" w:eastAsiaTheme="minorEastAsia" w:hAnsi="Times New Roman" w:cs="Times New Roman"/>
          <w:sz w:val="28"/>
          <w:szCs w:val="28"/>
        </w:rPr>
        <w:t xml:space="preserve">; gdzie U jest grupą odniesienia. </w:t>
      </w:r>
      <w:r w:rsidRPr="00217022">
        <w:rPr>
          <w:rFonts w:ascii="Times New Roman" w:hAnsi="Times New Roman" w:cs="Times New Roman"/>
          <w:sz w:val="28"/>
          <w:szCs w:val="28"/>
        </w:rPr>
        <w:t>Jednak takie wyniki są obciążone zróżnicowanym wpływem okresów poszczególnych podgrup, w jakim są obserwowane efekty po zastosowaniu interwencji (w naszym przykładzie przedstawionym na rysunku 3 dla podgrupy l okres po interwencji t jest wspólny dla k, a w przypadku podgrupy k dodatkowo okres po interwencji obejmuje odcinek l-k. W przypadku grup charakteryzujących się zróżnicowanym momentem uruchomienia instrumentu, odmienną liczebnością lub reprezentatywnością dla populacji, ATT powinna zostać obliczona jako średnia ważona. Przyjęte wagi (w) mogą uwzględniać jeden z tych parametrów lub kilka łącznie (Gardner, 2022):</w:t>
      </w:r>
    </w:p>
    <w:p w14:paraId="68D3D528" w14:textId="77777777" w:rsidR="00217022" w:rsidRPr="00217022" w:rsidRDefault="00217022" w:rsidP="00217022">
      <w:pPr>
        <w:ind w:firstLine="708"/>
        <w:jc w:val="center"/>
        <w:rPr>
          <w:rFonts w:ascii="Times New Roman" w:eastAsiaTheme="minorEastAsia" w:hAnsi="Times New Roman" w:cs="Times New Roman"/>
          <w:sz w:val="28"/>
          <w:szCs w:val="28"/>
          <w:lang w:val="de-AT"/>
        </w:rPr>
      </w:pPr>
      <w:r w:rsidRPr="00217022">
        <w:rPr>
          <w:rFonts w:ascii="Times New Roman" w:hAnsi="Times New Roman" w:cs="Times New Roman"/>
          <w:sz w:val="28"/>
          <w:szCs w:val="28"/>
          <w:lang w:val="de-AT"/>
        </w:rPr>
        <w:t>ATT(</w:t>
      </w:r>
      <w:r w:rsidRPr="00217022">
        <w:rPr>
          <w:rFonts w:ascii="Times New Roman" w:hAnsi="Times New Roman" w:cs="Times New Roman"/>
          <w:sz w:val="28"/>
          <w:szCs w:val="28"/>
          <w:vertAlign w:val="subscript"/>
          <w:lang w:val="de-AT"/>
        </w:rPr>
        <w:t>g,p)</w:t>
      </w:r>
      <w:r w:rsidRPr="00217022">
        <w:rPr>
          <w:rFonts w:ascii="Times New Roman" w:hAnsi="Times New Roman" w:cs="Times New Roman"/>
          <w:sz w:val="28"/>
          <w:szCs w:val="28"/>
          <w:lang w:val="de-AT"/>
        </w:rPr>
        <w:t xml:space="preserve"> = </w:t>
      </w:r>
      <m:oMath>
        <m:sSub>
          <m:sSubPr>
            <m:ctrlPr>
              <w:rPr>
                <w:rFonts w:ascii="Cambria Math" w:hAnsi="Cambria Math" w:cs="Times New Roman"/>
                <w:sz w:val="28"/>
                <w:szCs w:val="28"/>
                <w:lang w:val="en-GB"/>
              </w:rPr>
            </m:ctrlPr>
          </m:sSubPr>
          <m:e>
            <m:nary>
              <m:naryPr>
                <m:chr m:val="∑"/>
                <m:limLoc m:val="undOvr"/>
                <m:ctrlPr>
                  <w:rPr>
                    <w:rFonts w:ascii="Cambria Math" w:hAnsi="Cambria Math" w:cs="Times New Roman"/>
                    <w:i/>
                    <w:sz w:val="28"/>
                    <w:szCs w:val="28"/>
                    <w:lang w:val="en-GB"/>
                  </w:rPr>
                </m:ctrlPr>
              </m:naryPr>
              <m:sub>
                <m:r>
                  <w:rPr>
                    <w:rFonts w:ascii="Cambria Math" w:hAnsi="Cambria Math" w:cs="Times New Roman"/>
                    <w:sz w:val="28"/>
                    <w:szCs w:val="28"/>
                    <w:lang w:val="en-GB"/>
                  </w:rPr>
                  <m:t>g</m:t>
                </m:r>
                <m:r>
                  <w:rPr>
                    <w:rFonts w:ascii="Cambria Math" w:hAnsi="Cambria Math" w:cs="Times New Roman"/>
                    <w:sz w:val="28"/>
                    <w:szCs w:val="28"/>
                    <w:lang w:val="de-AT"/>
                  </w:rPr>
                  <m:t>∈</m:t>
                </m:r>
                <m:r>
                  <w:rPr>
                    <w:rFonts w:ascii="Cambria Math" w:hAnsi="Cambria Math" w:cs="Times New Roman"/>
                    <w:sz w:val="28"/>
                    <w:szCs w:val="28"/>
                    <w:lang w:val="en-GB"/>
                  </w:rPr>
                  <m:t>G</m:t>
                </m:r>
                <m:r>
                  <w:rPr>
                    <w:rFonts w:ascii="Cambria Math" w:hAnsi="Cambria Math" w:cs="Times New Roman"/>
                    <w:sz w:val="28"/>
                    <w:szCs w:val="28"/>
                    <w:lang w:val="de-AT"/>
                  </w:rPr>
                  <m:t>;</m:t>
                </m:r>
                <m:r>
                  <w:rPr>
                    <w:rFonts w:ascii="Cambria Math" w:hAnsi="Cambria Math" w:cs="Times New Roman"/>
                    <w:sz w:val="28"/>
                    <w:szCs w:val="28"/>
                    <w:lang w:val="en-GB"/>
                  </w:rPr>
                  <m:t>p</m:t>
                </m:r>
                <m:r>
                  <w:rPr>
                    <w:rFonts w:ascii="Cambria Math" w:hAnsi="Cambria Math" w:cs="Times New Roman"/>
                    <w:sz w:val="28"/>
                    <w:szCs w:val="28"/>
                    <w:lang w:val="de-AT"/>
                  </w:rPr>
                  <m:t>∈</m:t>
                </m:r>
                <m:r>
                  <w:rPr>
                    <w:rFonts w:ascii="Cambria Math" w:hAnsi="Cambria Math" w:cs="Times New Roman"/>
                    <w:sz w:val="28"/>
                    <w:szCs w:val="28"/>
                    <w:lang w:val="en-GB"/>
                  </w:rPr>
                  <m:t>t</m:t>
                </m:r>
              </m:sub>
              <m:sup>
                <m:r>
                  <w:rPr>
                    <w:rFonts w:ascii="Cambria Math" w:hAnsi="Cambria Math" w:cs="Times New Roman"/>
                    <w:sz w:val="28"/>
                    <w:szCs w:val="28"/>
                    <w:lang w:val="en-GB"/>
                  </w:rPr>
                  <m:t>g</m:t>
                </m:r>
                <m:r>
                  <w:rPr>
                    <w:rFonts w:ascii="Cambria Math" w:hAnsi="Cambria Math" w:cs="Times New Roman"/>
                    <w:sz w:val="28"/>
                    <w:szCs w:val="28"/>
                    <w:lang w:val="de-AT"/>
                  </w:rPr>
                  <m:t>,</m:t>
                </m:r>
                <m:r>
                  <w:rPr>
                    <w:rFonts w:ascii="Cambria Math" w:hAnsi="Cambria Math" w:cs="Times New Roman"/>
                    <w:sz w:val="28"/>
                    <w:szCs w:val="28"/>
                    <w:lang w:val="en-GB"/>
                  </w:rPr>
                  <m:t>p</m:t>
                </m:r>
              </m:sup>
              <m:e>
                <m:r>
                  <w:rPr>
                    <w:rFonts w:ascii="Cambria Math" w:hAnsi="Cambria Math" w:cs="Times New Roman"/>
                    <w:sz w:val="28"/>
                    <w:szCs w:val="28"/>
                    <w:lang w:val="en-GB"/>
                  </w:rPr>
                  <m:t>w</m:t>
                </m:r>
                <m:d>
                  <m:dPr>
                    <m:ctrlPr>
                      <w:rPr>
                        <w:rFonts w:ascii="Cambria Math" w:hAnsi="Cambria Math" w:cs="Times New Roman"/>
                        <w:i/>
                        <w:sz w:val="28"/>
                        <w:szCs w:val="28"/>
                        <w:lang w:val="en-GB"/>
                      </w:rPr>
                    </m:ctrlPr>
                  </m:dPr>
                  <m:e>
                    <m:r>
                      <w:rPr>
                        <w:rFonts w:ascii="Cambria Math" w:hAnsi="Cambria Math" w:cs="Times New Roman"/>
                        <w:sz w:val="28"/>
                        <w:szCs w:val="28"/>
                        <w:lang w:val="en-GB"/>
                      </w:rPr>
                      <m:t>g</m:t>
                    </m:r>
                    <m:r>
                      <w:rPr>
                        <w:rFonts w:ascii="Cambria Math" w:hAnsi="Cambria Math" w:cs="Times New Roman"/>
                        <w:sz w:val="28"/>
                        <w:szCs w:val="28"/>
                        <w:lang w:val="de-AT"/>
                      </w:rPr>
                      <m:t>,</m:t>
                    </m:r>
                    <m:r>
                      <w:rPr>
                        <w:rFonts w:ascii="Cambria Math" w:hAnsi="Cambria Math" w:cs="Times New Roman"/>
                        <w:sz w:val="28"/>
                        <w:szCs w:val="28"/>
                        <w:lang w:val="en-GB"/>
                      </w:rPr>
                      <m:t>p</m:t>
                    </m:r>
                    <m:r>
                      <w:rPr>
                        <w:rFonts w:ascii="Cambria Math" w:hAnsi="Cambria Math" w:cs="Times New Roman"/>
                        <w:sz w:val="28"/>
                        <w:szCs w:val="28"/>
                        <w:lang w:val="de-AT"/>
                      </w:rPr>
                      <m:t xml:space="preserve">, </m:t>
                    </m:r>
                    <m:r>
                      <w:rPr>
                        <w:rFonts w:ascii="Cambria Math" w:hAnsi="Cambria Math" w:cs="Times New Roman"/>
                        <w:sz w:val="28"/>
                        <w:szCs w:val="28"/>
                        <w:lang w:val="en-GB"/>
                      </w:rPr>
                      <m:t>t</m:t>
                    </m:r>
                  </m:e>
                </m:d>
              </m:e>
            </m:nary>
          </m:e>
          <m:sub>
            <m:r>
              <w:rPr>
                <w:rFonts w:ascii="Cambria Math" w:hAnsi="Cambria Math" w:cs="Times New Roman"/>
                <w:sz w:val="28"/>
                <w:szCs w:val="28"/>
                <w:lang w:val="de-AT"/>
              </w:rPr>
              <m:t xml:space="preserve"> </m:t>
            </m:r>
          </m:sub>
        </m:sSub>
        <m:r>
          <m:rPr>
            <m:sty m:val="p"/>
          </m:rPr>
          <w:rPr>
            <w:rFonts w:ascii="Cambria Math" w:hAnsi="Cambria Math" w:cs="Times New Roman"/>
            <w:sz w:val="28"/>
            <w:szCs w:val="28"/>
            <w:lang w:val="de-AT"/>
          </w:rPr>
          <m:t>*ATT(g,p,t)</m:t>
        </m:r>
      </m:oMath>
      <w:r w:rsidRPr="00217022">
        <w:rPr>
          <w:rFonts w:ascii="Times New Roman" w:eastAsiaTheme="minorEastAsia" w:hAnsi="Times New Roman" w:cs="Times New Roman"/>
          <w:sz w:val="28"/>
          <w:szCs w:val="28"/>
          <w:lang w:val="de-AT"/>
        </w:rPr>
        <w:t>.</w:t>
      </w:r>
    </w:p>
    <w:p w14:paraId="21A549DB" w14:textId="77777777"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Iman i Kim (2020) zauważyli jednak, że w takim przypadku standardowa estymacja DiD za pomocą liniowej regresji TWFE ze stałymi efektami w przypadku wielu okresów może dawać niewłaściwe wyniki. Mamy również ograniczone możliwości zrozumienia wpływu poszczególnych podgrup na efekt interwencji oraz nie możemy jednoznacznie określić przyczynowości.  </w:t>
      </w:r>
    </w:p>
    <w:p w14:paraId="5D0F26BB" w14:textId="621D685D" w:rsidR="00217022" w:rsidRPr="00217022" w:rsidRDefault="00217022" w:rsidP="00217022">
      <w:pPr>
        <w:spacing w:line="264" w:lineRule="auto"/>
        <w:ind w:firstLine="709"/>
        <w:jc w:val="both"/>
        <w:rPr>
          <w:rFonts w:ascii="Times New Roman" w:hAnsi="Times New Roman" w:cs="Times New Roman"/>
          <w:spacing w:val="-4"/>
          <w:sz w:val="28"/>
          <w:szCs w:val="28"/>
        </w:rPr>
      </w:pPr>
      <w:r w:rsidRPr="00217022">
        <w:rPr>
          <w:rFonts w:ascii="Times New Roman" w:hAnsi="Times New Roman" w:cs="Times New Roman"/>
          <w:spacing w:val="-4"/>
          <w:sz w:val="28"/>
          <w:szCs w:val="28"/>
        </w:rPr>
        <w:t>Nieco inne podejście proponuje Goodman-Bacon. Według jego równania szacowanie ATT następuję poprzez procedurę uwzgl</w:t>
      </w:r>
      <w:r w:rsidR="00B330F8">
        <w:rPr>
          <w:rFonts w:ascii="Times New Roman" w:hAnsi="Times New Roman" w:cs="Times New Roman"/>
          <w:spacing w:val="-4"/>
          <w:sz w:val="28"/>
          <w:szCs w:val="28"/>
        </w:rPr>
        <w:t>ę</w:t>
      </w:r>
      <w:r w:rsidRPr="00217022">
        <w:rPr>
          <w:rFonts w:ascii="Times New Roman" w:hAnsi="Times New Roman" w:cs="Times New Roman"/>
          <w:spacing w:val="-4"/>
          <w:sz w:val="28"/>
          <w:szCs w:val="28"/>
        </w:rPr>
        <w:t xml:space="preserve">dniającą korektę o stałe efekty w czasie, a tym samym na wykorzystaniu na pewnym etapie jako grupy kontrolnej podgrupy, która wcześniej została już poddana interwencji (Goodman-Bacon, 2021). W przypadku przedstawionym za pomocą metody TWFE estymowane są cztery równania, które można zapisać w wersji analitycznej jako:   </w:t>
      </w:r>
    </w:p>
    <w:p w14:paraId="294DBB69" w14:textId="77777777" w:rsidR="00217022" w:rsidRPr="00217022" w:rsidRDefault="00000000" w:rsidP="00217022">
      <w:pPr>
        <w:numPr>
          <w:ilvl w:val="0"/>
          <w:numId w:val="64"/>
        </w:numPr>
        <w:tabs>
          <w:tab w:val="left" w:pos="1134"/>
        </w:tabs>
        <w:ind w:left="284" w:firstLine="0"/>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β</m:t>
            </m:r>
          </m:e>
          <m:sub>
            <m:r>
              <w:rPr>
                <w:rFonts w:ascii="Cambria Math" w:hAnsi="Cambria Math" w:cs="Times New Roman"/>
                <w:sz w:val="28"/>
                <w:szCs w:val="28"/>
              </w:rPr>
              <m:t>kU</m:t>
            </m:r>
          </m:sub>
          <m:sup>
            <m:r>
              <w:rPr>
                <w:rFonts w:ascii="Cambria Math" w:hAnsi="Cambria Math" w:cs="Times New Roman"/>
                <w:sz w:val="28"/>
                <w:szCs w:val="28"/>
              </w:rPr>
              <m:t>2*2</m:t>
            </m:r>
          </m:sup>
        </m:sSubSup>
      </m:oMath>
      <w:r w:rsidR="00217022" w:rsidRPr="00217022">
        <w:rPr>
          <w:rFonts w:ascii="Times New Roman" w:hAnsi="Times New Roman" w:cs="Times New Roman"/>
          <w:sz w:val="28"/>
          <w:szCs w:val="28"/>
        </w:rPr>
        <w:t>= (</w:t>
      </w:r>
      <m:oMath>
        <m:r>
          <m:rPr>
            <m:sty m:val="p"/>
          </m:rPr>
          <w:rPr>
            <w:rFonts w:ascii="Cambria Math" w:hAnsi="Cambria Math" w:cs="Times New Roman"/>
            <w:sz w:val="28"/>
            <w:szCs w:val="28"/>
          </w:rPr>
          <m:t xml:space="preserve">E[Y </m:t>
        </m:r>
      </m:oMath>
      <w:r w:rsidR="00217022" w:rsidRPr="00217022">
        <w:rPr>
          <w:rFonts w:ascii="Times New Roman" w:hAnsi="Times New Roman" w:cs="Times New Roman"/>
          <w:sz w:val="28"/>
          <w:szCs w:val="28"/>
          <w:vertAlign w:val="superscript"/>
        </w:rPr>
        <w:t>k</w:t>
      </w:r>
      <w:r w:rsidR="00217022" w:rsidRPr="00217022">
        <w:rPr>
          <w:rFonts w:ascii="Times New Roman" w:hAnsi="Times New Roman" w:cs="Times New Roman"/>
          <w:sz w:val="28"/>
          <w:szCs w:val="28"/>
          <w:vertAlign w:val="subscript"/>
        </w:rPr>
        <w:t>t&gt;k</w:t>
      </w:r>
      <w:r w:rsidR="00217022" w:rsidRPr="00217022">
        <w:rPr>
          <w:rFonts w:ascii="Times New Roman" w:hAnsi="Times New Roman" w:cs="Times New Roman"/>
          <w:sz w:val="28"/>
          <w:szCs w:val="28"/>
        </w:rPr>
        <w:t xml:space="preserve">, </w:t>
      </w:r>
      <w:r w:rsidR="00217022" w:rsidRPr="00217022">
        <w:rPr>
          <w:rFonts w:ascii="Times New Roman" w:hAnsi="Times New Roman" w:cs="Times New Roman"/>
          <w:sz w:val="28"/>
          <w:szCs w:val="28"/>
          <w:vertAlign w:val="subscript"/>
        </w:rPr>
        <w:t>k=1</w:t>
      </w:r>
      <m:oMath>
        <m:r>
          <m:rPr>
            <m:sty m:val="p"/>
          </m:rPr>
          <w:rPr>
            <w:rFonts w:ascii="Cambria Math" w:hAnsi="Cambria Math" w:cs="Times New Roman"/>
            <w:sz w:val="28"/>
            <w:szCs w:val="28"/>
          </w:rPr>
          <m:t>]</m:t>
        </m:r>
      </m:oMath>
      <w:r w:rsidR="00217022" w:rsidRPr="00217022">
        <w:rPr>
          <w:rFonts w:ascii="Times New Roman" w:hAnsi="Times New Roman" w:cs="Times New Roman"/>
          <w:sz w:val="28"/>
          <w:szCs w:val="28"/>
        </w:rPr>
        <w:t xml:space="preserve"> - </w:t>
      </w:r>
      <m:oMath>
        <m:r>
          <m:rPr>
            <m:sty m:val="p"/>
          </m:rPr>
          <w:rPr>
            <w:rFonts w:ascii="Cambria Math" w:hAnsi="Cambria Math" w:cs="Times New Roman"/>
            <w:sz w:val="28"/>
            <w:szCs w:val="28"/>
          </w:rPr>
          <m:t xml:space="preserve">E[Y </m:t>
        </m:r>
      </m:oMath>
      <w:r w:rsidR="00217022" w:rsidRPr="00217022">
        <w:rPr>
          <w:rFonts w:ascii="Times New Roman" w:hAnsi="Times New Roman" w:cs="Times New Roman"/>
          <w:sz w:val="28"/>
          <w:szCs w:val="28"/>
          <w:vertAlign w:val="superscript"/>
        </w:rPr>
        <w:t>k</w:t>
      </w:r>
      <w:r w:rsidR="00217022" w:rsidRPr="00217022">
        <w:rPr>
          <w:rFonts w:ascii="Times New Roman" w:hAnsi="Times New Roman" w:cs="Times New Roman"/>
          <w:sz w:val="28"/>
          <w:szCs w:val="28"/>
          <w:vertAlign w:val="subscript"/>
        </w:rPr>
        <w:t>t&lt;k</w:t>
      </w:r>
      <w:r w:rsidR="00217022" w:rsidRPr="00217022">
        <w:rPr>
          <w:rFonts w:ascii="Times New Roman" w:hAnsi="Times New Roman" w:cs="Times New Roman"/>
          <w:sz w:val="28"/>
          <w:szCs w:val="28"/>
        </w:rPr>
        <w:t xml:space="preserve">, </w:t>
      </w:r>
      <w:r w:rsidR="00217022" w:rsidRPr="00217022">
        <w:rPr>
          <w:rFonts w:ascii="Times New Roman" w:hAnsi="Times New Roman" w:cs="Times New Roman"/>
          <w:sz w:val="28"/>
          <w:szCs w:val="28"/>
          <w:vertAlign w:val="subscript"/>
        </w:rPr>
        <w:t>k=1</w:t>
      </w:r>
      <m:oMath>
        <m:r>
          <m:rPr>
            <m:sty m:val="p"/>
          </m:rPr>
          <w:rPr>
            <w:rFonts w:ascii="Cambria Math" w:hAnsi="Cambria Math" w:cs="Times New Roman"/>
            <w:sz w:val="28"/>
            <w:szCs w:val="28"/>
          </w:rPr>
          <m:t>]</m:t>
        </m:r>
      </m:oMath>
      <w:r w:rsidR="00217022" w:rsidRPr="00217022">
        <w:rPr>
          <w:rFonts w:ascii="Times New Roman" w:hAnsi="Times New Roman" w:cs="Times New Roman"/>
          <w:sz w:val="28"/>
          <w:szCs w:val="28"/>
        </w:rPr>
        <w:t>) - (</w:t>
      </w:r>
      <m:oMath>
        <m:r>
          <m:rPr>
            <m:sty m:val="p"/>
          </m:rPr>
          <w:rPr>
            <w:rFonts w:ascii="Cambria Math" w:hAnsi="Cambria Math" w:cs="Times New Roman"/>
            <w:sz w:val="28"/>
            <w:szCs w:val="28"/>
          </w:rPr>
          <m:t xml:space="preserve">E[Y </m:t>
        </m:r>
      </m:oMath>
      <w:r w:rsidR="00217022" w:rsidRPr="00217022">
        <w:rPr>
          <w:rFonts w:ascii="Times New Roman" w:hAnsi="Times New Roman" w:cs="Times New Roman"/>
          <w:sz w:val="28"/>
          <w:szCs w:val="28"/>
          <w:vertAlign w:val="superscript"/>
        </w:rPr>
        <w:t>U</w:t>
      </w:r>
      <w:r w:rsidR="00217022" w:rsidRPr="00217022">
        <w:rPr>
          <w:rFonts w:ascii="Times New Roman" w:hAnsi="Times New Roman" w:cs="Times New Roman"/>
          <w:sz w:val="28"/>
          <w:szCs w:val="28"/>
          <w:vertAlign w:val="subscript"/>
        </w:rPr>
        <w:t>t&gt;k</w:t>
      </w:r>
      <w:r w:rsidR="00217022" w:rsidRPr="00217022">
        <w:rPr>
          <w:rFonts w:ascii="Times New Roman" w:hAnsi="Times New Roman" w:cs="Times New Roman"/>
          <w:sz w:val="28"/>
          <w:szCs w:val="28"/>
        </w:rPr>
        <w:t>,</w:t>
      </w:r>
      <w:r w:rsidR="00217022" w:rsidRPr="00217022">
        <w:rPr>
          <w:rFonts w:ascii="Times New Roman" w:hAnsi="Times New Roman" w:cs="Times New Roman"/>
          <w:sz w:val="28"/>
          <w:szCs w:val="28"/>
          <w:vertAlign w:val="subscript"/>
        </w:rPr>
        <w:t>,</w:t>
      </w:r>
      <w:r w:rsidR="00217022" w:rsidRPr="00217022">
        <w:rPr>
          <w:rFonts w:ascii="Times New Roman" w:hAnsi="Times New Roman" w:cs="Times New Roman"/>
          <w:sz w:val="28"/>
          <w:szCs w:val="28"/>
        </w:rPr>
        <w:t xml:space="preserve"> </w:t>
      </w:r>
      <w:r w:rsidR="00217022" w:rsidRPr="00217022">
        <w:rPr>
          <w:rFonts w:ascii="Times New Roman" w:hAnsi="Times New Roman" w:cs="Times New Roman"/>
          <w:sz w:val="28"/>
          <w:szCs w:val="28"/>
          <w:vertAlign w:val="subscript"/>
        </w:rPr>
        <w:t>D=0</w:t>
      </w:r>
      <m:oMath>
        <m:r>
          <m:rPr>
            <m:sty m:val="p"/>
          </m:rPr>
          <w:rPr>
            <w:rFonts w:ascii="Cambria Math" w:hAnsi="Cambria Math" w:cs="Times New Roman"/>
            <w:sz w:val="28"/>
            <w:szCs w:val="28"/>
          </w:rPr>
          <m:t>]</m:t>
        </m:r>
      </m:oMath>
      <w:r w:rsidR="00217022" w:rsidRPr="00217022">
        <w:rPr>
          <w:rFonts w:ascii="Times New Roman" w:hAnsi="Times New Roman" w:cs="Times New Roman"/>
          <w:sz w:val="28"/>
          <w:szCs w:val="28"/>
        </w:rPr>
        <w:t xml:space="preserve"> - </w:t>
      </w:r>
      <m:oMath>
        <m:r>
          <m:rPr>
            <m:sty m:val="p"/>
          </m:rPr>
          <w:rPr>
            <w:rFonts w:ascii="Cambria Math" w:hAnsi="Cambria Math" w:cs="Times New Roman"/>
            <w:sz w:val="28"/>
            <w:szCs w:val="28"/>
          </w:rPr>
          <m:t xml:space="preserve">E[Y </m:t>
        </m:r>
      </m:oMath>
      <w:r w:rsidR="00217022" w:rsidRPr="00217022">
        <w:rPr>
          <w:rFonts w:ascii="Times New Roman" w:hAnsi="Times New Roman" w:cs="Times New Roman"/>
          <w:sz w:val="28"/>
          <w:szCs w:val="28"/>
          <w:vertAlign w:val="superscript"/>
        </w:rPr>
        <w:t>U</w:t>
      </w:r>
      <w:r w:rsidR="00217022" w:rsidRPr="00217022">
        <w:rPr>
          <w:rFonts w:ascii="Times New Roman" w:hAnsi="Times New Roman" w:cs="Times New Roman"/>
          <w:sz w:val="28"/>
          <w:szCs w:val="28"/>
          <w:vertAlign w:val="subscript"/>
        </w:rPr>
        <w:t>t&lt;k</w:t>
      </w:r>
      <w:r w:rsidR="00217022" w:rsidRPr="00217022">
        <w:rPr>
          <w:rFonts w:ascii="Times New Roman" w:hAnsi="Times New Roman" w:cs="Times New Roman"/>
          <w:sz w:val="28"/>
          <w:szCs w:val="28"/>
        </w:rPr>
        <w:t xml:space="preserve">,, </w:t>
      </w:r>
      <w:r w:rsidR="00217022" w:rsidRPr="00217022">
        <w:rPr>
          <w:rFonts w:ascii="Times New Roman" w:hAnsi="Times New Roman" w:cs="Times New Roman"/>
          <w:sz w:val="28"/>
          <w:szCs w:val="28"/>
          <w:vertAlign w:val="subscript"/>
        </w:rPr>
        <w:t>D=0</w:t>
      </w:r>
      <m:oMath>
        <m:r>
          <m:rPr>
            <m:sty m:val="p"/>
          </m:rPr>
          <w:rPr>
            <w:rFonts w:ascii="Cambria Math" w:hAnsi="Cambria Math" w:cs="Times New Roman"/>
            <w:sz w:val="28"/>
            <w:szCs w:val="28"/>
          </w:rPr>
          <m:t>]</m:t>
        </m:r>
      </m:oMath>
      <w:r w:rsidR="00217022" w:rsidRPr="00217022">
        <w:rPr>
          <w:rFonts w:ascii="Times New Roman" w:hAnsi="Times New Roman" w:cs="Times New Roman"/>
          <w:sz w:val="28"/>
          <w:szCs w:val="28"/>
        </w:rPr>
        <w:t>),</w:t>
      </w:r>
    </w:p>
    <w:p w14:paraId="261B7F11" w14:textId="77777777" w:rsidR="00217022" w:rsidRPr="00217022" w:rsidRDefault="00217022" w:rsidP="00217022">
      <w:pPr>
        <w:jc w:val="both"/>
        <w:rPr>
          <w:rFonts w:ascii="Times New Roman" w:hAnsi="Times New Roman" w:cs="Times New Roman"/>
          <w:sz w:val="28"/>
          <w:szCs w:val="28"/>
        </w:rPr>
      </w:pPr>
      <w:r w:rsidRPr="00217022">
        <w:rPr>
          <w:rFonts w:ascii="Times New Roman" w:hAnsi="Times New Roman" w:cs="Times New Roman"/>
          <w:sz w:val="28"/>
          <w:szCs w:val="28"/>
        </w:rPr>
        <w:t xml:space="preserve">gdzie w sposób klasyczny są obliczane efekty interwencji dla podgrupy k od momentu uruchomienia dla niej interwencji (momentu k), a grupą odniesienia są obserwacje niepoddane interwencji (D=0) w całym badanym okresie t. </w:t>
      </w:r>
    </w:p>
    <w:p w14:paraId="07E67370" w14:textId="77777777" w:rsidR="00217022" w:rsidRPr="00217022" w:rsidRDefault="00000000" w:rsidP="00217022">
      <w:pPr>
        <w:numPr>
          <w:ilvl w:val="0"/>
          <w:numId w:val="64"/>
        </w:numPr>
        <w:tabs>
          <w:tab w:val="left" w:pos="1134"/>
        </w:tabs>
        <w:ind w:left="284" w:firstLine="0"/>
        <w:contextualSpacing/>
        <w:rPr>
          <w:rFonts w:ascii="Times New Roman" w:hAnsi="Times New Roman" w:cs="Times New Roman"/>
          <w:sz w:val="28"/>
          <w:szCs w:val="28"/>
          <w:lang w:val="de-AT"/>
        </w:rPr>
      </w:pPr>
      <m:oMath>
        <m:sSubSup>
          <m:sSubSupPr>
            <m:ctrlPr>
              <w:rPr>
                <w:rFonts w:ascii="Cambria Math" w:hAnsi="Cambria Math" w:cs="Times New Roman"/>
                <w:i/>
                <w:sz w:val="28"/>
                <w:szCs w:val="28"/>
              </w:rPr>
            </m:ctrlPr>
          </m:sSubSupPr>
          <m:e>
            <m:r>
              <w:rPr>
                <w:rFonts w:ascii="Cambria Math" w:hAnsi="Cambria Math" w:cs="Times New Roman"/>
                <w:sz w:val="28"/>
                <w:szCs w:val="28"/>
              </w:rPr>
              <m:t>β</m:t>
            </m:r>
          </m:e>
          <m:sub>
            <m:r>
              <w:rPr>
                <w:rFonts w:ascii="Cambria Math" w:hAnsi="Cambria Math" w:cs="Times New Roman"/>
                <w:sz w:val="28"/>
                <w:szCs w:val="28"/>
              </w:rPr>
              <m:t>lU</m:t>
            </m:r>
          </m:sub>
          <m:sup>
            <m:r>
              <w:rPr>
                <w:rFonts w:ascii="Cambria Math" w:hAnsi="Cambria Math" w:cs="Times New Roman"/>
                <w:sz w:val="28"/>
                <w:szCs w:val="28"/>
                <w:lang w:val="de-AT"/>
              </w:rPr>
              <m:t>2*2</m:t>
            </m:r>
          </m:sup>
        </m:sSubSup>
      </m:oMath>
      <w:r w:rsidR="00217022" w:rsidRPr="00217022">
        <w:rPr>
          <w:rFonts w:ascii="Times New Roman" w:hAnsi="Times New Roman" w:cs="Times New Roman"/>
          <w:sz w:val="28"/>
          <w:szCs w:val="28"/>
          <w:lang w:val="de-AT"/>
        </w:rPr>
        <w:t>= (</w:t>
      </w:r>
      <m:oMath>
        <m:r>
          <m:rPr>
            <m:sty m:val="p"/>
          </m:rPr>
          <w:rPr>
            <w:rFonts w:ascii="Cambria Math" w:hAnsi="Cambria Math" w:cs="Times New Roman"/>
            <w:sz w:val="28"/>
            <w:szCs w:val="28"/>
            <w:lang w:val="de-AT"/>
          </w:rPr>
          <m:t xml:space="preserve">E[Y </m:t>
        </m:r>
      </m:oMath>
      <w:r w:rsidR="00217022" w:rsidRPr="00217022">
        <w:rPr>
          <w:rFonts w:ascii="Times New Roman" w:hAnsi="Times New Roman" w:cs="Times New Roman"/>
          <w:sz w:val="28"/>
          <w:szCs w:val="28"/>
          <w:vertAlign w:val="superscript"/>
          <w:lang w:val="de-AT"/>
        </w:rPr>
        <w:t>l</w:t>
      </w:r>
      <w:r w:rsidR="00217022" w:rsidRPr="00217022">
        <w:rPr>
          <w:rFonts w:ascii="Times New Roman" w:hAnsi="Times New Roman" w:cs="Times New Roman"/>
          <w:sz w:val="28"/>
          <w:szCs w:val="28"/>
          <w:vertAlign w:val="subscript"/>
          <w:lang w:val="de-AT"/>
        </w:rPr>
        <w:t>t&gt;l</w:t>
      </w:r>
      <w:r w:rsidR="00217022" w:rsidRPr="00217022">
        <w:rPr>
          <w:rFonts w:ascii="Times New Roman" w:hAnsi="Times New Roman" w:cs="Times New Roman"/>
          <w:sz w:val="28"/>
          <w:szCs w:val="28"/>
          <w:lang w:val="de-AT"/>
        </w:rPr>
        <w:t xml:space="preserve">, </w:t>
      </w:r>
      <w:r w:rsidR="00217022" w:rsidRPr="00217022">
        <w:rPr>
          <w:rFonts w:ascii="Times New Roman" w:hAnsi="Times New Roman" w:cs="Times New Roman"/>
          <w:sz w:val="28"/>
          <w:szCs w:val="28"/>
          <w:vertAlign w:val="subscript"/>
          <w:lang w:val="de-AT"/>
        </w:rPr>
        <w:t>l=1</w:t>
      </w:r>
      <m:oMath>
        <m:r>
          <m:rPr>
            <m:sty m:val="p"/>
          </m:rPr>
          <w:rPr>
            <w:rFonts w:ascii="Cambria Math" w:hAnsi="Cambria Math" w:cs="Times New Roman"/>
            <w:sz w:val="28"/>
            <w:szCs w:val="28"/>
            <w:lang w:val="de-AT"/>
          </w:rPr>
          <m:t>]</m:t>
        </m:r>
      </m:oMath>
      <w:r w:rsidR="00217022"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00217022" w:rsidRPr="00217022">
        <w:rPr>
          <w:rFonts w:ascii="Times New Roman" w:hAnsi="Times New Roman" w:cs="Times New Roman"/>
          <w:sz w:val="28"/>
          <w:szCs w:val="28"/>
          <w:vertAlign w:val="superscript"/>
          <w:lang w:val="de-AT"/>
        </w:rPr>
        <w:t>l</w:t>
      </w:r>
      <w:r w:rsidR="00217022" w:rsidRPr="00217022">
        <w:rPr>
          <w:rFonts w:ascii="Times New Roman" w:hAnsi="Times New Roman" w:cs="Times New Roman"/>
          <w:sz w:val="28"/>
          <w:szCs w:val="28"/>
          <w:vertAlign w:val="subscript"/>
          <w:lang w:val="de-AT"/>
        </w:rPr>
        <w:t>t&lt;l</w:t>
      </w:r>
      <w:r w:rsidR="00217022" w:rsidRPr="00217022">
        <w:rPr>
          <w:rFonts w:ascii="Times New Roman" w:hAnsi="Times New Roman" w:cs="Times New Roman"/>
          <w:sz w:val="28"/>
          <w:szCs w:val="28"/>
          <w:lang w:val="de-AT"/>
        </w:rPr>
        <w:t xml:space="preserve">, </w:t>
      </w:r>
      <w:r w:rsidR="00217022" w:rsidRPr="00217022">
        <w:rPr>
          <w:rFonts w:ascii="Times New Roman" w:hAnsi="Times New Roman" w:cs="Times New Roman"/>
          <w:sz w:val="28"/>
          <w:szCs w:val="28"/>
          <w:vertAlign w:val="subscript"/>
          <w:lang w:val="de-AT"/>
        </w:rPr>
        <w:t>l=1</w:t>
      </w:r>
      <m:oMath>
        <m:r>
          <m:rPr>
            <m:sty m:val="p"/>
          </m:rPr>
          <w:rPr>
            <w:rFonts w:ascii="Cambria Math" w:hAnsi="Cambria Math" w:cs="Times New Roman"/>
            <w:sz w:val="28"/>
            <w:szCs w:val="28"/>
            <w:lang w:val="de-AT"/>
          </w:rPr>
          <m:t>]</m:t>
        </m:r>
      </m:oMath>
      <w:r w:rsidR="00217022" w:rsidRPr="00217022">
        <w:rPr>
          <w:rFonts w:ascii="Times New Roman" w:hAnsi="Times New Roman" w:cs="Times New Roman"/>
          <w:sz w:val="28"/>
          <w:szCs w:val="28"/>
          <w:lang w:val="de-AT"/>
        </w:rPr>
        <w:t>) - (</w:t>
      </w:r>
      <m:oMath>
        <m:r>
          <m:rPr>
            <m:sty m:val="p"/>
          </m:rPr>
          <w:rPr>
            <w:rFonts w:ascii="Cambria Math" w:hAnsi="Cambria Math" w:cs="Times New Roman"/>
            <w:sz w:val="28"/>
            <w:szCs w:val="28"/>
            <w:lang w:val="de-AT"/>
          </w:rPr>
          <m:t xml:space="preserve">E[Y </m:t>
        </m:r>
      </m:oMath>
      <w:r w:rsidR="00217022" w:rsidRPr="00217022">
        <w:rPr>
          <w:rFonts w:ascii="Times New Roman" w:hAnsi="Times New Roman" w:cs="Times New Roman"/>
          <w:sz w:val="28"/>
          <w:szCs w:val="28"/>
          <w:vertAlign w:val="superscript"/>
          <w:lang w:val="de-AT"/>
        </w:rPr>
        <w:t>U</w:t>
      </w:r>
      <w:r w:rsidR="00217022" w:rsidRPr="00217022">
        <w:rPr>
          <w:rFonts w:ascii="Times New Roman" w:hAnsi="Times New Roman" w:cs="Times New Roman"/>
          <w:sz w:val="28"/>
          <w:szCs w:val="28"/>
          <w:vertAlign w:val="subscript"/>
          <w:lang w:val="de-AT"/>
        </w:rPr>
        <w:t>t&gt;l</w:t>
      </w:r>
      <w:r w:rsidR="00217022" w:rsidRPr="00217022">
        <w:rPr>
          <w:rFonts w:ascii="Times New Roman" w:hAnsi="Times New Roman" w:cs="Times New Roman"/>
          <w:sz w:val="28"/>
          <w:szCs w:val="28"/>
          <w:lang w:val="de-AT"/>
        </w:rPr>
        <w:t>,</w:t>
      </w:r>
      <w:r w:rsidR="00217022" w:rsidRPr="00217022">
        <w:rPr>
          <w:rFonts w:ascii="Times New Roman" w:hAnsi="Times New Roman" w:cs="Times New Roman"/>
          <w:sz w:val="28"/>
          <w:szCs w:val="28"/>
          <w:vertAlign w:val="subscript"/>
          <w:lang w:val="de-AT"/>
        </w:rPr>
        <w:t>,</w:t>
      </w:r>
      <w:r w:rsidR="00217022" w:rsidRPr="00217022">
        <w:rPr>
          <w:rFonts w:ascii="Times New Roman" w:hAnsi="Times New Roman" w:cs="Times New Roman"/>
          <w:sz w:val="28"/>
          <w:szCs w:val="28"/>
          <w:lang w:val="de-AT"/>
        </w:rPr>
        <w:t xml:space="preserve"> </w:t>
      </w:r>
      <w:r w:rsidR="00217022" w:rsidRPr="00217022">
        <w:rPr>
          <w:rFonts w:ascii="Times New Roman" w:hAnsi="Times New Roman" w:cs="Times New Roman"/>
          <w:sz w:val="28"/>
          <w:szCs w:val="28"/>
          <w:vertAlign w:val="subscript"/>
          <w:lang w:val="de-AT"/>
        </w:rPr>
        <w:t>D=0</w:t>
      </w:r>
      <m:oMath>
        <m:r>
          <m:rPr>
            <m:sty m:val="p"/>
          </m:rPr>
          <w:rPr>
            <w:rFonts w:ascii="Cambria Math" w:hAnsi="Cambria Math" w:cs="Times New Roman"/>
            <w:sz w:val="28"/>
            <w:szCs w:val="28"/>
            <w:lang w:val="de-AT"/>
          </w:rPr>
          <m:t>]</m:t>
        </m:r>
      </m:oMath>
      <w:r w:rsidR="00217022"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00217022" w:rsidRPr="00217022">
        <w:rPr>
          <w:rFonts w:ascii="Times New Roman" w:hAnsi="Times New Roman" w:cs="Times New Roman"/>
          <w:sz w:val="28"/>
          <w:szCs w:val="28"/>
          <w:vertAlign w:val="superscript"/>
          <w:lang w:val="de-AT"/>
        </w:rPr>
        <w:t>U</w:t>
      </w:r>
      <w:r w:rsidR="00217022" w:rsidRPr="00217022">
        <w:rPr>
          <w:rFonts w:ascii="Times New Roman" w:hAnsi="Times New Roman" w:cs="Times New Roman"/>
          <w:sz w:val="28"/>
          <w:szCs w:val="28"/>
          <w:vertAlign w:val="subscript"/>
          <w:lang w:val="de-AT"/>
        </w:rPr>
        <w:t>t&lt;l</w:t>
      </w:r>
      <w:r w:rsidR="00217022" w:rsidRPr="00217022">
        <w:rPr>
          <w:rFonts w:ascii="Times New Roman" w:hAnsi="Times New Roman" w:cs="Times New Roman"/>
          <w:sz w:val="28"/>
          <w:szCs w:val="28"/>
          <w:lang w:val="de-AT"/>
        </w:rPr>
        <w:t xml:space="preserve">,, </w:t>
      </w:r>
      <w:r w:rsidR="00217022" w:rsidRPr="00217022">
        <w:rPr>
          <w:rFonts w:ascii="Times New Roman" w:hAnsi="Times New Roman" w:cs="Times New Roman"/>
          <w:sz w:val="28"/>
          <w:szCs w:val="28"/>
          <w:vertAlign w:val="subscript"/>
          <w:lang w:val="de-AT"/>
        </w:rPr>
        <w:t>D=0</w:t>
      </w:r>
      <m:oMath>
        <m:r>
          <m:rPr>
            <m:sty m:val="p"/>
          </m:rPr>
          <w:rPr>
            <w:rFonts w:ascii="Cambria Math" w:hAnsi="Cambria Math" w:cs="Times New Roman"/>
            <w:sz w:val="28"/>
            <w:szCs w:val="28"/>
            <w:lang w:val="de-AT"/>
          </w:rPr>
          <m:t>]</m:t>
        </m:r>
      </m:oMath>
      <w:r w:rsidR="00217022" w:rsidRPr="00217022">
        <w:rPr>
          <w:rFonts w:ascii="Times New Roman" w:hAnsi="Times New Roman" w:cs="Times New Roman"/>
          <w:sz w:val="28"/>
          <w:szCs w:val="28"/>
          <w:lang w:val="de-AT"/>
        </w:rPr>
        <w:t>),</w:t>
      </w:r>
    </w:p>
    <w:p w14:paraId="2EE7555F" w14:textId="77777777" w:rsidR="00217022" w:rsidRPr="00217022" w:rsidRDefault="00217022" w:rsidP="00217022">
      <w:pPr>
        <w:spacing w:line="264" w:lineRule="auto"/>
        <w:jc w:val="both"/>
        <w:rPr>
          <w:rFonts w:ascii="Times New Roman" w:hAnsi="Times New Roman" w:cs="Times New Roman"/>
          <w:sz w:val="28"/>
          <w:szCs w:val="28"/>
        </w:rPr>
      </w:pPr>
      <w:r w:rsidRPr="00217022">
        <w:rPr>
          <w:rFonts w:ascii="Times New Roman" w:hAnsi="Times New Roman" w:cs="Times New Roman"/>
          <w:sz w:val="28"/>
          <w:szCs w:val="28"/>
        </w:rPr>
        <w:t xml:space="preserve">gdzie w sposób klasyczny są obliczane efekty interwencji dla podgrupy </w:t>
      </w:r>
      <w:r w:rsidRPr="00217022">
        <w:rPr>
          <w:rFonts w:ascii="Times New Roman" w:hAnsi="Times New Roman" w:cs="Times New Roman"/>
          <w:i/>
          <w:iCs/>
          <w:sz w:val="28"/>
          <w:szCs w:val="28"/>
        </w:rPr>
        <w:t>l</w:t>
      </w:r>
      <w:r w:rsidRPr="00217022">
        <w:rPr>
          <w:rFonts w:ascii="Times New Roman" w:hAnsi="Times New Roman" w:cs="Times New Roman"/>
          <w:sz w:val="28"/>
          <w:szCs w:val="28"/>
        </w:rPr>
        <w:t xml:space="preserve"> od momentu uruchomienia dla niej interwencji (punktu czasowego </w:t>
      </w:r>
      <w:r w:rsidRPr="00217022">
        <w:rPr>
          <w:rFonts w:ascii="Times New Roman" w:hAnsi="Times New Roman" w:cs="Times New Roman"/>
          <w:i/>
          <w:iCs/>
          <w:sz w:val="28"/>
          <w:szCs w:val="28"/>
        </w:rPr>
        <w:t>l</w:t>
      </w:r>
      <w:r w:rsidRPr="00217022">
        <w:rPr>
          <w:rFonts w:ascii="Times New Roman" w:hAnsi="Times New Roman" w:cs="Times New Roman"/>
          <w:sz w:val="28"/>
          <w:szCs w:val="28"/>
        </w:rPr>
        <w:t xml:space="preserve">), a grupą odniesienia są obserwacje niepoddane interwencji (D=0) w całym badanym okresie t. </w:t>
      </w:r>
    </w:p>
    <w:p w14:paraId="7BC2F480" w14:textId="77777777" w:rsidR="00217022" w:rsidRPr="00217022" w:rsidRDefault="00000000" w:rsidP="00217022">
      <w:pPr>
        <w:numPr>
          <w:ilvl w:val="0"/>
          <w:numId w:val="64"/>
        </w:numPr>
        <w:tabs>
          <w:tab w:val="left" w:pos="1134"/>
        </w:tabs>
        <w:ind w:left="284" w:firstLine="0"/>
        <w:contextualSpacing/>
        <w:jc w:val="both"/>
        <w:rPr>
          <w:rFonts w:ascii="Times New Roman" w:hAnsi="Times New Roman" w:cs="Times New Roman"/>
          <w:sz w:val="28"/>
          <w:szCs w:val="28"/>
          <w:lang w:val="de-AT"/>
        </w:rPr>
      </w:pPr>
      <m:oMath>
        <m:sSubSup>
          <m:sSubSupPr>
            <m:ctrlPr>
              <w:rPr>
                <w:rFonts w:ascii="Cambria Math" w:hAnsi="Cambria Math" w:cs="Times New Roman"/>
                <w:i/>
                <w:sz w:val="28"/>
                <w:szCs w:val="28"/>
              </w:rPr>
            </m:ctrlPr>
          </m:sSubSupPr>
          <m:e>
            <m:r>
              <w:rPr>
                <w:rFonts w:ascii="Cambria Math" w:hAnsi="Cambria Math" w:cs="Times New Roman"/>
                <w:sz w:val="28"/>
                <w:szCs w:val="28"/>
              </w:rPr>
              <m:t>β</m:t>
            </m:r>
          </m:e>
          <m:sub>
            <m:r>
              <w:rPr>
                <w:rFonts w:ascii="Cambria Math" w:hAnsi="Cambria Math" w:cs="Times New Roman"/>
                <w:sz w:val="28"/>
                <w:szCs w:val="28"/>
              </w:rPr>
              <m:t>kl</m:t>
            </m:r>
          </m:sub>
          <m:sup>
            <m:r>
              <w:rPr>
                <w:rFonts w:ascii="Cambria Math" w:hAnsi="Cambria Math" w:cs="Times New Roman"/>
                <w:sz w:val="28"/>
                <w:szCs w:val="28"/>
                <w:lang w:val="de-AT"/>
              </w:rPr>
              <m:t>2*2,</m:t>
            </m:r>
            <m:r>
              <w:rPr>
                <w:rFonts w:ascii="Cambria Math" w:hAnsi="Cambria Math" w:cs="Times New Roman"/>
                <w:sz w:val="28"/>
                <w:szCs w:val="28"/>
              </w:rPr>
              <m:t>k</m:t>
            </m:r>
          </m:sup>
        </m:sSubSup>
      </m:oMath>
      <w:r w:rsidR="00217022" w:rsidRPr="00217022">
        <w:rPr>
          <w:rFonts w:ascii="Times New Roman" w:hAnsi="Times New Roman" w:cs="Times New Roman"/>
          <w:sz w:val="28"/>
          <w:szCs w:val="28"/>
          <w:lang w:val="de-AT"/>
        </w:rPr>
        <w:t>= (</w:t>
      </w:r>
      <m:oMath>
        <m:r>
          <m:rPr>
            <m:sty m:val="p"/>
          </m:rPr>
          <w:rPr>
            <w:rFonts w:ascii="Cambria Math" w:hAnsi="Cambria Math" w:cs="Times New Roman"/>
            <w:sz w:val="28"/>
            <w:szCs w:val="28"/>
            <w:lang w:val="de-AT"/>
          </w:rPr>
          <m:t xml:space="preserve">E[Y </m:t>
        </m:r>
      </m:oMath>
      <w:r w:rsidR="00217022" w:rsidRPr="00217022">
        <w:rPr>
          <w:rFonts w:ascii="Times New Roman" w:hAnsi="Times New Roman" w:cs="Times New Roman"/>
          <w:sz w:val="28"/>
          <w:szCs w:val="28"/>
          <w:vertAlign w:val="superscript"/>
          <w:lang w:val="de-AT"/>
        </w:rPr>
        <w:t>k</w:t>
      </w:r>
      <w:r w:rsidR="00217022" w:rsidRPr="00217022">
        <w:rPr>
          <w:rFonts w:ascii="Times New Roman" w:hAnsi="Times New Roman" w:cs="Times New Roman"/>
          <w:sz w:val="28"/>
          <w:szCs w:val="28"/>
          <w:vertAlign w:val="subscript"/>
          <w:lang w:val="de-AT"/>
        </w:rPr>
        <w:t>t&gt;k i  t&lt;l</w:t>
      </w:r>
      <w:r w:rsidR="00217022" w:rsidRPr="00217022">
        <w:rPr>
          <w:rFonts w:ascii="Times New Roman" w:hAnsi="Times New Roman" w:cs="Times New Roman"/>
          <w:sz w:val="28"/>
          <w:szCs w:val="28"/>
          <w:lang w:val="de-AT"/>
        </w:rPr>
        <w:t xml:space="preserve">, </w:t>
      </w:r>
      <w:r w:rsidR="00217022" w:rsidRPr="00217022">
        <w:rPr>
          <w:rFonts w:ascii="Times New Roman" w:hAnsi="Times New Roman" w:cs="Times New Roman"/>
          <w:sz w:val="28"/>
          <w:szCs w:val="28"/>
          <w:vertAlign w:val="subscript"/>
          <w:lang w:val="de-AT"/>
        </w:rPr>
        <w:t>k=1</w:t>
      </w:r>
      <m:oMath>
        <m:r>
          <m:rPr>
            <m:sty m:val="p"/>
          </m:rPr>
          <w:rPr>
            <w:rFonts w:ascii="Cambria Math" w:hAnsi="Cambria Math" w:cs="Times New Roman"/>
            <w:sz w:val="28"/>
            <w:szCs w:val="28"/>
            <w:lang w:val="de-AT"/>
          </w:rPr>
          <m:t>]</m:t>
        </m:r>
      </m:oMath>
      <w:r w:rsidR="00217022"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00217022" w:rsidRPr="00217022">
        <w:rPr>
          <w:rFonts w:ascii="Times New Roman" w:hAnsi="Times New Roman" w:cs="Times New Roman"/>
          <w:sz w:val="28"/>
          <w:szCs w:val="28"/>
          <w:vertAlign w:val="superscript"/>
          <w:lang w:val="de-AT"/>
        </w:rPr>
        <w:t>k</w:t>
      </w:r>
      <w:r w:rsidR="00217022" w:rsidRPr="00217022">
        <w:rPr>
          <w:rFonts w:ascii="Times New Roman" w:hAnsi="Times New Roman" w:cs="Times New Roman"/>
          <w:sz w:val="28"/>
          <w:szCs w:val="28"/>
          <w:vertAlign w:val="subscript"/>
          <w:lang w:val="de-AT"/>
        </w:rPr>
        <w:t>t&lt;k</w:t>
      </w:r>
      <w:r w:rsidR="00217022" w:rsidRPr="00217022">
        <w:rPr>
          <w:rFonts w:ascii="Times New Roman" w:hAnsi="Times New Roman" w:cs="Times New Roman"/>
          <w:sz w:val="28"/>
          <w:szCs w:val="28"/>
          <w:lang w:val="de-AT"/>
        </w:rPr>
        <w:t xml:space="preserve">, </w:t>
      </w:r>
      <w:r w:rsidR="00217022" w:rsidRPr="00217022">
        <w:rPr>
          <w:rFonts w:ascii="Times New Roman" w:hAnsi="Times New Roman" w:cs="Times New Roman"/>
          <w:sz w:val="28"/>
          <w:szCs w:val="28"/>
          <w:vertAlign w:val="subscript"/>
          <w:lang w:val="de-AT"/>
        </w:rPr>
        <w:t>k=1</w:t>
      </w:r>
      <m:oMath>
        <m:r>
          <m:rPr>
            <m:sty m:val="p"/>
          </m:rPr>
          <w:rPr>
            <w:rFonts w:ascii="Cambria Math" w:hAnsi="Cambria Math" w:cs="Times New Roman"/>
            <w:sz w:val="28"/>
            <w:szCs w:val="28"/>
            <w:lang w:val="de-AT"/>
          </w:rPr>
          <m:t>]</m:t>
        </m:r>
      </m:oMath>
      <w:r w:rsidR="00217022" w:rsidRPr="00217022">
        <w:rPr>
          <w:rFonts w:ascii="Times New Roman" w:hAnsi="Times New Roman" w:cs="Times New Roman"/>
          <w:sz w:val="28"/>
          <w:szCs w:val="28"/>
          <w:lang w:val="de-AT"/>
        </w:rPr>
        <w:t>) - (</w:t>
      </w:r>
      <m:oMath>
        <m:r>
          <m:rPr>
            <m:sty m:val="p"/>
          </m:rPr>
          <w:rPr>
            <w:rFonts w:ascii="Cambria Math" w:hAnsi="Cambria Math" w:cs="Times New Roman"/>
            <w:sz w:val="28"/>
            <w:szCs w:val="28"/>
            <w:lang w:val="de-AT"/>
          </w:rPr>
          <m:t xml:space="preserve">E[Y </m:t>
        </m:r>
      </m:oMath>
      <w:r w:rsidR="00217022" w:rsidRPr="00217022">
        <w:rPr>
          <w:rFonts w:ascii="Times New Roman" w:hAnsi="Times New Roman" w:cs="Times New Roman"/>
          <w:sz w:val="28"/>
          <w:szCs w:val="28"/>
          <w:vertAlign w:val="superscript"/>
          <w:lang w:val="de-AT"/>
        </w:rPr>
        <w:t>l</w:t>
      </w:r>
      <w:r w:rsidR="00217022" w:rsidRPr="00217022">
        <w:rPr>
          <w:rFonts w:ascii="Times New Roman" w:hAnsi="Times New Roman" w:cs="Times New Roman"/>
          <w:sz w:val="28"/>
          <w:szCs w:val="28"/>
          <w:vertAlign w:val="subscript"/>
          <w:lang w:val="de-AT"/>
        </w:rPr>
        <w:t>t&gt;k i  t&lt;l</w:t>
      </w:r>
      <w:r w:rsidR="00217022" w:rsidRPr="00217022">
        <w:rPr>
          <w:rFonts w:ascii="Times New Roman" w:hAnsi="Times New Roman" w:cs="Times New Roman"/>
          <w:sz w:val="28"/>
          <w:szCs w:val="28"/>
          <w:lang w:val="de-AT"/>
        </w:rPr>
        <w:t>,</w:t>
      </w:r>
      <w:r w:rsidR="00217022" w:rsidRPr="00217022">
        <w:rPr>
          <w:rFonts w:ascii="Times New Roman" w:hAnsi="Times New Roman" w:cs="Times New Roman"/>
          <w:sz w:val="28"/>
          <w:szCs w:val="28"/>
          <w:vertAlign w:val="subscript"/>
          <w:lang w:val="de-AT"/>
        </w:rPr>
        <w:t>,</w:t>
      </w:r>
      <w:r w:rsidR="00217022" w:rsidRPr="00217022">
        <w:rPr>
          <w:rFonts w:ascii="Times New Roman" w:hAnsi="Times New Roman" w:cs="Times New Roman"/>
          <w:sz w:val="28"/>
          <w:szCs w:val="28"/>
          <w:lang w:val="de-AT"/>
        </w:rPr>
        <w:t xml:space="preserve"> </w:t>
      </w:r>
      <w:r w:rsidR="00217022" w:rsidRPr="00217022">
        <w:rPr>
          <w:rFonts w:ascii="Times New Roman" w:hAnsi="Times New Roman" w:cs="Times New Roman"/>
          <w:sz w:val="28"/>
          <w:szCs w:val="28"/>
          <w:vertAlign w:val="subscript"/>
          <w:lang w:val="de-AT"/>
        </w:rPr>
        <w:t>l=1</w:t>
      </w:r>
      <m:oMath>
        <m:r>
          <m:rPr>
            <m:sty m:val="p"/>
          </m:rPr>
          <w:rPr>
            <w:rFonts w:ascii="Cambria Math" w:hAnsi="Cambria Math" w:cs="Times New Roman"/>
            <w:sz w:val="28"/>
            <w:szCs w:val="28"/>
            <w:lang w:val="de-AT"/>
          </w:rPr>
          <m:t>]</m:t>
        </m:r>
      </m:oMath>
      <w:r w:rsidR="00217022"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00217022" w:rsidRPr="00217022">
        <w:rPr>
          <w:rFonts w:ascii="Times New Roman" w:hAnsi="Times New Roman" w:cs="Times New Roman"/>
          <w:sz w:val="28"/>
          <w:szCs w:val="28"/>
          <w:vertAlign w:val="superscript"/>
          <w:lang w:val="de-AT"/>
        </w:rPr>
        <w:t>l</w:t>
      </w:r>
      <w:r w:rsidR="00217022" w:rsidRPr="00217022">
        <w:rPr>
          <w:rFonts w:ascii="Times New Roman" w:hAnsi="Times New Roman" w:cs="Times New Roman"/>
          <w:sz w:val="28"/>
          <w:szCs w:val="28"/>
          <w:vertAlign w:val="subscript"/>
          <w:lang w:val="de-AT"/>
        </w:rPr>
        <w:t>t&lt;k</w:t>
      </w:r>
      <w:r w:rsidR="00217022" w:rsidRPr="00217022">
        <w:rPr>
          <w:rFonts w:ascii="Times New Roman" w:hAnsi="Times New Roman" w:cs="Times New Roman"/>
          <w:sz w:val="28"/>
          <w:szCs w:val="28"/>
          <w:lang w:val="de-AT"/>
        </w:rPr>
        <w:t xml:space="preserve">,, </w:t>
      </w:r>
      <w:r w:rsidR="00217022" w:rsidRPr="00217022">
        <w:rPr>
          <w:rFonts w:ascii="Times New Roman" w:hAnsi="Times New Roman" w:cs="Times New Roman"/>
          <w:sz w:val="28"/>
          <w:szCs w:val="28"/>
          <w:vertAlign w:val="subscript"/>
          <w:lang w:val="de-AT"/>
        </w:rPr>
        <w:t>l=1</w:t>
      </w:r>
      <m:oMath>
        <m:r>
          <m:rPr>
            <m:sty m:val="p"/>
          </m:rPr>
          <w:rPr>
            <w:rFonts w:ascii="Cambria Math" w:hAnsi="Cambria Math" w:cs="Times New Roman"/>
            <w:sz w:val="28"/>
            <w:szCs w:val="28"/>
            <w:lang w:val="de-AT"/>
          </w:rPr>
          <m:t>]</m:t>
        </m:r>
      </m:oMath>
      <w:r w:rsidR="00217022" w:rsidRPr="00217022">
        <w:rPr>
          <w:rFonts w:ascii="Times New Roman" w:hAnsi="Times New Roman" w:cs="Times New Roman"/>
          <w:sz w:val="28"/>
          <w:szCs w:val="28"/>
          <w:lang w:val="de-AT"/>
        </w:rPr>
        <w:t>),</w:t>
      </w:r>
    </w:p>
    <w:p w14:paraId="012ACE49" w14:textId="77777777" w:rsidR="00217022" w:rsidRPr="00217022" w:rsidRDefault="00217022" w:rsidP="00217022">
      <w:pPr>
        <w:spacing w:line="264" w:lineRule="auto"/>
        <w:jc w:val="both"/>
        <w:rPr>
          <w:rFonts w:ascii="Times New Roman" w:hAnsi="Times New Roman" w:cs="Times New Roman"/>
          <w:spacing w:val="-4"/>
          <w:sz w:val="28"/>
          <w:szCs w:val="28"/>
        </w:rPr>
      </w:pPr>
      <w:r w:rsidRPr="00217022">
        <w:rPr>
          <w:rFonts w:ascii="Times New Roman" w:hAnsi="Times New Roman" w:cs="Times New Roman"/>
          <w:spacing w:val="-4"/>
          <w:sz w:val="28"/>
          <w:szCs w:val="28"/>
        </w:rPr>
        <w:t>gdzie badane są efekty interwencji dla podgrupy k w podokresie zawierającym się pomiędzy momentem uruchomienia interwencji dla podgrupy k oraz podgrupy l (podokres l-k i gdy l&gt;k), a grupę odniesienia są wyniki obserwowane w podgrupie l.</w:t>
      </w:r>
    </w:p>
    <w:p w14:paraId="62387CB1" w14:textId="77777777" w:rsidR="00217022" w:rsidRPr="00217022" w:rsidRDefault="00217022" w:rsidP="00217022">
      <w:pPr>
        <w:tabs>
          <w:tab w:val="left" w:pos="1134"/>
        </w:tabs>
        <w:ind w:left="284"/>
        <w:jc w:val="both"/>
        <w:rPr>
          <w:rFonts w:ascii="Times New Roman" w:hAnsi="Times New Roman" w:cs="Times New Roman"/>
          <w:sz w:val="28"/>
          <w:szCs w:val="28"/>
          <w:lang w:val="de-AT"/>
        </w:rPr>
      </w:pPr>
      <w:r w:rsidRPr="00217022">
        <w:rPr>
          <w:rFonts w:ascii="Times New Roman" w:eastAsiaTheme="minorEastAsia" w:hAnsi="Times New Roman" w:cs="Times New Roman"/>
          <w:sz w:val="28"/>
          <w:szCs w:val="28"/>
          <w:lang w:val="de-AT"/>
        </w:rPr>
        <w:t>(4)</w:t>
      </w:r>
      <w:r w:rsidRPr="00217022">
        <w:rPr>
          <w:rFonts w:ascii="Times New Roman" w:eastAsiaTheme="minorEastAsia" w:hAnsi="Times New Roman" w:cs="Times New Roman"/>
          <w:sz w:val="28"/>
          <w:szCs w:val="28"/>
          <w:lang w:val="de-AT"/>
        </w:rPr>
        <w:tab/>
      </w:r>
      <m:oMath>
        <m:sSubSup>
          <m:sSubSupPr>
            <m:ctrlPr>
              <w:rPr>
                <w:rFonts w:ascii="Cambria Math" w:hAnsi="Cambria Math" w:cs="Times New Roman"/>
                <w:i/>
                <w:sz w:val="28"/>
                <w:szCs w:val="28"/>
              </w:rPr>
            </m:ctrlPr>
          </m:sSubSupPr>
          <m:e>
            <m:r>
              <w:rPr>
                <w:rFonts w:ascii="Cambria Math" w:hAnsi="Cambria Math" w:cs="Times New Roman"/>
                <w:sz w:val="28"/>
                <w:szCs w:val="28"/>
              </w:rPr>
              <m:t>β</m:t>
            </m:r>
          </m:e>
          <m:sub>
            <m:r>
              <w:rPr>
                <w:rFonts w:ascii="Cambria Math" w:hAnsi="Cambria Math" w:cs="Times New Roman"/>
                <w:sz w:val="28"/>
                <w:szCs w:val="28"/>
              </w:rPr>
              <m:t>kl</m:t>
            </m:r>
          </m:sub>
          <m:sup>
            <m:r>
              <w:rPr>
                <w:rFonts w:ascii="Cambria Math" w:hAnsi="Cambria Math" w:cs="Times New Roman"/>
                <w:sz w:val="28"/>
                <w:szCs w:val="28"/>
                <w:lang w:val="de-AT"/>
              </w:rPr>
              <m:t>2*2,</m:t>
            </m:r>
            <m:r>
              <w:rPr>
                <w:rFonts w:ascii="Cambria Math" w:hAnsi="Cambria Math" w:cs="Times New Roman"/>
                <w:sz w:val="28"/>
                <w:szCs w:val="28"/>
              </w:rPr>
              <m:t>l</m:t>
            </m:r>
          </m:sup>
        </m:sSubSup>
      </m:oMath>
      <w:r w:rsidRPr="00217022">
        <w:rPr>
          <w:rFonts w:ascii="Times New Roman" w:hAnsi="Times New Roman" w:cs="Times New Roman"/>
          <w:sz w:val="28"/>
          <w:szCs w:val="28"/>
          <w:lang w:val="de-AT"/>
        </w:rPr>
        <w:t>=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perscript"/>
          <w:lang w:val="de-AT"/>
        </w:rPr>
        <w:t>l</w:t>
      </w:r>
      <w:r w:rsidRPr="00217022">
        <w:rPr>
          <w:rFonts w:ascii="Times New Roman" w:hAnsi="Times New Roman" w:cs="Times New Roman"/>
          <w:sz w:val="28"/>
          <w:szCs w:val="28"/>
          <w:vertAlign w:val="subscript"/>
          <w:lang w:val="de-AT"/>
        </w:rPr>
        <w:t>t&gt;l</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l=1</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perscript"/>
          <w:lang w:val="de-AT"/>
        </w:rPr>
        <w:t>l</w:t>
      </w:r>
      <w:r w:rsidRPr="00217022">
        <w:rPr>
          <w:rFonts w:ascii="Times New Roman" w:hAnsi="Times New Roman" w:cs="Times New Roman"/>
          <w:sz w:val="28"/>
          <w:szCs w:val="28"/>
          <w:vertAlign w:val="subscript"/>
          <w:lang w:val="de-AT"/>
        </w:rPr>
        <w:t>t&lt;l i t&gt;k</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l=1</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perscript"/>
          <w:lang w:val="de-AT"/>
        </w:rPr>
        <w:t>k</w:t>
      </w:r>
      <w:r w:rsidRPr="00217022">
        <w:rPr>
          <w:rFonts w:ascii="Times New Roman" w:hAnsi="Times New Roman" w:cs="Times New Roman"/>
          <w:sz w:val="28"/>
          <w:szCs w:val="28"/>
          <w:vertAlign w:val="subscript"/>
          <w:lang w:val="de-AT"/>
        </w:rPr>
        <w:t xml:space="preserve"> t&lt;l</w:t>
      </w:r>
      <w:r w:rsidRPr="00217022">
        <w:rPr>
          <w:rFonts w:ascii="Times New Roman" w:hAnsi="Times New Roman" w:cs="Times New Roman"/>
          <w:sz w:val="28"/>
          <w:szCs w:val="28"/>
          <w:lang w:val="de-AT"/>
        </w:rPr>
        <w:t>,</w:t>
      </w:r>
      <w:r w:rsidRPr="00217022">
        <w:rPr>
          <w:rFonts w:ascii="Times New Roman" w:hAnsi="Times New Roman" w:cs="Times New Roman"/>
          <w:sz w:val="28"/>
          <w:szCs w:val="28"/>
          <w:vertAlign w:val="subscript"/>
          <w:lang w:val="de-AT"/>
        </w:rPr>
        <w:t>,</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k=1</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t&lt;l i t&gt;k</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k=1</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w:t>
      </w:r>
    </w:p>
    <w:p w14:paraId="2C1478A8" w14:textId="77777777"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W równaniu czwartym obliczane są efekty interwencji dla podgrupy </w:t>
      </w:r>
      <w:r w:rsidRPr="00217022">
        <w:rPr>
          <w:rFonts w:ascii="Times New Roman" w:hAnsi="Times New Roman" w:cs="Times New Roman"/>
          <w:i/>
          <w:iCs/>
          <w:sz w:val="28"/>
          <w:szCs w:val="28"/>
        </w:rPr>
        <w:t>l</w:t>
      </w:r>
      <w:r w:rsidRPr="00217022">
        <w:rPr>
          <w:rFonts w:ascii="Times New Roman" w:hAnsi="Times New Roman" w:cs="Times New Roman"/>
          <w:sz w:val="28"/>
          <w:szCs w:val="28"/>
        </w:rPr>
        <w:t xml:space="preserve"> w okresie po uruchomieniu w niej interwencji względem wyników obserwowanych dla podgrupy </w:t>
      </w:r>
      <w:r w:rsidRPr="00217022">
        <w:rPr>
          <w:rFonts w:ascii="Times New Roman" w:hAnsi="Times New Roman" w:cs="Times New Roman"/>
          <w:i/>
          <w:iCs/>
          <w:sz w:val="28"/>
          <w:szCs w:val="28"/>
        </w:rPr>
        <w:t>k</w:t>
      </w:r>
      <w:r w:rsidRPr="00217022">
        <w:rPr>
          <w:rFonts w:ascii="Times New Roman" w:hAnsi="Times New Roman" w:cs="Times New Roman"/>
          <w:sz w:val="28"/>
          <w:szCs w:val="28"/>
        </w:rPr>
        <w:t xml:space="preserve"> w okresie pomiędzy </w:t>
      </w:r>
      <w:r w:rsidRPr="00217022">
        <w:rPr>
          <w:rFonts w:ascii="Times New Roman" w:hAnsi="Times New Roman" w:cs="Times New Roman"/>
          <w:i/>
          <w:iCs/>
          <w:sz w:val="28"/>
          <w:szCs w:val="28"/>
        </w:rPr>
        <w:t>l-k</w:t>
      </w:r>
      <w:r w:rsidRPr="00217022">
        <w:rPr>
          <w:rFonts w:ascii="Times New Roman" w:hAnsi="Times New Roman" w:cs="Times New Roman"/>
          <w:sz w:val="28"/>
          <w:szCs w:val="28"/>
        </w:rPr>
        <w:t xml:space="preserve">.  </w:t>
      </w:r>
    </w:p>
    <w:p w14:paraId="2865889E" w14:textId="77777777"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Innymi słowy, liczba podgrup (</w:t>
      </w:r>
      <w:r w:rsidRPr="00217022">
        <w:rPr>
          <w:rFonts w:ascii="Times New Roman" w:hAnsi="Times New Roman" w:cs="Times New Roman"/>
          <w:i/>
          <w:iCs/>
          <w:sz w:val="28"/>
          <w:szCs w:val="28"/>
        </w:rPr>
        <w:t>J</w:t>
      </w:r>
      <w:r w:rsidRPr="00217022">
        <w:rPr>
          <w:rFonts w:ascii="Times New Roman" w:hAnsi="Times New Roman" w:cs="Times New Roman"/>
          <w:sz w:val="28"/>
          <w:szCs w:val="28"/>
        </w:rPr>
        <w:t>) poddana interwencji w różnym czasie stanowi wyznacznik liczby kohort (w naszym przypadku cztery), w ramach których dokonywane są obliczenia estymatorów cząstkowych. Im więcej w ramach grupy docelowej wydzielonych jest  podgrup o zróżnicowanych terminie uruchomianych interwencji, tym więcej jest kombinacji porównań (</w:t>
      </w:r>
      <w:r w:rsidRPr="00217022">
        <w:rPr>
          <w:rFonts w:ascii="Times New Roman" w:hAnsi="Times New Roman" w:cs="Times New Roman"/>
          <w:i/>
          <w:iCs/>
          <w:sz w:val="28"/>
          <w:szCs w:val="28"/>
        </w:rPr>
        <w:t>i</w:t>
      </w:r>
      <w:r w:rsidRPr="00217022">
        <w:rPr>
          <w:rFonts w:ascii="Times New Roman" w:hAnsi="Times New Roman" w:cs="Times New Roman"/>
          <w:sz w:val="28"/>
          <w:szCs w:val="28"/>
        </w:rPr>
        <w:t>) oraz estymowanych wyników cząstkowych (</w:t>
      </w:r>
      <m:oMath>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i</m:t>
            </m:r>
          </m:sub>
        </m:sSub>
      </m:oMath>
      <w:r w:rsidRPr="00217022">
        <w:rPr>
          <w:rFonts w:ascii="Times New Roman" w:hAnsi="Times New Roman" w:cs="Times New Roman"/>
          <w:sz w:val="28"/>
          <w:szCs w:val="28"/>
        </w:rPr>
        <w:t>).</w:t>
      </w:r>
    </w:p>
    <w:p w14:paraId="5A36E918" w14:textId="30A5CD18" w:rsidR="00217022" w:rsidRPr="00217022" w:rsidRDefault="00217022" w:rsidP="00217022">
      <w:pPr>
        <w:spacing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Dekompozycja zaproponowana przez Goodmana-Bacona wydziela każde z tych porównań w ramach regresji TWFE i przypisuje im oddzielną wagę obliczoną w oparciu o długość trwania każdego porównania w stosunku do ogólnego przedziału czasowego (</w:t>
      </w:r>
      <w:r w:rsidRPr="00217022">
        <w:rPr>
          <w:rFonts w:ascii="Times New Roman" w:hAnsi="Times New Roman" w:cs="Times New Roman"/>
          <w:i/>
          <w:iCs/>
          <w:sz w:val="28"/>
          <w:szCs w:val="28"/>
        </w:rPr>
        <w:t>t</w:t>
      </w:r>
      <w:r w:rsidRPr="00217022">
        <w:rPr>
          <w:rFonts w:ascii="Times New Roman" w:hAnsi="Times New Roman" w:cs="Times New Roman"/>
          <w:sz w:val="28"/>
          <w:szCs w:val="28"/>
        </w:rPr>
        <w:t>), ilości obiektów zaangażowanych w danej kohorcie. Wagi przez badacza zostały ustalone na podstawie równania Frisch</w:t>
      </w:r>
      <w:r w:rsidR="00536DE6">
        <w:rPr>
          <w:rFonts w:ascii="Times New Roman" w:hAnsi="Times New Roman" w:cs="Times New Roman"/>
          <w:sz w:val="28"/>
          <w:szCs w:val="28"/>
        </w:rPr>
        <w:t>a</w:t>
      </w:r>
      <w:r w:rsidRPr="00217022">
        <w:rPr>
          <w:rFonts w:ascii="Times New Roman" w:hAnsi="Times New Roman" w:cs="Times New Roman"/>
          <w:sz w:val="28"/>
          <w:szCs w:val="28"/>
        </w:rPr>
        <w:t>-</w:t>
      </w:r>
      <w:bookmarkStart w:id="28" w:name="_Hlk180156943"/>
      <w:r w:rsidRPr="00217022">
        <w:rPr>
          <w:rFonts w:ascii="Times New Roman" w:hAnsi="Times New Roman" w:cs="Times New Roman"/>
          <w:sz w:val="28"/>
          <w:szCs w:val="28"/>
        </w:rPr>
        <w:t>Waugh</w:t>
      </w:r>
      <w:bookmarkEnd w:id="28"/>
      <w:r w:rsidRPr="00217022">
        <w:rPr>
          <w:rFonts w:ascii="Times New Roman" w:hAnsi="Times New Roman" w:cs="Times New Roman"/>
          <w:sz w:val="28"/>
          <w:szCs w:val="28"/>
        </w:rPr>
        <w:t>-Lovell</w:t>
      </w:r>
      <w:r w:rsidR="00536DE6">
        <w:rPr>
          <w:rFonts w:ascii="Times New Roman" w:hAnsi="Times New Roman" w:cs="Times New Roman"/>
          <w:sz w:val="28"/>
          <w:szCs w:val="28"/>
        </w:rPr>
        <w:t>a</w:t>
      </w:r>
      <w:r w:rsidRPr="00217022">
        <w:rPr>
          <w:rFonts w:ascii="Times New Roman" w:hAnsi="Times New Roman" w:cs="Times New Roman"/>
          <w:sz w:val="28"/>
          <w:szCs w:val="28"/>
        </w:rPr>
        <w:t xml:space="preserve"> (proporcjonalnie do wariancji wskaźnika efektywności), a następnie obliczono efekt interwencji według wzoru dla łącznego </w:t>
      </w:r>
      <m:oMath>
        <m:sSubSup>
          <m:sSubSupPr>
            <m:ctrlPr>
              <w:rPr>
                <w:rFonts w:ascii="Cambria Math" w:hAnsi="Cambria Math" w:cs="Times New Roman"/>
                <w:i/>
                <w:sz w:val="28"/>
                <w:szCs w:val="28"/>
              </w:rPr>
            </m:ctrlPr>
          </m:sSubSupPr>
          <m:e>
            <m:r>
              <w:rPr>
                <w:rFonts w:ascii="Cambria Math" w:hAnsi="Cambria Math" w:cs="Times New Roman"/>
                <w:sz w:val="28"/>
                <w:szCs w:val="28"/>
              </w:rPr>
              <m:t>β</m:t>
            </m:r>
          </m:e>
          <m:sub>
            <m:r>
              <w:rPr>
                <w:rFonts w:ascii="Cambria Math" w:hAnsi="Cambria Math" w:cs="Times New Roman"/>
                <w:sz w:val="28"/>
                <w:szCs w:val="28"/>
              </w:rPr>
              <m:t xml:space="preserve"> </m:t>
            </m:r>
          </m:sub>
          <m:sup>
            <m:r>
              <w:rPr>
                <w:rFonts w:ascii="Cambria Math" w:hAnsi="Cambria Math" w:cs="Times New Roman"/>
                <w:sz w:val="28"/>
                <w:szCs w:val="28"/>
              </w:rPr>
              <m:t>DD</m:t>
            </m:r>
          </m:sup>
        </m:sSubSup>
      </m:oMath>
      <w:r w:rsidRPr="00217022">
        <w:rPr>
          <w:rFonts w:ascii="Times New Roman" w:hAnsi="Times New Roman" w:cs="Times New Roman"/>
          <w:sz w:val="28"/>
          <w:szCs w:val="28"/>
        </w:rPr>
        <w:t>:</w:t>
      </w:r>
    </w:p>
    <w:bookmarkStart w:id="29" w:name="_Hlk182389816"/>
    <w:p w14:paraId="07991371" w14:textId="77777777" w:rsidR="00217022" w:rsidRPr="00217022" w:rsidRDefault="00000000" w:rsidP="00217022">
      <w:pPr>
        <w:ind w:firstLine="708"/>
        <w:jc w:val="center"/>
        <w:rPr>
          <w:rFonts w:ascii="Times New Roman" w:eastAsiaTheme="minorEastAsia"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β</m:t>
            </m:r>
          </m:e>
          <m:sub>
            <m:r>
              <w:rPr>
                <w:rFonts w:ascii="Cambria Math" w:hAnsi="Cambria Math" w:cs="Times New Roman"/>
                <w:sz w:val="28"/>
                <w:szCs w:val="28"/>
              </w:rPr>
              <m:t xml:space="preserve"> </m:t>
            </m:r>
          </m:sub>
          <m:sup>
            <m:r>
              <w:rPr>
                <w:rFonts w:ascii="Cambria Math" w:hAnsi="Cambria Math" w:cs="Times New Roman"/>
                <w:sz w:val="28"/>
                <w:szCs w:val="28"/>
              </w:rPr>
              <m:t>DD</m:t>
            </m:r>
          </m:sup>
        </m:sSubSup>
      </m:oMath>
      <w:bookmarkEnd w:id="29"/>
      <w:r w:rsidR="00217022" w:rsidRPr="00217022">
        <w:rPr>
          <w:rFonts w:ascii="Times New Roman" w:hAnsi="Times New Roman" w:cs="Times New Roman"/>
          <w:sz w:val="28"/>
          <w:szCs w:val="28"/>
        </w:rPr>
        <w:t xml:space="preserve">= </w:t>
      </w:r>
      <m:oMath>
        <m:sSubSup>
          <m:sSubSupPr>
            <m:ctrlPr>
              <w:rPr>
                <w:rFonts w:ascii="Cambria Math" w:hAnsi="Cambria Math" w:cs="Times New Roman"/>
                <w:i/>
                <w:sz w:val="28"/>
                <w:szCs w:val="28"/>
              </w:rPr>
            </m:ctrlPr>
          </m:sSubSupPr>
          <m:e>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rPr>
                  <m:t>kU</m:t>
                </m:r>
              </m:sub>
              <m:sup>
                <m:r>
                  <w:rPr>
                    <w:rFonts w:ascii="Cambria Math" w:hAnsi="Cambria Math" w:cs="Times New Roman"/>
                    <w:sz w:val="28"/>
                    <w:szCs w:val="28"/>
                  </w:rPr>
                  <m:t>k</m:t>
                </m:r>
              </m:sup>
            </m:sSubSup>
            <m:r>
              <w:rPr>
                <w:rFonts w:ascii="Cambria Math" w:hAnsi="Cambria Math" w:cs="Times New Roman"/>
                <w:sz w:val="28"/>
                <w:szCs w:val="28"/>
              </w:rPr>
              <m:t>×β</m:t>
            </m:r>
          </m:e>
          <m:sub>
            <m:r>
              <w:rPr>
                <w:rFonts w:ascii="Cambria Math" w:hAnsi="Cambria Math" w:cs="Times New Roman"/>
                <w:sz w:val="28"/>
                <w:szCs w:val="28"/>
              </w:rPr>
              <m:t>kU</m:t>
            </m:r>
          </m:sub>
          <m:sup>
            <m:r>
              <w:rPr>
                <w:rFonts w:ascii="Cambria Math" w:hAnsi="Cambria Math" w:cs="Times New Roman"/>
                <w:sz w:val="28"/>
                <w:szCs w:val="28"/>
              </w:rPr>
              <m:t>2*2</m:t>
            </m:r>
          </m:sup>
        </m:sSubSup>
        <m:sSubSup>
          <m:sSubSupPr>
            <m:ctrlPr>
              <w:rPr>
                <w:rFonts w:ascii="Cambria Math" w:hAnsi="Cambria Math" w:cs="Times New Roman"/>
                <w:i/>
                <w:sz w:val="28"/>
                <w:szCs w:val="28"/>
              </w:rPr>
            </m:ctrlPr>
          </m:sSubSupPr>
          <m:e>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rPr>
                  <m:t>lU</m:t>
                </m:r>
              </m:sub>
              <m:sup>
                <m:r>
                  <w:rPr>
                    <w:rFonts w:ascii="Cambria Math" w:hAnsi="Cambria Math" w:cs="Times New Roman"/>
                    <w:sz w:val="28"/>
                    <w:szCs w:val="28"/>
                  </w:rPr>
                  <m:t>l</m:t>
                </m:r>
              </m:sup>
            </m:sSubSup>
            <m:r>
              <w:rPr>
                <w:rFonts w:ascii="Cambria Math" w:hAnsi="Cambria Math" w:cs="Times New Roman"/>
                <w:sz w:val="28"/>
                <w:szCs w:val="28"/>
              </w:rPr>
              <m:t>×β</m:t>
            </m:r>
          </m:e>
          <m:sub>
            <m:r>
              <w:rPr>
                <w:rFonts w:ascii="Cambria Math" w:hAnsi="Cambria Math" w:cs="Times New Roman"/>
                <w:sz w:val="28"/>
                <w:szCs w:val="28"/>
              </w:rPr>
              <m:t>lU</m:t>
            </m:r>
          </m:sub>
          <m:sup>
            <m:r>
              <w:rPr>
                <w:rFonts w:ascii="Cambria Math" w:hAnsi="Cambria Math" w:cs="Times New Roman"/>
                <w:sz w:val="28"/>
                <w:szCs w:val="28"/>
              </w:rPr>
              <m:t>2*2</m:t>
            </m:r>
          </m:sup>
        </m:sSubSup>
        <m:r>
          <w:rPr>
            <w:rFonts w:ascii="Cambria Math" w:hAnsi="Cambria Math" w:cs="Times New Roman"/>
            <w:sz w:val="28"/>
            <w:szCs w:val="28"/>
          </w:rPr>
          <m:t>+</m:t>
        </m:r>
        <m:sSub>
          <m:sSubPr>
            <m:ctrlPr>
              <w:rPr>
                <w:rFonts w:ascii="Cambria Math" w:hAnsi="Cambria Math" w:cs="Times New Roman"/>
                <w:sz w:val="28"/>
                <w:szCs w:val="28"/>
                <w:lang w:val="en-GB"/>
              </w:rPr>
            </m:ctrlPr>
          </m:sSubPr>
          <m:e>
            <m:sSubSup>
              <m:sSubSupPr>
                <m:ctrlPr>
                  <w:rPr>
                    <w:rFonts w:ascii="Cambria Math" w:hAnsi="Cambria Math" w:cs="Times New Roman"/>
                    <w:i/>
                    <w:sz w:val="28"/>
                    <w:szCs w:val="28"/>
                  </w:rPr>
                </m:ctrlPr>
              </m:sSubSupPr>
              <m:e>
                <m:sSub>
                  <m:sSubPr>
                    <m:ctrlPr>
                      <w:rPr>
                        <w:rFonts w:ascii="Cambria Math" w:hAnsi="Cambria Math" w:cs="Times New Roman"/>
                        <w:i/>
                        <w:sz w:val="28"/>
                        <w:szCs w:val="28"/>
                      </w:rPr>
                    </m:ctrlPr>
                  </m:sSubPr>
                  <m:e>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rPr>
                          <m:t>kl</m:t>
                        </m:r>
                      </m:sub>
                      <m:sup>
                        <m:r>
                          <w:rPr>
                            <w:rFonts w:ascii="Cambria Math" w:hAnsi="Cambria Math" w:cs="Times New Roman"/>
                            <w:sz w:val="28"/>
                            <w:szCs w:val="28"/>
                          </w:rPr>
                          <m:t>k</m:t>
                        </m:r>
                      </m:sup>
                    </m:sSubSup>
                  </m:e>
                  <m:sub>
                    <m:r>
                      <w:rPr>
                        <w:rFonts w:ascii="Cambria Math" w:hAnsi="Cambria Math" w:cs="Times New Roman"/>
                        <w:sz w:val="28"/>
                        <w:szCs w:val="28"/>
                      </w:rPr>
                      <m:t xml:space="preserve"> </m:t>
                    </m:r>
                  </m:sub>
                </m:sSub>
                <m:r>
                  <w:rPr>
                    <w:rFonts w:ascii="Cambria Math" w:hAnsi="Cambria Math" w:cs="Times New Roman"/>
                    <w:sz w:val="28"/>
                    <w:szCs w:val="28"/>
                  </w:rPr>
                  <m:t>×β</m:t>
                </m:r>
              </m:e>
              <m:sub>
                <m:r>
                  <w:rPr>
                    <w:rFonts w:ascii="Cambria Math" w:hAnsi="Cambria Math" w:cs="Times New Roman"/>
                    <w:sz w:val="28"/>
                    <w:szCs w:val="28"/>
                  </w:rPr>
                  <m:t>kl</m:t>
                </m:r>
              </m:sub>
              <m:sup>
                <m:r>
                  <w:rPr>
                    <w:rFonts w:ascii="Cambria Math" w:hAnsi="Cambria Math" w:cs="Times New Roman"/>
                    <w:sz w:val="28"/>
                    <w:szCs w:val="28"/>
                  </w:rPr>
                  <m:t>2*2,k</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sSub>
                  <m:sSubPr>
                    <m:ctrlPr>
                      <w:rPr>
                        <w:rFonts w:ascii="Cambria Math" w:hAnsi="Cambria Math" w:cs="Times New Roman"/>
                        <w:i/>
                        <w:sz w:val="28"/>
                        <w:szCs w:val="28"/>
                      </w:rPr>
                    </m:ctrlPr>
                  </m:sSubPr>
                  <m:e>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rPr>
                          <m:t>kl</m:t>
                        </m:r>
                      </m:sub>
                      <m:sup>
                        <m:r>
                          <w:rPr>
                            <w:rFonts w:ascii="Cambria Math" w:hAnsi="Cambria Math" w:cs="Times New Roman"/>
                            <w:sz w:val="28"/>
                            <w:szCs w:val="28"/>
                          </w:rPr>
                          <m:t>l</m:t>
                        </m:r>
                      </m:sup>
                    </m:sSubSup>
                  </m:e>
                  <m:sub>
                    <m:r>
                      <w:rPr>
                        <w:rFonts w:ascii="Cambria Math" w:hAnsi="Cambria Math" w:cs="Times New Roman"/>
                        <w:sz w:val="28"/>
                        <w:szCs w:val="28"/>
                      </w:rPr>
                      <m:t xml:space="preserve"> </m:t>
                    </m:r>
                  </m:sub>
                </m:sSub>
                <m:r>
                  <w:rPr>
                    <w:rFonts w:ascii="Cambria Math" w:hAnsi="Cambria Math" w:cs="Times New Roman"/>
                    <w:sz w:val="28"/>
                    <w:szCs w:val="28"/>
                  </w:rPr>
                  <m:t>×β</m:t>
                </m:r>
              </m:e>
              <m:sub>
                <m:r>
                  <w:rPr>
                    <w:rFonts w:ascii="Cambria Math" w:hAnsi="Cambria Math" w:cs="Times New Roman"/>
                    <w:sz w:val="28"/>
                    <w:szCs w:val="28"/>
                  </w:rPr>
                  <m:t>kl</m:t>
                </m:r>
              </m:sub>
              <m:sup>
                <m:r>
                  <w:rPr>
                    <w:rFonts w:ascii="Cambria Math" w:hAnsi="Cambria Math" w:cs="Times New Roman"/>
                    <w:sz w:val="28"/>
                    <w:szCs w:val="28"/>
                  </w:rPr>
                  <m:t>2*2,l</m:t>
                </m:r>
              </m:sup>
            </m:sSubSup>
          </m:e>
          <m:sub>
            <m:r>
              <w:rPr>
                <w:rFonts w:ascii="Cambria Math" w:hAnsi="Cambria Math" w:cs="Times New Roman"/>
                <w:sz w:val="28"/>
                <w:szCs w:val="28"/>
              </w:rPr>
              <m:t xml:space="preserve"> </m:t>
            </m:r>
          </m:sub>
        </m:sSub>
      </m:oMath>
      <w:r w:rsidR="00217022" w:rsidRPr="00217022">
        <w:rPr>
          <w:rFonts w:ascii="Times New Roman" w:eastAsiaTheme="minorEastAsia" w:hAnsi="Times New Roman" w:cs="Times New Roman"/>
          <w:sz w:val="28"/>
          <w:szCs w:val="28"/>
        </w:rPr>
        <w:t>,</w:t>
      </w:r>
    </w:p>
    <w:p w14:paraId="168B81BD" w14:textId="77777777" w:rsidR="00217022" w:rsidRPr="00217022" w:rsidRDefault="00217022" w:rsidP="00217022">
      <w:pPr>
        <w:spacing w:line="264" w:lineRule="auto"/>
        <w:ind w:firstLine="709"/>
        <w:jc w:val="center"/>
        <w:rPr>
          <w:rFonts w:ascii="Times New Roman" w:hAnsi="Times New Roman" w:cs="Times New Roman"/>
          <w:sz w:val="28"/>
          <w:szCs w:val="28"/>
        </w:rPr>
      </w:pPr>
      <w:r w:rsidRPr="00217022">
        <w:rPr>
          <w:rFonts w:ascii="Times New Roman" w:hAnsi="Times New Roman" w:cs="Times New Roman"/>
          <w:sz w:val="28"/>
          <w:szCs w:val="28"/>
        </w:rPr>
        <w:t xml:space="preserve">przy założeniu, że suma wag dla estymacji cząstkowych jest równa 1: </w:t>
      </w:r>
    </w:p>
    <w:p w14:paraId="00FCDF2B" w14:textId="77777777" w:rsidR="00217022" w:rsidRPr="00217022" w:rsidRDefault="00000000" w:rsidP="00217022">
      <w:pPr>
        <w:spacing w:line="240" w:lineRule="auto"/>
        <w:ind w:firstLine="709"/>
        <w:jc w:val="center"/>
        <w:rPr>
          <w:rFonts w:ascii="Times New Roman" w:eastAsiaTheme="minorEastAsia" w:hAnsi="Times New Roman" w:cs="Times New Roman"/>
          <w:sz w:val="28"/>
          <w:szCs w:val="28"/>
        </w:rPr>
      </w:pPr>
      <m:oMath>
        <m:sSubSup>
          <m:sSubSupPr>
            <m:ctrlPr>
              <w:rPr>
                <w:rFonts w:ascii="Cambria Math" w:hAnsi="Cambria Math" w:cs="Times New Roman"/>
                <w:i/>
                <w:sz w:val="28"/>
                <w:szCs w:val="28"/>
              </w:rPr>
            </m:ctrlPr>
          </m:sSubSupPr>
          <m:e>
            <m:sSubSup>
              <m:sSubSupPr>
                <m:ctrlPr>
                  <w:rPr>
                    <w:rFonts w:ascii="Cambria Math" w:hAnsi="Cambria Math" w:cs="Times New Roman"/>
                    <w:i/>
                    <w:sz w:val="28"/>
                    <w:szCs w:val="28"/>
                  </w:rPr>
                </m:ctrlPr>
              </m:sSubSupPr>
              <m:e>
                <m:nary>
                  <m:naryPr>
                    <m:chr m:val="∑"/>
                    <m:limLoc m:val="undOvr"/>
                    <m:ctrlPr>
                      <w:rPr>
                        <w:rFonts w:ascii="Cambria Math" w:hAnsi="Cambria Math" w:cs="Times New Roman"/>
                        <w:i/>
                        <w:sz w:val="28"/>
                        <w:szCs w:val="28"/>
                      </w:rPr>
                    </m:ctrlPr>
                  </m:naryPr>
                  <m:sub>
                    <m:r>
                      <w:rPr>
                        <w:rFonts w:ascii="Cambria Math" w:hAnsi="Cambria Math" w:cs="Times New Roman"/>
                        <w:sz w:val="28"/>
                        <w:szCs w:val="28"/>
                      </w:rPr>
                      <m:t>t</m:t>
                    </m:r>
                  </m:sub>
                  <m:sup>
                    <m:r>
                      <w:rPr>
                        <w:rFonts w:ascii="Cambria Math" w:hAnsi="Cambria Math" w:cs="Times New Roman"/>
                        <w:sz w:val="28"/>
                        <w:szCs w:val="28"/>
                      </w:rPr>
                      <m:t>k,l,</m:t>
                    </m:r>
                  </m:sup>
                  <m:e>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rPr>
                          <m:t>k,l,U</m:t>
                        </m:r>
                      </m:sub>
                      <m:sup>
                        <m:r>
                          <w:rPr>
                            <w:rFonts w:ascii="Cambria Math" w:hAnsi="Cambria Math" w:cs="Times New Roman"/>
                            <w:sz w:val="28"/>
                            <w:szCs w:val="28"/>
                          </w:rPr>
                          <m:t>k,l</m:t>
                        </m:r>
                      </m:sup>
                    </m:sSubSup>
                  </m:e>
                </m:nary>
              </m:e>
              <m:sub>
                <m:r>
                  <w:rPr>
                    <w:rFonts w:ascii="Cambria Math" w:hAnsi="Cambria Math" w:cs="Times New Roman"/>
                    <w:sz w:val="28"/>
                    <w:szCs w:val="28"/>
                  </w:rPr>
                  <m:t xml:space="preserve"> </m:t>
                </m:r>
              </m:sub>
              <m:sup>
                <m:r>
                  <w:rPr>
                    <w:rFonts w:ascii="Cambria Math" w:hAnsi="Cambria Math" w:cs="Times New Roman"/>
                    <w:sz w:val="28"/>
                    <w:szCs w:val="28"/>
                  </w:rPr>
                  <m:t xml:space="preserve">  </m:t>
                </m:r>
              </m:sup>
            </m:sSubSup>
          </m:e>
          <m:sub>
            <m:r>
              <w:rPr>
                <w:rFonts w:ascii="Cambria Math" w:hAnsi="Cambria Math" w:cs="Times New Roman"/>
                <w:sz w:val="28"/>
                <w:szCs w:val="28"/>
              </w:rPr>
              <m:t xml:space="preserve"> </m:t>
            </m:r>
          </m:sub>
          <m:sup>
            <m:r>
              <w:rPr>
                <w:rFonts w:ascii="Cambria Math" w:hAnsi="Cambria Math" w:cs="Times New Roman"/>
                <w:sz w:val="28"/>
                <w:szCs w:val="28"/>
              </w:rPr>
              <m:t xml:space="preserve"> </m:t>
            </m:r>
          </m:sup>
        </m:sSubSup>
        <m:r>
          <w:rPr>
            <w:rFonts w:ascii="Cambria Math" w:hAnsi="Cambria Math" w:cs="Times New Roman"/>
            <w:sz w:val="28"/>
            <w:szCs w:val="28"/>
          </w:rPr>
          <m:t>=1</m:t>
        </m:r>
      </m:oMath>
      <w:r w:rsidR="00217022" w:rsidRPr="00217022">
        <w:rPr>
          <w:rFonts w:ascii="Times New Roman" w:eastAsiaTheme="minorEastAsia" w:hAnsi="Times New Roman" w:cs="Times New Roman"/>
          <w:sz w:val="28"/>
          <w:szCs w:val="28"/>
        </w:rPr>
        <w:t>.</w:t>
      </w:r>
    </w:p>
    <w:p w14:paraId="000A2E3F" w14:textId="35495951"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W sytuacji występowania kilku podgrup, stosując powyższy model dekompozycji</w:t>
      </w:r>
      <w:r w:rsidR="00536DE6">
        <w:rPr>
          <w:rFonts w:ascii="Times New Roman" w:hAnsi="Times New Roman" w:cs="Times New Roman"/>
          <w:sz w:val="28"/>
          <w:szCs w:val="28"/>
        </w:rPr>
        <w:t>,</w:t>
      </w:r>
      <w:r w:rsidRPr="00217022">
        <w:rPr>
          <w:rFonts w:ascii="Times New Roman" w:hAnsi="Times New Roman" w:cs="Times New Roman"/>
          <w:sz w:val="28"/>
          <w:szCs w:val="28"/>
        </w:rPr>
        <w:t xml:space="preserve"> możemy analizować heterogeniczność efektów interwencji w zależności od podgrupy, momentu uruchomienia oraz długości okresu ekspozycji na interwencję. Pomimo popularności takiego podejścia, liczne badania potwierdziły, że należy być bardzo ostrożnym w interpretacji przyczynowości zjawiska. Na przykład Borusyak i in., (2024), Goodman-Bacon (2021), de Chaisemartin i </w:t>
      </w:r>
      <w:r w:rsidRPr="00217022">
        <w:rPr>
          <w:rFonts w:ascii="Times New Roman" w:hAnsi="Times New Roman" w:cs="Times New Roman"/>
          <w:sz w:val="28"/>
          <w:szCs w:val="28"/>
        </w:rPr>
        <w:lastRenderedPageBreak/>
        <w:t>D'Haultfœuille (2023) oraz Athey i Imbens (2018) wykazali, że ogólnie uzyskujemy średnią ważoną efektu interwencji (ATT) dla kilku podgrup, ale niektóre wagi tych parametrów w estymacji TWFE mogą w określonych warunkach przyjmować wartości ujemne. Dzieje się tak z uwagi na wykorzystania jako grupy odniesienia podgrupy, która została poddana interwencji w warunkach występowania heterogeniczności jej efektów w czasie. Zmienność efektów może prowadzi</w:t>
      </w:r>
      <w:r w:rsidR="0016569C">
        <w:rPr>
          <w:rFonts w:ascii="Times New Roman" w:hAnsi="Times New Roman" w:cs="Times New Roman"/>
          <w:sz w:val="28"/>
          <w:szCs w:val="28"/>
        </w:rPr>
        <w:t>ć</w:t>
      </w:r>
      <w:r w:rsidRPr="00217022">
        <w:rPr>
          <w:rFonts w:ascii="Times New Roman" w:hAnsi="Times New Roman" w:cs="Times New Roman"/>
          <w:sz w:val="28"/>
          <w:szCs w:val="28"/>
        </w:rPr>
        <w:t xml:space="preserve"> do ujemnych wag nawet w przypadku dodatnich współczynników efektywności dla poszczególnych obserwacji, a tym samym wykazywać ujemny ważony efekt interwencji dla cząstkowej estymacji. W skrajnych przypadkach wszystkie wyniki ATT dla podgrup mogą przyjmować dodatnie wartości, a ujemne wagi prowadzić do zmiany znaku przy łącznym β, tj. współczynnik</w:t>
      </w:r>
      <w:r w:rsidR="0016569C">
        <w:rPr>
          <w:rFonts w:ascii="Times New Roman" w:hAnsi="Times New Roman" w:cs="Times New Roman"/>
          <w:sz w:val="28"/>
          <w:szCs w:val="28"/>
        </w:rPr>
        <w:t>u</w:t>
      </w:r>
      <w:r w:rsidRPr="00217022">
        <w:rPr>
          <w:rFonts w:ascii="Times New Roman" w:hAnsi="Times New Roman" w:cs="Times New Roman"/>
          <w:sz w:val="28"/>
          <w:szCs w:val="28"/>
        </w:rPr>
        <w:t xml:space="preserve"> informując</w:t>
      </w:r>
      <w:r w:rsidR="0016569C">
        <w:rPr>
          <w:rFonts w:ascii="Times New Roman" w:hAnsi="Times New Roman" w:cs="Times New Roman"/>
          <w:sz w:val="28"/>
          <w:szCs w:val="28"/>
        </w:rPr>
        <w:t>ym</w:t>
      </w:r>
      <w:r w:rsidRPr="00217022">
        <w:rPr>
          <w:rFonts w:ascii="Times New Roman" w:hAnsi="Times New Roman" w:cs="Times New Roman"/>
          <w:sz w:val="28"/>
          <w:szCs w:val="28"/>
        </w:rPr>
        <w:t xml:space="preserve"> o przyczynowości. Niezgodność znaków występować może jednak tylko w specyficznych sytuacjach i wówczas jest istotnym problemem interpretacyjnym. Jednocześnie podejście Goodmana-Bacona pozwala na analizę wag ze znakiem ujemnym, tj. stanowi swoisty test na heterogoniczność efektu interwencji i pozwala określić, jak potencjalne usunięcie danego porównania (podgrupy) wpłynęłoby na łączny wynik oszacowania przyczynowości. Słabością tej metody jest również fakt, że nawet w sytuacji występowania homogeniczności efektu interwencji wyniki są wrażliwe na zmienność wag wynikających z liczebności każdej grupy i podgrupy (zwłaszcza podgrupy poddanej interwencji w okresie późniejszym), długości okresu poddania interwencji i liczby podokresów (Goodman-Bacon, 2021). </w:t>
      </w:r>
    </w:p>
    <w:p w14:paraId="219CCE27" w14:textId="0A950871" w:rsidR="00217022" w:rsidRDefault="00217022" w:rsidP="00217022">
      <w:pPr>
        <w:spacing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W praktyce wykorzystanie dekompozycji Goodmana-Bacona jest możliw</w:t>
      </w:r>
      <w:r w:rsidR="0016569C">
        <w:rPr>
          <w:rFonts w:ascii="Times New Roman" w:hAnsi="Times New Roman" w:cs="Times New Roman"/>
          <w:sz w:val="28"/>
          <w:szCs w:val="28"/>
        </w:rPr>
        <w:t>e</w:t>
      </w:r>
      <w:r w:rsidRPr="00217022">
        <w:rPr>
          <w:rFonts w:ascii="Times New Roman" w:hAnsi="Times New Roman" w:cs="Times New Roman"/>
          <w:sz w:val="28"/>
          <w:szCs w:val="28"/>
        </w:rPr>
        <w:t xml:space="preserve"> między innymi dzięki opracowaniu dodatku, który funkcjonuje pod nazwa „bacondecomp” (Goodman-Bacon i in., 2022) i jest aplikowany do programu R (Flack i Jee, 2020) Przykład zastosowania dekompozycji został przedstawiony poniżej po wcześniejszym zainstalowaniu w programie R między innymi dodatku „bacondecomp 0.1.1”, a obliczenia zostały wykonane dla danych zawartych w pliku „math_reform”. </w:t>
      </w:r>
    </w:p>
    <w:p w14:paraId="5F694EE0" w14:textId="77777777" w:rsidR="00F968DF" w:rsidRDefault="00F968DF" w:rsidP="00217022">
      <w:pPr>
        <w:spacing w:line="264" w:lineRule="auto"/>
        <w:ind w:firstLine="709"/>
        <w:jc w:val="both"/>
        <w:rPr>
          <w:rFonts w:ascii="Times New Roman" w:hAnsi="Times New Roman" w:cs="Times New Roman"/>
          <w:sz w:val="28"/>
          <w:szCs w:val="28"/>
        </w:rPr>
      </w:pPr>
    </w:p>
    <w:p w14:paraId="179D740A"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install.packages(c("ggplot2", "fixest", "</w:t>
      </w:r>
      <w:bookmarkStart w:id="30" w:name="_Hlk180413640"/>
      <w:r w:rsidRPr="00217022">
        <w:rPr>
          <w:rFonts w:ascii="Courier New" w:hAnsi="Courier New" w:cs="Courier New"/>
          <w:spacing w:val="-4"/>
          <w:kern w:val="0"/>
          <w:lang w:val="en-GB"/>
        </w:rPr>
        <w:t>bacondecomp</w:t>
      </w:r>
      <w:bookmarkEnd w:id="30"/>
      <w:r w:rsidRPr="00217022">
        <w:rPr>
          <w:rFonts w:ascii="Courier New" w:hAnsi="Courier New" w:cs="Courier New"/>
          <w:spacing w:val="-4"/>
          <w:kern w:val="0"/>
          <w:lang w:val="en-GB"/>
        </w:rPr>
        <w:t xml:space="preserve"> </w:t>
      </w:r>
      <w:r w:rsidRPr="00217022">
        <w:rPr>
          <w:rFonts w:ascii="Courier New" w:eastAsiaTheme="majorEastAsia" w:hAnsi="Courier New" w:cs="Courier New"/>
          <w:color w:val="000000"/>
          <w:spacing w:val="-4"/>
          <w:kern w:val="0"/>
          <w:sz w:val="20"/>
          <w:szCs w:val="20"/>
          <w:lang w:val="en-GB"/>
        </w:rPr>
        <w:t>0.1.1</w:t>
      </w:r>
      <w:r w:rsidRPr="00217022">
        <w:rPr>
          <w:rFonts w:ascii="Courier New" w:hAnsi="Courier New" w:cs="Courier New"/>
          <w:spacing w:val="-4"/>
          <w:kern w:val="0"/>
          <w:lang w:val="en-GB"/>
        </w:rPr>
        <w:t xml:space="preserve"> "))</w:t>
      </w:r>
    </w:p>
    <w:p w14:paraId="0E796409"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library(ggplot2)</w:t>
      </w:r>
    </w:p>
    <w:p w14:paraId="61FF7889"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library(fixest)</w:t>
      </w:r>
    </w:p>
    <w:p w14:paraId="20BFF800"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library(bacondecomp 0.1.1)</w:t>
      </w:r>
    </w:p>
    <w:p w14:paraId="15536E35" w14:textId="77777777" w:rsidR="00563A9C" w:rsidRDefault="00563A9C" w:rsidP="00217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val="en-GB" w:eastAsia="pl-PL"/>
          <w14:ligatures w14:val="none"/>
        </w:rPr>
      </w:pPr>
    </w:p>
    <w:p w14:paraId="27F37512" w14:textId="77777777" w:rsidR="00EA48A0" w:rsidRDefault="00EA48A0" w:rsidP="00217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val="en-GB" w:eastAsia="pl-PL"/>
          <w14:ligatures w14:val="none"/>
        </w:rPr>
      </w:pPr>
    </w:p>
    <w:p w14:paraId="5F7E3178" w14:textId="77777777" w:rsidR="00E37E83" w:rsidRDefault="00E37E83" w:rsidP="00217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val="en-GB" w:eastAsia="pl-PL"/>
          <w14:ligatures w14:val="none"/>
        </w:rPr>
      </w:pPr>
    </w:p>
    <w:p w14:paraId="40607DC2" w14:textId="77777777" w:rsidR="00E37E83" w:rsidRDefault="00E37E83" w:rsidP="00217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val="en-GB" w:eastAsia="pl-PL"/>
          <w14:ligatures w14:val="none"/>
        </w:rPr>
      </w:pPr>
    </w:p>
    <w:p w14:paraId="3CF0FB67" w14:textId="77777777" w:rsidR="00E37E83" w:rsidRDefault="00E37E83" w:rsidP="00217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val="en-GB" w:eastAsia="pl-PL"/>
          <w14:ligatures w14:val="none"/>
        </w:rPr>
      </w:pPr>
    </w:p>
    <w:p w14:paraId="2A93FAEE" w14:textId="77777777" w:rsidR="0016569C" w:rsidRDefault="0016569C" w:rsidP="00217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val="en-GB" w:eastAsia="pl-PL"/>
          <w14:ligatures w14:val="none"/>
        </w:rPr>
      </w:pPr>
    </w:p>
    <w:p w14:paraId="607F5742" w14:textId="77777777" w:rsidR="0016569C" w:rsidRDefault="0016569C" w:rsidP="00217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val="en-GB" w:eastAsia="pl-PL"/>
          <w14:ligatures w14:val="none"/>
        </w:rPr>
      </w:pPr>
    </w:p>
    <w:p w14:paraId="061454AD" w14:textId="77777777" w:rsidR="0016569C" w:rsidRDefault="0016569C" w:rsidP="00217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val="en-GB" w:eastAsia="pl-PL"/>
          <w14:ligatures w14:val="none"/>
        </w:rPr>
      </w:pPr>
    </w:p>
    <w:p w14:paraId="2B3955DF" w14:textId="77777777" w:rsidR="00E37E83" w:rsidRDefault="00E37E83" w:rsidP="00217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val="en-GB" w:eastAsia="pl-PL"/>
          <w14:ligatures w14:val="none"/>
        </w:rPr>
      </w:pPr>
    </w:p>
    <w:p w14:paraId="6D444C3F" w14:textId="77777777" w:rsidR="00563A9C" w:rsidRPr="00217022" w:rsidRDefault="00563A9C" w:rsidP="00217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val="en-GB" w:eastAsia="pl-PL"/>
          <w14:ligatures w14:val="none"/>
        </w:rPr>
      </w:pPr>
    </w:p>
    <w:p w14:paraId="4C505FC6"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library(bacondecomp)</w:t>
      </w:r>
    </w:p>
    <w:p w14:paraId="42770A6B"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Loading required package: fixest</w:t>
      </w:r>
    </w:p>
    <w:p w14:paraId="6BD77C64"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 xml:space="preserve">#&gt; fixest 0.9.0, BREAKING changes! (Permanently remove this message with fixest_startup_msg(FALSE).) </w:t>
      </w:r>
    </w:p>
    <w:p w14:paraId="44CBFA25"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 In i():</w:t>
      </w:r>
    </w:p>
    <w:p w14:paraId="604833FB"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 xml:space="preserve">#&gt;     + the first two arguments have been swapped! Now it's i(factor_var, continuous_var) for interactions. </w:t>
      </w:r>
    </w:p>
    <w:p w14:paraId="4CFF1C85"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 argument 'drop' has been removed (put everything in 'ref' now).</w:t>
      </w:r>
    </w:p>
    <w:p w14:paraId="71F5E937"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 xml:space="preserve">#&gt; - In feglm(): </w:t>
      </w:r>
    </w:p>
    <w:p w14:paraId="0200C717"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 the default family becomes 'gaussian' to be in line with glm(). Hence, for Poisson estimations, please use fepois() instead.</w:t>
      </w:r>
    </w:p>
    <w:p w14:paraId="72E2643E"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df_bacon &lt;- bacon(incearn_ln ~ reform_math,</w:t>
      </w:r>
    </w:p>
    <w:p w14:paraId="722C82C7"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 xml:space="preserve">                  data = bacondecomp::math_reform,</w:t>
      </w:r>
    </w:p>
    <w:p w14:paraId="30A1FE8F"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 xml:space="preserve">                  id_var = "state",</w:t>
      </w:r>
    </w:p>
    <w:p w14:paraId="51AF8DF0"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 xml:space="preserve">                  time_var = "class")</w:t>
      </w:r>
    </w:p>
    <w:p w14:paraId="56E50FCC"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 xml:space="preserve">                  </w:t>
      </w:r>
    </w:p>
    <w:p w14:paraId="2C9BD642"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 All 2x2 Comparisons</w:t>
      </w:r>
    </w:p>
    <w:p w14:paraId="717770F3"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head(df_bacon)</w:t>
      </w:r>
    </w:p>
    <w:p w14:paraId="0E35055A"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treated untreated    estimate      weight                 type</w:t>
      </w:r>
    </w:p>
    <w:p w14:paraId="231B16E7"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2     1987      1985  0.04575585 0.031655309 Later vs Earlier Treated</w:t>
      </w:r>
    </w:p>
    <w:p w14:paraId="614A6126"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4     1986      1985  0.11390411 0.001978457 Later vs Earlier Treated</w:t>
      </w:r>
    </w:p>
    <w:p w14:paraId="7D7DE8B6"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5     1984      1985  0.12012908 0.001978457 Earlier vs Later Treated</w:t>
      </w:r>
    </w:p>
    <w:p w14:paraId="62557C43"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6     1985      1987  0.01021379 0.039569136 Earlier vs Later Treated</w:t>
      </w:r>
    </w:p>
    <w:p w14:paraId="048CF0C8"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9     1986      1987 -0.09374495 0.005440756 Earlier vs Later Treated</w:t>
      </w:r>
    </w:p>
    <w:p w14:paraId="2DFDE559"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10    1984      1987  0.09784857 0.013354583 Earlier vs Later Treated</w:t>
      </w:r>
    </w:p>
    <w:p w14:paraId="0054661F"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 Summary of Early vs. Later, Later vs. Earlier, and Treated vs. Untreated</w:t>
      </w:r>
    </w:p>
    <w:p w14:paraId="40DE5E1F"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bacon_summary(df_bacon)</w:t>
      </w:r>
    </w:p>
    <w:p w14:paraId="2DCDA135"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type  weight  avg_est</w:t>
      </w:r>
    </w:p>
    <w:p w14:paraId="44AE3D3A"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1 Earlier vs Later Treated 0.06353  0.02868</w:t>
      </w:r>
    </w:p>
    <w:p w14:paraId="6B6FC524"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2 Later vs Earlier Treated 0.05265  0.03375</w:t>
      </w:r>
    </w:p>
    <w:p w14:paraId="39EAE592"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kern w:val="0"/>
          <w:lang w:val="en-GB"/>
        </w:rPr>
      </w:pPr>
      <w:r w:rsidRPr="00217022">
        <w:rPr>
          <w:rFonts w:ascii="Courier New" w:hAnsi="Courier New" w:cs="Courier New"/>
          <w:kern w:val="0"/>
          <w:lang w:val="en-GB"/>
        </w:rPr>
        <w:t>#&gt; 3     Treated vs Untreated 0.88382 -0.00129</w:t>
      </w:r>
    </w:p>
    <w:p w14:paraId="0375F6AC" w14:textId="77777777" w:rsidR="00217022" w:rsidRPr="00217022" w:rsidRDefault="00217022" w:rsidP="00217022">
      <w:pPr>
        <w:spacing w:before="120" w:after="0" w:line="264" w:lineRule="auto"/>
        <w:jc w:val="both"/>
        <w:rPr>
          <w:rFonts w:ascii="Times New Roman" w:hAnsi="Times New Roman" w:cs="Times New Roman"/>
          <w:i/>
          <w:iCs/>
        </w:rPr>
      </w:pPr>
      <w:r w:rsidRPr="00217022">
        <w:rPr>
          <w:rFonts w:ascii="Times New Roman" w:hAnsi="Times New Roman" w:cs="Times New Roman"/>
          <w:i/>
          <w:iCs/>
          <w:lang w:val="en-GB"/>
        </w:rPr>
        <w:t>Źródło:</w:t>
      </w:r>
      <w:r w:rsidRPr="00217022">
        <w:rPr>
          <w:lang w:val="en-GB"/>
        </w:rPr>
        <w:t xml:space="preserve"> </w:t>
      </w:r>
      <w:r w:rsidRPr="00217022">
        <w:rPr>
          <w:rFonts w:ascii="Times New Roman" w:hAnsi="Times New Roman" w:cs="Times New Roman"/>
          <w:i/>
          <w:iCs/>
          <w:lang w:val="en-GB"/>
        </w:rPr>
        <w:t xml:space="preserve">Flack i Jee E. </w:t>
      </w:r>
      <w:hyperlink r:id="rId270" w:history="1">
        <w:r w:rsidRPr="00217022">
          <w:rPr>
            <w:rFonts w:ascii="Times New Roman" w:hAnsi="Times New Roman" w:cs="Times New Roman"/>
            <w:i/>
            <w:iCs/>
            <w:color w:val="467886" w:themeColor="hyperlink"/>
            <w:u w:val="single"/>
          </w:rPr>
          <w:t>https://github.com/evanjflack/bacondecomp?tab=readme-ov-file</w:t>
        </w:r>
      </w:hyperlink>
      <w:r w:rsidRPr="00217022">
        <w:rPr>
          <w:rFonts w:ascii="Times New Roman" w:hAnsi="Times New Roman" w:cs="Times New Roman"/>
          <w:i/>
          <w:iCs/>
        </w:rPr>
        <w:t xml:space="preserve"> (data dostępu 01.09.2024).</w:t>
      </w:r>
    </w:p>
    <w:p w14:paraId="5F84D5C9" w14:textId="77777777" w:rsidR="00217022" w:rsidRPr="00217022" w:rsidRDefault="00217022" w:rsidP="00217022">
      <w:pPr>
        <w:spacing w:after="0" w:line="264" w:lineRule="auto"/>
        <w:ind w:firstLine="709"/>
        <w:jc w:val="both"/>
        <w:rPr>
          <w:rFonts w:ascii="Times New Roman" w:hAnsi="Times New Roman" w:cs="Times New Roman"/>
          <w:sz w:val="28"/>
          <w:szCs w:val="28"/>
        </w:rPr>
      </w:pPr>
    </w:p>
    <w:p w14:paraId="060A6DCB" w14:textId="1072F86F"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lastRenderedPageBreak/>
        <w:t>Wykorzystana funkcja bacon</w:t>
      </w:r>
      <w:r w:rsidR="00E44B5B">
        <w:rPr>
          <w:rFonts w:ascii="Times New Roman" w:hAnsi="Times New Roman" w:cs="Times New Roman"/>
          <w:sz w:val="28"/>
          <w:szCs w:val="28"/>
        </w:rPr>
        <w:t xml:space="preserve"> </w:t>
      </w:r>
      <w:r w:rsidRPr="00217022">
        <w:rPr>
          <w:rFonts w:ascii="Times New Roman" w:hAnsi="Times New Roman" w:cs="Times New Roman"/>
          <w:sz w:val="28"/>
          <w:szCs w:val="28"/>
        </w:rPr>
        <w:t>(</w:t>
      </w:r>
      <w:r w:rsidR="00E44B5B" w:rsidRPr="00E44B5B">
        <w:rPr>
          <w:rFonts w:ascii="Calibri" w:hAnsi="Calibri" w:cs="Calibri"/>
          <w:sz w:val="18"/>
          <w:szCs w:val="18"/>
        </w:rPr>
        <w:t>•</w:t>
      </w:r>
      <w:r w:rsidRPr="00217022">
        <w:rPr>
          <w:rFonts w:ascii="Times New Roman" w:hAnsi="Times New Roman" w:cs="Times New Roman"/>
          <w:sz w:val="28"/>
          <w:szCs w:val="28"/>
        </w:rPr>
        <w:t xml:space="preserve">) pozwala na dekompozycję wpływu reformy edukacji w poszczególnych stanach USA na przyszłe zarobki uczniów jako efektu zmian w edukacji w sytuacji implementacji reformy w różniących się okresach (oblicza wszystkie możliwe różnice w różnicach i stosowne wagi). </w:t>
      </w:r>
    </w:p>
    <w:p w14:paraId="5922BC31" w14:textId="0A0756BF" w:rsidR="00217022" w:rsidRPr="00217022" w:rsidRDefault="00FC6E62" w:rsidP="00217022">
      <w:pPr>
        <w:spacing w:after="120" w:line="264" w:lineRule="auto"/>
        <w:ind w:firstLine="709"/>
        <w:jc w:val="both"/>
        <w:rPr>
          <w:rFonts w:ascii="Times New Roman" w:hAnsi="Times New Roman" w:cs="Times New Roman"/>
          <w:sz w:val="28"/>
          <w:szCs w:val="28"/>
        </w:rPr>
      </w:pPr>
      <w:r w:rsidRPr="00217022">
        <w:rPr>
          <w:rFonts w:ascii="Times New Roman" w:hAnsi="Times New Roman" w:cs="Times New Roman"/>
          <w:noProof/>
          <w:sz w:val="28"/>
          <w:szCs w:val="28"/>
        </w:rPr>
        <mc:AlternateContent>
          <mc:Choice Requires="wps">
            <w:drawing>
              <wp:anchor distT="0" distB="0" distL="114300" distR="114300" simplePos="0" relativeHeight="251776000" behindDoc="0" locked="0" layoutInCell="1" allowOverlap="1" wp14:anchorId="01F0AE96" wp14:editId="4129D65E">
                <wp:simplePos x="0" y="0"/>
                <wp:positionH relativeFrom="margin">
                  <wp:posOffset>3552190</wp:posOffset>
                </wp:positionH>
                <wp:positionV relativeFrom="paragraph">
                  <wp:posOffset>3394075</wp:posOffset>
                </wp:positionV>
                <wp:extent cx="342900" cy="1447800"/>
                <wp:effectExtent l="609600" t="0" r="609600" b="0"/>
                <wp:wrapNone/>
                <wp:docPr id="1025034191" name="Nawias klamrowy zamykający 160"/>
                <wp:cNvGraphicFramePr/>
                <a:graphic xmlns:a="http://schemas.openxmlformats.org/drawingml/2006/main">
                  <a:graphicData uri="http://schemas.microsoft.com/office/word/2010/wordprocessingShape">
                    <wps:wsp>
                      <wps:cNvSpPr/>
                      <wps:spPr>
                        <a:xfrm flipV="1">
                          <a:off x="0" y="0"/>
                          <a:ext cx="342900" cy="1447800"/>
                        </a:xfrm>
                        <a:prstGeom prst="rightBrace">
                          <a:avLst>
                            <a:gd name="adj1" fmla="val 8333"/>
                            <a:gd name="adj2" fmla="val 50000"/>
                          </a:avLst>
                        </a:prstGeom>
                        <a:noFill/>
                        <a:ln w="6350" cap="flat" cmpd="sng" algn="ctr">
                          <a:solidFill>
                            <a:srgbClr val="156082"/>
                          </a:solidFill>
                          <a:prstDash val="solid"/>
                          <a:miter lim="800000"/>
                        </a:ln>
                        <a:effectLst/>
                        <a:scene3d>
                          <a:camera prst="orthographicFront">
                            <a:rot lat="0" lon="0" rev="16200000"/>
                          </a:camera>
                          <a:lightRig rig="threePt" dir="t"/>
                        </a:scene3d>
                        <a:sp3d extrusionH="25400"/>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a:flatTx/>
                      </wps:bodyPr>
                    </wps:wsp>
                  </a:graphicData>
                </a:graphic>
                <wp14:sizeRelH relativeFrom="margin">
                  <wp14:pctWidth>0</wp14:pctWidth>
                </wp14:sizeRelH>
                <wp14:sizeRelV relativeFrom="margin">
                  <wp14:pctHeight>0</wp14:pctHeight>
                </wp14:sizeRelV>
              </wp:anchor>
            </w:drawing>
          </mc:Choice>
          <mc:Fallback>
            <w:pict>
              <v:shape w14:anchorId="69A740D3" id="Nawias klamrowy zamykający 160" o:spid="_x0000_s1026" type="#_x0000_t88" style="position:absolute;margin-left:279.7pt;margin-top:267.25pt;width:27pt;height:114pt;flip:y;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" adj="426" strokecolor="#156082" strokeweight=".5pt">
                <v:stroke joinstyle="miter"/>
                <w10:wrap anchorx="margin"/>
              </v:shape>
            </w:pict>
          </mc:Fallback>
        </mc:AlternateContent>
      </w:r>
      <w:r w:rsidRPr="00217022">
        <w:rPr>
          <w:rFonts w:ascii="Times New Roman" w:hAnsi="Times New Roman" w:cs="Times New Roman"/>
          <w:noProof/>
          <w:sz w:val="28"/>
          <w:szCs w:val="28"/>
        </w:rPr>
        <mc:AlternateContent>
          <mc:Choice Requires="wps">
            <w:drawing>
              <wp:anchor distT="0" distB="0" distL="114300" distR="114300" simplePos="0" relativeHeight="251774976" behindDoc="0" locked="0" layoutInCell="1" allowOverlap="1" wp14:anchorId="39E1DE14" wp14:editId="7FDAC9CD">
                <wp:simplePos x="0" y="0"/>
                <wp:positionH relativeFrom="margin">
                  <wp:posOffset>1886585</wp:posOffset>
                </wp:positionH>
                <wp:positionV relativeFrom="paragraph">
                  <wp:posOffset>3395345</wp:posOffset>
                </wp:positionV>
                <wp:extent cx="342900" cy="1447800"/>
                <wp:effectExtent l="609600" t="0" r="609600" b="0"/>
                <wp:wrapNone/>
                <wp:docPr id="24011524" name="Nawias klamrowy zamykający 160"/>
                <wp:cNvGraphicFramePr/>
                <a:graphic xmlns:a="http://schemas.openxmlformats.org/drawingml/2006/main">
                  <a:graphicData uri="http://schemas.microsoft.com/office/word/2010/wordprocessingShape">
                    <wps:wsp>
                      <wps:cNvSpPr/>
                      <wps:spPr>
                        <a:xfrm flipV="1">
                          <a:off x="0" y="0"/>
                          <a:ext cx="342900" cy="1447800"/>
                        </a:xfrm>
                        <a:prstGeom prst="rightBrace">
                          <a:avLst>
                            <a:gd name="adj1" fmla="val 8333"/>
                            <a:gd name="adj2" fmla="val 50000"/>
                          </a:avLst>
                        </a:prstGeom>
                        <a:noFill/>
                        <a:ln w="6350" cap="flat" cmpd="sng" algn="ctr">
                          <a:solidFill>
                            <a:srgbClr val="156082"/>
                          </a:solidFill>
                          <a:prstDash val="solid"/>
                          <a:miter lim="800000"/>
                        </a:ln>
                        <a:effectLst/>
                        <a:scene3d>
                          <a:camera prst="orthographicFront">
                            <a:rot lat="0" lon="0" rev="16200000"/>
                          </a:camera>
                          <a:lightRig rig="threePt" dir="t"/>
                        </a:scene3d>
                        <a:sp3d extrusionH="25400"/>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a:flatTx/>
                      </wps:bodyPr>
                    </wps:wsp>
                  </a:graphicData>
                </a:graphic>
                <wp14:sizeRelH relativeFrom="margin">
                  <wp14:pctWidth>0</wp14:pctWidth>
                </wp14:sizeRelH>
                <wp14:sizeRelV relativeFrom="margin">
                  <wp14:pctHeight>0</wp14:pctHeight>
                </wp14:sizeRelV>
              </wp:anchor>
            </w:drawing>
          </mc:Choice>
          <mc:Fallback>
            <w:pict>
              <v:shape w14:anchorId="7BD5183F" id="Nawias klamrowy zamykający 160" o:spid="_x0000_s1026" type="#_x0000_t88" style="position:absolute;margin-left:148.55pt;margin-top:267.35pt;width:27pt;height:114pt;flip:y;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" adj="426" strokecolor="#156082" strokeweight=".5pt">
                <v:stroke joinstyle="miter"/>
                <w10:wrap anchorx="margin"/>
              </v:shape>
            </w:pict>
          </mc:Fallback>
        </mc:AlternateContent>
      </w:r>
      <w:r w:rsidR="00217022" w:rsidRPr="00217022">
        <w:rPr>
          <w:rFonts w:ascii="Times New Roman" w:hAnsi="Times New Roman" w:cs="Times New Roman"/>
          <w:sz w:val="28"/>
          <w:szCs w:val="28"/>
        </w:rPr>
        <w:t xml:space="preserve">Sposób na wyeliminowanie ujemnych wag w takiej sytuacji znaleźli między innymi Callaway and Sant’Anna (2021) oraz Borusyak i in. (2024). Identyfikowali oni potencjalne ich źródło we wzajemnych porównaniach wyników podgrup obejmujących jednostki poddane interwencji w różnych okresach czasu, a więc wybranych elementach dekompozycji Goodmana-Bacona (w naszym przykładzie przy szacowaniu wag dla </w:t>
      </w:r>
      <m:oMath>
        <m:sSubSup>
          <m:sSubSupPr>
            <m:ctrlPr>
              <w:rPr>
                <w:rFonts w:ascii="Cambria Math" w:hAnsi="Cambria Math" w:cs="Times New Roman"/>
                <w:i/>
                <w:sz w:val="28"/>
                <w:szCs w:val="28"/>
              </w:rPr>
            </m:ctrlPr>
          </m:sSubSupPr>
          <m:e>
            <m:r>
              <w:rPr>
                <w:rFonts w:ascii="Cambria Math" w:hAnsi="Cambria Math" w:cs="Times New Roman"/>
                <w:sz w:val="28"/>
                <w:szCs w:val="28"/>
              </w:rPr>
              <m:t>β</m:t>
            </m:r>
          </m:e>
          <m:sub>
            <m:r>
              <w:rPr>
                <w:rFonts w:ascii="Cambria Math" w:hAnsi="Cambria Math" w:cs="Times New Roman"/>
                <w:sz w:val="28"/>
                <w:szCs w:val="28"/>
              </w:rPr>
              <m:t>kl</m:t>
            </m:r>
          </m:sub>
          <m:sup>
            <m:r>
              <w:rPr>
                <w:rFonts w:ascii="Cambria Math" w:hAnsi="Cambria Math" w:cs="Times New Roman"/>
                <w:sz w:val="28"/>
                <w:szCs w:val="28"/>
              </w:rPr>
              <m:t>2*2,k</m:t>
            </m:r>
          </m:sup>
        </m:sSubSup>
      </m:oMath>
      <w:r w:rsidR="00217022" w:rsidRPr="00217022">
        <w:rPr>
          <w:rFonts w:ascii="Times New Roman" w:hAnsi="Times New Roman" w:cs="Times New Roman"/>
          <w:sz w:val="28"/>
          <w:szCs w:val="28"/>
        </w:rPr>
        <w:t xml:space="preserve">oraz dla  </w:t>
      </w:r>
      <m:oMath>
        <m:sSubSup>
          <m:sSubSupPr>
            <m:ctrlPr>
              <w:rPr>
                <w:rFonts w:ascii="Cambria Math" w:hAnsi="Cambria Math" w:cs="Times New Roman"/>
                <w:i/>
                <w:sz w:val="28"/>
                <w:szCs w:val="28"/>
              </w:rPr>
            </m:ctrlPr>
          </m:sSubSupPr>
          <m:e>
            <m:r>
              <w:rPr>
                <w:rFonts w:ascii="Cambria Math" w:hAnsi="Cambria Math" w:cs="Times New Roman"/>
                <w:sz w:val="28"/>
                <w:szCs w:val="28"/>
              </w:rPr>
              <m:t>β</m:t>
            </m:r>
          </m:e>
          <m:sub>
            <m:r>
              <w:rPr>
                <w:rFonts w:ascii="Cambria Math" w:hAnsi="Cambria Math" w:cs="Times New Roman"/>
                <w:sz w:val="28"/>
                <w:szCs w:val="28"/>
              </w:rPr>
              <m:t>kl</m:t>
            </m:r>
          </m:sub>
          <m:sup>
            <m:r>
              <w:rPr>
                <w:rFonts w:ascii="Cambria Math" w:hAnsi="Cambria Math" w:cs="Times New Roman"/>
                <w:sz w:val="28"/>
                <w:szCs w:val="28"/>
              </w:rPr>
              <m:t>2*2,l</m:t>
            </m:r>
          </m:sup>
        </m:sSubSup>
      </m:oMath>
      <w:r w:rsidR="00217022" w:rsidRPr="00217022">
        <w:rPr>
          <w:rFonts w:ascii="Times New Roman" w:eastAsiaTheme="minorEastAsia" w:hAnsi="Times New Roman" w:cs="Times New Roman"/>
          <w:sz w:val="28"/>
          <w:szCs w:val="28"/>
        </w:rPr>
        <w:t xml:space="preserve">). </w:t>
      </w:r>
      <w:r w:rsidR="00217022" w:rsidRPr="00217022">
        <w:rPr>
          <w:rFonts w:ascii="Times New Roman" w:hAnsi="Times New Roman" w:cs="Times New Roman"/>
          <w:sz w:val="28"/>
          <w:szCs w:val="28"/>
        </w:rPr>
        <w:t xml:space="preserve">Wskazali również, że te wzajemne porównanie odpowiadają za zmianę efektu interwencji w czasie (dynamikę), która wpływa na miarę syntetyczną, powodując problem z interpretacją przyczynowości. W celu wyeliminowania tego problemu Callaway and Sant’Anna (2021) zaproponowali zmienione podejście poprzez uwzględnienie kaskadowe wyników i wykonanie obliczeń w każdej kohorcie czasowej. Jednocześnie </w:t>
      </w:r>
      <w:r w:rsidR="0064729F">
        <w:rPr>
          <w:rFonts w:ascii="Times New Roman" w:hAnsi="Times New Roman" w:cs="Times New Roman"/>
          <w:sz w:val="28"/>
          <w:szCs w:val="28"/>
        </w:rPr>
        <w:t>po</w:t>
      </w:r>
      <w:r w:rsidR="00217022" w:rsidRPr="00217022">
        <w:rPr>
          <w:rFonts w:ascii="Times New Roman" w:hAnsi="Times New Roman" w:cs="Times New Roman"/>
          <w:sz w:val="28"/>
          <w:szCs w:val="28"/>
        </w:rPr>
        <w:t>dzielili wyniki dla grup poddanych interwencji na dwa zbiory, a mianowicie: na okresy (wyniki) przed uruchomieniem interwencji (od uruchomienia interwencji w jakiekolwiek podgrupie do momentu jej uruchomienia w badanej podgrupie) oraz okres po uruchomieniu interwencji w danej podgrupie. Tak więc, dla jednostek poddanych interwencji wynik Y</w:t>
      </w:r>
      <w:r w:rsidR="00217022" w:rsidRPr="00217022">
        <w:rPr>
          <w:rFonts w:ascii="Times New Roman" w:hAnsi="Times New Roman" w:cs="Times New Roman"/>
          <w:sz w:val="28"/>
          <w:szCs w:val="28"/>
          <w:vertAlign w:val="subscript"/>
        </w:rPr>
        <w:t xml:space="preserve">it </w:t>
      </w:r>
      <w:r w:rsidR="00217022" w:rsidRPr="00217022">
        <w:rPr>
          <w:rFonts w:ascii="Times New Roman" w:hAnsi="Times New Roman" w:cs="Times New Roman"/>
          <w:sz w:val="28"/>
          <w:szCs w:val="28"/>
        </w:rPr>
        <w:t xml:space="preserve">przyjmuje wartość: </w:t>
      </w:r>
    </w:p>
    <w:p w14:paraId="249A8D87" w14:textId="77777777" w:rsidR="00217022" w:rsidRPr="00217022" w:rsidRDefault="00217022" w:rsidP="00217022">
      <w:pPr>
        <w:jc w:val="center"/>
        <w:rPr>
          <w:rFonts w:ascii="Times New Roman" w:eastAsiaTheme="minorEastAsia" w:hAnsi="Times New Roman" w:cs="Times New Roman"/>
          <w:sz w:val="28"/>
          <w:szCs w:val="28"/>
          <w:lang w:val="en-GB"/>
        </w:rPr>
      </w:pPr>
      <m:oMath>
        <m:r>
          <m:rPr>
            <m:sty m:val="p"/>
          </m:rPr>
          <w:rPr>
            <w:rFonts w:ascii="Cambria Math" w:hAnsi="Cambria Math" w:cs="Times New Roman"/>
            <w:sz w:val="28"/>
            <w:szCs w:val="28"/>
            <w:lang w:val="en-GB"/>
          </w:rPr>
          <m:t>Y</m:t>
        </m:r>
      </m:oMath>
      <w:r w:rsidRPr="00217022">
        <w:rPr>
          <w:rFonts w:ascii="Times New Roman" w:hAnsi="Times New Roman" w:cs="Times New Roman"/>
          <w:sz w:val="28"/>
          <w:szCs w:val="28"/>
          <w:vertAlign w:val="subscript"/>
          <w:lang w:val="en-GB"/>
        </w:rPr>
        <w:t>it</w:t>
      </w:r>
      <w:r w:rsidRPr="00217022">
        <w:rPr>
          <w:rFonts w:ascii="Times New Roman" w:hAnsi="Times New Roman" w:cs="Times New Roman"/>
          <w:sz w:val="28"/>
          <w:szCs w:val="28"/>
          <w:lang w:val="en-GB"/>
        </w:rPr>
        <w:t xml:space="preserve"> = </w:t>
      </w:r>
      <m:oMath>
        <m:r>
          <w:rPr>
            <w:rFonts w:ascii="Cambria Math" w:hAnsi="Cambria Math" w:cs="Times New Roman"/>
            <w:sz w:val="28"/>
            <w:szCs w:val="28"/>
            <w:lang w:val="en-GB"/>
          </w:rPr>
          <m:t>1</m:t>
        </m:r>
        <m:d>
          <m:dPr>
            <m:begChr m:val="{"/>
            <m:endChr m:val="}"/>
            <m:ctrlPr>
              <w:rPr>
                <w:rFonts w:ascii="Cambria Math" w:hAnsi="Cambria Math" w:cs="Times New Roman"/>
                <w:i/>
                <w:sz w:val="28"/>
                <w:szCs w:val="28"/>
                <w:lang w:val="en-GB"/>
              </w:rPr>
            </m:ctrlPr>
          </m:dPr>
          <m:e>
            <m:sSub>
              <m:sSubPr>
                <m:ctrlPr>
                  <w:rPr>
                    <w:rFonts w:ascii="Cambria Math" w:hAnsi="Cambria Math" w:cs="Times New Roman"/>
                    <w:i/>
                    <w:sz w:val="28"/>
                    <w:szCs w:val="28"/>
                    <w:lang w:val="en-GB"/>
                  </w:rPr>
                </m:ctrlPr>
              </m:sSubPr>
              <m:e>
                <m:r>
                  <w:rPr>
                    <w:rFonts w:ascii="Cambria Math" w:hAnsi="Cambria Math" w:cs="Times New Roman"/>
                    <w:sz w:val="28"/>
                    <w:szCs w:val="28"/>
                    <w:lang w:val="en-GB"/>
                  </w:rPr>
                  <m:t>G</m:t>
                </m:r>
              </m:e>
              <m:sub>
                <m:r>
                  <w:rPr>
                    <w:rFonts w:ascii="Cambria Math" w:hAnsi="Cambria Math" w:cs="Times New Roman"/>
                    <w:sz w:val="28"/>
                    <w:szCs w:val="28"/>
                    <w:lang w:val="en-GB"/>
                  </w:rPr>
                  <m:t>i</m:t>
                </m:r>
              </m:sub>
            </m:sSub>
            <m:r>
              <w:rPr>
                <w:rFonts w:ascii="Cambria Math" w:hAnsi="Cambria Math" w:cs="Times New Roman"/>
                <w:sz w:val="28"/>
                <w:szCs w:val="28"/>
                <w:lang w:val="en-GB"/>
              </w:rPr>
              <m:t>&gt;t</m:t>
            </m:r>
          </m:e>
        </m:d>
        <m:r>
          <w:rPr>
            <w:rFonts w:ascii="Cambria Math" w:hAnsi="Cambria Math" w:cs="Times New Roman"/>
            <w:sz w:val="28"/>
            <w:szCs w:val="28"/>
            <w:lang w:val="en-GB"/>
          </w:rPr>
          <m:t xml:space="preserve"> </m:t>
        </m:r>
        <m:sSub>
          <m:sSubPr>
            <m:ctrlPr>
              <w:rPr>
                <w:rFonts w:ascii="Cambria Math" w:hAnsi="Cambria Math" w:cs="Times New Roman"/>
                <w:sz w:val="28"/>
                <w:szCs w:val="28"/>
                <w:lang w:val="en-GB"/>
              </w:rPr>
            </m:ctrlPr>
          </m:sSubPr>
          <m:e>
            <m:r>
              <w:rPr>
                <w:rFonts w:ascii="Cambria Math" w:hAnsi="Cambria Math" w:cs="Times New Roman"/>
                <w:sz w:val="28"/>
                <w:szCs w:val="28"/>
                <w:lang w:val="en-GB"/>
              </w:rPr>
              <m:t>Y</m:t>
            </m:r>
          </m:e>
          <m:sub>
            <m:r>
              <w:rPr>
                <w:rFonts w:ascii="Cambria Math" w:hAnsi="Cambria Math" w:cs="Times New Roman"/>
                <w:sz w:val="28"/>
                <w:szCs w:val="28"/>
                <w:lang w:val="en-GB"/>
              </w:rPr>
              <m:t>it</m:t>
            </m:r>
          </m:sub>
        </m:sSub>
        <m:r>
          <m:rPr>
            <m:sty m:val="p"/>
          </m:rPr>
          <w:rPr>
            <w:rFonts w:ascii="Cambria Math" w:hAnsi="Cambria Math" w:cs="Times New Roman"/>
            <w:sz w:val="28"/>
            <w:szCs w:val="28"/>
            <w:lang w:val="en-GB"/>
          </w:rPr>
          <m:t>*</m:t>
        </m:r>
        <m:d>
          <m:dPr>
            <m:ctrlPr>
              <w:rPr>
                <w:rFonts w:ascii="Cambria Math" w:hAnsi="Cambria Math" w:cs="Times New Roman"/>
                <w:sz w:val="28"/>
                <w:szCs w:val="28"/>
                <w:lang w:val="en-GB"/>
              </w:rPr>
            </m:ctrlPr>
          </m:dPr>
          <m:e>
            <m:r>
              <m:rPr>
                <m:sty m:val="p"/>
              </m:rPr>
              <w:rPr>
                <w:rFonts w:ascii="Cambria Math" w:hAnsi="Cambria Math" w:cs="Times New Roman"/>
                <w:sz w:val="28"/>
                <w:szCs w:val="28"/>
                <w:lang w:val="en-GB"/>
              </w:rPr>
              <m:t>0</m:t>
            </m:r>
          </m:e>
        </m:d>
        <m:r>
          <m:rPr>
            <m:sty m:val="p"/>
          </m:rPr>
          <w:rPr>
            <w:rFonts w:ascii="Cambria Math" w:hAnsi="Cambria Math" w:cs="Times New Roman"/>
            <w:sz w:val="28"/>
            <w:szCs w:val="28"/>
            <w:lang w:val="en-GB"/>
          </w:rPr>
          <m:t>+</m:t>
        </m:r>
        <m:r>
          <w:rPr>
            <w:rFonts w:ascii="Cambria Math" w:hAnsi="Cambria Math" w:cs="Times New Roman"/>
            <w:sz w:val="28"/>
            <w:szCs w:val="28"/>
            <w:lang w:val="en-GB"/>
          </w:rPr>
          <m:t>1</m:t>
        </m:r>
        <m:d>
          <m:dPr>
            <m:begChr m:val="{"/>
            <m:endChr m:val="}"/>
            <m:ctrlPr>
              <w:rPr>
                <w:rFonts w:ascii="Cambria Math" w:hAnsi="Cambria Math" w:cs="Times New Roman"/>
                <w:i/>
                <w:sz w:val="28"/>
                <w:szCs w:val="28"/>
                <w:lang w:val="en-GB"/>
              </w:rPr>
            </m:ctrlPr>
          </m:dPr>
          <m:e>
            <m:sSub>
              <m:sSubPr>
                <m:ctrlPr>
                  <w:rPr>
                    <w:rFonts w:ascii="Cambria Math" w:hAnsi="Cambria Math" w:cs="Times New Roman"/>
                    <w:i/>
                    <w:sz w:val="28"/>
                    <w:szCs w:val="28"/>
                    <w:lang w:val="en-GB"/>
                  </w:rPr>
                </m:ctrlPr>
              </m:sSubPr>
              <m:e>
                <m:r>
                  <w:rPr>
                    <w:rFonts w:ascii="Cambria Math" w:hAnsi="Cambria Math" w:cs="Times New Roman"/>
                    <w:sz w:val="28"/>
                    <w:szCs w:val="28"/>
                    <w:lang w:val="en-GB"/>
                  </w:rPr>
                  <m:t>G</m:t>
                </m:r>
              </m:e>
              <m:sub>
                <m:r>
                  <w:rPr>
                    <w:rFonts w:ascii="Cambria Math" w:hAnsi="Cambria Math" w:cs="Times New Roman"/>
                    <w:sz w:val="28"/>
                    <w:szCs w:val="28"/>
                    <w:lang w:val="en-GB"/>
                  </w:rPr>
                  <m:t>i</m:t>
                </m:r>
              </m:sub>
            </m:sSub>
            <m:r>
              <w:rPr>
                <w:rFonts w:ascii="Cambria Math" w:hAnsi="Cambria Math" w:cs="Times New Roman"/>
                <w:sz w:val="28"/>
                <w:szCs w:val="28"/>
                <w:lang w:val="en-GB"/>
              </w:rPr>
              <m:t>&lt;t</m:t>
            </m:r>
          </m:e>
        </m:d>
        <m:r>
          <w:rPr>
            <w:rFonts w:ascii="Cambria Math" w:hAnsi="Cambria Math" w:cs="Times New Roman"/>
            <w:sz w:val="28"/>
            <w:szCs w:val="28"/>
            <w:lang w:val="en-GB"/>
          </w:rPr>
          <m:t xml:space="preserve"> </m:t>
        </m:r>
        <m:sSub>
          <m:sSubPr>
            <m:ctrlPr>
              <w:rPr>
                <w:rFonts w:ascii="Cambria Math" w:hAnsi="Cambria Math" w:cs="Times New Roman"/>
                <w:sz w:val="28"/>
                <w:szCs w:val="28"/>
                <w:lang w:val="en-GB"/>
              </w:rPr>
            </m:ctrlPr>
          </m:sSubPr>
          <m:e>
            <m:r>
              <w:rPr>
                <w:rFonts w:ascii="Cambria Math" w:hAnsi="Cambria Math" w:cs="Times New Roman"/>
                <w:sz w:val="28"/>
                <w:szCs w:val="28"/>
                <w:lang w:val="en-GB"/>
              </w:rPr>
              <m:t>Y</m:t>
            </m:r>
          </m:e>
          <m:sub>
            <m:r>
              <w:rPr>
                <w:rFonts w:ascii="Cambria Math" w:hAnsi="Cambria Math" w:cs="Times New Roman"/>
                <w:sz w:val="28"/>
                <w:szCs w:val="28"/>
                <w:lang w:val="en-GB"/>
              </w:rPr>
              <m:t>it</m:t>
            </m:r>
          </m:sub>
        </m:sSub>
        <m:r>
          <w:rPr>
            <w:rFonts w:ascii="Cambria Math" w:hAnsi="Cambria Math" w:cs="Times New Roman"/>
            <w:sz w:val="28"/>
            <w:szCs w:val="28"/>
            <w:lang w:val="en-GB"/>
          </w:rPr>
          <m:t xml:space="preserve">( </m:t>
        </m:r>
        <m:sSub>
          <m:sSubPr>
            <m:ctrlPr>
              <w:rPr>
                <w:rFonts w:ascii="Cambria Math" w:hAnsi="Cambria Math" w:cs="Times New Roman"/>
                <w:i/>
                <w:sz w:val="28"/>
                <w:szCs w:val="28"/>
                <w:lang w:val="en-GB"/>
              </w:rPr>
            </m:ctrlPr>
          </m:sSubPr>
          <m:e>
            <m:r>
              <w:rPr>
                <w:rFonts w:ascii="Cambria Math" w:hAnsi="Cambria Math" w:cs="Times New Roman"/>
                <w:sz w:val="28"/>
                <w:szCs w:val="28"/>
                <w:lang w:val="en-GB"/>
              </w:rPr>
              <m:t>G</m:t>
            </m:r>
          </m:e>
          <m:sub>
            <m:r>
              <w:rPr>
                <w:rFonts w:ascii="Cambria Math" w:hAnsi="Cambria Math" w:cs="Times New Roman"/>
                <w:sz w:val="28"/>
                <w:szCs w:val="28"/>
                <w:lang w:val="en-GB"/>
              </w:rPr>
              <m:t>i</m:t>
            </m:r>
          </m:sub>
        </m:sSub>
      </m:oMath>
      <w:r w:rsidRPr="00217022">
        <w:rPr>
          <w:rFonts w:ascii="Times New Roman" w:eastAsiaTheme="minorEastAsia" w:hAnsi="Times New Roman" w:cs="Times New Roman"/>
          <w:sz w:val="28"/>
          <w:szCs w:val="28"/>
          <w:lang w:val="en-GB"/>
        </w:rPr>
        <w:t>)</w:t>
      </w:r>
    </w:p>
    <w:p w14:paraId="583432D5" w14:textId="77777777" w:rsidR="00217022" w:rsidRPr="00217022" w:rsidRDefault="00217022" w:rsidP="00217022">
      <w:pPr>
        <w:spacing w:after="0" w:line="264" w:lineRule="auto"/>
        <w:ind w:left="1560" w:hanging="1276"/>
        <w:jc w:val="both"/>
        <w:rPr>
          <w:rFonts w:ascii="Times New Roman" w:hAnsi="Times New Roman" w:cs="Times New Roman"/>
          <w:i/>
          <w:iCs/>
          <w:sz w:val="26"/>
          <w:szCs w:val="26"/>
          <w:lang w:val="en-GB"/>
        </w:rPr>
      </w:pPr>
    </w:p>
    <w:p w14:paraId="658EF775" w14:textId="77777777" w:rsidR="00217022" w:rsidRPr="00217022" w:rsidRDefault="00217022" w:rsidP="00217022">
      <w:pPr>
        <w:tabs>
          <w:tab w:val="left" w:pos="5245"/>
        </w:tabs>
        <w:spacing w:after="0" w:line="264" w:lineRule="auto"/>
        <w:ind w:left="1560" w:firstLine="850"/>
        <w:jc w:val="both"/>
        <w:rPr>
          <w:rFonts w:ascii="Times New Roman" w:hAnsi="Times New Roman" w:cs="Times New Roman"/>
          <w:i/>
          <w:iCs/>
        </w:rPr>
      </w:pPr>
      <w:r w:rsidRPr="00217022">
        <w:rPr>
          <w:rFonts w:ascii="Times New Roman" w:hAnsi="Times New Roman" w:cs="Times New Roman"/>
          <w:i/>
          <w:iCs/>
        </w:rPr>
        <w:t xml:space="preserve">przed uruchomieniem </w:t>
      </w:r>
      <w:r w:rsidRPr="00217022">
        <w:rPr>
          <w:rFonts w:ascii="Times New Roman" w:hAnsi="Times New Roman" w:cs="Times New Roman"/>
          <w:i/>
          <w:iCs/>
        </w:rPr>
        <w:tab/>
        <w:t>po uruchomieniu interwencji</w:t>
      </w:r>
    </w:p>
    <w:p w14:paraId="38B83ACA" w14:textId="77777777" w:rsidR="00217022" w:rsidRPr="00217022" w:rsidRDefault="00217022" w:rsidP="00217022">
      <w:pPr>
        <w:tabs>
          <w:tab w:val="left" w:pos="5670"/>
        </w:tabs>
        <w:spacing w:after="0" w:line="264" w:lineRule="auto"/>
        <w:ind w:left="1560" w:firstLine="850"/>
        <w:jc w:val="both"/>
        <w:rPr>
          <w:rFonts w:ascii="Times New Roman" w:hAnsi="Times New Roman" w:cs="Times New Roman"/>
          <w:i/>
          <w:iCs/>
        </w:rPr>
      </w:pPr>
      <w:r w:rsidRPr="00217022">
        <w:rPr>
          <w:rFonts w:ascii="Times New Roman" w:hAnsi="Times New Roman" w:cs="Times New Roman"/>
          <w:i/>
          <w:iCs/>
        </w:rPr>
        <w:t>interwencji w podgrupie</w:t>
      </w:r>
      <w:r w:rsidRPr="00217022">
        <w:rPr>
          <w:rFonts w:ascii="Times New Roman" w:hAnsi="Times New Roman" w:cs="Times New Roman"/>
          <w:i/>
          <w:iCs/>
        </w:rPr>
        <w:tab/>
        <w:t xml:space="preserve">w podgrupie </w:t>
      </w:r>
    </w:p>
    <w:p w14:paraId="0EB437D2" w14:textId="77777777" w:rsidR="00217022" w:rsidRPr="00217022" w:rsidRDefault="00217022" w:rsidP="00217022">
      <w:pPr>
        <w:spacing w:after="0" w:line="264" w:lineRule="auto"/>
        <w:ind w:left="1560" w:hanging="1276"/>
        <w:jc w:val="both"/>
        <w:rPr>
          <w:rFonts w:ascii="Times New Roman" w:hAnsi="Times New Roman" w:cs="Times New Roman"/>
          <w:sz w:val="28"/>
          <w:szCs w:val="28"/>
        </w:rPr>
      </w:pPr>
    </w:p>
    <w:p w14:paraId="32CE1E00" w14:textId="77777777" w:rsidR="00217022" w:rsidRPr="00217022" w:rsidRDefault="00217022" w:rsidP="00B7562B">
      <w:pPr>
        <w:spacing w:after="0" w:line="264" w:lineRule="auto"/>
        <w:jc w:val="both"/>
        <w:rPr>
          <w:rFonts w:ascii="Times New Roman" w:hAnsi="Times New Roman" w:cs="Times New Roman"/>
          <w:sz w:val="28"/>
          <w:szCs w:val="28"/>
        </w:rPr>
      </w:pPr>
      <w:r w:rsidRPr="00217022">
        <w:rPr>
          <w:rFonts w:ascii="Times New Roman" w:hAnsi="Times New Roman" w:cs="Times New Roman"/>
          <w:sz w:val="28"/>
          <w:szCs w:val="28"/>
        </w:rPr>
        <w:t>gdzie:</w:t>
      </w:r>
      <w:r w:rsidRPr="00217022">
        <w:rPr>
          <w:rFonts w:ascii="Times New Roman" w:hAnsi="Times New Roman" w:cs="Times New Roman"/>
          <w:noProof/>
          <w:sz w:val="28"/>
          <w:szCs w:val="28"/>
        </w:rPr>
        <w:t xml:space="preserve"> </w:t>
      </w:r>
      <m:oMath>
        <m:sSub>
          <m:sSubPr>
            <m:ctrlPr>
              <w:rPr>
                <w:rFonts w:ascii="Cambria Math" w:eastAsia="Aptos" w:hAnsi="Aptos"/>
                <w:i/>
                <w:iCs/>
                <w:sz w:val="28"/>
                <w:szCs w:val="28"/>
              </w:rPr>
            </m:ctrlPr>
          </m:sSubPr>
          <m:e>
            <m:r>
              <w:rPr>
                <w:rFonts w:ascii="Cambria Math" w:eastAsia="Aptos" w:hAnsi="Aptos"/>
                <w:sz w:val="28"/>
                <w:szCs w:val="28"/>
              </w:rPr>
              <m:t>Y</m:t>
            </m:r>
          </m:e>
          <m:sub>
            <m:r>
              <w:rPr>
                <w:rFonts w:ascii="Cambria Math" w:eastAsia="Aptos" w:hAnsi="Aptos"/>
                <w:sz w:val="28"/>
                <w:szCs w:val="28"/>
              </w:rPr>
              <m:t>it</m:t>
            </m:r>
          </m:sub>
        </m:sSub>
      </m:oMath>
      <w:r w:rsidRPr="00217022">
        <w:rPr>
          <w:rFonts w:ascii="Times New Roman" w:hAnsi="Times New Roman" w:cs="Times New Roman"/>
          <w:sz w:val="28"/>
          <w:szCs w:val="28"/>
        </w:rPr>
        <w:t xml:space="preserve"> oznacza wartość cechy wynikowej dla i-te jednostki w czasie</w:t>
      </w:r>
      <w:r w:rsidRPr="00217022">
        <w:rPr>
          <w:rFonts w:ascii="Times New Roman" w:hAnsi="Times New Roman" w:cs="Times New Roman"/>
          <w:i/>
          <w:iCs/>
          <w:sz w:val="28"/>
          <w:szCs w:val="28"/>
        </w:rPr>
        <w:t xml:space="preserve"> t</w:t>
      </w:r>
      <w:r w:rsidRPr="00217022">
        <w:rPr>
          <w:rFonts w:ascii="Times New Roman" w:hAnsi="Times New Roman" w:cs="Times New Roman"/>
          <w:sz w:val="28"/>
          <w:szCs w:val="28"/>
        </w:rPr>
        <w:t xml:space="preserve">; </w:t>
      </w:r>
    </w:p>
    <w:p w14:paraId="2861AE02" w14:textId="77777777" w:rsidR="00217022" w:rsidRPr="00217022" w:rsidRDefault="00000000" w:rsidP="00B7562B">
      <w:pPr>
        <w:spacing w:after="0" w:line="264" w:lineRule="auto"/>
        <w:jc w:val="both"/>
        <w:rPr>
          <w:rFonts w:ascii="Times New Roman" w:hAnsi="Times New Roman" w:cs="Times New Roman"/>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rPr>
              <m:t>G</m:t>
            </m:r>
          </m:e>
          <m:sub>
            <m:r>
              <w:rPr>
                <w:rFonts w:ascii="Cambria Math" w:hAnsi="Cambria Math" w:cs="Times New Roman"/>
                <w:sz w:val="28"/>
                <w:szCs w:val="28"/>
              </w:rPr>
              <m:t>i</m:t>
            </m:r>
          </m:sub>
        </m:sSub>
      </m:oMath>
      <w:r w:rsidR="00217022" w:rsidRPr="00217022">
        <w:rPr>
          <w:rFonts w:ascii="Times New Roman" w:hAnsi="Times New Roman" w:cs="Times New Roman"/>
          <w:sz w:val="28"/>
          <w:szCs w:val="28"/>
        </w:rPr>
        <w:t xml:space="preserve"> – przedział czasu, w którym jednostka i została poddana interwencji; </w:t>
      </w:r>
    </w:p>
    <w:p w14:paraId="465D4B8F" w14:textId="77777777" w:rsidR="00217022" w:rsidRPr="00217022" w:rsidRDefault="00217022" w:rsidP="00B7562B">
      <w:pPr>
        <w:spacing w:after="0" w:line="264" w:lineRule="auto"/>
        <w:jc w:val="both"/>
        <w:rPr>
          <w:rFonts w:ascii="Times New Roman" w:hAnsi="Times New Roman" w:cs="Times New Roman"/>
          <w:sz w:val="28"/>
          <w:szCs w:val="28"/>
        </w:rPr>
      </w:pPr>
      <m:oMath>
        <m:r>
          <w:rPr>
            <w:rFonts w:ascii="Cambria Math" w:hAnsi="Cambria Math" w:cs="Times New Roman"/>
            <w:sz w:val="28"/>
            <w:szCs w:val="28"/>
          </w:rPr>
          <m:t>*</m:t>
        </m:r>
        <m:d>
          <m:dPr>
            <m:ctrlPr>
              <w:rPr>
                <w:rFonts w:ascii="Cambria Math" w:hAnsi="Cambria Math" w:cs="Times New Roman"/>
                <w:i/>
                <w:iCs/>
                <w:sz w:val="28"/>
                <w:szCs w:val="28"/>
                <w:lang w:val="en-GB"/>
              </w:rPr>
            </m:ctrlPr>
          </m:dPr>
          <m:e>
            <m:r>
              <w:rPr>
                <w:rFonts w:ascii="Cambria Math" w:hAnsi="Cambria Math" w:cs="Times New Roman"/>
                <w:sz w:val="28"/>
                <w:szCs w:val="28"/>
              </w:rPr>
              <m:t>0</m:t>
            </m:r>
          </m:e>
        </m:d>
      </m:oMath>
      <w:r w:rsidRPr="00217022">
        <w:rPr>
          <w:rFonts w:ascii="Times New Roman" w:eastAsiaTheme="minorEastAsia" w:hAnsi="Times New Roman" w:cs="Times New Roman"/>
          <w:sz w:val="28"/>
          <w:szCs w:val="28"/>
        </w:rPr>
        <w:t xml:space="preserve"> </w:t>
      </w:r>
      <w:r w:rsidRPr="00217022">
        <w:rPr>
          <w:rFonts w:ascii="Times New Roman" w:hAnsi="Times New Roman" w:cs="Times New Roman"/>
          <w:sz w:val="28"/>
          <w:szCs w:val="28"/>
        </w:rPr>
        <w:t xml:space="preserve"> – sytuacja potencjalnego braku uruchomienia interwencji.</w:t>
      </w:r>
    </w:p>
    <w:p w14:paraId="042875B5" w14:textId="77777777" w:rsidR="00217022" w:rsidRPr="00217022" w:rsidRDefault="00217022" w:rsidP="00217022">
      <w:pPr>
        <w:spacing w:after="0" w:line="264" w:lineRule="auto"/>
        <w:ind w:left="284"/>
        <w:jc w:val="both"/>
        <w:rPr>
          <w:rFonts w:ascii="Times New Roman" w:hAnsi="Times New Roman" w:cs="Times New Roman"/>
          <w:sz w:val="28"/>
          <w:szCs w:val="28"/>
        </w:rPr>
      </w:pPr>
    </w:p>
    <w:p w14:paraId="1F38628B" w14:textId="4A5F84CC"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W równaniu powyższym jest zaimplementowane założenie o braku efektu antycypacyjnego.  Kaskadowe rozłożenie w czasie wpływu interwencji mówi, że do momentu uruchomienia interwencji w danej podgrupie wskaźnik D</w:t>
      </w:r>
      <w:r w:rsidRPr="00217022">
        <w:rPr>
          <w:rFonts w:ascii="Times New Roman" w:hAnsi="Times New Roman" w:cs="Times New Roman"/>
          <w:sz w:val="28"/>
          <w:szCs w:val="28"/>
          <w:vertAlign w:val="subscript"/>
        </w:rPr>
        <w:t>it</w:t>
      </w:r>
      <w:r w:rsidRPr="00217022">
        <w:rPr>
          <w:rFonts w:ascii="Times New Roman" w:hAnsi="Times New Roman" w:cs="Times New Roman"/>
          <w:sz w:val="28"/>
          <w:szCs w:val="28"/>
        </w:rPr>
        <w:t xml:space="preserve"> dla zmiennych w niej zawartych przyjmuje wartość 0, a od tego momentu 1 i to przez wszystkie kolejny okresy je</w:t>
      </w:r>
      <w:r w:rsidR="0064729F">
        <w:rPr>
          <w:rFonts w:ascii="Times New Roman" w:hAnsi="Times New Roman" w:cs="Times New Roman"/>
          <w:sz w:val="28"/>
          <w:szCs w:val="28"/>
        </w:rPr>
        <w:t>j</w:t>
      </w:r>
      <w:r w:rsidRPr="00217022">
        <w:rPr>
          <w:rFonts w:ascii="Times New Roman" w:hAnsi="Times New Roman" w:cs="Times New Roman"/>
          <w:sz w:val="28"/>
          <w:szCs w:val="28"/>
        </w:rPr>
        <w:t xml:space="preserve"> oddziaływania. </w:t>
      </w:r>
    </w:p>
    <w:p w14:paraId="51293467" w14:textId="4FDBCF81" w:rsidR="00217022" w:rsidRPr="00217022" w:rsidRDefault="00217022" w:rsidP="00217022">
      <w:pPr>
        <w:spacing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W metodzie dynamicznej DID proponowanej przez Callawaya i Sant’Anne (2021) dopuszcza się złagodzenie założenia równoległych trendów. W pierwszej kolejności testowane jest założenie dla podgrup poddanych interwencji w </w:t>
      </w:r>
      <w:r w:rsidRPr="00217022">
        <w:rPr>
          <w:rFonts w:ascii="Times New Roman" w:hAnsi="Times New Roman" w:cs="Times New Roman"/>
          <w:sz w:val="28"/>
          <w:szCs w:val="28"/>
        </w:rPr>
        <w:lastRenderedPageBreak/>
        <w:t>porównaniu z grupą przez cały okres niepoddan</w:t>
      </w:r>
      <w:r w:rsidR="0064729F">
        <w:rPr>
          <w:rFonts w:ascii="Times New Roman" w:hAnsi="Times New Roman" w:cs="Times New Roman"/>
          <w:sz w:val="28"/>
          <w:szCs w:val="28"/>
        </w:rPr>
        <w:t>ą</w:t>
      </w:r>
      <w:r w:rsidRPr="00217022">
        <w:rPr>
          <w:rFonts w:ascii="Times New Roman" w:hAnsi="Times New Roman" w:cs="Times New Roman"/>
          <w:sz w:val="28"/>
          <w:szCs w:val="28"/>
        </w:rPr>
        <w:t xml:space="preserve"> oddziaływaniu interwencji (C), dla wszystkich  grup g=2,…,J  i okresów t=2,…,J i t ≥ g:</w:t>
      </w:r>
    </w:p>
    <w:p w14:paraId="34CC3F51" w14:textId="77777777" w:rsidR="00217022" w:rsidRPr="00217022" w:rsidRDefault="00217022" w:rsidP="00217022">
      <w:pPr>
        <w:jc w:val="center"/>
        <w:rPr>
          <w:rFonts w:ascii="Times New Roman" w:eastAsiaTheme="minorEastAsia" w:hAnsi="Times New Roman" w:cs="Times New Roman"/>
          <w:sz w:val="28"/>
          <w:szCs w:val="28"/>
          <w:lang w:val="de-AT"/>
        </w:rPr>
      </w:pP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t</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D=1</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t-1</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D=1</w:t>
      </w:r>
      <m:oMath>
        <m:r>
          <m:rPr>
            <m:sty m:val="p"/>
          </m:rPr>
          <w:rPr>
            <w:rFonts w:ascii="Cambria Math" w:hAnsi="Cambria Math" w:cs="Times New Roman"/>
            <w:lang w:val="de-AT"/>
          </w:rPr>
          <m:t>])*</m:t>
        </m:r>
        <m:d>
          <m:dPr>
            <m:ctrlPr>
              <w:rPr>
                <w:rFonts w:ascii="Cambria Math" w:hAnsi="Cambria Math" w:cs="Times New Roman"/>
                <w:sz w:val="28"/>
                <w:szCs w:val="28"/>
                <w:lang w:val="en-GB"/>
              </w:rPr>
            </m:ctrlPr>
          </m:dPr>
          <m:e>
            <m:r>
              <m:rPr>
                <m:sty m:val="p"/>
              </m:rPr>
              <w:rPr>
                <w:rFonts w:ascii="Cambria Math" w:hAnsi="Cambria Math" w:cs="Times New Roman"/>
                <w:sz w:val="28"/>
                <w:szCs w:val="28"/>
                <w:lang w:val="de-AT"/>
              </w:rPr>
              <m:t>0</m:t>
            </m:r>
          </m:e>
        </m:d>
        <m:r>
          <w:rPr>
            <w:rFonts w:ascii="Cambria Math" w:hAnsi="Cambria Math" w:cs="Times New Roman"/>
            <w:sz w:val="28"/>
            <w:szCs w:val="28"/>
            <w:lang w:val="de-AT"/>
          </w:rPr>
          <m:t>|</m:t>
        </m:r>
        <m:r>
          <w:rPr>
            <w:rFonts w:ascii="Cambria Math" w:hAnsi="Cambria Math" w:cs="Times New Roman"/>
            <w:sz w:val="28"/>
            <w:szCs w:val="28"/>
            <w:lang w:val="en-GB"/>
          </w:rPr>
          <m:t>G</m:t>
        </m:r>
        <m:r>
          <w:rPr>
            <w:rFonts w:ascii="Cambria Math" w:hAnsi="Cambria Math" w:cs="Times New Roman"/>
            <w:sz w:val="28"/>
            <w:szCs w:val="28"/>
            <w:lang w:val="de-AT"/>
          </w:rPr>
          <m:t>=</m:t>
        </m:r>
        <m:r>
          <w:rPr>
            <w:rFonts w:ascii="Cambria Math" w:hAnsi="Cambria Math" w:cs="Times New Roman"/>
            <w:sz w:val="28"/>
            <w:szCs w:val="28"/>
            <w:lang w:val="en-GB"/>
          </w:rPr>
          <m:t>g</m:t>
        </m:r>
        <m: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w:rPr>
            <w:rFonts w:ascii="Cambria Math" w:hAnsi="Cambria Math" w:cs="Times New Roman"/>
            <w:sz w:val="28"/>
            <w:szCs w:val="28"/>
            <w:lang w:val="de-AT"/>
          </w:rPr>
          <m:t>(</m:t>
        </m:r>
        <m:r>
          <m:rPr>
            <m:sty m:val="p"/>
          </m:rPr>
          <w:rPr>
            <w:rFonts w:ascii="Cambria Math" w:hAnsi="Cambria Math" w:cs="Times New Roman"/>
            <w:sz w:val="28"/>
            <w:szCs w:val="28"/>
            <w:lang w:val="de-AT"/>
          </w:rPr>
          <m:t>E[Y</m:t>
        </m:r>
      </m:oMath>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t,</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D=0</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t-1</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D=0</w:t>
      </w:r>
      <m:oMath>
        <m:r>
          <m:rPr>
            <m:sty m:val="p"/>
          </m:rPr>
          <w:rPr>
            <w:rFonts w:ascii="Cambria Math" w:hAnsi="Cambria Math" w:cs="Times New Roman"/>
            <w:lang w:val="de-AT"/>
          </w:rPr>
          <m:t>])*</m:t>
        </m:r>
        <m:d>
          <m:dPr>
            <m:ctrlPr>
              <w:rPr>
                <w:rFonts w:ascii="Cambria Math" w:hAnsi="Cambria Math" w:cs="Times New Roman"/>
                <w:sz w:val="28"/>
                <w:szCs w:val="28"/>
                <w:lang w:val="en-GB"/>
              </w:rPr>
            </m:ctrlPr>
          </m:dPr>
          <m:e>
            <m:r>
              <m:rPr>
                <m:sty m:val="p"/>
              </m:rPr>
              <w:rPr>
                <w:rFonts w:ascii="Cambria Math" w:hAnsi="Cambria Math" w:cs="Times New Roman"/>
                <w:sz w:val="28"/>
                <w:szCs w:val="28"/>
                <w:lang w:val="de-AT"/>
              </w:rPr>
              <m:t>0</m:t>
            </m:r>
          </m:e>
        </m:d>
        <m:r>
          <w:rPr>
            <w:rFonts w:ascii="Cambria Math" w:hAnsi="Cambria Math" w:cs="Times New Roman"/>
            <w:sz w:val="28"/>
            <w:szCs w:val="28"/>
            <w:lang w:val="de-AT"/>
          </w:rPr>
          <m:t>|</m:t>
        </m:r>
        <m:r>
          <w:rPr>
            <w:rFonts w:ascii="Cambria Math" w:hAnsi="Cambria Math" w:cs="Times New Roman"/>
            <w:sz w:val="28"/>
            <w:szCs w:val="28"/>
            <w:lang w:val="en-GB"/>
          </w:rPr>
          <m:t>C</m:t>
        </m:r>
        <m:r>
          <w:rPr>
            <w:rFonts w:ascii="Cambria Math" w:hAnsi="Cambria Math" w:cs="Times New Roman"/>
            <w:sz w:val="28"/>
            <w:szCs w:val="28"/>
            <w:lang w:val="de-AT"/>
          </w:rPr>
          <m:t>=1|</m:t>
        </m:r>
      </m:oMath>
      <w:r w:rsidRPr="00217022">
        <w:rPr>
          <w:rFonts w:ascii="Times New Roman" w:eastAsiaTheme="minorEastAsia" w:hAnsi="Times New Roman" w:cs="Times New Roman"/>
          <w:sz w:val="28"/>
          <w:szCs w:val="28"/>
          <w:lang w:val="de-AT"/>
        </w:rPr>
        <w:t>.</w:t>
      </w:r>
    </w:p>
    <w:p w14:paraId="1AA5CF7C" w14:textId="77777777" w:rsidR="00217022" w:rsidRPr="00217022" w:rsidRDefault="00217022" w:rsidP="00217022">
      <w:pPr>
        <w:spacing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W przypadku braku statystycznej weryfikacji tego założenia istnieje wówczas możliwość oparcia wyników badań tylko o wyniki jednostek jeszcze niepoddanych oddziaływaniu interwencji, tj. przyjęcia jako wyników odniesienia podgrup do momentu poddania ich oddziaływaniu instrumentu. Tak więc, warunek równoległych trendów wówczas jest ograniczony jedynie do podgrup poddanych wpływowi interwencji przed jej uruchomieniem. Wówczas należy przyjąć, że spełniony jest warunek dla wszystkich grup g=2,..,J  oraz dla okresów s, t=2,…,J i t ≥ g i s≥t:</w:t>
      </w:r>
    </w:p>
    <w:p w14:paraId="66157F58" w14:textId="77777777" w:rsidR="00217022" w:rsidRPr="00217022" w:rsidRDefault="00217022" w:rsidP="00217022">
      <w:pPr>
        <w:jc w:val="center"/>
        <w:rPr>
          <w:rFonts w:ascii="Times New Roman" w:hAnsi="Times New Roman" w:cs="Times New Roman"/>
          <w:spacing w:val="-8"/>
          <w:sz w:val="28"/>
          <w:szCs w:val="28"/>
          <w:lang w:val="de-AT"/>
        </w:rPr>
      </w:pPr>
      <m:oMath>
        <m:r>
          <m:rPr>
            <m:sty m:val="p"/>
          </m:rPr>
          <w:rPr>
            <w:rFonts w:ascii="Cambria Math" w:hAnsi="Cambria Math" w:cs="Times New Roman"/>
            <w:spacing w:val="-8"/>
            <w:sz w:val="28"/>
            <w:szCs w:val="28"/>
            <w:lang w:val="de-AT"/>
          </w:rPr>
          <m:t xml:space="preserve">(E[Y </m:t>
        </m:r>
      </m:oMath>
      <w:r w:rsidRPr="00217022">
        <w:rPr>
          <w:rFonts w:ascii="Times New Roman" w:hAnsi="Times New Roman" w:cs="Times New Roman"/>
          <w:spacing w:val="-8"/>
          <w:sz w:val="28"/>
          <w:szCs w:val="28"/>
          <w:vertAlign w:val="subscript"/>
          <w:lang w:val="de-AT"/>
        </w:rPr>
        <w:t>t</w:t>
      </w:r>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D=1</w:t>
      </w:r>
      <m:oMath>
        <m:r>
          <m:rPr>
            <m:sty m:val="p"/>
          </m:rPr>
          <w:rPr>
            <w:rFonts w:ascii="Cambria Math" w:hAnsi="Cambria Math" w:cs="Times New Roman"/>
            <w:spacing w:val="-8"/>
            <w:sz w:val="28"/>
            <w:szCs w:val="28"/>
            <w:lang w:val="de-AT"/>
          </w:rPr>
          <m:t>]</m:t>
        </m:r>
      </m:oMath>
      <w:r w:rsidRPr="00217022">
        <w:rPr>
          <w:rFonts w:ascii="Times New Roman" w:hAnsi="Times New Roman" w:cs="Times New Roman"/>
          <w:spacing w:val="-8"/>
          <w:sz w:val="28"/>
          <w:szCs w:val="28"/>
          <w:lang w:val="de-AT"/>
        </w:rPr>
        <w:t xml:space="preserve"> - </w:t>
      </w:r>
      <m:oMath>
        <m:r>
          <m:rPr>
            <m:sty m:val="p"/>
          </m:rPr>
          <w:rPr>
            <w:rFonts w:ascii="Cambria Math" w:hAnsi="Cambria Math" w:cs="Times New Roman"/>
            <w:spacing w:val="-8"/>
            <w:sz w:val="28"/>
            <w:szCs w:val="28"/>
            <w:lang w:val="de-AT"/>
          </w:rPr>
          <m:t xml:space="preserve">E[Y </m:t>
        </m:r>
      </m:oMath>
      <w:r w:rsidRPr="00217022">
        <w:rPr>
          <w:rFonts w:ascii="Times New Roman" w:hAnsi="Times New Roman" w:cs="Times New Roman"/>
          <w:spacing w:val="-8"/>
          <w:sz w:val="28"/>
          <w:szCs w:val="28"/>
          <w:vertAlign w:val="subscript"/>
          <w:lang w:val="de-AT"/>
        </w:rPr>
        <w:t>t-1</w:t>
      </w:r>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D=1</w:t>
      </w:r>
      <m:oMath>
        <m:r>
          <m:rPr>
            <m:sty m:val="p"/>
          </m:rPr>
          <w:rPr>
            <w:rFonts w:ascii="Cambria Math" w:hAnsi="Cambria Math" w:cs="Times New Roman"/>
            <w:spacing w:val="-8"/>
            <w:sz w:val="28"/>
            <w:szCs w:val="28"/>
            <w:lang w:val="de-AT"/>
          </w:rPr>
          <m:t>])*</m:t>
        </m:r>
        <m:d>
          <m:dPr>
            <m:ctrlPr>
              <w:rPr>
                <w:rFonts w:ascii="Cambria Math" w:hAnsi="Cambria Math" w:cs="Times New Roman"/>
                <w:spacing w:val="-8"/>
                <w:sz w:val="28"/>
                <w:szCs w:val="28"/>
                <w:lang w:val="en-GB"/>
              </w:rPr>
            </m:ctrlPr>
          </m:dPr>
          <m:e>
            <m:r>
              <m:rPr>
                <m:sty m:val="p"/>
              </m:rPr>
              <w:rPr>
                <w:rFonts w:ascii="Cambria Math" w:hAnsi="Cambria Math" w:cs="Times New Roman"/>
                <w:spacing w:val="-8"/>
                <w:sz w:val="28"/>
                <w:szCs w:val="28"/>
                <w:lang w:val="de-AT"/>
              </w:rPr>
              <m:t>0</m:t>
            </m:r>
          </m:e>
        </m:d>
        <m:r>
          <w:rPr>
            <w:rFonts w:ascii="Cambria Math" w:hAnsi="Cambria Math" w:cs="Times New Roman"/>
            <w:spacing w:val="-8"/>
            <w:sz w:val="28"/>
            <w:szCs w:val="28"/>
            <w:lang w:val="de-AT"/>
          </w:rPr>
          <m:t>|</m:t>
        </m:r>
        <m:r>
          <w:rPr>
            <w:rFonts w:ascii="Cambria Math" w:hAnsi="Cambria Math" w:cs="Times New Roman"/>
            <w:spacing w:val="-8"/>
            <w:sz w:val="28"/>
            <w:szCs w:val="28"/>
            <w:lang w:val="en-GB"/>
          </w:rPr>
          <m:t>G</m:t>
        </m:r>
        <m:r>
          <w:rPr>
            <w:rFonts w:ascii="Cambria Math" w:hAnsi="Cambria Math" w:cs="Times New Roman"/>
            <w:spacing w:val="-8"/>
            <w:sz w:val="28"/>
            <w:szCs w:val="28"/>
            <w:lang w:val="de-AT"/>
          </w:rPr>
          <m:t>=</m:t>
        </m:r>
        <m:r>
          <w:rPr>
            <w:rFonts w:ascii="Cambria Math" w:hAnsi="Cambria Math" w:cs="Times New Roman"/>
            <w:spacing w:val="-8"/>
            <w:sz w:val="28"/>
            <w:szCs w:val="28"/>
            <w:lang w:val="en-GB"/>
          </w:rPr>
          <m:t>g</m:t>
        </m:r>
        <m:r>
          <w:rPr>
            <w:rFonts w:ascii="Cambria Math" w:hAnsi="Cambria Math" w:cs="Times New Roman"/>
            <w:spacing w:val="-8"/>
            <w:sz w:val="28"/>
            <w:szCs w:val="28"/>
            <w:lang w:val="de-AT"/>
          </w:rPr>
          <m:t>|</m:t>
        </m:r>
      </m:oMath>
      <w:r w:rsidRPr="00217022">
        <w:rPr>
          <w:rFonts w:ascii="Times New Roman" w:hAnsi="Times New Roman" w:cs="Times New Roman"/>
          <w:spacing w:val="-8"/>
          <w:sz w:val="28"/>
          <w:szCs w:val="28"/>
          <w:lang w:val="de-AT"/>
        </w:rPr>
        <w:t xml:space="preserve"> =</w:t>
      </w:r>
    </w:p>
    <w:p w14:paraId="61C32EC1" w14:textId="77777777" w:rsidR="00217022" w:rsidRPr="00217022" w:rsidRDefault="00217022" w:rsidP="00217022">
      <w:pPr>
        <w:jc w:val="center"/>
        <w:rPr>
          <w:rFonts w:ascii="Times New Roman" w:eastAsiaTheme="minorEastAsia" w:hAnsi="Times New Roman" w:cs="Times New Roman"/>
          <w:spacing w:val="-8"/>
          <w:sz w:val="28"/>
          <w:szCs w:val="28"/>
          <w:lang w:val="de-AT"/>
        </w:rPr>
      </w:pPr>
      <w:r w:rsidRPr="00217022">
        <w:rPr>
          <w:rFonts w:ascii="Times New Roman" w:hAnsi="Times New Roman" w:cs="Times New Roman"/>
          <w:spacing w:val="-8"/>
          <w:sz w:val="28"/>
          <w:szCs w:val="28"/>
          <w:lang w:val="de-AT"/>
        </w:rPr>
        <w:t xml:space="preserve">= </w:t>
      </w:r>
      <m:oMath>
        <m:r>
          <w:rPr>
            <w:rFonts w:ascii="Cambria Math" w:hAnsi="Cambria Math" w:cs="Times New Roman"/>
            <w:spacing w:val="-8"/>
            <w:sz w:val="28"/>
            <w:szCs w:val="28"/>
            <w:lang w:val="de-AT"/>
          </w:rPr>
          <m:t>(</m:t>
        </m:r>
        <m:r>
          <m:rPr>
            <m:sty m:val="p"/>
          </m:rPr>
          <w:rPr>
            <w:rFonts w:ascii="Cambria Math" w:hAnsi="Cambria Math" w:cs="Times New Roman"/>
            <w:spacing w:val="-8"/>
            <w:sz w:val="28"/>
            <w:szCs w:val="28"/>
            <w:lang w:val="de-AT"/>
          </w:rPr>
          <m:t>E[Y</m:t>
        </m:r>
      </m:oMath>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t,</w:t>
      </w:r>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D=0</w:t>
      </w:r>
      <m:oMath>
        <m:r>
          <m:rPr>
            <m:sty m:val="p"/>
          </m:rPr>
          <w:rPr>
            <w:rFonts w:ascii="Cambria Math" w:hAnsi="Cambria Math" w:cs="Times New Roman"/>
            <w:spacing w:val="-8"/>
            <w:sz w:val="28"/>
            <w:szCs w:val="28"/>
            <w:lang w:val="de-AT"/>
          </w:rPr>
          <m:t>]</m:t>
        </m:r>
      </m:oMath>
      <w:r w:rsidRPr="00217022">
        <w:rPr>
          <w:rFonts w:ascii="Times New Roman" w:hAnsi="Times New Roman" w:cs="Times New Roman"/>
          <w:spacing w:val="-8"/>
          <w:sz w:val="28"/>
          <w:szCs w:val="28"/>
          <w:lang w:val="de-AT"/>
        </w:rPr>
        <w:t xml:space="preserve"> - </w:t>
      </w:r>
      <m:oMath>
        <m:r>
          <m:rPr>
            <m:sty m:val="p"/>
          </m:rPr>
          <w:rPr>
            <w:rFonts w:ascii="Cambria Math" w:hAnsi="Cambria Math" w:cs="Times New Roman"/>
            <w:spacing w:val="-8"/>
            <w:sz w:val="28"/>
            <w:szCs w:val="28"/>
            <w:lang w:val="de-AT"/>
          </w:rPr>
          <m:t xml:space="preserve">E[Y </m:t>
        </m:r>
      </m:oMath>
      <w:r w:rsidRPr="00217022">
        <w:rPr>
          <w:rFonts w:ascii="Times New Roman" w:hAnsi="Times New Roman" w:cs="Times New Roman"/>
          <w:spacing w:val="-8"/>
          <w:sz w:val="28"/>
          <w:szCs w:val="28"/>
          <w:vertAlign w:val="subscript"/>
          <w:lang w:val="de-AT"/>
        </w:rPr>
        <w:t>t-1</w:t>
      </w:r>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D=0</w:t>
      </w:r>
      <m:oMath>
        <m:r>
          <m:rPr>
            <m:sty m:val="p"/>
          </m:rPr>
          <w:rPr>
            <w:rFonts w:ascii="Cambria Math" w:hAnsi="Cambria Math" w:cs="Times New Roman"/>
            <w:spacing w:val="-8"/>
            <w:sz w:val="28"/>
            <w:szCs w:val="28"/>
            <w:lang w:val="de-AT"/>
          </w:rPr>
          <m:t>])*</m:t>
        </m:r>
        <m:d>
          <m:dPr>
            <m:ctrlPr>
              <w:rPr>
                <w:rFonts w:ascii="Cambria Math" w:hAnsi="Cambria Math" w:cs="Times New Roman"/>
                <w:spacing w:val="-8"/>
                <w:sz w:val="28"/>
                <w:szCs w:val="28"/>
                <w:lang w:val="en-GB"/>
              </w:rPr>
            </m:ctrlPr>
          </m:dPr>
          <m:e>
            <m:r>
              <m:rPr>
                <m:sty m:val="p"/>
              </m:rPr>
              <w:rPr>
                <w:rFonts w:ascii="Cambria Math" w:hAnsi="Cambria Math" w:cs="Times New Roman"/>
                <w:spacing w:val="-8"/>
                <w:sz w:val="28"/>
                <w:szCs w:val="28"/>
                <w:lang w:val="de-AT"/>
              </w:rPr>
              <m:t>0</m:t>
            </m:r>
          </m:e>
        </m:d>
        <m:r>
          <w:rPr>
            <w:rFonts w:ascii="Cambria Math" w:hAnsi="Cambria Math" w:cs="Times New Roman"/>
            <w:spacing w:val="-8"/>
            <w:sz w:val="28"/>
            <w:szCs w:val="28"/>
            <w:lang w:val="de-AT"/>
          </w:rPr>
          <m:t>|</m:t>
        </m:r>
        <m:sSub>
          <m:sSubPr>
            <m:ctrlPr>
              <w:rPr>
                <w:rFonts w:ascii="Cambria Math" w:hAnsi="Cambria Math" w:cs="Times New Roman"/>
                <w:i/>
                <w:spacing w:val="-8"/>
                <w:sz w:val="28"/>
                <w:szCs w:val="28"/>
              </w:rPr>
            </m:ctrlPr>
          </m:sSubPr>
          <m:e>
            <m:r>
              <w:rPr>
                <w:rFonts w:ascii="Cambria Math" w:hAnsi="Cambria Math" w:cs="Times New Roman"/>
                <w:spacing w:val="-8"/>
                <w:sz w:val="28"/>
                <w:szCs w:val="28"/>
              </w:rPr>
              <m:t>D</m:t>
            </m:r>
          </m:e>
          <m:sub>
            <m:r>
              <w:rPr>
                <w:rFonts w:ascii="Cambria Math" w:hAnsi="Cambria Math" w:cs="Times New Roman"/>
                <w:spacing w:val="-8"/>
                <w:sz w:val="28"/>
                <w:szCs w:val="28"/>
              </w:rPr>
              <m:t>s</m:t>
            </m:r>
          </m:sub>
        </m:sSub>
        <m:r>
          <w:rPr>
            <w:rFonts w:ascii="Cambria Math" w:hAnsi="Cambria Math" w:cs="Times New Roman"/>
            <w:spacing w:val="-8"/>
            <w:sz w:val="28"/>
            <w:szCs w:val="28"/>
            <w:lang w:val="de-AT"/>
          </w:rPr>
          <m:t>=0,</m:t>
        </m:r>
        <m:r>
          <w:rPr>
            <w:rFonts w:ascii="Cambria Math" w:hAnsi="Cambria Math" w:cs="Times New Roman"/>
            <w:spacing w:val="-8"/>
            <w:sz w:val="28"/>
            <w:szCs w:val="28"/>
          </w:rPr>
          <m:t>G</m:t>
        </m:r>
        <m:r>
          <w:rPr>
            <w:rFonts w:ascii="Cambria Math" w:hAnsi="Cambria Math" w:cs="Times New Roman"/>
            <w:spacing w:val="-8"/>
            <w:sz w:val="28"/>
            <w:szCs w:val="28"/>
            <w:lang w:val="de-AT"/>
          </w:rPr>
          <m:t>≠</m:t>
        </m:r>
        <m:r>
          <w:rPr>
            <w:rFonts w:ascii="Cambria Math" w:hAnsi="Cambria Math" w:cs="Times New Roman"/>
            <w:spacing w:val="-8"/>
            <w:sz w:val="28"/>
            <w:szCs w:val="28"/>
          </w:rPr>
          <m:t>g</m:t>
        </m:r>
        <m:r>
          <w:rPr>
            <w:rFonts w:ascii="Cambria Math" w:hAnsi="Cambria Math" w:cs="Times New Roman"/>
            <w:spacing w:val="-8"/>
            <w:sz w:val="28"/>
            <w:szCs w:val="28"/>
            <w:lang w:val="de-AT"/>
          </w:rPr>
          <m:t>|</m:t>
        </m:r>
      </m:oMath>
      <w:r w:rsidRPr="00217022">
        <w:rPr>
          <w:rFonts w:ascii="Times New Roman" w:eastAsiaTheme="minorEastAsia" w:hAnsi="Times New Roman" w:cs="Times New Roman"/>
          <w:spacing w:val="-8"/>
          <w:sz w:val="28"/>
          <w:szCs w:val="28"/>
          <w:lang w:val="de-AT"/>
        </w:rPr>
        <w:t>.</w:t>
      </w:r>
    </w:p>
    <w:p w14:paraId="17E58F83" w14:textId="77777777" w:rsidR="00217022" w:rsidRPr="00217022" w:rsidRDefault="00217022" w:rsidP="00217022">
      <w:pPr>
        <w:spacing w:line="264" w:lineRule="auto"/>
        <w:ind w:hanging="142"/>
        <w:rPr>
          <w:rFonts w:ascii="Times New Roman" w:hAnsi="Times New Roman" w:cs="Times New Roman"/>
          <w:sz w:val="28"/>
          <w:szCs w:val="28"/>
        </w:rPr>
      </w:pPr>
      <w:r w:rsidRPr="00217022">
        <w:rPr>
          <w:rFonts w:ascii="Times New Roman" w:hAnsi="Times New Roman" w:cs="Times New Roman"/>
          <w:sz w:val="28"/>
          <w:szCs w:val="28"/>
        </w:rPr>
        <w:t xml:space="preserve">gdzie: </w:t>
      </w:r>
      <w:r w:rsidRPr="00217022">
        <w:rPr>
          <w:rFonts w:ascii="Times New Roman" w:hAnsi="Times New Roman" w:cs="Times New Roman"/>
          <w:i/>
          <w:iCs/>
          <w:sz w:val="28"/>
          <w:szCs w:val="28"/>
        </w:rPr>
        <w:t>s</w:t>
      </w:r>
      <w:r w:rsidRPr="00217022">
        <w:rPr>
          <w:rFonts w:ascii="Times New Roman" w:hAnsi="Times New Roman" w:cs="Times New Roman"/>
          <w:sz w:val="28"/>
          <w:szCs w:val="28"/>
        </w:rPr>
        <w:t xml:space="preserve"> – okres przed poddaniem działaniu interwencji badanej podgrupy.</w:t>
      </w:r>
    </w:p>
    <w:p w14:paraId="5CBF4F8F" w14:textId="77777777"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Następnie wyliczany jest efekt interwencji dla danej grupy/podgrupy. W przykładzie przedstawionym na rysunku 3 mamy wyniki grupy w żadnym momencie niepoddanej interwencji Y</w:t>
      </w:r>
      <w:r w:rsidRPr="00217022">
        <w:rPr>
          <w:rFonts w:ascii="Times New Roman" w:hAnsi="Times New Roman" w:cs="Times New Roman"/>
          <w:sz w:val="28"/>
          <w:szCs w:val="28"/>
          <w:vertAlign w:val="superscript"/>
        </w:rPr>
        <w:t>U</w:t>
      </w:r>
      <w:r w:rsidRPr="00217022">
        <w:rPr>
          <w:rFonts w:ascii="Times New Roman" w:hAnsi="Times New Roman" w:cs="Times New Roman"/>
          <w:sz w:val="28"/>
          <w:szCs w:val="28"/>
        </w:rPr>
        <w:t xml:space="preserve"> (C=1) oraz dla podgrup poddanych interwencji w okresie k-l i t-l. Tak więc, w okresie k-l obserwowane są wyniki dla podgrupy l jeszcze niepoddanej interwencji oraz podgrupy k już poddanej działaniu interwencji oraz w okresie t-l dla obu podgrup, na które instrument oddziałuje, w tym dla k jest to już drugi okres jego wpływu. Średni efekt interwencji jest więc sumą ważoną dla podgrupy k w okresie k-l i t-l oraz dla grupy l w okresie t-l.</w:t>
      </w:r>
    </w:p>
    <w:p w14:paraId="325BF8EB" w14:textId="77777777" w:rsidR="00217022" w:rsidRPr="00217022" w:rsidRDefault="00217022" w:rsidP="00217022">
      <w:pPr>
        <w:ind w:firstLine="708"/>
        <w:jc w:val="both"/>
        <w:rPr>
          <w:rFonts w:ascii="Times New Roman" w:hAnsi="Times New Roman" w:cs="Times New Roman"/>
          <w:sz w:val="28"/>
          <w:szCs w:val="28"/>
        </w:rPr>
      </w:pPr>
      <w:r w:rsidRPr="00217022">
        <w:rPr>
          <w:rFonts w:ascii="Times New Roman" w:hAnsi="Times New Roman" w:cs="Times New Roman"/>
          <w:sz w:val="28"/>
          <w:szCs w:val="28"/>
        </w:rPr>
        <w:t>W przypadku spełnienia pierwszego warunku (kanonicznie równoległe wszystkie trendy) średni efekt interwencji ATT(</w:t>
      </w:r>
      <w:r w:rsidRPr="00217022">
        <w:rPr>
          <w:rFonts w:ascii="Times New Roman" w:hAnsi="Times New Roman" w:cs="Times New Roman"/>
          <w:sz w:val="28"/>
          <w:szCs w:val="28"/>
          <w:vertAlign w:val="subscript"/>
        </w:rPr>
        <w:t>g,p</w:t>
      </w:r>
      <w:r w:rsidRPr="00217022">
        <w:rPr>
          <w:rFonts w:ascii="Times New Roman" w:hAnsi="Times New Roman" w:cs="Times New Roman"/>
          <w:sz w:val="28"/>
          <w:szCs w:val="28"/>
        </w:rPr>
        <w:t>) jest obliczany dla wszystkich okresów t ≥ g według wzoru:</w:t>
      </w:r>
    </w:p>
    <w:p w14:paraId="0D690C4B" w14:textId="77777777" w:rsidR="00217022" w:rsidRPr="00217022" w:rsidRDefault="00217022" w:rsidP="00217022">
      <w:pPr>
        <w:jc w:val="center"/>
        <w:rPr>
          <w:rFonts w:ascii="Times New Roman" w:eastAsiaTheme="minorEastAsia" w:hAnsi="Times New Roman" w:cs="Times New Roman"/>
          <w:sz w:val="28"/>
          <w:szCs w:val="28"/>
          <w:lang w:val="de-AT"/>
        </w:rPr>
      </w:pPr>
      <w:r w:rsidRPr="00217022">
        <w:rPr>
          <w:rFonts w:ascii="Times New Roman" w:hAnsi="Times New Roman" w:cs="Times New Roman"/>
          <w:sz w:val="28"/>
          <w:szCs w:val="28"/>
          <w:lang w:val="de-AT"/>
        </w:rPr>
        <w:t>ATT(</w:t>
      </w:r>
      <w:r w:rsidRPr="00217022">
        <w:rPr>
          <w:rFonts w:ascii="Times New Roman" w:hAnsi="Times New Roman" w:cs="Times New Roman"/>
          <w:sz w:val="28"/>
          <w:szCs w:val="28"/>
          <w:vertAlign w:val="subscript"/>
          <w:lang w:val="de-AT"/>
        </w:rPr>
        <w:t>g,p</w:t>
      </w:r>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t</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D=1</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g-1</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D=1</w:t>
      </w:r>
      <m:oMath>
        <m:r>
          <m:rPr>
            <m:sty m:val="p"/>
          </m:rPr>
          <w:rPr>
            <w:rFonts w:ascii="Cambria Math" w:hAnsi="Cambria Math" w:cs="Times New Roman"/>
            <w:lang w:val="de-AT"/>
          </w:rPr>
          <m:t>]</m:t>
        </m:r>
        <m:r>
          <w:rPr>
            <w:rFonts w:ascii="Cambria Math" w:hAnsi="Cambria Math" w:cs="Times New Roman"/>
            <w:sz w:val="28"/>
            <w:szCs w:val="28"/>
            <w:lang w:val="de-AT"/>
          </w:rPr>
          <m:t>|</m:t>
        </m:r>
        <m:r>
          <w:rPr>
            <w:rFonts w:ascii="Cambria Math" w:hAnsi="Cambria Math" w:cs="Times New Roman"/>
            <w:sz w:val="28"/>
            <w:szCs w:val="28"/>
            <w:lang w:val="en-GB"/>
          </w:rPr>
          <m:t>G</m:t>
        </m:r>
        <m:r>
          <w:rPr>
            <w:rFonts w:ascii="Cambria Math" w:hAnsi="Cambria Math" w:cs="Times New Roman"/>
            <w:sz w:val="28"/>
            <w:szCs w:val="28"/>
            <w:lang w:val="de-AT"/>
          </w:rPr>
          <m:t>=</m:t>
        </m:r>
        <m:r>
          <w:rPr>
            <w:rFonts w:ascii="Cambria Math" w:hAnsi="Cambria Math" w:cs="Times New Roman"/>
            <w:sz w:val="28"/>
            <w:szCs w:val="28"/>
            <w:lang w:val="en-GB"/>
          </w:rPr>
          <m:t>g</m:t>
        </m:r>
        <m: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w:t>
      </w:r>
      <m:oMath>
        <m:r>
          <w:rPr>
            <w:rFonts w:ascii="Cambria Math" w:hAnsi="Cambria Math" w:cs="Times New Roman"/>
            <w:sz w:val="28"/>
            <w:szCs w:val="28"/>
            <w:lang w:val="de-AT"/>
          </w:rPr>
          <m:t>(</m:t>
        </m:r>
        <m:r>
          <m:rPr>
            <m:sty m:val="p"/>
          </m:rPr>
          <w:rPr>
            <w:rFonts w:ascii="Cambria Math" w:hAnsi="Cambria Math" w:cs="Times New Roman"/>
            <w:sz w:val="28"/>
            <w:szCs w:val="28"/>
            <w:lang w:val="de-AT"/>
          </w:rPr>
          <m:t>E[Y</m:t>
        </m:r>
      </m:oMath>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t,</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D=0</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g-1</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D=0</w:t>
      </w:r>
      <m:oMath>
        <m:r>
          <m:rPr>
            <m:sty m:val="p"/>
          </m:rPr>
          <w:rPr>
            <w:rFonts w:ascii="Cambria Math" w:hAnsi="Cambria Math" w:cs="Times New Roman"/>
            <w:lang w:val="de-AT"/>
          </w:rPr>
          <m:t>]</m:t>
        </m:r>
        <m:r>
          <w:rPr>
            <w:rFonts w:ascii="Cambria Math" w:hAnsi="Cambria Math" w:cs="Times New Roman"/>
            <w:sz w:val="28"/>
            <w:szCs w:val="28"/>
            <w:lang w:val="de-AT"/>
          </w:rPr>
          <m:t>|</m:t>
        </m:r>
        <m:r>
          <w:rPr>
            <w:rFonts w:ascii="Cambria Math" w:hAnsi="Cambria Math" w:cs="Times New Roman"/>
            <w:sz w:val="28"/>
            <w:szCs w:val="28"/>
            <w:lang w:val="en-GB"/>
          </w:rPr>
          <m:t>C</m:t>
        </m:r>
        <m:r>
          <w:rPr>
            <w:rFonts w:ascii="Cambria Math" w:hAnsi="Cambria Math" w:cs="Times New Roman"/>
            <w:sz w:val="28"/>
            <w:szCs w:val="28"/>
            <w:lang w:val="de-AT"/>
          </w:rPr>
          <m:t>=1|)</m:t>
        </m:r>
      </m:oMath>
      <w:r w:rsidRPr="00217022">
        <w:rPr>
          <w:rFonts w:ascii="Times New Roman" w:eastAsiaTheme="minorEastAsia" w:hAnsi="Times New Roman" w:cs="Times New Roman"/>
          <w:sz w:val="28"/>
          <w:szCs w:val="28"/>
          <w:lang w:val="de-AT"/>
        </w:rPr>
        <w:t>.</w:t>
      </w:r>
    </w:p>
    <w:p w14:paraId="12094036" w14:textId="77777777" w:rsidR="00217022" w:rsidRPr="00217022" w:rsidRDefault="00217022" w:rsidP="00217022">
      <w:pPr>
        <w:ind w:firstLine="708"/>
        <w:jc w:val="both"/>
        <w:rPr>
          <w:rFonts w:ascii="Times New Roman" w:hAnsi="Times New Roman" w:cs="Times New Roman"/>
          <w:sz w:val="28"/>
          <w:szCs w:val="28"/>
        </w:rPr>
      </w:pPr>
      <w:r w:rsidRPr="00217022">
        <w:rPr>
          <w:rFonts w:ascii="Times New Roman" w:hAnsi="Times New Roman" w:cs="Times New Roman"/>
          <w:sz w:val="28"/>
          <w:szCs w:val="28"/>
        </w:rPr>
        <w:t>W drugim przypadku (równoległe trendy tylko w podgrupach poddanych interwencji) średni efekt interwencji ATT(</w:t>
      </w:r>
      <w:r w:rsidRPr="00217022">
        <w:rPr>
          <w:rFonts w:ascii="Times New Roman" w:hAnsi="Times New Roman" w:cs="Times New Roman"/>
          <w:sz w:val="28"/>
          <w:szCs w:val="28"/>
          <w:vertAlign w:val="subscript"/>
        </w:rPr>
        <w:t>g,p</w:t>
      </w:r>
      <w:r w:rsidRPr="00217022">
        <w:rPr>
          <w:rFonts w:ascii="Times New Roman" w:hAnsi="Times New Roman" w:cs="Times New Roman"/>
          <w:sz w:val="28"/>
          <w:szCs w:val="28"/>
        </w:rPr>
        <w:t>) jest obliczany dla wszystkich okresów t ≥ g według wzoru:</w:t>
      </w:r>
    </w:p>
    <w:p w14:paraId="07F11C7B" w14:textId="77777777" w:rsidR="00217022" w:rsidRPr="00217022" w:rsidRDefault="00217022" w:rsidP="00217022">
      <w:pPr>
        <w:jc w:val="center"/>
        <w:rPr>
          <w:rFonts w:ascii="Times New Roman" w:hAnsi="Times New Roman" w:cs="Times New Roman"/>
          <w:spacing w:val="-8"/>
          <w:sz w:val="28"/>
          <w:szCs w:val="28"/>
          <w:lang w:val="de-AT"/>
        </w:rPr>
      </w:pPr>
      <w:r w:rsidRPr="00217022">
        <w:rPr>
          <w:rFonts w:ascii="Times New Roman" w:hAnsi="Times New Roman" w:cs="Times New Roman"/>
          <w:sz w:val="28"/>
          <w:szCs w:val="28"/>
          <w:lang w:val="de-AT"/>
        </w:rPr>
        <w:t>ATT(</w:t>
      </w:r>
      <w:r w:rsidRPr="00217022">
        <w:rPr>
          <w:rFonts w:ascii="Times New Roman" w:hAnsi="Times New Roman" w:cs="Times New Roman"/>
          <w:sz w:val="28"/>
          <w:szCs w:val="28"/>
          <w:vertAlign w:val="subscript"/>
          <w:lang w:val="de-AT"/>
        </w:rPr>
        <w:t>g,p</w:t>
      </w:r>
      <w:r w:rsidRPr="00217022">
        <w:rPr>
          <w:rFonts w:ascii="Times New Roman" w:hAnsi="Times New Roman" w:cs="Times New Roman"/>
          <w:sz w:val="28"/>
          <w:szCs w:val="28"/>
          <w:lang w:val="de-AT"/>
        </w:rPr>
        <w:t xml:space="preserve">) = </w:t>
      </w:r>
      <m:oMath>
        <m:r>
          <m:rPr>
            <m:sty m:val="p"/>
          </m:rPr>
          <w:rPr>
            <w:rFonts w:ascii="Cambria Math" w:hAnsi="Cambria Math" w:cs="Times New Roman"/>
            <w:spacing w:val="-8"/>
            <w:sz w:val="28"/>
            <w:szCs w:val="28"/>
            <w:lang w:val="de-AT"/>
          </w:rPr>
          <m:t xml:space="preserve">(E[Y </m:t>
        </m:r>
      </m:oMath>
      <w:r w:rsidRPr="00217022">
        <w:rPr>
          <w:rFonts w:ascii="Times New Roman" w:hAnsi="Times New Roman" w:cs="Times New Roman"/>
          <w:spacing w:val="-8"/>
          <w:sz w:val="28"/>
          <w:szCs w:val="28"/>
          <w:vertAlign w:val="subscript"/>
          <w:lang w:val="de-AT"/>
        </w:rPr>
        <w:t>t</w:t>
      </w:r>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D=1</w:t>
      </w:r>
      <m:oMath>
        <m:r>
          <m:rPr>
            <m:sty m:val="p"/>
          </m:rPr>
          <w:rPr>
            <w:rFonts w:ascii="Cambria Math" w:hAnsi="Cambria Math" w:cs="Times New Roman"/>
            <w:spacing w:val="-8"/>
            <w:sz w:val="28"/>
            <w:szCs w:val="28"/>
            <w:lang w:val="de-AT"/>
          </w:rPr>
          <m:t>]</m:t>
        </m:r>
      </m:oMath>
      <w:r w:rsidRPr="00217022">
        <w:rPr>
          <w:rFonts w:ascii="Times New Roman" w:hAnsi="Times New Roman" w:cs="Times New Roman"/>
          <w:spacing w:val="-8"/>
          <w:sz w:val="28"/>
          <w:szCs w:val="28"/>
          <w:lang w:val="de-AT"/>
        </w:rPr>
        <w:t xml:space="preserve"> - </w:t>
      </w:r>
      <m:oMath>
        <m:r>
          <m:rPr>
            <m:sty m:val="p"/>
          </m:rPr>
          <w:rPr>
            <w:rFonts w:ascii="Cambria Math" w:hAnsi="Cambria Math" w:cs="Times New Roman"/>
            <w:spacing w:val="-8"/>
            <w:sz w:val="28"/>
            <w:szCs w:val="28"/>
            <w:lang w:val="de-AT"/>
          </w:rPr>
          <m:t xml:space="preserve">E[Y </m:t>
        </m:r>
      </m:oMath>
      <w:r w:rsidRPr="00217022">
        <w:rPr>
          <w:rFonts w:ascii="Times New Roman" w:hAnsi="Times New Roman" w:cs="Times New Roman"/>
          <w:spacing w:val="-8"/>
          <w:sz w:val="28"/>
          <w:szCs w:val="28"/>
          <w:vertAlign w:val="subscript"/>
          <w:lang w:val="de-AT"/>
        </w:rPr>
        <w:t>g-1</w:t>
      </w:r>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D=1</w:t>
      </w:r>
      <m:oMath>
        <m:r>
          <m:rPr>
            <m:sty m:val="p"/>
          </m:rPr>
          <w:rPr>
            <w:rFonts w:ascii="Cambria Math" w:hAnsi="Cambria Math" w:cs="Times New Roman"/>
            <w:spacing w:val="-8"/>
            <w:sz w:val="28"/>
            <w:szCs w:val="28"/>
            <w:lang w:val="de-AT"/>
          </w:rPr>
          <m:t>]</m:t>
        </m:r>
        <m:r>
          <w:rPr>
            <w:rFonts w:ascii="Cambria Math" w:hAnsi="Cambria Math" w:cs="Times New Roman"/>
            <w:spacing w:val="-8"/>
            <w:sz w:val="28"/>
            <w:szCs w:val="28"/>
            <w:lang w:val="de-AT"/>
          </w:rPr>
          <m:t>|</m:t>
        </m:r>
        <m:r>
          <w:rPr>
            <w:rFonts w:ascii="Cambria Math" w:hAnsi="Cambria Math" w:cs="Times New Roman"/>
            <w:spacing w:val="-8"/>
            <w:sz w:val="28"/>
            <w:szCs w:val="28"/>
            <w:lang w:val="en-GB"/>
          </w:rPr>
          <m:t>G</m:t>
        </m:r>
        <m:r>
          <w:rPr>
            <w:rFonts w:ascii="Cambria Math" w:hAnsi="Cambria Math" w:cs="Times New Roman"/>
            <w:spacing w:val="-8"/>
            <w:sz w:val="28"/>
            <w:szCs w:val="28"/>
            <w:lang w:val="de-AT"/>
          </w:rPr>
          <m:t>=</m:t>
        </m:r>
        <m:r>
          <w:rPr>
            <w:rFonts w:ascii="Cambria Math" w:hAnsi="Cambria Math" w:cs="Times New Roman"/>
            <w:spacing w:val="-8"/>
            <w:sz w:val="28"/>
            <w:szCs w:val="28"/>
            <w:lang w:val="en-GB"/>
          </w:rPr>
          <m:t>g</m:t>
        </m:r>
        <m:r>
          <w:rPr>
            <w:rFonts w:ascii="Cambria Math" w:hAnsi="Cambria Math" w:cs="Times New Roman"/>
            <w:spacing w:val="-8"/>
            <w:sz w:val="28"/>
            <w:szCs w:val="28"/>
            <w:lang w:val="de-AT"/>
          </w:rPr>
          <m:t>|)</m:t>
        </m:r>
      </m:oMath>
      <w:r w:rsidRPr="00217022">
        <w:rPr>
          <w:rFonts w:ascii="Times New Roman" w:hAnsi="Times New Roman" w:cs="Times New Roman"/>
          <w:spacing w:val="-8"/>
          <w:sz w:val="28"/>
          <w:szCs w:val="28"/>
          <w:lang w:val="de-AT"/>
        </w:rPr>
        <w:t xml:space="preserve"> –</w:t>
      </w:r>
    </w:p>
    <w:p w14:paraId="47DE4B63" w14:textId="77777777" w:rsidR="00217022" w:rsidRPr="00217022" w:rsidRDefault="00217022" w:rsidP="00217022">
      <w:pPr>
        <w:jc w:val="center"/>
        <w:rPr>
          <w:rFonts w:ascii="Times New Roman" w:eastAsiaTheme="minorEastAsia" w:hAnsi="Times New Roman" w:cs="Times New Roman"/>
          <w:spacing w:val="-8"/>
          <w:sz w:val="28"/>
          <w:szCs w:val="28"/>
          <w:lang w:val="de-AT"/>
        </w:rPr>
      </w:pPr>
      <w:r w:rsidRPr="00217022">
        <w:rPr>
          <w:rFonts w:ascii="Times New Roman" w:hAnsi="Times New Roman" w:cs="Times New Roman"/>
          <w:spacing w:val="-8"/>
          <w:sz w:val="28"/>
          <w:szCs w:val="28"/>
          <w:lang w:val="de-AT"/>
        </w:rPr>
        <w:t xml:space="preserve">– </w:t>
      </w:r>
      <m:oMath>
        <m:r>
          <w:rPr>
            <w:rFonts w:ascii="Cambria Math" w:hAnsi="Cambria Math" w:cs="Times New Roman"/>
            <w:spacing w:val="-8"/>
            <w:sz w:val="28"/>
            <w:szCs w:val="28"/>
            <w:lang w:val="de-AT"/>
          </w:rPr>
          <m:t>(</m:t>
        </m:r>
        <m:r>
          <m:rPr>
            <m:sty m:val="p"/>
          </m:rPr>
          <w:rPr>
            <w:rFonts w:ascii="Cambria Math" w:hAnsi="Cambria Math" w:cs="Times New Roman"/>
            <w:spacing w:val="-8"/>
            <w:sz w:val="28"/>
            <w:szCs w:val="28"/>
            <w:lang w:val="de-AT"/>
          </w:rPr>
          <m:t>E[Y</m:t>
        </m:r>
      </m:oMath>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t,</w:t>
      </w:r>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D=0</w:t>
      </w:r>
      <m:oMath>
        <m:r>
          <m:rPr>
            <m:sty m:val="p"/>
          </m:rPr>
          <w:rPr>
            <w:rFonts w:ascii="Cambria Math" w:hAnsi="Cambria Math" w:cs="Times New Roman"/>
            <w:spacing w:val="-8"/>
            <w:sz w:val="28"/>
            <w:szCs w:val="28"/>
            <w:lang w:val="de-AT"/>
          </w:rPr>
          <m:t>]</m:t>
        </m:r>
      </m:oMath>
      <w:r w:rsidRPr="00217022">
        <w:rPr>
          <w:rFonts w:ascii="Times New Roman" w:hAnsi="Times New Roman" w:cs="Times New Roman"/>
          <w:spacing w:val="-8"/>
          <w:sz w:val="28"/>
          <w:szCs w:val="28"/>
          <w:lang w:val="de-AT"/>
        </w:rPr>
        <w:t xml:space="preserve"> - </w:t>
      </w:r>
      <m:oMath>
        <m:r>
          <m:rPr>
            <m:sty m:val="p"/>
          </m:rPr>
          <w:rPr>
            <w:rFonts w:ascii="Cambria Math" w:hAnsi="Cambria Math" w:cs="Times New Roman"/>
            <w:spacing w:val="-8"/>
            <w:sz w:val="28"/>
            <w:szCs w:val="28"/>
            <w:lang w:val="de-AT"/>
          </w:rPr>
          <m:t xml:space="preserve">E[Y </m:t>
        </m:r>
      </m:oMath>
      <w:r w:rsidRPr="00217022">
        <w:rPr>
          <w:rFonts w:ascii="Times New Roman" w:hAnsi="Times New Roman" w:cs="Times New Roman"/>
          <w:spacing w:val="-8"/>
          <w:sz w:val="28"/>
          <w:szCs w:val="28"/>
          <w:vertAlign w:val="subscript"/>
          <w:lang w:val="de-AT"/>
        </w:rPr>
        <w:t>g-1</w:t>
      </w:r>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D=0</w:t>
      </w:r>
      <m:oMath>
        <m:r>
          <m:rPr>
            <m:sty m:val="p"/>
          </m:rPr>
          <w:rPr>
            <w:rFonts w:ascii="Cambria Math" w:hAnsi="Cambria Math" w:cs="Times New Roman"/>
            <w:spacing w:val="-8"/>
            <w:sz w:val="28"/>
            <w:szCs w:val="28"/>
            <w:lang w:val="de-AT"/>
          </w:rPr>
          <m:t>]</m:t>
        </m:r>
        <m:r>
          <w:rPr>
            <w:rFonts w:ascii="Cambria Math" w:hAnsi="Cambria Math" w:cs="Times New Roman"/>
            <w:spacing w:val="-8"/>
            <w:sz w:val="28"/>
            <w:szCs w:val="28"/>
            <w:lang w:val="de-AT"/>
          </w:rPr>
          <m:t>|</m:t>
        </m:r>
        <m:sSub>
          <m:sSubPr>
            <m:ctrlPr>
              <w:rPr>
                <w:rFonts w:ascii="Cambria Math" w:hAnsi="Cambria Math" w:cs="Times New Roman"/>
                <w:i/>
                <w:spacing w:val="-8"/>
                <w:sz w:val="28"/>
                <w:szCs w:val="28"/>
              </w:rPr>
            </m:ctrlPr>
          </m:sSubPr>
          <m:e>
            <m:r>
              <w:rPr>
                <w:rFonts w:ascii="Cambria Math" w:hAnsi="Cambria Math" w:cs="Times New Roman"/>
                <w:spacing w:val="-8"/>
                <w:sz w:val="28"/>
                <w:szCs w:val="28"/>
              </w:rPr>
              <m:t>D</m:t>
            </m:r>
          </m:e>
          <m:sub>
            <m:r>
              <w:rPr>
                <w:rFonts w:ascii="Cambria Math" w:hAnsi="Cambria Math" w:cs="Times New Roman"/>
                <w:spacing w:val="-8"/>
                <w:sz w:val="28"/>
                <w:szCs w:val="28"/>
              </w:rPr>
              <m:t>s</m:t>
            </m:r>
          </m:sub>
        </m:sSub>
        <m:r>
          <w:rPr>
            <w:rFonts w:ascii="Cambria Math" w:hAnsi="Cambria Math" w:cs="Times New Roman"/>
            <w:spacing w:val="-8"/>
            <w:sz w:val="28"/>
            <w:szCs w:val="28"/>
            <w:lang w:val="de-AT"/>
          </w:rPr>
          <m:t>=0,</m:t>
        </m:r>
        <m:r>
          <w:rPr>
            <w:rFonts w:ascii="Cambria Math" w:hAnsi="Cambria Math" w:cs="Times New Roman"/>
            <w:spacing w:val="-8"/>
            <w:sz w:val="28"/>
            <w:szCs w:val="28"/>
          </w:rPr>
          <m:t>G</m:t>
        </m:r>
        <m:r>
          <w:rPr>
            <w:rFonts w:ascii="Cambria Math" w:hAnsi="Cambria Math" w:cs="Times New Roman"/>
            <w:spacing w:val="-8"/>
            <w:sz w:val="28"/>
            <w:szCs w:val="28"/>
            <w:lang w:val="de-AT"/>
          </w:rPr>
          <m:t>≠</m:t>
        </m:r>
        <m:r>
          <w:rPr>
            <w:rFonts w:ascii="Cambria Math" w:hAnsi="Cambria Math" w:cs="Times New Roman"/>
            <w:spacing w:val="-8"/>
            <w:sz w:val="28"/>
            <w:szCs w:val="28"/>
          </w:rPr>
          <m:t>g</m:t>
        </m:r>
        <m:r>
          <w:rPr>
            <w:rFonts w:ascii="Cambria Math" w:hAnsi="Cambria Math" w:cs="Times New Roman"/>
            <w:spacing w:val="-8"/>
            <w:sz w:val="28"/>
            <w:szCs w:val="28"/>
            <w:lang w:val="de-AT"/>
          </w:rPr>
          <m:t>|)</m:t>
        </m:r>
      </m:oMath>
      <w:r w:rsidRPr="00217022">
        <w:rPr>
          <w:rFonts w:ascii="Times New Roman" w:eastAsiaTheme="minorEastAsia" w:hAnsi="Times New Roman" w:cs="Times New Roman"/>
          <w:spacing w:val="-8"/>
          <w:sz w:val="28"/>
          <w:szCs w:val="28"/>
          <w:lang w:val="de-AT"/>
        </w:rPr>
        <w:t>.</w:t>
      </w:r>
    </w:p>
    <w:p w14:paraId="35FEF15A" w14:textId="1D02D069" w:rsidR="00217022" w:rsidRPr="00217022" w:rsidRDefault="00217022" w:rsidP="00217022">
      <w:pPr>
        <w:spacing w:after="0" w:line="264" w:lineRule="auto"/>
        <w:ind w:firstLine="709"/>
        <w:jc w:val="both"/>
        <w:rPr>
          <w:rFonts w:ascii="Times New Roman" w:eastAsiaTheme="minorEastAsia" w:hAnsi="Times New Roman" w:cs="Times New Roman"/>
          <w:sz w:val="28"/>
          <w:szCs w:val="28"/>
        </w:rPr>
      </w:pPr>
      <w:r w:rsidRPr="00217022">
        <w:rPr>
          <w:rFonts w:ascii="Times New Roman" w:eastAsiaTheme="minorEastAsia" w:hAnsi="Times New Roman" w:cs="Times New Roman"/>
          <w:sz w:val="28"/>
          <w:szCs w:val="28"/>
        </w:rPr>
        <w:t xml:space="preserve">Założenie równoległych trendów ograniczone jedynie do podgrup poddanych interwencji niesie określone konsekwencje. Nie pozwala bowiem badać </w:t>
      </w:r>
      <w:r w:rsidRPr="00217022">
        <w:rPr>
          <w:rFonts w:ascii="Times New Roman" w:eastAsiaTheme="minorEastAsia" w:hAnsi="Times New Roman" w:cs="Times New Roman"/>
          <w:sz w:val="28"/>
          <w:szCs w:val="28"/>
        </w:rPr>
        <w:lastRenderedPageBreak/>
        <w:t>efekt</w:t>
      </w:r>
      <w:r w:rsidR="00FB27E8">
        <w:rPr>
          <w:rFonts w:ascii="Times New Roman" w:eastAsiaTheme="minorEastAsia" w:hAnsi="Times New Roman" w:cs="Times New Roman"/>
          <w:sz w:val="28"/>
          <w:szCs w:val="28"/>
        </w:rPr>
        <w:t>u</w:t>
      </w:r>
      <w:r w:rsidRPr="00217022">
        <w:rPr>
          <w:rFonts w:ascii="Times New Roman" w:eastAsiaTheme="minorEastAsia" w:hAnsi="Times New Roman" w:cs="Times New Roman"/>
          <w:sz w:val="28"/>
          <w:szCs w:val="28"/>
        </w:rPr>
        <w:t xml:space="preserve"> interwencji w całym okresie, skracając go do momentu uruchomienia instrumentu w ostatniej podgrupie (Marcus i Sant’Anna, 2021). </w:t>
      </w:r>
    </w:p>
    <w:p w14:paraId="107DE21D" w14:textId="77777777" w:rsidR="00217022" w:rsidRPr="00217022" w:rsidRDefault="00217022" w:rsidP="00217022">
      <w:pPr>
        <w:spacing w:after="0"/>
        <w:ind w:firstLine="709"/>
        <w:jc w:val="both"/>
        <w:rPr>
          <w:rFonts w:ascii="Times New Roman" w:eastAsiaTheme="minorEastAsia" w:hAnsi="Times New Roman" w:cs="Times New Roman"/>
          <w:sz w:val="28"/>
          <w:szCs w:val="28"/>
        </w:rPr>
      </w:pPr>
      <w:r w:rsidRPr="00217022">
        <w:rPr>
          <w:rFonts w:ascii="Times New Roman" w:hAnsi="Times New Roman" w:cs="Times New Roman"/>
          <w:sz w:val="28"/>
          <w:szCs w:val="28"/>
        </w:rPr>
        <w:t xml:space="preserve">Callaway and Sant’Anna (2021) zaproponowali kilka sposobów agregowania ATT dla kohort jednostek poddanych interwencji. W pierwszym rzędzie dla każdej grupy w czasie.  </w:t>
      </w:r>
    </w:p>
    <w:p w14:paraId="485832E6" w14:textId="77777777" w:rsidR="00217022" w:rsidRPr="00217022" w:rsidRDefault="00217022" w:rsidP="00217022">
      <w:pPr>
        <w:jc w:val="center"/>
        <w:rPr>
          <w:rFonts w:ascii="Times New Roman" w:eastAsiaTheme="minorEastAsia" w:hAnsi="Times New Roman" w:cs="Times New Roman"/>
          <w:spacing w:val="-8"/>
          <w:sz w:val="26"/>
          <w:szCs w:val="26"/>
        </w:rPr>
      </w:pPr>
      <w:r w:rsidRPr="00217022">
        <w:rPr>
          <w:rFonts w:ascii="Times New Roman" w:hAnsi="Times New Roman" w:cs="Times New Roman"/>
          <w:sz w:val="28"/>
          <w:szCs w:val="28"/>
          <w:bdr w:val="none" w:sz="0" w:space="0" w:color="auto" w:frame="1"/>
          <w:shd w:val="clear" w:color="auto" w:fill="FFFFFF"/>
        </w:rPr>
        <w:t>θ</w:t>
      </w:r>
      <w:r w:rsidRPr="00217022">
        <w:rPr>
          <w:rFonts w:ascii="Times New Roman" w:hAnsi="Times New Roman" w:cs="Times New Roman"/>
          <w:sz w:val="28"/>
          <w:szCs w:val="28"/>
          <w:bdr w:val="none" w:sz="0" w:space="0" w:color="auto" w:frame="1"/>
          <w:shd w:val="clear" w:color="auto" w:fill="FFFFFF"/>
          <w:vertAlign w:val="subscript"/>
        </w:rPr>
        <w:t>s</w:t>
      </w:r>
      <w:r w:rsidRPr="00217022">
        <w:rPr>
          <w:rFonts w:ascii="Times New Roman" w:hAnsi="Times New Roman" w:cs="Times New Roman"/>
          <w:sz w:val="28"/>
          <w:szCs w:val="28"/>
        </w:rPr>
        <w:t xml:space="preserve"> (</w:t>
      </w:r>
      <w:r w:rsidRPr="00217022">
        <w:rPr>
          <w:rFonts w:ascii="Times New Roman" w:hAnsi="Times New Roman" w:cs="Times New Roman"/>
          <w:sz w:val="28"/>
          <w:szCs w:val="28"/>
          <w:vertAlign w:val="subscript"/>
        </w:rPr>
        <w:t>g</w:t>
      </w:r>
      <w:r w:rsidRPr="00217022">
        <w:rPr>
          <w:rFonts w:ascii="Times New Roman" w:hAnsi="Times New Roman" w:cs="Times New Roman"/>
          <w:sz w:val="28"/>
          <w:szCs w:val="28"/>
        </w:rPr>
        <w:t xml:space="preserve">) = </w:t>
      </w:r>
      <m:oMath>
        <m:f>
          <m:fPr>
            <m:ctrlPr>
              <w:rPr>
                <w:rFonts w:ascii="Cambria Math" w:hAnsi="Cambria Math" w:cs="Times New Roman"/>
                <w:i/>
                <w:sz w:val="28"/>
                <w:szCs w:val="28"/>
                <w:lang w:val="en-GB"/>
              </w:rPr>
            </m:ctrlPr>
          </m:fPr>
          <m:num>
            <m:r>
              <w:rPr>
                <w:rFonts w:ascii="Cambria Math" w:hAnsi="Cambria Math" w:cs="Times New Roman"/>
                <w:sz w:val="28"/>
                <w:szCs w:val="28"/>
              </w:rPr>
              <m:t>1</m:t>
            </m:r>
          </m:num>
          <m:den>
            <m:r>
              <w:rPr>
                <w:rFonts w:ascii="Cambria Math" w:hAnsi="Cambria Math" w:cs="Times New Roman"/>
                <w:sz w:val="28"/>
                <w:szCs w:val="28"/>
                <w:lang w:val="en-GB"/>
              </w:rPr>
              <m:t>J</m:t>
            </m:r>
            <m:r>
              <w:rPr>
                <w:rFonts w:ascii="Cambria Math" w:hAnsi="Cambria Math" w:cs="Times New Roman"/>
                <w:sz w:val="28"/>
                <w:szCs w:val="28"/>
              </w:rPr>
              <m:t>-</m:t>
            </m:r>
            <m:r>
              <w:rPr>
                <w:rFonts w:ascii="Cambria Math" w:hAnsi="Cambria Math" w:cs="Times New Roman"/>
                <w:sz w:val="28"/>
                <w:szCs w:val="28"/>
                <w:lang w:val="en-GB"/>
              </w:rPr>
              <m:t>g</m:t>
            </m:r>
            <m:r>
              <w:rPr>
                <w:rFonts w:ascii="Cambria Math" w:hAnsi="Cambria Math" w:cs="Times New Roman"/>
                <w:sz w:val="28"/>
                <w:szCs w:val="28"/>
              </w:rPr>
              <m:t>+1</m:t>
            </m:r>
          </m:den>
        </m:f>
        <m:nary>
          <m:naryPr>
            <m:chr m:val="∑"/>
            <m:limLoc m:val="undOvr"/>
            <m:ctrlPr>
              <w:rPr>
                <w:rFonts w:ascii="Cambria Math" w:hAnsi="Cambria Math" w:cs="Times New Roman"/>
                <w:spacing w:val="-8"/>
                <w:sz w:val="26"/>
                <w:szCs w:val="26"/>
                <w:lang w:val="en-GB"/>
              </w:rPr>
            </m:ctrlPr>
          </m:naryPr>
          <m:sub>
            <m:r>
              <w:rPr>
                <w:rFonts w:ascii="Cambria Math" w:hAnsi="Cambria Math" w:cs="Times New Roman"/>
                <w:spacing w:val="-8"/>
                <w:sz w:val="26"/>
                <w:szCs w:val="26"/>
                <w:lang w:val="en-GB"/>
              </w:rPr>
              <m:t>t</m:t>
            </m:r>
            <m:r>
              <w:rPr>
                <w:rFonts w:ascii="Cambria Math" w:hAnsi="Cambria Math" w:cs="Times New Roman"/>
                <w:spacing w:val="-8"/>
                <w:sz w:val="26"/>
                <w:szCs w:val="26"/>
              </w:rPr>
              <m:t>=2</m:t>
            </m:r>
          </m:sub>
          <m:sup>
            <m:r>
              <w:rPr>
                <w:rFonts w:ascii="Cambria Math" w:hAnsi="Cambria Math" w:cs="Times New Roman"/>
                <w:spacing w:val="-8"/>
                <w:sz w:val="26"/>
                <w:szCs w:val="26"/>
                <w:lang w:val="en-GB"/>
              </w:rPr>
              <m:t>J</m:t>
            </m:r>
          </m:sup>
          <m:e>
            <m:r>
              <w:rPr>
                <w:rFonts w:ascii="Cambria Math" w:hAnsi="Cambria Math" w:cs="Times New Roman"/>
                <w:spacing w:val="-8"/>
                <w:sz w:val="26"/>
                <w:szCs w:val="26"/>
              </w:rPr>
              <m:t>1{</m:t>
            </m:r>
            <m:r>
              <w:rPr>
                <w:rFonts w:ascii="Cambria Math" w:hAnsi="Cambria Math" w:cs="Times New Roman"/>
                <w:spacing w:val="-8"/>
                <w:sz w:val="26"/>
                <w:szCs w:val="26"/>
                <w:lang w:val="en-GB"/>
              </w:rPr>
              <m:t>g</m:t>
            </m:r>
            <m:r>
              <w:rPr>
                <w:rFonts w:ascii="Cambria Math" w:hAnsi="Cambria Math" w:cs="Times New Roman"/>
                <w:spacing w:val="-8"/>
                <w:sz w:val="26"/>
                <w:szCs w:val="26"/>
              </w:rPr>
              <m:t>≤</m:t>
            </m:r>
            <m:r>
              <w:rPr>
                <w:rFonts w:ascii="Cambria Math" w:hAnsi="Cambria Math" w:cs="Times New Roman"/>
                <w:spacing w:val="-8"/>
                <w:sz w:val="26"/>
                <w:szCs w:val="26"/>
                <w:lang w:val="en-GB"/>
              </w:rPr>
              <m:t>t</m:t>
            </m:r>
            <m:r>
              <w:rPr>
                <w:rFonts w:ascii="Cambria Math" w:hAnsi="Cambria Math" w:cs="Times New Roman"/>
                <w:spacing w:val="-8"/>
                <w:sz w:val="26"/>
                <w:szCs w:val="26"/>
              </w:rPr>
              <m:t>}</m:t>
            </m:r>
          </m:e>
        </m:nary>
        <m:r>
          <m:rPr>
            <m:sty m:val="p"/>
          </m:rPr>
          <w:rPr>
            <w:rFonts w:ascii="Cambria Math" w:hAnsi="Cambria Math" w:cs="Times New Roman"/>
            <w:spacing w:val="-8"/>
            <w:sz w:val="26"/>
            <w:szCs w:val="26"/>
          </w:rPr>
          <m:t>ATT(g,p)</m:t>
        </m:r>
      </m:oMath>
      <w:r w:rsidRPr="00217022">
        <w:rPr>
          <w:rFonts w:ascii="Times New Roman" w:eastAsiaTheme="minorEastAsia" w:hAnsi="Times New Roman" w:cs="Times New Roman"/>
          <w:spacing w:val="-8"/>
          <w:sz w:val="26"/>
          <w:szCs w:val="26"/>
        </w:rPr>
        <w:t>.</w:t>
      </w:r>
    </w:p>
    <w:p w14:paraId="7AA57C84" w14:textId="13505F72" w:rsidR="00217022" w:rsidRPr="00217022" w:rsidRDefault="00217022" w:rsidP="00217022">
      <w:pPr>
        <w:ind w:firstLine="708"/>
        <w:jc w:val="both"/>
        <w:rPr>
          <w:rFonts w:ascii="Times New Roman" w:eastAsiaTheme="minorEastAsia" w:hAnsi="Times New Roman" w:cs="Times New Roman"/>
          <w:sz w:val="28"/>
          <w:szCs w:val="28"/>
        </w:rPr>
      </w:pPr>
      <w:r w:rsidRPr="00217022">
        <w:rPr>
          <w:rFonts w:ascii="Times New Roman" w:eastAsiaTheme="minorEastAsia" w:hAnsi="Times New Roman" w:cs="Times New Roman"/>
          <w:sz w:val="28"/>
          <w:szCs w:val="28"/>
        </w:rPr>
        <w:t>Na tej podstawie można określić heteregoniczność interwencji w danej podgrupie względem czasu. Pozwala</w:t>
      </w:r>
      <w:r w:rsidR="00FB27E8">
        <w:rPr>
          <w:rFonts w:ascii="Times New Roman" w:eastAsiaTheme="minorEastAsia" w:hAnsi="Times New Roman" w:cs="Times New Roman"/>
          <w:sz w:val="28"/>
          <w:szCs w:val="28"/>
        </w:rPr>
        <w:t xml:space="preserve"> on</w:t>
      </w:r>
      <w:r w:rsidRPr="00217022">
        <w:rPr>
          <w:rFonts w:ascii="Times New Roman" w:eastAsiaTheme="minorEastAsia" w:hAnsi="Times New Roman" w:cs="Times New Roman"/>
          <w:sz w:val="28"/>
          <w:szCs w:val="28"/>
        </w:rPr>
        <w:t xml:space="preserve"> również na agregacj</w:t>
      </w:r>
      <w:r w:rsidR="00FB27E8">
        <w:rPr>
          <w:rFonts w:ascii="Times New Roman" w:eastAsiaTheme="minorEastAsia" w:hAnsi="Times New Roman" w:cs="Times New Roman"/>
          <w:sz w:val="28"/>
          <w:szCs w:val="28"/>
        </w:rPr>
        <w:t>ę</w:t>
      </w:r>
      <w:r w:rsidRPr="00217022">
        <w:rPr>
          <w:rFonts w:ascii="Times New Roman" w:eastAsiaTheme="minorEastAsia" w:hAnsi="Times New Roman" w:cs="Times New Roman"/>
          <w:sz w:val="28"/>
          <w:szCs w:val="28"/>
        </w:rPr>
        <w:t xml:space="preserve"> dla wszystkich podgrup w celu obliczenia efektu łącznego, czyli wyniku dla całej grupy poddanej interwencji </w:t>
      </w:r>
      <m:oMath>
        <m:sSubSup>
          <m:sSubSupPr>
            <m:ctrlPr>
              <w:rPr>
                <w:rFonts w:ascii="Cambria Math" w:hAnsi="Cambria Math" w:cs="Times New Roman"/>
                <w:i/>
                <w:sz w:val="28"/>
                <w:szCs w:val="28"/>
                <w:lang w:val="en-GB"/>
              </w:rPr>
            </m:ctrlPr>
          </m:sSubSupPr>
          <m:e>
            <m:r>
              <m:rPr>
                <m:sty m:val="p"/>
              </m:rPr>
              <w:rPr>
                <w:rFonts w:ascii="Cambria Math" w:hAnsi="Cambria Math" w:cs="Times New Roman"/>
                <w:sz w:val="28"/>
                <w:szCs w:val="28"/>
                <w:bdr w:val="none" w:sz="0" w:space="0" w:color="auto" w:frame="1"/>
                <w:shd w:val="clear" w:color="auto" w:fill="FFFFFF"/>
              </w:rPr>
              <m:t>θ</m:t>
            </m:r>
          </m:e>
          <m:sub>
            <m:r>
              <w:rPr>
                <w:rFonts w:ascii="Cambria Math" w:hAnsi="Cambria Math" w:cs="Times New Roman"/>
                <w:sz w:val="28"/>
                <w:szCs w:val="28"/>
                <w:lang w:val="en-GB"/>
              </w:rPr>
              <m:t>s</m:t>
            </m:r>
          </m:sub>
          <m:sup>
            <m:r>
              <w:rPr>
                <w:rFonts w:ascii="Cambria Math" w:hAnsi="Cambria Math" w:cs="Times New Roman"/>
                <w:sz w:val="28"/>
                <w:szCs w:val="28"/>
                <w:lang w:val="en-GB"/>
              </w:rPr>
              <m:t>o</m:t>
            </m:r>
          </m:sup>
        </m:sSubSup>
      </m:oMath>
      <w:r w:rsidRPr="00217022">
        <w:rPr>
          <w:rFonts w:ascii="Times New Roman" w:eastAsiaTheme="minorEastAsia" w:hAnsi="Times New Roman" w:cs="Times New Roman"/>
          <w:sz w:val="28"/>
          <w:szCs w:val="28"/>
        </w:rPr>
        <w:t xml:space="preserve">niezależnie od momentu jej uruchomienia w danej podgrupie: </w:t>
      </w:r>
    </w:p>
    <w:p w14:paraId="39A6C16D" w14:textId="77777777" w:rsidR="00217022" w:rsidRPr="00217022" w:rsidRDefault="00000000" w:rsidP="00217022">
      <w:pPr>
        <w:jc w:val="center"/>
        <w:rPr>
          <w:rFonts w:ascii="Times New Roman" w:eastAsiaTheme="minorEastAsia" w:hAnsi="Times New Roman" w:cs="Times New Roman"/>
          <w:spacing w:val="-8"/>
          <w:sz w:val="26"/>
          <w:szCs w:val="26"/>
        </w:rPr>
      </w:pPr>
      <m:oMath>
        <m:sSubSup>
          <m:sSubSupPr>
            <m:ctrlPr>
              <w:rPr>
                <w:rFonts w:ascii="Cambria Math" w:hAnsi="Cambria Math" w:cs="Times New Roman"/>
                <w:i/>
                <w:sz w:val="28"/>
                <w:szCs w:val="28"/>
                <w:lang w:val="en-GB"/>
              </w:rPr>
            </m:ctrlPr>
          </m:sSubSupPr>
          <m:e>
            <m:r>
              <m:rPr>
                <m:sty m:val="p"/>
              </m:rPr>
              <w:rPr>
                <w:rFonts w:ascii="Cambria Math" w:hAnsi="Cambria Math" w:cs="Times New Roman"/>
                <w:sz w:val="28"/>
                <w:szCs w:val="28"/>
                <w:bdr w:val="none" w:sz="0" w:space="0" w:color="auto" w:frame="1"/>
                <w:shd w:val="clear" w:color="auto" w:fill="FFFFFF"/>
              </w:rPr>
              <m:t>θ</m:t>
            </m:r>
          </m:e>
          <m:sub>
            <m:r>
              <w:rPr>
                <w:rFonts w:ascii="Cambria Math" w:hAnsi="Cambria Math" w:cs="Times New Roman"/>
                <w:sz w:val="28"/>
                <w:szCs w:val="28"/>
                <w:lang w:val="en-GB"/>
              </w:rPr>
              <m:t>s</m:t>
            </m:r>
          </m:sub>
          <m:sup>
            <m:r>
              <w:rPr>
                <w:rFonts w:ascii="Cambria Math" w:hAnsi="Cambria Math" w:cs="Times New Roman"/>
                <w:sz w:val="28"/>
                <w:szCs w:val="28"/>
                <w:lang w:val="en-GB"/>
              </w:rPr>
              <m:t>o</m:t>
            </m:r>
          </m:sup>
        </m:sSubSup>
        <m:r>
          <w:rPr>
            <w:rFonts w:ascii="Cambria Math" w:hAnsi="Cambria Math" w:cs="Times New Roman"/>
            <w:sz w:val="28"/>
            <w:szCs w:val="28"/>
          </w:rPr>
          <m:t>=</m:t>
        </m:r>
        <m:nary>
          <m:naryPr>
            <m:chr m:val="∑"/>
            <m:limLoc m:val="undOvr"/>
            <m:ctrlPr>
              <w:rPr>
                <w:rFonts w:ascii="Cambria Math" w:hAnsi="Cambria Math" w:cs="Times New Roman"/>
                <w:spacing w:val="-8"/>
                <w:sz w:val="26"/>
                <w:szCs w:val="26"/>
                <w:lang w:val="en-GB"/>
              </w:rPr>
            </m:ctrlPr>
          </m:naryPr>
          <m:sub>
            <m:r>
              <w:rPr>
                <w:rFonts w:ascii="Cambria Math" w:hAnsi="Cambria Math" w:cs="Times New Roman"/>
                <w:spacing w:val="-8"/>
                <w:sz w:val="26"/>
                <w:szCs w:val="26"/>
                <w:lang w:val="en-GB"/>
              </w:rPr>
              <m:t>g</m:t>
            </m:r>
            <m:r>
              <w:rPr>
                <w:rFonts w:ascii="Cambria Math" w:hAnsi="Cambria Math" w:cs="Times New Roman"/>
                <w:spacing w:val="-8"/>
                <w:sz w:val="26"/>
                <w:szCs w:val="26"/>
              </w:rPr>
              <m:t>=2</m:t>
            </m:r>
          </m:sub>
          <m:sup>
            <m:r>
              <w:rPr>
                <w:rFonts w:ascii="Cambria Math" w:hAnsi="Cambria Math" w:cs="Times New Roman"/>
                <w:spacing w:val="-8"/>
                <w:sz w:val="26"/>
                <w:szCs w:val="26"/>
                <w:lang w:val="en-GB"/>
              </w:rPr>
              <m:t>J</m:t>
            </m:r>
          </m:sup>
          <m:e>
            <m:sSub>
              <m:sSubPr>
                <m:ctrlPr>
                  <w:rPr>
                    <w:rFonts w:ascii="Cambria Math" w:hAnsi="Cambria Math" w:cs="Times New Roman"/>
                    <w:sz w:val="28"/>
                    <w:szCs w:val="28"/>
                    <w:bdr w:val="none" w:sz="0" w:space="0" w:color="auto" w:frame="1"/>
                    <w:shd w:val="clear" w:color="auto" w:fill="FFFFFF"/>
                  </w:rPr>
                </m:ctrlPr>
              </m:sSubPr>
              <m:e>
                <m:r>
                  <m:rPr>
                    <m:sty m:val="p"/>
                  </m:rPr>
                  <w:rPr>
                    <w:rFonts w:ascii="Cambria Math" w:hAnsi="Cambria Math" w:cs="Times New Roman"/>
                    <w:sz w:val="28"/>
                    <w:szCs w:val="28"/>
                    <w:bdr w:val="none" w:sz="0" w:space="0" w:color="auto" w:frame="1"/>
                    <w:shd w:val="clear" w:color="auto" w:fill="FFFFFF"/>
                  </w:rPr>
                  <m:t>θ</m:t>
                </m:r>
              </m:e>
              <m:sub>
                <m:r>
                  <w:rPr>
                    <w:rFonts w:ascii="Cambria Math" w:hAnsi="Cambria Math" w:cs="Times New Roman"/>
                    <w:sz w:val="28"/>
                    <w:szCs w:val="28"/>
                    <w:bdr w:val="none" w:sz="0" w:space="0" w:color="auto" w:frame="1"/>
                    <w:shd w:val="clear" w:color="auto" w:fill="FFFFFF"/>
                  </w:rPr>
                  <m:t>s</m:t>
                </m:r>
                <m:d>
                  <m:dPr>
                    <m:ctrlPr>
                      <w:rPr>
                        <w:rFonts w:ascii="Cambria Math" w:hAnsi="Cambria Math" w:cs="Times New Roman"/>
                        <w:i/>
                        <w:sz w:val="28"/>
                        <w:szCs w:val="28"/>
                        <w:bdr w:val="none" w:sz="0" w:space="0" w:color="auto" w:frame="1"/>
                        <w:shd w:val="clear" w:color="auto" w:fill="FFFFFF"/>
                      </w:rPr>
                    </m:ctrlPr>
                  </m:dPr>
                  <m:e>
                    <m:r>
                      <w:rPr>
                        <w:rFonts w:ascii="Cambria Math" w:hAnsi="Cambria Math" w:cs="Times New Roman"/>
                        <w:sz w:val="28"/>
                        <w:szCs w:val="28"/>
                        <w:bdr w:val="none" w:sz="0" w:space="0" w:color="auto" w:frame="1"/>
                        <w:shd w:val="clear" w:color="auto" w:fill="FFFFFF"/>
                      </w:rPr>
                      <m:t>g</m:t>
                    </m:r>
                  </m:e>
                </m:d>
              </m:sub>
            </m:sSub>
            <m:r>
              <m:rPr>
                <m:sty m:val="p"/>
              </m:rPr>
              <w:rPr>
                <w:rFonts w:ascii="Cambria Math" w:hAnsi="Cambria Math" w:cs="Times New Roman"/>
                <w:sz w:val="28"/>
                <w:szCs w:val="28"/>
                <w:bdr w:val="none" w:sz="0" w:space="0" w:color="auto" w:frame="1"/>
                <w:shd w:val="clear" w:color="auto" w:fill="FFFFFF"/>
                <w:vertAlign w:val="subscript"/>
              </w:rPr>
              <m:t>P(G=g)</m:t>
            </m:r>
          </m:e>
        </m:nary>
      </m:oMath>
      <w:r w:rsidR="00217022" w:rsidRPr="00217022">
        <w:rPr>
          <w:rFonts w:ascii="Times New Roman" w:eastAsiaTheme="minorEastAsia" w:hAnsi="Times New Roman" w:cs="Times New Roman"/>
          <w:spacing w:val="-8"/>
          <w:sz w:val="26"/>
          <w:szCs w:val="26"/>
        </w:rPr>
        <w:t>.</w:t>
      </w:r>
    </w:p>
    <w:p w14:paraId="4D57349C" w14:textId="77777777" w:rsidR="00217022" w:rsidRPr="00217022" w:rsidRDefault="00217022" w:rsidP="00217022">
      <w:pPr>
        <w:spacing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Pozwala również na ustalenie łącznej dynamiki efektu interwencji, a więc odpowiedzenie na pytanie często zadawane przez różne grupy interesariuszy, jak efektywność interwencji </w:t>
      </w:r>
      <w:r w:rsidRPr="00217022">
        <w:rPr>
          <w:rFonts w:ascii="Times New Roman" w:hAnsi="Times New Roman" w:cs="Times New Roman"/>
          <w:sz w:val="28"/>
          <w:szCs w:val="28"/>
          <w:bdr w:val="none" w:sz="0" w:space="0" w:color="auto" w:frame="1"/>
          <w:shd w:val="clear" w:color="auto" w:fill="FFFFFF"/>
        </w:rPr>
        <w:t>θ</w:t>
      </w:r>
      <w:r w:rsidRPr="00217022">
        <w:rPr>
          <w:rFonts w:ascii="Times New Roman" w:hAnsi="Times New Roman" w:cs="Times New Roman"/>
          <w:sz w:val="28"/>
          <w:szCs w:val="28"/>
          <w:bdr w:val="none" w:sz="0" w:space="0" w:color="auto" w:frame="1"/>
          <w:shd w:val="clear" w:color="auto" w:fill="FFFFFF"/>
          <w:vertAlign w:val="subscript"/>
        </w:rPr>
        <w:t>D</w:t>
      </w:r>
      <w:r w:rsidRPr="00217022">
        <w:rPr>
          <w:rFonts w:ascii="Times New Roman" w:hAnsi="Times New Roman" w:cs="Times New Roman"/>
          <w:sz w:val="28"/>
          <w:szCs w:val="28"/>
        </w:rPr>
        <w:t xml:space="preserve"> (</w:t>
      </w:r>
      <w:r w:rsidRPr="00217022">
        <w:rPr>
          <w:rFonts w:ascii="Times New Roman" w:hAnsi="Times New Roman" w:cs="Times New Roman"/>
          <w:sz w:val="28"/>
          <w:szCs w:val="28"/>
          <w:vertAlign w:val="subscript"/>
        </w:rPr>
        <w:t>e</w:t>
      </w:r>
      <w:r w:rsidRPr="00217022">
        <w:rPr>
          <w:rFonts w:ascii="Times New Roman" w:hAnsi="Times New Roman" w:cs="Times New Roman"/>
          <w:sz w:val="28"/>
          <w:szCs w:val="28"/>
        </w:rPr>
        <w:t>) zmieniała się w czasie:</w:t>
      </w:r>
    </w:p>
    <w:p w14:paraId="258A1F7D" w14:textId="0D6A4706" w:rsidR="00217022" w:rsidRPr="00217022" w:rsidRDefault="00217022" w:rsidP="00217022">
      <w:pPr>
        <w:jc w:val="center"/>
        <w:rPr>
          <w:rFonts w:ascii="Times New Roman" w:eastAsiaTheme="minorEastAsia" w:hAnsi="Times New Roman" w:cs="Times New Roman"/>
          <w:spacing w:val="-8"/>
          <w:sz w:val="26"/>
          <w:szCs w:val="26"/>
          <w:lang w:val="de-AT"/>
        </w:rPr>
      </w:pPr>
      <w:r w:rsidRPr="00217022">
        <w:rPr>
          <w:rFonts w:ascii="Times New Roman" w:hAnsi="Times New Roman" w:cs="Times New Roman"/>
          <w:sz w:val="28"/>
          <w:szCs w:val="28"/>
        </w:rPr>
        <w:t xml:space="preserve"> </w:t>
      </w:r>
      <w:r w:rsidRPr="00217022">
        <w:rPr>
          <w:rFonts w:ascii="Times New Roman" w:hAnsi="Times New Roman" w:cs="Times New Roman"/>
          <w:sz w:val="28"/>
          <w:szCs w:val="28"/>
          <w:bdr w:val="none" w:sz="0" w:space="0" w:color="auto" w:frame="1"/>
          <w:shd w:val="clear" w:color="auto" w:fill="FFFFFF"/>
        </w:rPr>
        <w:t>θ</w:t>
      </w:r>
      <w:r w:rsidRPr="00217022">
        <w:rPr>
          <w:rFonts w:ascii="Times New Roman" w:hAnsi="Times New Roman" w:cs="Times New Roman"/>
          <w:sz w:val="28"/>
          <w:szCs w:val="28"/>
          <w:bdr w:val="none" w:sz="0" w:space="0" w:color="auto" w:frame="1"/>
          <w:shd w:val="clear" w:color="auto" w:fill="FFFFFF"/>
          <w:vertAlign w:val="subscript"/>
          <w:lang w:val="de-AT"/>
        </w:rPr>
        <w:t>D</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e</w:t>
      </w:r>
      <w:r w:rsidRPr="00217022">
        <w:rPr>
          <w:rFonts w:ascii="Times New Roman" w:hAnsi="Times New Roman" w:cs="Times New Roman"/>
          <w:sz w:val="28"/>
          <w:szCs w:val="28"/>
          <w:lang w:val="de-AT"/>
        </w:rPr>
        <w:t>): =</w:t>
      </w:r>
      <m:oMath>
        <m:nary>
          <m:naryPr>
            <m:chr m:val="∑"/>
            <m:limLoc m:val="undOvr"/>
            <m:ctrlPr>
              <w:rPr>
                <w:rFonts w:ascii="Cambria Math" w:hAnsi="Cambria Math" w:cs="Times New Roman"/>
                <w:spacing w:val="-8"/>
                <w:sz w:val="26"/>
                <w:szCs w:val="26"/>
                <w:lang w:val="en-GB"/>
              </w:rPr>
            </m:ctrlPr>
          </m:naryPr>
          <m:sub>
            <m:r>
              <w:rPr>
                <w:rFonts w:ascii="Cambria Math" w:hAnsi="Cambria Math" w:cs="Times New Roman"/>
                <w:spacing w:val="-8"/>
                <w:sz w:val="26"/>
                <w:szCs w:val="26"/>
                <w:lang w:val="en-GB"/>
              </w:rPr>
              <m:t>g</m:t>
            </m:r>
            <m:r>
              <w:rPr>
                <w:rFonts w:ascii="Cambria Math" w:hAnsi="Cambria Math" w:cs="Times New Roman"/>
                <w:spacing w:val="-8"/>
                <w:sz w:val="26"/>
                <w:szCs w:val="26"/>
                <w:lang w:val="de-AT"/>
              </w:rPr>
              <m:t>=2</m:t>
            </m:r>
          </m:sub>
          <m:sup>
            <m:r>
              <w:rPr>
                <w:rFonts w:ascii="Cambria Math" w:hAnsi="Cambria Math" w:cs="Times New Roman"/>
                <w:spacing w:val="-8"/>
                <w:sz w:val="26"/>
                <w:szCs w:val="26"/>
                <w:lang w:val="en-GB"/>
              </w:rPr>
              <m:t>J</m:t>
            </m:r>
          </m:sup>
          <m:e>
            <m:r>
              <w:rPr>
                <w:rFonts w:ascii="Cambria Math" w:hAnsi="Cambria Math" w:cs="Times New Roman"/>
                <w:spacing w:val="-8"/>
                <w:sz w:val="26"/>
                <w:szCs w:val="26"/>
                <w:lang w:val="de-AT"/>
              </w:rPr>
              <m:t>1</m:t>
            </m:r>
          </m:e>
        </m:nary>
      </m:oMath>
      <w:r w:rsidRPr="00217022">
        <w:rPr>
          <w:rFonts w:ascii="Times New Roman" w:hAnsi="Times New Roman" w:cs="Times New Roman"/>
          <w:sz w:val="28"/>
          <w:szCs w:val="28"/>
          <w:lang w:val="de-AT"/>
        </w:rPr>
        <w:t>{g+e</w:t>
      </w:r>
      <m:oMath>
        <m:r>
          <w:rPr>
            <w:rFonts w:ascii="Cambria Math" w:hAnsi="Cambria Math" w:cs="Times New Roman"/>
            <w:sz w:val="28"/>
            <w:szCs w:val="28"/>
            <w:lang w:val="de-AT"/>
          </w:rPr>
          <m:t>≤</m:t>
        </m:r>
        <m:r>
          <w:rPr>
            <w:rFonts w:ascii="Cambria Math" w:hAnsi="Cambria Math" w:cs="Times New Roman"/>
            <w:sz w:val="28"/>
            <w:szCs w:val="28"/>
            <w:lang w:val="en-GB"/>
          </w:rPr>
          <m:t>J</m:t>
        </m:r>
        <m:r>
          <w:rPr>
            <w:rFonts w:ascii="Cambria Math" w:hAnsi="Cambria Math" w:cs="Times New Roman"/>
            <w:sz w:val="28"/>
            <w:szCs w:val="28"/>
            <w:lang w:val="de-AT"/>
          </w:rPr>
          <m:t>}</m:t>
        </m:r>
        <m:r>
          <m:rPr>
            <m:sty m:val="p"/>
          </m:rPr>
          <w:rPr>
            <w:rFonts w:ascii="Cambria Math" w:hAnsi="Cambria Math" w:cs="Times New Roman"/>
            <w:spacing w:val="-8"/>
            <w:sz w:val="26"/>
            <w:szCs w:val="26"/>
            <w:lang w:val="de-AT"/>
          </w:rPr>
          <m:t>ATT(g,g+e)P(G=g|G+e≤J)</m:t>
        </m:r>
      </m:oMath>
      <w:r w:rsidR="00FB27E8">
        <w:rPr>
          <w:rFonts w:ascii="Times New Roman" w:eastAsiaTheme="minorEastAsia" w:hAnsi="Times New Roman" w:cs="Times New Roman"/>
          <w:spacing w:val="-8"/>
          <w:sz w:val="26"/>
          <w:szCs w:val="26"/>
          <w:lang w:val="de-AT"/>
        </w:rPr>
        <w:t>,</w:t>
      </w:r>
    </w:p>
    <w:p w14:paraId="3EE6B795" w14:textId="77777777" w:rsidR="00217022" w:rsidRPr="00217022" w:rsidRDefault="00217022" w:rsidP="00217022">
      <w:pPr>
        <w:spacing w:line="264" w:lineRule="auto"/>
        <w:jc w:val="both"/>
        <w:rPr>
          <w:rFonts w:ascii="Times New Roman" w:hAnsi="Times New Roman" w:cs="Times New Roman"/>
          <w:sz w:val="28"/>
          <w:szCs w:val="28"/>
        </w:rPr>
      </w:pPr>
      <w:r w:rsidRPr="00217022">
        <w:rPr>
          <w:rFonts w:ascii="Times New Roman" w:hAnsi="Times New Roman" w:cs="Times New Roman"/>
          <w:sz w:val="28"/>
          <w:szCs w:val="28"/>
          <w:shd w:val="clear" w:color="auto" w:fill="FFFFFF"/>
        </w:rPr>
        <w:t>gdzie: </w:t>
      </w:r>
      <w:r w:rsidRPr="00217022">
        <w:rPr>
          <w:rFonts w:ascii="Times New Roman" w:hAnsi="Times New Roman" w:cs="Times New Roman"/>
          <w:sz w:val="28"/>
          <w:szCs w:val="28"/>
          <w:bdr w:val="none" w:sz="0" w:space="0" w:color="auto" w:frame="1"/>
          <w:shd w:val="clear" w:color="auto" w:fill="FFFFFF"/>
        </w:rPr>
        <w:t>e= t−g</w:t>
      </w:r>
      <w:r w:rsidRPr="00217022">
        <w:rPr>
          <w:rFonts w:ascii="Times New Roman" w:hAnsi="Times New Roman" w:cs="Times New Roman"/>
          <w:sz w:val="28"/>
          <w:szCs w:val="28"/>
          <w:shd w:val="clear" w:color="auto" w:fill="FFFFFF"/>
        </w:rPr>
        <w:t>  i oznacza okres oddziaływania interwencji.</w:t>
      </w:r>
    </w:p>
    <w:p w14:paraId="341D994F" w14:textId="0B1679E1" w:rsidR="00217022" w:rsidRDefault="00217022" w:rsidP="00217022">
      <w:pPr>
        <w:spacing w:after="120" w:line="264" w:lineRule="auto"/>
        <w:ind w:firstLine="709"/>
        <w:jc w:val="both"/>
        <w:rPr>
          <w:rFonts w:ascii="Times New Roman" w:hAnsi="Times New Roman" w:cs="Times New Roman"/>
          <w:spacing w:val="-6"/>
          <w:sz w:val="28"/>
          <w:szCs w:val="28"/>
        </w:rPr>
      </w:pPr>
      <w:r w:rsidRPr="00217022">
        <w:rPr>
          <w:rFonts w:ascii="Times New Roman" w:hAnsi="Times New Roman" w:cs="Times New Roman"/>
          <w:spacing w:val="-6"/>
          <w:sz w:val="28"/>
          <w:szCs w:val="28"/>
        </w:rPr>
        <w:t>W przykładzie zastosowania podejścia Callawaya i Sant’Ann</w:t>
      </w:r>
      <w:r w:rsidR="002357D1">
        <w:rPr>
          <w:rFonts w:ascii="Times New Roman" w:hAnsi="Times New Roman" w:cs="Times New Roman"/>
          <w:spacing w:val="-6"/>
          <w:sz w:val="28"/>
          <w:szCs w:val="28"/>
        </w:rPr>
        <w:t>y</w:t>
      </w:r>
      <w:r w:rsidRPr="00217022">
        <w:rPr>
          <w:rFonts w:ascii="Times New Roman" w:hAnsi="Times New Roman" w:cs="Times New Roman"/>
          <w:spacing w:val="-6"/>
          <w:sz w:val="28"/>
          <w:szCs w:val="28"/>
        </w:rPr>
        <w:t xml:space="preserve"> w programie R do obliczania dynamicznego efektu interwencji potrzeb</w:t>
      </w:r>
      <w:r w:rsidR="00FB27E8">
        <w:rPr>
          <w:rFonts w:ascii="Times New Roman" w:hAnsi="Times New Roman" w:cs="Times New Roman"/>
          <w:spacing w:val="-6"/>
          <w:sz w:val="28"/>
          <w:szCs w:val="28"/>
        </w:rPr>
        <w:t>ne</w:t>
      </w:r>
      <w:r w:rsidRPr="00217022">
        <w:rPr>
          <w:rFonts w:ascii="Times New Roman" w:hAnsi="Times New Roman" w:cs="Times New Roman"/>
          <w:spacing w:val="-6"/>
          <w:sz w:val="28"/>
          <w:szCs w:val="28"/>
        </w:rPr>
        <w:t xml:space="preserve"> jest zainstalowanie z biblioteki obecnie dostępnej wersji opracowanego przez autorów dodatku did oraz danych: </w:t>
      </w:r>
    </w:p>
    <w:p w14:paraId="6E8F3ECB"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64" w:lineRule="auto"/>
        <w:rPr>
          <w:rFonts w:ascii="Courier New" w:hAnsi="Courier New" w:cs="Courier New"/>
          <w:spacing w:val="-4"/>
          <w:kern w:val="0"/>
          <w:sz w:val="20"/>
          <w:szCs w:val="20"/>
        </w:rPr>
      </w:pPr>
      <w:hyperlink r:id="rId271" w:history="1">
        <w:r w:rsidRPr="00217022">
          <w:rPr>
            <w:rFonts w:ascii="Courier New" w:hAnsi="Courier New" w:cs="Courier New"/>
            <w:spacing w:val="-4"/>
            <w:kern w:val="0"/>
            <w:sz w:val="20"/>
            <w:szCs w:val="20"/>
          </w:rPr>
          <w:t>library</w:t>
        </w:r>
      </w:hyperlink>
      <w:r w:rsidRPr="00217022">
        <w:rPr>
          <w:rFonts w:ascii="Courier New" w:hAnsi="Courier New" w:cs="Courier New"/>
          <w:spacing w:val="-4"/>
          <w:kern w:val="0"/>
          <w:sz w:val="20"/>
          <w:szCs w:val="20"/>
        </w:rPr>
        <w:t>(</w:t>
      </w:r>
      <w:hyperlink r:id="rId272" w:history="1">
        <w:r w:rsidRPr="00217022">
          <w:rPr>
            <w:rFonts w:ascii="Courier New" w:hAnsi="Courier New" w:cs="Courier New"/>
            <w:spacing w:val="-4"/>
            <w:kern w:val="0"/>
            <w:sz w:val="20"/>
            <w:szCs w:val="20"/>
          </w:rPr>
          <w:t>did</w:t>
        </w:r>
      </w:hyperlink>
      <w:r w:rsidRPr="00217022">
        <w:rPr>
          <w:rFonts w:ascii="Courier New" w:hAnsi="Courier New" w:cs="Courier New"/>
          <w:spacing w:val="-4"/>
          <w:kern w:val="0"/>
          <w:sz w:val="20"/>
          <w:szCs w:val="20"/>
        </w:rPr>
        <w:t>)</w:t>
      </w:r>
    </w:p>
    <w:p w14:paraId="0868DC73"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64" w:lineRule="auto"/>
        <w:rPr>
          <w:rFonts w:ascii="Courier New" w:hAnsi="Courier New" w:cs="Courier New"/>
          <w:spacing w:val="-4"/>
          <w:kern w:val="0"/>
          <w:sz w:val="20"/>
          <w:szCs w:val="20"/>
        </w:rPr>
      </w:pPr>
      <w:hyperlink r:id="rId273" w:history="1">
        <w:r w:rsidRPr="00217022">
          <w:rPr>
            <w:rFonts w:ascii="Courier New" w:hAnsi="Courier New" w:cs="Courier New"/>
            <w:spacing w:val="-4"/>
            <w:kern w:val="0"/>
            <w:sz w:val="20"/>
            <w:szCs w:val="20"/>
          </w:rPr>
          <w:t>data</w:t>
        </w:r>
      </w:hyperlink>
      <w:r w:rsidRPr="00217022">
        <w:rPr>
          <w:rFonts w:ascii="Courier New" w:hAnsi="Courier New" w:cs="Courier New"/>
          <w:spacing w:val="-4"/>
          <w:kern w:val="0"/>
          <w:sz w:val="20"/>
          <w:szCs w:val="20"/>
        </w:rPr>
        <w:t>(mpdta)</w:t>
      </w:r>
    </w:p>
    <w:p w14:paraId="39DDCE11" w14:textId="77777777" w:rsidR="00217022" w:rsidRPr="00217022" w:rsidRDefault="00217022" w:rsidP="00217022">
      <w:pPr>
        <w:spacing w:before="120"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Zbiór danych w zaprezentowanym przez autorów w poniżej zaprezentowanym przykładzie zawiera 500 obserwacji danych dotyczących poziomu zatrudnienia nastolatków na poziomie hrabstw w USA w latach 2003-2007. Płaca minimalna w części okręgów była podnoszona w trzech różnych okresach, tj. 2004 r., 2006 r. oraz 2007 roku. Ważnymi zmiennymi w zbiorze wykorzystanych danych były następujące:</w:t>
      </w:r>
    </w:p>
    <w:p w14:paraId="19FAE328" w14:textId="784E50ED" w:rsidR="00217022" w:rsidRPr="00217022" w:rsidRDefault="00217022" w:rsidP="00217022">
      <w:pPr>
        <w:spacing w:after="0" w:line="264" w:lineRule="auto"/>
        <w:ind w:left="1418" w:hanging="1418"/>
        <w:rPr>
          <w:rFonts w:ascii="Times New Roman" w:hAnsi="Times New Roman" w:cs="Times New Roman"/>
          <w:sz w:val="28"/>
          <w:szCs w:val="28"/>
        </w:rPr>
      </w:pPr>
      <w:r w:rsidRPr="00217022">
        <w:rPr>
          <w:rFonts w:ascii="Times New Roman" w:hAnsi="Times New Roman" w:cs="Times New Roman"/>
          <w:sz w:val="28"/>
          <w:szCs w:val="28"/>
        </w:rPr>
        <w:t xml:space="preserve">lemp </w:t>
      </w:r>
      <w:bookmarkStart w:id="31" w:name="_Hlk182552061"/>
      <w:r w:rsidR="000077EA">
        <w:rPr>
          <w:rFonts w:ascii="Times New Roman" w:hAnsi="Times New Roman" w:cs="Times New Roman"/>
          <w:sz w:val="28"/>
          <w:szCs w:val="28"/>
        </w:rPr>
        <w:t xml:space="preserve">      </w:t>
      </w:r>
      <w:r w:rsidR="00FB27E8">
        <w:rPr>
          <w:rFonts w:ascii="Times New Roman" w:hAnsi="Times New Roman" w:cs="Times New Roman"/>
          <w:sz w:val="28"/>
          <w:szCs w:val="28"/>
        </w:rPr>
        <w:t xml:space="preserve"> </w:t>
      </w:r>
      <w:r w:rsidR="000077EA">
        <w:rPr>
          <w:rFonts w:ascii="Times New Roman" w:hAnsi="Times New Roman" w:cs="Times New Roman"/>
          <w:sz w:val="28"/>
          <w:szCs w:val="28"/>
        </w:rPr>
        <w:t xml:space="preserve"> </w:t>
      </w:r>
      <w:r w:rsidRPr="00217022">
        <w:rPr>
          <w:rFonts w:ascii="Times New Roman" w:hAnsi="Times New Roman" w:cs="Times New Roman"/>
          <w:sz w:val="28"/>
          <w:szCs w:val="28"/>
        </w:rPr>
        <w:t>–</w:t>
      </w:r>
      <w:bookmarkEnd w:id="31"/>
      <w:r w:rsidRPr="00217022">
        <w:rPr>
          <w:rFonts w:ascii="Times New Roman" w:hAnsi="Times New Roman" w:cs="Times New Roman"/>
          <w:sz w:val="28"/>
          <w:szCs w:val="28"/>
        </w:rPr>
        <w:t xml:space="preserve"> </w:t>
      </w:r>
      <w:r w:rsidRPr="00217022">
        <w:rPr>
          <w:rFonts w:ascii="Times New Roman" w:hAnsi="Times New Roman" w:cs="Times New Roman"/>
          <w:sz w:val="28"/>
          <w:szCs w:val="28"/>
        </w:rPr>
        <w:tab/>
        <w:t>zmienna wynikowa określająca poziom zatrudnienia nastolatków w danym  hrabstwie;</w:t>
      </w:r>
    </w:p>
    <w:p w14:paraId="48E9282F" w14:textId="1C26E9D8" w:rsidR="00217022" w:rsidRPr="00217022" w:rsidRDefault="00217022" w:rsidP="00217022">
      <w:pPr>
        <w:spacing w:after="0" w:line="264" w:lineRule="auto"/>
        <w:ind w:left="1418" w:hanging="1418"/>
        <w:rPr>
          <w:rFonts w:ascii="Times New Roman" w:hAnsi="Times New Roman" w:cs="Times New Roman"/>
          <w:sz w:val="28"/>
          <w:szCs w:val="28"/>
        </w:rPr>
      </w:pPr>
      <w:r w:rsidRPr="00217022">
        <w:rPr>
          <w:rFonts w:ascii="Times New Roman" w:hAnsi="Times New Roman" w:cs="Times New Roman"/>
          <w:sz w:val="28"/>
          <w:szCs w:val="28"/>
        </w:rPr>
        <w:t xml:space="preserve">first.treat </w:t>
      </w:r>
      <w:r w:rsidR="000077EA">
        <w:rPr>
          <w:rFonts w:ascii="Times New Roman" w:hAnsi="Times New Roman" w:cs="Times New Roman"/>
          <w:sz w:val="28"/>
          <w:szCs w:val="28"/>
        </w:rPr>
        <w:t xml:space="preserve"> </w:t>
      </w:r>
      <w:r w:rsidR="00465A50" w:rsidRPr="00217022">
        <w:rPr>
          <w:rFonts w:ascii="Times New Roman" w:hAnsi="Times New Roman" w:cs="Times New Roman"/>
          <w:sz w:val="28"/>
          <w:szCs w:val="28"/>
        </w:rPr>
        <w:t>–</w:t>
      </w:r>
      <w:r w:rsidRPr="00217022">
        <w:rPr>
          <w:rFonts w:ascii="Times New Roman" w:hAnsi="Times New Roman" w:cs="Times New Roman"/>
          <w:sz w:val="28"/>
          <w:szCs w:val="28"/>
        </w:rPr>
        <w:t xml:space="preserve"> </w:t>
      </w:r>
      <w:r w:rsidRPr="00217022">
        <w:rPr>
          <w:rFonts w:ascii="Times New Roman" w:hAnsi="Times New Roman" w:cs="Times New Roman"/>
          <w:sz w:val="28"/>
          <w:szCs w:val="28"/>
        </w:rPr>
        <w:tab/>
        <w:t>okres, w którym stan po raz pierwszy podnosił płacę minimalną; mógł to być rok: 2004, 2006 lub 2007. Jest to zmienna, która definiuje grupę w tej aplikacji;</w:t>
      </w:r>
    </w:p>
    <w:p w14:paraId="33B764D2" w14:textId="1DB75AE5" w:rsidR="00217022" w:rsidRPr="00217022" w:rsidRDefault="00217022" w:rsidP="00217022">
      <w:pPr>
        <w:spacing w:after="0" w:line="264" w:lineRule="auto"/>
        <w:ind w:left="1418" w:hanging="1418"/>
        <w:rPr>
          <w:rFonts w:ascii="Times New Roman" w:hAnsi="Times New Roman" w:cs="Times New Roman"/>
          <w:sz w:val="28"/>
          <w:szCs w:val="28"/>
        </w:rPr>
      </w:pPr>
      <w:r w:rsidRPr="00217022">
        <w:rPr>
          <w:rFonts w:ascii="Times New Roman" w:hAnsi="Times New Roman" w:cs="Times New Roman"/>
          <w:sz w:val="28"/>
          <w:szCs w:val="28"/>
        </w:rPr>
        <w:t>year</w:t>
      </w:r>
      <w:r w:rsidR="000077EA">
        <w:rPr>
          <w:rFonts w:ascii="Times New Roman" w:hAnsi="Times New Roman" w:cs="Times New Roman"/>
          <w:sz w:val="28"/>
          <w:szCs w:val="28"/>
        </w:rPr>
        <w:t xml:space="preserve">         </w:t>
      </w:r>
      <w:r w:rsidR="00A14826">
        <w:rPr>
          <w:rFonts w:ascii="Times New Roman" w:hAnsi="Times New Roman" w:cs="Times New Roman"/>
          <w:sz w:val="28"/>
          <w:szCs w:val="28"/>
        </w:rPr>
        <w:t xml:space="preserve"> </w:t>
      </w:r>
      <w:r w:rsidRPr="00217022">
        <w:rPr>
          <w:rFonts w:ascii="Times New Roman" w:hAnsi="Times New Roman" w:cs="Times New Roman"/>
          <w:sz w:val="28"/>
          <w:szCs w:val="28"/>
        </w:rPr>
        <w:t xml:space="preserve"> </w:t>
      </w:r>
      <w:r w:rsidR="00465A50" w:rsidRPr="00217022">
        <w:rPr>
          <w:rFonts w:ascii="Times New Roman" w:hAnsi="Times New Roman" w:cs="Times New Roman"/>
          <w:sz w:val="28"/>
          <w:szCs w:val="28"/>
        </w:rPr>
        <w:t>–</w:t>
      </w:r>
      <w:r w:rsidRPr="00217022">
        <w:rPr>
          <w:rFonts w:ascii="Times New Roman" w:hAnsi="Times New Roman" w:cs="Times New Roman"/>
          <w:sz w:val="28"/>
          <w:szCs w:val="28"/>
        </w:rPr>
        <w:tab/>
        <w:t>zmienna czasowa (rok obserwacji);</w:t>
      </w:r>
    </w:p>
    <w:p w14:paraId="1DA3ACA6" w14:textId="77777777" w:rsidR="00217022" w:rsidRPr="00217022" w:rsidRDefault="00217022" w:rsidP="00217022">
      <w:pPr>
        <w:spacing w:line="264" w:lineRule="auto"/>
        <w:ind w:left="1418" w:hanging="1418"/>
        <w:rPr>
          <w:rFonts w:ascii="Times New Roman" w:hAnsi="Times New Roman" w:cs="Times New Roman"/>
          <w:sz w:val="28"/>
          <w:szCs w:val="28"/>
        </w:rPr>
      </w:pPr>
      <w:r w:rsidRPr="00217022">
        <w:rPr>
          <w:rFonts w:ascii="Times New Roman" w:hAnsi="Times New Roman" w:cs="Times New Roman"/>
          <w:sz w:val="28"/>
          <w:szCs w:val="28"/>
        </w:rPr>
        <w:t>countyreal – numer identyfikujący hrabstwo.</w:t>
      </w:r>
    </w:p>
    <w:p w14:paraId="2B232669" w14:textId="62087285" w:rsidR="00217022" w:rsidRPr="00217022" w:rsidRDefault="00217022" w:rsidP="00217022">
      <w:pPr>
        <w:spacing w:after="12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lastRenderedPageBreak/>
        <w:t>W celu obliczenia średniego efektu interwencji w czasie dla danej grupy trzeba skorzystać z funkcji att_gt</w:t>
      </w:r>
      <w:r w:rsidR="004E59C1">
        <w:rPr>
          <w:rFonts w:ascii="Times New Roman" w:hAnsi="Times New Roman" w:cs="Times New Roman"/>
          <w:sz w:val="28"/>
          <w:szCs w:val="28"/>
        </w:rPr>
        <w:t>:</w:t>
      </w:r>
      <w:r w:rsidRPr="00217022">
        <w:rPr>
          <w:rFonts w:ascii="Times New Roman" w:hAnsi="Times New Roman" w:cs="Times New Roman"/>
          <w:sz w:val="28"/>
          <w:szCs w:val="28"/>
        </w:rPr>
        <w:t xml:space="preserve"> </w:t>
      </w:r>
    </w:p>
    <w:p w14:paraId="7E855645"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2"/>
          <w:szCs w:val="22"/>
          <w:lang w:val="en-GB"/>
        </w:rPr>
      </w:pPr>
      <w:r w:rsidRPr="00217022">
        <w:rPr>
          <w:rFonts w:ascii="Courier New" w:hAnsi="Courier New" w:cs="Courier New"/>
          <w:spacing w:val="-4"/>
          <w:kern w:val="0"/>
          <w:sz w:val="22"/>
          <w:szCs w:val="22"/>
          <w:lang w:val="en-GB"/>
        </w:rPr>
        <w:t xml:space="preserve">out &lt;- </w:t>
      </w:r>
      <w:hyperlink r:id="rId274" w:history="1">
        <w:r w:rsidRPr="00217022">
          <w:rPr>
            <w:rFonts w:ascii="Courier New" w:hAnsi="Courier New" w:cs="Courier New"/>
            <w:spacing w:val="-4"/>
            <w:kern w:val="0"/>
            <w:sz w:val="22"/>
            <w:szCs w:val="22"/>
            <w:lang w:val="en-GB"/>
          </w:rPr>
          <w:t>att_gt</w:t>
        </w:r>
      </w:hyperlink>
      <w:r w:rsidRPr="00217022">
        <w:rPr>
          <w:rFonts w:ascii="Courier New" w:hAnsi="Courier New" w:cs="Courier New"/>
          <w:spacing w:val="-4"/>
          <w:kern w:val="0"/>
          <w:sz w:val="22"/>
          <w:szCs w:val="22"/>
          <w:lang w:val="en-GB"/>
        </w:rPr>
        <w:t>(</w:t>
      </w:r>
    </w:p>
    <w:p w14:paraId="5C4B83E2"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2"/>
          <w:szCs w:val="22"/>
          <w:lang w:val="en-GB"/>
        </w:rPr>
      </w:pPr>
      <w:r w:rsidRPr="00217022">
        <w:rPr>
          <w:rFonts w:ascii="Courier New" w:hAnsi="Courier New" w:cs="Courier New"/>
          <w:spacing w:val="-4"/>
          <w:kern w:val="0"/>
          <w:sz w:val="22"/>
          <w:szCs w:val="22"/>
          <w:lang w:val="en-GB"/>
        </w:rPr>
        <w:t xml:space="preserve">  yname = "lemp",</w:t>
      </w:r>
    </w:p>
    <w:p w14:paraId="580F67D1"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2"/>
          <w:szCs w:val="22"/>
          <w:lang w:val="en-GB"/>
        </w:rPr>
      </w:pPr>
      <w:r w:rsidRPr="00217022">
        <w:rPr>
          <w:rFonts w:ascii="Courier New" w:hAnsi="Courier New" w:cs="Courier New"/>
          <w:spacing w:val="-4"/>
          <w:kern w:val="0"/>
          <w:sz w:val="22"/>
          <w:szCs w:val="22"/>
          <w:lang w:val="en-GB"/>
        </w:rPr>
        <w:t xml:space="preserve">  gname = "first.treat",</w:t>
      </w:r>
    </w:p>
    <w:p w14:paraId="620E9A49"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2"/>
          <w:szCs w:val="22"/>
          <w:lang w:val="en-GB"/>
        </w:rPr>
      </w:pPr>
      <w:r w:rsidRPr="00217022">
        <w:rPr>
          <w:rFonts w:ascii="Courier New" w:hAnsi="Courier New" w:cs="Courier New"/>
          <w:spacing w:val="-4"/>
          <w:kern w:val="0"/>
          <w:sz w:val="22"/>
          <w:szCs w:val="22"/>
          <w:lang w:val="en-GB"/>
        </w:rPr>
        <w:t xml:space="preserve">  idname = "countyreal",</w:t>
      </w:r>
    </w:p>
    <w:p w14:paraId="6541C8CB"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2"/>
          <w:szCs w:val="22"/>
          <w:lang w:val="en-GB"/>
        </w:rPr>
      </w:pPr>
      <w:r w:rsidRPr="00217022">
        <w:rPr>
          <w:rFonts w:ascii="Courier New" w:hAnsi="Courier New" w:cs="Courier New"/>
          <w:spacing w:val="-4"/>
          <w:kern w:val="0"/>
          <w:sz w:val="22"/>
          <w:szCs w:val="22"/>
          <w:lang w:val="en-GB"/>
        </w:rPr>
        <w:t xml:space="preserve">  tname = "year",</w:t>
      </w:r>
    </w:p>
    <w:p w14:paraId="27C111A1"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2"/>
          <w:szCs w:val="22"/>
          <w:lang w:val="en-GB"/>
        </w:rPr>
      </w:pPr>
      <w:r w:rsidRPr="00217022">
        <w:rPr>
          <w:rFonts w:ascii="Courier New" w:hAnsi="Courier New" w:cs="Courier New"/>
          <w:spacing w:val="-4"/>
          <w:kern w:val="0"/>
          <w:sz w:val="22"/>
          <w:szCs w:val="22"/>
          <w:lang w:val="en-GB"/>
        </w:rPr>
        <w:t xml:space="preserve">  xformla = ~1,</w:t>
      </w:r>
    </w:p>
    <w:p w14:paraId="34CE06F6"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2"/>
          <w:szCs w:val="22"/>
          <w:lang w:val="en-GB"/>
        </w:rPr>
      </w:pPr>
      <w:r w:rsidRPr="00217022">
        <w:rPr>
          <w:rFonts w:ascii="Courier New" w:hAnsi="Courier New" w:cs="Courier New"/>
          <w:spacing w:val="-4"/>
          <w:kern w:val="0"/>
          <w:sz w:val="22"/>
          <w:szCs w:val="22"/>
          <w:lang w:val="en-GB"/>
        </w:rPr>
        <w:t xml:space="preserve">  data = mpdta,</w:t>
      </w:r>
    </w:p>
    <w:p w14:paraId="5EEDCB0E"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2"/>
          <w:szCs w:val="22"/>
          <w:lang w:val="en-US"/>
        </w:rPr>
      </w:pPr>
      <w:r w:rsidRPr="00217022">
        <w:rPr>
          <w:rFonts w:ascii="Courier New" w:hAnsi="Courier New" w:cs="Courier New"/>
          <w:spacing w:val="-4"/>
          <w:kern w:val="0"/>
          <w:sz w:val="22"/>
          <w:szCs w:val="22"/>
          <w:lang w:val="en-GB"/>
        </w:rPr>
        <w:t xml:space="preserve">  </w:t>
      </w:r>
      <w:r w:rsidRPr="00217022">
        <w:rPr>
          <w:rFonts w:ascii="Courier New" w:hAnsi="Courier New" w:cs="Courier New"/>
          <w:spacing w:val="-4"/>
          <w:kern w:val="0"/>
          <w:sz w:val="22"/>
          <w:szCs w:val="22"/>
          <w:lang w:val="en-US"/>
        </w:rPr>
        <w:t>est_method = "reg"</w:t>
      </w:r>
    </w:p>
    <w:p w14:paraId="6393C10F" w14:textId="77777777" w:rsidR="00217022" w:rsidRPr="00217022" w:rsidRDefault="00217022" w:rsidP="00217022">
      <w:pPr>
        <w:spacing w:before="120" w:after="0" w:line="264" w:lineRule="auto"/>
        <w:jc w:val="both"/>
        <w:rPr>
          <w:rFonts w:ascii="Times New Roman" w:hAnsi="Times New Roman" w:cs="Times New Roman"/>
          <w:i/>
          <w:iCs/>
          <w:lang w:val="en-US"/>
        </w:rPr>
      </w:pPr>
      <w:r w:rsidRPr="00217022">
        <w:rPr>
          <w:rFonts w:ascii="Times New Roman" w:hAnsi="Times New Roman" w:cs="Times New Roman"/>
          <w:i/>
          <w:iCs/>
          <w:lang w:val="en-US"/>
        </w:rPr>
        <w:t>Źródło: https://bcallaway11.github.io/did/ https://doi.org/10.7910/DVN/TXB0ZO.</w:t>
      </w:r>
    </w:p>
    <w:p w14:paraId="366248A6" w14:textId="77777777" w:rsidR="00217022" w:rsidRPr="00217022" w:rsidRDefault="00217022" w:rsidP="00217022">
      <w:pPr>
        <w:spacing w:after="0" w:line="264" w:lineRule="auto"/>
        <w:jc w:val="both"/>
        <w:rPr>
          <w:rFonts w:ascii="Times New Roman" w:hAnsi="Times New Roman" w:cs="Times New Roman"/>
          <w:i/>
          <w:iCs/>
          <w:lang w:val="en-US"/>
        </w:rPr>
      </w:pPr>
    </w:p>
    <w:p w14:paraId="7389C6DE" w14:textId="77777777" w:rsidR="00217022" w:rsidRPr="00217022" w:rsidRDefault="00217022" w:rsidP="00217022">
      <w:pPr>
        <w:spacing w:after="0" w:line="264" w:lineRule="auto"/>
        <w:ind w:firstLine="709"/>
        <w:jc w:val="both"/>
        <w:rPr>
          <w:rFonts w:ascii="Times New Roman" w:hAnsi="Times New Roman" w:cs="Times New Roman"/>
          <w:sz w:val="22"/>
          <w:szCs w:val="22"/>
        </w:rPr>
      </w:pPr>
      <w:r w:rsidRPr="00217022">
        <w:rPr>
          <w:rFonts w:ascii="Times New Roman" w:hAnsi="Times New Roman" w:cs="Times New Roman"/>
          <w:sz w:val="28"/>
          <w:szCs w:val="28"/>
        </w:rPr>
        <w:t>Polecenie att_gt zwraca wyniki dla poszczególnych kohort (grupa wyznaczona na podstawie moment uruchomienia interwencji) między innymi interesujące nas: średnie ATT, błędy standardowe i przedziały ufności (niestety te ostatnie nie są najlepszym wyznacznikiem poprawności wyników). W celu ich wyświetlenia potrzeba jest użycia polecenia podsuwanie:</w:t>
      </w:r>
    </w:p>
    <w:p w14:paraId="079F2631" w14:textId="77777777" w:rsidR="00217022" w:rsidRPr="00217022" w:rsidRDefault="00217022" w:rsidP="00217022">
      <w:pPr>
        <w:spacing w:after="0" w:line="264" w:lineRule="auto"/>
        <w:ind w:firstLine="709"/>
        <w:jc w:val="both"/>
        <w:rPr>
          <w:rFonts w:ascii="Times New Roman" w:hAnsi="Times New Roman" w:cs="Times New Roman"/>
          <w:sz w:val="20"/>
          <w:szCs w:val="20"/>
        </w:rPr>
      </w:pPr>
    </w:p>
    <w:p w14:paraId="7F88DCDF"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rPr>
      </w:pPr>
      <w:hyperlink r:id="rId275" w:history="1">
        <w:r w:rsidRPr="00217022">
          <w:rPr>
            <w:rFonts w:ascii="Courier New" w:hAnsi="Courier New" w:cs="Courier New"/>
            <w:spacing w:val="-4"/>
            <w:kern w:val="0"/>
            <w:sz w:val="20"/>
            <w:szCs w:val="20"/>
          </w:rPr>
          <w:t>summary</w:t>
        </w:r>
      </w:hyperlink>
      <w:r w:rsidRPr="00217022">
        <w:rPr>
          <w:rFonts w:ascii="Courier New" w:hAnsi="Courier New" w:cs="Courier New"/>
          <w:spacing w:val="-4"/>
          <w:kern w:val="0"/>
          <w:sz w:val="20"/>
          <w:szCs w:val="20"/>
        </w:rPr>
        <w:t>(out)</w:t>
      </w:r>
    </w:p>
    <w:p w14:paraId="408E4442"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Call:</w:t>
      </w:r>
    </w:p>
    <w:p w14:paraId="2CDD6B86"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 xml:space="preserve">#&gt; att_gt(yname = "lemp", tname = "year", idname = "countyreal", </w:t>
      </w:r>
    </w:p>
    <w:p w14:paraId="4572BB76"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gname = "first.treat", xformla = ~1, data = mpdta, est_method = "reg")</w:t>
      </w:r>
    </w:p>
    <w:p w14:paraId="5D8E7828"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Group-Time Average Treatment Effects:</w:t>
      </w:r>
    </w:p>
    <w:p w14:paraId="3DA46BA6"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 xml:space="preserve">#&gt;  Group Time  ATT(g,t) Std. Error [95% Simult.  Conf. Band]  </w:t>
      </w:r>
    </w:p>
    <w:p w14:paraId="67C2A654"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 xml:space="preserve">#&gt;   2004 2004  -0.0105     0.0240       -0.0757      0.0547  </w:t>
      </w:r>
    </w:p>
    <w:p w14:paraId="3173DB5A"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 xml:space="preserve">#&gt;   2004 2005  -0.0704     0.0337       -0.1621      0.0212  </w:t>
      </w:r>
    </w:p>
    <w:p w14:paraId="44B2E8AE"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2004 2006  -0.1373     0.0395       -0.2446     -0.0299 *</w:t>
      </w:r>
    </w:p>
    <w:p w14:paraId="1E954503"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2004 2007  -0.1008     0.0365       -0.1999     -0.0018 *</w:t>
      </w:r>
    </w:p>
    <w:p w14:paraId="5F8549D9"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 xml:space="preserve">#&gt;   2006 2004   0.0065     0.0225       -0.0546      0.0676  </w:t>
      </w:r>
    </w:p>
    <w:p w14:paraId="176EE7CB"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 xml:space="preserve">#&gt;   2006 2005  -0.0028     0.0194       -0.0554      0.0499  </w:t>
      </w:r>
    </w:p>
    <w:p w14:paraId="14BF280C"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 xml:space="preserve">#&gt;   2006 2006  -0.0046     0.0176       -0.0524      0.0432  </w:t>
      </w:r>
    </w:p>
    <w:p w14:paraId="04700AE9"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 xml:space="preserve">#&gt;   2006 2007  -0.0412     0.0202       -0.0962      0.0137  </w:t>
      </w:r>
    </w:p>
    <w:p w14:paraId="595F491C"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 xml:space="preserve">#&gt;   2007 2004   0.0305     0.0152       -0.0108      0.0718  </w:t>
      </w:r>
    </w:p>
    <w:p w14:paraId="3784A76A"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 xml:space="preserve">#&gt;   2007 2005  -0.0027     0.0162       -0.0466      0.0411  </w:t>
      </w:r>
    </w:p>
    <w:p w14:paraId="77176B17"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 xml:space="preserve">#&gt;   2007 2006  -0.0311     0.0168       -0.0766      0.0145  </w:t>
      </w:r>
    </w:p>
    <w:p w14:paraId="58744C89"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 xml:space="preserve">#&gt;   2007 2007  -0.0261     0.0165       -0.0708      0.0187  </w:t>
      </w:r>
    </w:p>
    <w:p w14:paraId="00A9154A"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w:t>
      </w:r>
    </w:p>
    <w:p w14:paraId="71A27279"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Signif. codes: `*' confidence band does not cover 0</w:t>
      </w:r>
    </w:p>
    <w:p w14:paraId="49631B56"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P-value for pre-test of parallel trends assumption:  0.16812</w:t>
      </w:r>
    </w:p>
    <w:p w14:paraId="7A1C839D"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Control Group:  Never Treated,  Anticipation Periods:  0</w:t>
      </w:r>
    </w:p>
    <w:p w14:paraId="32F20F8D"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Estimation Method:  Outcome Regression</w:t>
      </w:r>
    </w:p>
    <w:p w14:paraId="0B4B7542" w14:textId="77777777" w:rsidR="00217022" w:rsidRPr="00217022" w:rsidRDefault="00217022" w:rsidP="00217022">
      <w:pPr>
        <w:spacing w:before="120" w:after="0" w:line="264" w:lineRule="auto"/>
        <w:jc w:val="both"/>
        <w:rPr>
          <w:rFonts w:ascii="Times New Roman" w:hAnsi="Times New Roman" w:cs="Times New Roman"/>
          <w:i/>
          <w:iCs/>
          <w:lang w:val="en-US"/>
        </w:rPr>
      </w:pPr>
      <w:r w:rsidRPr="00217022">
        <w:rPr>
          <w:rFonts w:ascii="Times New Roman" w:hAnsi="Times New Roman" w:cs="Times New Roman"/>
          <w:i/>
          <w:iCs/>
          <w:lang w:val="en-US"/>
        </w:rPr>
        <w:t>Źródło: https://bcallaway11.github.io/did/ https://doi.org/10.7910/DVN/TXB0ZO.</w:t>
      </w:r>
    </w:p>
    <w:p w14:paraId="2CA77CF1" w14:textId="0537BE22"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Należy zauważyć, że w przedstawionym przykładzie grupą odniesienia/ grupą porównawczą są hrabstwa, w których w całym okresie badanym nie zmieniano minimalnej pensji, a przeprowadzony test Walda z prawdopodobieństwem p=0,16 pozwolił przyjąć hipotezę zerową zakładającą zachowanie równoległości trendów we wszystkich grupach. Tym samym mógł zostać zastosowany wariant </w:t>
      </w:r>
      <w:r w:rsidRPr="00217022">
        <w:rPr>
          <w:rFonts w:ascii="Times New Roman" w:hAnsi="Times New Roman" w:cs="Times New Roman"/>
          <w:sz w:val="28"/>
          <w:szCs w:val="28"/>
        </w:rPr>
        <w:lastRenderedPageBreak/>
        <w:t xml:space="preserve">pierwszy opisany dla analizowanego modelu.  Sam test na porównanie trendów wraz z jego opracowaniem graficznym został również </w:t>
      </w:r>
      <w:r w:rsidR="00AE5BF6">
        <w:rPr>
          <w:rFonts w:ascii="Times New Roman" w:hAnsi="Times New Roman" w:cs="Times New Roman"/>
          <w:sz w:val="28"/>
          <w:szCs w:val="28"/>
        </w:rPr>
        <w:t>zaprojektowany</w:t>
      </w:r>
      <w:r w:rsidRPr="00217022">
        <w:rPr>
          <w:rFonts w:ascii="Times New Roman" w:hAnsi="Times New Roman" w:cs="Times New Roman"/>
          <w:sz w:val="28"/>
          <w:szCs w:val="28"/>
        </w:rPr>
        <w:t xml:space="preserve"> przez Jonathana Rotha (2022) i zaaplikowany do programu R dodatkowo jako oddzielny pakiet „pretrends”. Równie dobrze z prezentowanym pakietem DID Callawaya and Sant’Anny może być stosowany pakiet HonestDID jako uzupełnienie.  Pakiet ten zaproponowany przez Rambachana i Rotha (2022) pozwala na wykonanie analizy wrażliwości dla potencjalnych naruszeń</w:t>
      </w:r>
      <w:r w:rsidR="00AE5BF6">
        <w:rPr>
          <w:rFonts w:ascii="Times New Roman" w:hAnsi="Times New Roman" w:cs="Times New Roman"/>
          <w:sz w:val="28"/>
          <w:szCs w:val="28"/>
        </w:rPr>
        <w:t xml:space="preserve"> założenia</w:t>
      </w:r>
      <w:r w:rsidRPr="00217022">
        <w:rPr>
          <w:rFonts w:ascii="Times New Roman" w:hAnsi="Times New Roman" w:cs="Times New Roman"/>
          <w:sz w:val="28"/>
          <w:szCs w:val="28"/>
        </w:rPr>
        <w:t xml:space="preserve"> równoległych trendów </w:t>
      </w:r>
    </w:p>
    <w:p w14:paraId="3070F561" w14:textId="77777777"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W dalszym etapie możemy zaobserwować oszacowane średnie ATT dla wszystkich podgrup wydzielonych na podstawie momentu rozpoczęcia interwencji w grupie. Średnie efekty porównania są obserwowane również w okresach, kiedy dana podgrupa nie została jeszcze poddana interwencji, np. dla „Grupa 2006” w latach 2004 i 20005. </w:t>
      </w:r>
    </w:p>
    <w:p w14:paraId="78825D2E" w14:textId="77777777" w:rsidR="00217022" w:rsidRDefault="00217022" w:rsidP="00217022">
      <w:pPr>
        <w:spacing w:after="24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Wygodnie jest również zobrazować średnie efekty interwencji w czasie dla poszczególnych podgrupy. Można to zrobić za pomocą polecenia ggdid:</w:t>
      </w:r>
    </w:p>
    <w:p w14:paraId="00262C17" w14:textId="77777777" w:rsidR="002F72C7" w:rsidRPr="00217022" w:rsidRDefault="002F72C7" w:rsidP="00217022">
      <w:pPr>
        <w:spacing w:after="240" w:line="264" w:lineRule="auto"/>
        <w:ind w:firstLine="709"/>
        <w:jc w:val="both"/>
        <w:rPr>
          <w:rFonts w:ascii="Times New Roman" w:hAnsi="Times New Roman" w:cs="Times New Roman"/>
          <w:sz w:val="28"/>
          <w:szCs w:val="28"/>
        </w:rPr>
      </w:pPr>
    </w:p>
    <w:p w14:paraId="3C3DB0D6"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rPr>
      </w:pPr>
      <w:hyperlink r:id="rId276" w:history="1">
        <w:r w:rsidRPr="00217022">
          <w:rPr>
            <w:rFonts w:ascii="Courier New" w:hAnsi="Courier New" w:cs="Courier New"/>
            <w:spacing w:val="-4"/>
            <w:kern w:val="0"/>
          </w:rPr>
          <w:t>ggdid</w:t>
        </w:r>
      </w:hyperlink>
      <w:r w:rsidRPr="00217022">
        <w:rPr>
          <w:rFonts w:ascii="Courier New" w:hAnsi="Courier New" w:cs="Courier New"/>
          <w:spacing w:val="-4"/>
          <w:kern w:val="0"/>
        </w:rPr>
        <w:t xml:space="preserve">(out, ylim = </w:t>
      </w:r>
      <w:hyperlink r:id="rId277" w:history="1">
        <w:r w:rsidRPr="00217022">
          <w:rPr>
            <w:rFonts w:ascii="Courier New" w:hAnsi="Courier New" w:cs="Courier New"/>
            <w:spacing w:val="-4"/>
            <w:kern w:val="0"/>
          </w:rPr>
          <w:t>c</w:t>
        </w:r>
      </w:hyperlink>
      <w:r w:rsidRPr="00217022">
        <w:rPr>
          <w:rFonts w:ascii="Courier New" w:hAnsi="Courier New" w:cs="Courier New"/>
          <w:spacing w:val="-4"/>
          <w:kern w:val="0"/>
        </w:rPr>
        <w:t>(-.25, .1))</w:t>
      </w:r>
    </w:p>
    <w:p w14:paraId="25B5D6CA" w14:textId="77777777" w:rsidR="00217022" w:rsidRPr="00217022" w:rsidRDefault="00217022" w:rsidP="00217022">
      <w:pPr>
        <w:shd w:val="clear" w:color="auto" w:fill="FFFFFF"/>
        <w:spacing w:after="158" w:line="240" w:lineRule="auto"/>
        <w:rPr>
          <w:rFonts w:ascii="Lato" w:eastAsia="Times New Roman" w:hAnsi="Lato" w:cs="Times New Roman"/>
          <w:color w:val="2C3E50"/>
          <w:kern w:val="0"/>
          <w:sz w:val="23"/>
          <w:szCs w:val="23"/>
          <w:lang w:eastAsia="pl-PL"/>
          <w14:ligatures w14:val="none"/>
        </w:rPr>
      </w:pPr>
    </w:p>
    <w:p w14:paraId="4BFDBD14" w14:textId="4E6EA179"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W ten sposób wygenerowano </w:t>
      </w:r>
      <w:r w:rsidR="00B509C5">
        <w:rPr>
          <w:rFonts w:ascii="Times New Roman" w:hAnsi="Times New Roman" w:cs="Times New Roman"/>
          <w:sz w:val="28"/>
          <w:szCs w:val="28"/>
        </w:rPr>
        <w:t>rysunki</w:t>
      </w:r>
      <w:r w:rsidRPr="00217022">
        <w:rPr>
          <w:rFonts w:ascii="Times New Roman" w:hAnsi="Times New Roman" w:cs="Times New Roman"/>
          <w:sz w:val="28"/>
          <w:szCs w:val="28"/>
        </w:rPr>
        <w:t xml:space="preserve"> dla każdej podgrupy w czasie. Na czerwono wystornowano średnie wyniki ATT (porównania różnicy pomiędzy badaną podgrupą i grupą niepoddaną w całym okresie oddziaływaniu interwencji) przed uruchomieniem instrumentu</w:t>
      </w:r>
      <w:r w:rsidR="00AE5BF6">
        <w:rPr>
          <w:rFonts w:ascii="Times New Roman" w:hAnsi="Times New Roman" w:cs="Times New Roman"/>
          <w:sz w:val="28"/>
          <w:szCs w:val="28"/>
        </w:rPr>
        <w:t xml:space="preserve"> w</w:t>
      </w:r>
      <w:r w:rsidRPr="00217022">
        <w:rPr>
          <w:rFonts w:ascii="Times New Roman" w:hAnsi="Times New Roman" w:cs="Times New Roman"/>
          <w:sz w:val="28"/>
          <w:szCs w:val="28"/>
        </w:rPr>
        <w:t xml:space="preserve"> tej podgrupie. Na niebiesko</w:t>
      </w:r>
      <w:r w:rsidR="00AE5BF6">
        <w:rPr>
          <w:rFonts w:ascii="Times New Roman" w:hAnsi="Times New Roman" w:cs="Times New Roman"/>
          <w:sz w:val="28"/>
          <w:szCs w:val="28"/>
        </w:rPr>
        <w:t xml:space="preserve"> oznaczono</w:t>
      </w:r>
      <w:r w:rsidRPr="00217022">
        <w:rPr>
          <w:rFonts w:ascii="Times New Roman" w:hAnsi="Times New Roman" w:cs="Times New Roman"/>
          <w:sz w:val="28"/>
          <w:szCs w:val="28"/>
        </w:rPr>
        <w:t xml:space="preserve"> ATT dla podgrup po uruchomieniu w nich instrumentu. Przy założeniu równoległych trendów można te ostatnie już interpretować jako skutki polityczne – w tym przypadku wpływ zmiany płacy minimalnej na zatrudnienie nastolatków na poziomie hrabstw w związku z podniesieniem poziomu</w:t>
      </w:r>
      <w:r w:rsidR="00AE5BF6">
        <w:rPr>
          <w:rFonts w:ascii="Times New Roman" w:hAnsi="Times New Roman" w:cs="Times New Roman"/>
          <w:sz w:val="28"/>
          <w:szCs w:val="28"/>
        </w:rPr>
        <w:t xml:space="preserve"> wynagrodzenia</w:t>
      </w:r>
      <w:r w:rsidRPr="00217022">
        <w:rPr>
          <w:rFonts w:ascii="Times New Roman" w:hAnsi="Times New Roman" w:cs="Times New Roman"/>
          <w:sz w:val="28"/>
          <w:szCs w:val="28"/>
        </w:rPr>
        <w:t xml:space="preserve"> minimalnego.</w:t>
      </w:r>
    </w:p>
    <w:p w14:paraId="604B7CDC" w14:textId="77777777" w:rsidR="00217022" w:rsidRPr="00217022" w:rsidRDefault="00217022" w:rsidP="00217022">
      <w:pPr>
        <w:spacing w:after="0" w:line="264" w:lineRule="auto"/>
        <w:jc w:val="both"/>
        <w:rPr>
          <w:rFonts w:ascii="Times New Roman" w:hAnsi="Times New Roman" w:cs="Times New Roman"/>
          <w:sz w:val="28"/>
          <w:szCs w:val="28"/>
          <w:lang w:val="en-GB"/>
        </w:rPr>
      </w:pPr>
      <w:r w:rsidRPr="00217022">
        <w:rPr>
          <w:rFonts w:ascii="Lato" w:eastAsia="Times New Roman" w:hAnsi="Lato" w:cs="Times New Roman"/>
          <w:noProof/>
          <w:color w:val="2C3E50"/>
          <w:kern w:val="0"/>
          <w:sz w:val="23"/>
          <w:szCs w:val="23"/>
          <w:lang w:eastAsia="pl-PL"/>
          <w14:ligatures w14:val="none"/>
        </w:rPr>
        <w:lastRenderedPageBreak/>
        <w:drawing>
          <wp:inline distT="0" distB="0" distL="0" distR="0" wp14:anchorId="1BD32C2D" wp14:editId="15D41410">
            <wp:extent cx="5705475" cy="7129939"/>
            <wp:effectExtent l="0" t="0" r="0" b="0"/>
            <wp:docPr id="1" name="Obraz 2" descr="Obraz zawierający tekst, zrzut ekranu, numer,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Obraz zawierający tekst, zrzut ekranu, numer, Równolegle&#10;&#10;Opis wygenerowany automatycznie"/>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5708985" cy="7134325"/>
                    </a:xfrm>
                    <a:prstGeom prst="rect">
                      <a:avLst/>
                    </a:prstGeom>
                    <a:noFill/>
                    <a:ln>
                      <a:noFill/>
                    </a:ln>
                  </pic:spPr>
                </pic:pic>
              </a:graphicData>
            </a:graphic>
          </wp:inline>
        </w:drawing>
      </w:r>
    </w:p>
    <w:p w14:paraId="4B01E088" w14:textId="77777777" w:rsidR="00217022" w:rsidRPr="00217022" w:rsidRDefault="00217022" w:rsidP="00217022">
      <w:pPr>
        <w:spacing w:after="0" w:line="264" w:lineRule="auto"/>
        <w:jc w:val="both"/>
        <w:rPr>
          <w:rFonts w:ascii="Times New Roman" w:hAnsi="Times New Roman" w:cs="Times New Roman"/>
          <w:i/>
          <w:iCs/>
        </w:rPr>
      </w:pPr>
      <w:r w:rsidRPr="00217022">
        <w:rPr>
          <w:rFonts w:ascii="Times New Roman" w:hAnsi="Times New Roman" w:cs="Times New Roman"/>
          <w:i/>
          <w:iCs/>
        </w:rPr>
        <w:t>Źródło: https://bcallaway11.github.io/did/ https://doi.org/10.7910/DVN/TXB0ZO.</w:t>
      </w:r>
    </w:p>
    <w:p w14:paraId="220FAEBB" w14:textId="77777777" w:rsidR="00217022" w:rsidRPr="00217022" w:rsidRDefault="00217022" w:rsidP="00217022">
      <w:pPr>
        <w:spacing w:after="0" w:line="264" w:lineRule="auto"/>
        <w:ind w:firstLine="709"/>
        <w:jc w:val="both"/>
        <w:rPr>
          <w:rFonts w:ascii="Times New Roman" w:hAnsi="Times New Roman" w:cs="Times New Roman"/>
          <w:sz w:val="28"/>
          <w:szCs w:val="28"/>
        </w:rPr>
      </w:pPr>
    </w:p>
    <w:p w14:paraId="4EAEEFEF" w14:textId="77777777"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Na tym etapie badań można już określić skutki zmiany przepisów prawa, jednak wygodnie jest je agregować do jednego czynnika. W tym celu można użyć polecenia skryptowego aggte, który w naszym przykładzie agreguje najpierw wyniki w układzie dynamicznym, a więc ze względu na czynnik czasu. </w:t>
      </w:r>
    </w:p>
    <w:p w14:paraId="28377FEA" w14:textId="77777777" w:rsidR="00217022" w:rsidRPr="00217022" w:rsidRDefault="00217022" w:rsidP="00217022">
      <w:pPr>
        <w:spacing w:after="0" w:line="264" w:lineRule="auto"/>
        <w:ind w:firstLine="709"/>
        <w:jc w:val="both"/>
        <w:rPr>
          <w:rFonts w:ascii="Times New Roman" w:hAnsi="Times New Roman" w:cs="Times New Roman"/>
          <w:sz w:val="28"/>
          <w:szCs w:val="28"/>
        </w:rPr>
      </w:pPr>
    </w:p>
    <w:p w14:paraId="7432F08C"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rPr>
      </w:pPr>
      <w:r w:rsidRPr="00217022">
        <w:rPr>
          <w:rFonts w:ascii="Courier New" w:hAnsi="Courier New" w:cs="Courier New"/>
          <w:spacing w:val="-4"/>
          <w:kern w:val="0"/>
        </w:rPr>
        <w:lastRenderedPageBreak/>
        <w:t>es &lt;- aggte(out, type = "dynamic")</w:t>
      </w:r>
    </w:p>
    <w:p w14:paraId="61432212" w14:textId="77777777" w:rsidR="00217022" w:rsidRPr="00217022" w:rsidRDefault="00217022" w:rsidP="00217022">
      <w:pPr>
        <w:spacing w:after="0" w:line="264" w:lineRule="auto"/>
        <w:ind w:firstLine="709"/>
        <w:jc w:val="both"/>
        <w:rPr>
          <w:rFonts w:ascii="Times New Roman" w:hAnsi="Times New Roman" w:cs="Times New Roman"/>
          <w:sz w:val="28"/>
          <w:szCs w:val="28"/>
        </w:rPr>
      </w:pPr>
    </w:p>
    <w:p w14:paraId="677EE614" w14:textId="77777777" w:rsidR="00217022" w:rsidRPr="00217022" w:rsidRDefault="00217022" w:rsidP="00217022">
      <w:pPr>
        <w:spacing w:after="24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Podobnie jak w przypadku średnich efektów leczenia w czasie również ATT dla poszczególnych podgrupy, można podsumować i zobrazować graficznie. W prezentowanym przykładzie za pomocą polecenia skryptowego summary(es).</w:t>
      </w:r>
    </w:p>
    <w:p w14:paraId="0A4D696E"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rPr>
      </w:pPr>
      <w:hyperlink r:id="rId279" w:history="1">
        <w:r w:rsidRPr="00217022">
          <w:rPr>
            <w:rFonts w:ascii="Courier New" w:hAnsi="Courier New" w:cs="Courier New"/>
            <w:spacing w:val="-4"/>
            <w:kern w:val="0"/>
          </w:rPr>
          <w:t>summary</w:t>
        </w:r>
      </w:hyperlink>
      <w:r w:rsidRPr="00217022">
        <w:rPr>
          <w:rFonts w:ascii="Courier New" w:hAnsi="Courier New" w:cs="Courier New"/>
          <w:spacing w:val="-4"/>
          <w:kern w:val="0"/>
        </w:rPr>
        <w:t>(es)</w:t>
      </w:r>
    </w:p>
    <w:p w14:paraId="56D26478"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w:t>
      </w:r>
    </w:p>
    <w:p w14:paraId="606542AF"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Call:</w:t>
      </w:r>
    </w:p>
    <w:p w14:paraId="27BC0D6A"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aggte(MP = out, type = "dynamic")</w:t>
      </w:r>
    </w:p>
    <w:p w14:paraId="745B6D2D"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Overall summary of ATT's based on event-study/dynamic aggregation:  </w:t>
      </w:r>
    </w:p>
    <w:p w14:paraId="72785719"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ATT    Std. Error     [ 95%  Conf. Int.]  </w:t>
      </w:r>
    </w:p>
    <w:p w14:paraId="0DB24EC0"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-0.0772     0.0214    -0.1191     -0.0354 *</w:t>
      </w:r>
    </w:p>
    <w:p w14:paraId="0C83C830"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w:t>
      </w:r>
    </w:p>
    <w:p w14:paraId="36A381E6"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w:t>
      </w:r>
    </w:p>
    <w:p w14:paraId="39BB31B1"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Dynamic Effects:</w:t>
      </w:r>
    </w:p>
    <w:p w14:paraId="5D6E24AC"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Event time Estimate Std. Error [95% Simult.  Conf. Band]  </w:t>
      </w:r>
    </w:p>
    <w:p w14:paraId="6581BE5D"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-3   0.0305     0.0155       -0.0099      0.0709  </w:t>
      </w:r>
    </w:p>
    <w:p w14:paraId="3D70D47F"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-2  -0.0006     0.0128       -0.0341      0.0330  </w:t>
      </w:r>
    </w:p>
    <w:p w14:paraId="2C94D664"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-1  -0.0245     0.0141       -0.0611      0.0122  </w:t>
      </w:r>
    </w:p>
    <w:p w14:paraId="64F19464"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0  -0.0199     0.0114       -0.0496      0.0097  </w:t>
      </w:r>
    </w:p>
    <w:p w14:paraId="22D6A6E8"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1  -0.0510     0.0171       -0.0957     -0.0062 *</w:t>
      </w:r>
    </w:p>
    <w:p w14:paraId="1FCDDF4F"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2  -0.1373     0.0402       -0.2422     -0.0323 *</w:t>
      </w:r>
    </w:p>
    <w:p w14:paraId="37FCA90D"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3  -0.1008     0.0351       -0.1923     -0.0093 *</w:t>
      </w:r>
    </w:p>
    <w:p w14:paraId="72EE18E8"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w:t>
      </w:r>
    </w:p>
    <w:p w14:paraId="333E7D89"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Signif. codes: `*' confidence band does not cover 0</w:t>
      </w:r>
    </w:p>
    <w:p w14:paraId="7F62B0FB"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w:t>
      </w:r>
    </w:p>
    <w:p w14:paraId="082C8094"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Control Group:  Never Treated,  Anticipation Periods:  0</w:t>
      </w:r>
    </w:p>
    <w:p w14:paraId="2E4D56C1"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Estimation Method:  Outcome Regression</w:t>
      </w:r>
    </w:p>
    <w:p w14:paraId="6805EB4C" w14:textId="77777777" w:rsidR="00217022" w:rsidRPr="00217022" w:rsidRDefault="00217022" w:rsidP="00217022">
      <w:pPr>
        <w:spacing w:after="0" w:line="264" w:lineRule="auto"/>
        <w:jc w:val="both"/>
        <w:rPr>
          <w:rFonts w:ascii="Times New Roman" w:hAnsi="Times New Roman" w:cs="Times New Roman"/>
          <w:i/>
          <w:iCs/>
          <w:lang w:val="en-US"/>
        </w:rPr>
      </w:pPr>
      <w:r w:rsidRPr="00217022">
        <w:rPr>
          <w:rFonts w:ascii="Times New Roman" w:hAnsi="Times New Roman" w:cs="Times New Roman"/>
          <w:i/>
          <w:iCs/>
          <w:lang w:val="en-US"/>
        </w:rPr>
        <w:t>Źródło: https://bcallaway11.github.io/did/ https://doi.org/10.7910/DVN/TXB0ZO.</w:t>
      </w:r>
    </w:p>
    <w:p w14:paraId="4620C3DC" w14:textId="77777777" w:rsidR="00217022" w:rsidRPr="00217022" w:rsidRDefault="00217022" w:rsidP="00217022">
      <w:pPr>
        <w:spacing w:after="0" w:line="264" w:lineRule="auto"/>
        <w:ind w:firstLine="709"/>
        <w:jc w:val="both"/>
        <w:rPr>
          <w:rFonts w:ascii="Times New Roman" w:hAnsi="Times New Roman" w:cs="Times New Roman"/>
          <w:sz w:val="28"/>
          <w:szCs w:val="28"/>
          <w:lang w:val="en-US"/>
        </w:rPr>
      </w:pPr>
    </w:p>
    <w:p w14:paraId="7206B56C" w14:textId="785B03E7" w:rsidR="00217022" w:rsidRPr="00217022" w:rsidRDefault="00217022" w:rsidP="00217022">
      <w:pPr>
        <w:spacing w:after="24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Uzyskujemy zagregowany wynik ATT dla czynnika czasu (-0,0772) oraz zagregowany uśredniony wyniki dla podgrup w poszczególnych okresach w zależności od okresów poprzedzających uruchomienie w nich interwencji oraz po zastosowaniu w nich zmian regulacyjnych. Problem ten</w:t>
      </w:r>
      <w:r w:rsidR="00F1531C">
        <w:rPr>
          <w:rFonts w:ascii="Times New Roman" w:hAnsi="Times New Roman" w:cs="Times New Roman"/>
          <w:sz w:val="28"/>
          <w:szCs w:val="28"/>
        </w:rPr>
        <w:t xml:space="preserve"> można</w:t>
      </w:r>
      <w:r w:rsidRPr="00217022">
        <w:rPr>
          <w:rFonts w:ascii="Times New Roman" w:hAnsi="Times New Roman" w:cs="Times New Roman"/>
          <w:sz w:val="28"/>
          <w:szCs w:val="28"/>
        </w:rPr>
        <w:t xml:space="preserve"> dobrze zilustrować </w:t>
      </w:r>
      <w:r w:rsidR="00F1531C">
        <w:rPr>
          <w:rFonts w:ascii="Times New Roman" w:hAnsi="Times New Roman" w:cs="Times New Roman"/>
          <w:sz w:val="28"/>
          <w:szCs w:val="28"/>
        </w:rPr>
        <w:t>za pomocą</w:t>
      </w:r>
      <w:r w:rsidRPr="00217022">
        <w:rPr>
          <w:rFonts w:ascii="Times New Roman" w:hAnsi="Times New Roman" w:cs="Times New Roman"/>
          <w:sz w:val="28"/>
          <w:szCs w:val="28"/>
        </w:rPr>
        <w:t xml:space="preserve"> </w:t>
      </w:r>
      <w:r w:rsidR="00B509C5">
        <w:rPr>
          <w:rFonts w:ascii="Times New Roman" w:hAnsi="Times New Roman" w:cs="Times New Roman"/>
          <w:sz w:val="28"/>
          <w:szCs w:val="28"/>
        </w:rPr>
        <w:t>rysun</w:t>
      </w:r>
      <w:r w:rsidR="00F1531C">
        <w:rPr>
          <w:rFonts w:ascii="Times New Roman" w:hAnsi="Times New Roman" w:cs="Times New Roman"/>
          <w:sz w:val="28"/>
          <w:szCs w:val="28"/>
        </w:rPr>
        <w:t>ku</w:t>
      </w:r>
      <w:r w:rsidRPr="00217022">
        <w:rPr>
          <w:rFonts w:ascii="Times New Roman" w:hAnsi="Times New Roman" w:cs="Times New Roman"/>
          <w:sz w:val="28"/>
          <w:szCs w:val="28"/>
        </w:rPr>
        <w:t>:</w:t>
      </w:r>
    </w:p>
    <w:p w14:paraId="066ADCA9"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rPr>
      </w:pPr>
      <w:hyperlink r:id="rId280" w:history="1">
        <w:r w:rsidRPr="00217022">
          <w:rPr>
            <w:rFonts w:ascii="Courier New" w:hAnsi="Courier New" w:cs="Courier New"/>
            <w:spacing w:val="-4"/>
            <w:kern w:val="0"/>
          </w:rPr>
          <w:t>ggdid</w:t>
        </w:r>
      </w:hyperlink>
      <w:r w:rsidRPr="00217022">
        <w:rPr>
          <w:rFonts w:ascii="Courier New" w:hAnsi="Courier New" w:cs="Courier New"/>
          <w:spacing w:val="-4"/>
          <w:kern w:val="0"/>
        </w:rPr>
        <w:t>(es))</w:t>
      </w:r>
    </w:p>
    <w:p w14:paraId="4C9FEC93" w14:textId="77777777" w:rsidR="00217022" w:rsidRPr="00217022" w:rsidRDefault="00217022" w:rsidP="00217022">
      <w:pPr>
        <w:spacing w:after="0" w:line="264" w:lineRule="auto"/>
        <w:jc w:val="both"/>
        <w:rPr>
          <w:rFonts w:ascii="Times New Roman" w:hAnsi="Times New Roman" w:cs="Times New Roman"/>
          <w:i/>
          <w:iCs/>
        </w:rPr>
      </w:pPr>
      <w:r w:rsidRPr="00217022">
        <w:rPr>
          <w:rFonts w:ascii="Lato" w:eastAsia="Times New Roman" w:hAnsi="Lato" w:cs="Times New Roman"/>
          <w:noProof/>
          <w:color w:val="2C3E50"/>
          <w:kern w:val="0"/>
          <w:sz w:val="23"/>
          <w:szCs w:val="23"/>
          <w:lang w:eastAsia="pl-PL"/>
          <w14:ligatures w14:val="none"/>
        </w:rPr>
        <w:lastRenderedPageBreak/>
        <w:drawing>
          <wp:inline distT="0" distB="0" distL="0" distR="0" wp14:anchorId="67CAAF24" wp14:editId="251E489A">
            <wp:extent cx="6086024" cy="3802114"/>
            <wp:effectExtent l="0" t="0" r="0" b="8255"/>
            <wp:docPr id="2" name="Obraz 1" descr="Obraz zawierający tekst, zrzut ekranu, diagram,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Obraz zawierający tekst, zrzut ekranu, diagram, linia&#10;&#10;Opis wygenerowany automatycznie"/>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6088912" cy="3803918"/>
                    </a:xfrm>
                    <a:prstGeom prst="rect">
                      <a:avLst/>
                    </a:prstGeom>
                    <a:noFill/>
                    <a:ln>
                      <a:noFill/>
                    </a:ln>
                  </pic:spPr>
                </pic:pic>
              </a:graphicData>
            </a:graphic>
          </wp:inline>
        </w:drawing>
      </w:r>
      <w:r w:rsidRPr="00217022">
        <w:rPr>
          <w:rFonts w:ascii="Times New Roman" w:hAnsi="Times New Roman" w:cs="Times New Roman"/>
          <w:i/>
          <w:iCs/>
        </w:rPr>
        <w:t xml:space="preserve"> Źródło: https://bcallaway11.github.io/did/ https://doi.org/10.7910/DVN/TXB0ZO.</w:t>
      </w:r>
    </w:p>
    <w:p w14:paraId="2E43B18C" w14:textId="77777777" w:rsidR="00217022" w:rsidRPr="00217022" w:rsidRDefault="00217022" w:rsidP="00217022">
      <w:pPr>
        <w:shd w:val="clear" w:color="auto" w:fill="FFFFFF"/>
        <w:spacing w:after="0" w:line="240" w:lineRule="auto"/>
        <w:rPr>
          <w:rFonts w:ascii="Lato" w:eastAsia="Times New Roman" w:hAnsi="Lato" w:cs="Times New Roman"/>
          <w:color w:val="2C3E50"/>
          <w:kern w:val="0"/>
          <w:sz w:val="23"/>
          <w:szCs w:val="23"/>
          <w:lang w:eastAsia="pl-PL"/>
          <w14:ligatures w14:val="none"/>
        </w:rPr>
      </w:pPr>
    </w:p>
    <w:p w14:paraId="75FF2225" w14:textId="77777777" w:rsidR="00217022" w:rsidRPr="00217022" w:rsidRDefault="00217022" w:rsidP="00217022">
      <w:pPr>
        <w:spacing w:after="24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Często jednak ze względu na różne grupy interesariuszy nasza agregacja musi prowadzić do jednaj liczby, aby określić przyczynowość i efekt interwencji w naszym przykładzie w skali całego kraju. W tym przypadku pozwala na to agregacja do podgrup:</w:t>
      </w:r>
    </w:p>
    <w:p w14:paraId="57CDE0EC"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rPr>
      </w:pPr>
      <w:r w:rsidRPr="00217022">
        <w:rPr>
          <w:rFonts w:ascii="Courier New" w:hAnsi="Courier New" w:cs="Courier New"/>
          <w:spacing w:val="-4"/>
          <w:kern w:val="0"/>
        </w:rPr>
        <w:t xml:space="preserve">group_effects &lt;- </w:t>
      </w:r>
      <w:hyperlink r:id="rId282" w:history="1">
        <w:r w:rsidRPr="00217022">
          <w:rPr>
            <w:rFonts w:ascii="Courier New" w:hAnsi="Courier New" w:cs="Courier New"/>
            <w:spacing w:val="-4"/>
            <w:kern w:val="0"/>
          </w:rPr>
          <w:t>aggte</w:t>
        </w:r>
      </w:hyperlink>
      <w:r w:rsidRPr="00217022">
        <w:rPr>
          <w:rFonts w:ascii="Courier New" w:hAnsi="Courier New" w:cs="Courier New"/>
          <w:spacing w:val="-4"/>
          <w:kern w:val="0"/>
        </w:rPr>
        <w:t>(out, type = "group")</w:t>
      </w:r>
    </w:p>
    <w:p w14:paraId="103AA4C4"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hyperlink r:id="rId283" w:history="1">
        <w:r w:rsidRPr="00217022">
          <w:rPr>
            <w:rFonts w:ascii="Courier New" w:hAnsi="Courier New" w:cs="Courier New"/>
            <w:spacing w:val="-4"/>
            <w:kern w:val="0"/>
            <w:lang w:val="en-GB"/>
          </w:rPr>
          <w:t>summary</w:t>
        </w:r>
      </w:hyperlink>
      <w:r w:rsidRPr="00217022">
        <w:rPr>
          <w:rFonts w:ascii="Courier New" w:hAnsi="Courier New" w:cs="Courier New"/>
          <w:spacing w:val="-4"/>
          <w:kern w:val="0"/>
          <w:lang w:val="en-GB"/>
        </w:rPr>
        <w:t>(group_effects)</w:t>
      </w:r>
    </w:p>
    <w:p w14:paraId="34CF9D50"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Call:</w:t>
      </w:r>
    </w:p>
    <w:p w14:paraId="1BD2E30D"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aggte(MP = out, type = "group")</w:t>
      </w:r>
    </w:p>
    <w:p w14:paraId="045D2D29"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Overall summary of ATT's based on group/cohort aggregation:  </w:t>
      </w:r>
    </w:p>
    <w:p w14:paraId="059A43A8"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ATT    Std. Error     [ 95%  Conf. Int.]  </w:t>
      </w:r>
    </w:p>
    <w:p w14:paraId="0A223BA2"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-0.031        0.0119    -0.0544     -0.0077 *</w:t>
      </w:r>
    </w:p>
    <w:p w14:paraId="5E5660C9"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#&gt; </w:t>
      </w:r>
    </w:p>
    <w:p w14:paraId="32CBDBEF"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Group Effects:</w:t>
      </w:r>
    </w:p>
    <w:p w14:paraId="51C11C4A"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Group Estimate Std. Error [95% Simult.  Conf. Band]  </w:t>
      </w:r>
    </w:p>
    <w:p w14:paraId="7867331F"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2004  -0.0797     0.0313       -0.1531     -0.0064 *</w:t>
      </w:r>
    </w:p>
    <w:p w14:paraId="2A213036"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2006  -0.0229     0.0159       -0.0602      0.0144  </w:t>
      </w:r>
    </w:p>
    <w:p w14:paraId="56435C83"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#&gt;   2007  -0.0261     0.0179       -0.0681      0.0160  </w:t>
      </w:r>
    </w:p>
    <w:p w14:paraId="7140DFB5"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w:t>
      </w:r>
    </w:p>
    <w:p w14:paraId="60D325F4"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Signif. codes: `*' confidence band does not cover 0</w:t>
      </w:r>
    </w:p>
    <w:p w14:paraId="1F63DD94"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Control Group:  Never Treated,  Anticipation Periods:  0</w:t>
      </w:r>
    </w:p>
    <w:p w14:paraId="55384BBC"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#&gt; Estimation Method:  Outcome Regression</w:t>
      </w:r>
    </w:p>
    <w:p w14:paraId="6BBE4462" w14:textId="77777777" w:rsidR="00217022" w:rsidRPr="00217022" w:rsidRDefault="00217022" w:rsidP="00217022">
      <w:pPr>
        <w:spacing w:before="120" w:after="0" w:line="264" w:lineRule="auto"/>
        <w:ind w:hanging="142"/>
        <w:jc w:val="both"/>
        <w:rPr>
          <w:rFonts w:ascii="Times New Roman" w:hAnsi="Times New Roman" w:cs="Times New Roman"/>
          <w:i/>
          <w:iCs/>
          <w:lang w:val="en-US"/>
        </w:rPr>
      </w:pPr>
      <w:r w:rsidRPr="00217022">
        <w:rPr>
          <w:rFonts w:ascii="Times New Roman" w:hAnsi="Times New Roman" w:cs="Times New Roman"/>
          <w:i/>
          <w:iCs/>
          <w:lang w:val="en-US"/>
        </w:rPr>
        <w:t>Źródło: https://bcallaway11.github.io/did/ https://doi.org/10.7910/DVN/TXB0ZO.</w:t>
      </w:r>
    </w:p>
    <w:p w14:paraId="7D5262AD" w14:textId="1C0C6858"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lastRenderedPageBreak/>
        <w:t>W przedstawionym przykładzie dla „grupy 2004” ATT jest średnioważonym wynikiem dla niej z lat 2004-2007. ATT dla „grupy 2006” jest średnią ważoną wyniku dla niej z lat 2006-2007, natomiast ATT dla grupy 2007 jest wynikiem z 2007 roku. Łączny efekt interwencji, a więc po zagregowaniu dla wszystkich podgrup</w:t>
      </w:r>
      <w:r w:rsidR="0069332A">
        <w:rPr>
          <w:rFonts w:ascii="Times New Roman" w:hAnsi="Times New Roman" w:cs="Times New Roman"/>
          <w:sz w:val="28"/>
          <w:szCs w:val="28"/>
        </w:rPr>
        <w:t>,</w:t>
      </w:r>
      <w:r w:rsidRPr="00217022">
        <w:rPr>
          <w:rFonts w:ascii="Times New Roman" w:hAnsi="Times New Roman" w:cs="Times New Roman"/>
          <w:sz w:val="28"/>
          <w:szCs w:val="28"/>
        </w:rPr>
        <w:t xml:space="preserve"> wynosi -0,31, co oznacza, że w przeprowadzonym badaniu podniesienie pensji minimalnej spowodowało wzrost bezrobocia o 3,1%. </w:t>
      </w:r>
    </w:p>
    <w:p w14:paraId="5CA08972" w14:textId="230BC020" w:rsidR="00217022" w:rsidRPr="00217022" w:rsidRDefault="00217022" w:rsidP="00217022">
      <w:pPr>
        <w:spacing w:line="264" w:lineRule="auto"/>
        <w:ind w:firstLine="709"/>
        <w:jc w:val="both"/>
        <w:rPr>
          <w:rFonts w:ascii="Times New Roman" w:hAnsi="Times New Roman" w:cs="Times New Roman"/>
          <w:sz w:val="28"/>
          <w:szCs w:val="28"/>
        </w:rPr>
      </w:pPr>
      <w:bookmarkStart w:id="32" w:name="_Hlk181718982"/>
      <w:r w:rsidRPr="00217022">
        <w:rPr>
          <w:rFonts w:ascii="Times New Roman" w:hAnsi="Times New Roman" w:cs="Times New Roman"/>
          <w:sz w:val="28"/>
          <w:szCs w:val="28"/>
        </w:rPr>
        <w:t>W przypadku estymacji zaproponowanej przez Callawaya i Sant’Anne (2021) istnieje możliwość wykorzystania również kowariatów, aby zapewnić równoległość trendów oszacowanych przed momentem uruchomienia interwencji. Modyfikacja polega na wprowadzeniu dodatkowej zmiennej lub dodatkowych zmiennych (X</w:t>
      </w:r>
      <w:r w:rsidRPr="00217022">
        <w:rPr>
          <w:rFonts w:ascii="Times New Roman" w:hAnsi="Times New Roman" w:cs="Times New Roman"/>
          <w:sz w:val="28"/>
          <w:szCs w:val="28"/>
          <w:vertAlign w:val="subscript"/>
        </w:rPr>
        <w:t>i</w:t>
      </w:r>
      <w:r w:rsidRPr="00217022">
        <w:rPr>
          <w:rFonts w:ascii="Times New Roman" w:hAnsi="Times New Roman" w:cs="Times New Roman"/>
          <w:sz w:val="28"/>
          <w:szCs w:val="28"/>
        </w:rPr>
        <w:t xml:space="preserve">) towarzyszących poprawiających własności zmiennej wynikowej. Tak więc, w przypadku oparciu obliczeń na grupie odniesienia złożonej z jednostek w całym okresie niepodanych interwencji musi być spełniony między innymi następujący warunek równoległych trendów dla </w:t>
      </w:r>
      <w:r w:rsidR="002C2B88" w:rsidRPr="00217022">
        <w:rPr>
          <w:rFonts w:ascii="Times New Roman" w:hAnsi="Times New Roman" w:cs="Times New Roman"/>
          <w:sz w:val="28"/>
          <w:szCs w:val="28"/>
        </w:rPr>
        <w:t>wszystkich</w:t>
      </w:r>
      <w:r w:rsidRPr="00217022">
        <w:rPr>
          <w:rFonts w:ascii="Times New Roman" w:hAnsi="Times New Roman" w:cs="Times New Roman"/>
          <w:sz w:val="28"/>
          <w:szCs w:val="28"/>
        </w:rPr>
        <w:t xml:space="preserve">  grup g=2,…,J  i okresów t=2,…,J or</w:t>
      </w:r>
      <w:r w:rsidR="0069332A">
        <w:rPr>
          <w:rFonts w:ascii="Times New Roman" w:hAnsi="Times New Roman" w:cs="Times New Roman"/>
          <w:sz w:val="28"/>
          <w:szCs w:val="28"/>
        </w:rPr>
        <w:t>a</w:t>
      </w:r>
      <w:r w:rsidRPr="00217022">
        <w:rPr>
          <w:rFonts w:ascii="Times New Roman" w:hAnsi="Times New Roman" w:cs="Times New Roman"/>
          <w:sz w:val="28"/>
          <w:szCs w:val="28"/>
        </w:rPr>
        <w:t xml:space="preserve">z dla t ≥ g: </w:t>
      </w:r>
    </w:p>
    <w:p w14:paraId="15C5CB55" w14:textId="77777777" w:rsidR="00217022" w:rsidRPr="00217022" w:rsidRDefault="00217022" w:rsidP="00217022">
      <w:pPr>
        <w:spacing w:line="264" w:lineRule="auto"/>
        <w:jc w:val="center"/>
        <w:rPr>
          <w:rFonts w:ascii="Times New Roman" w:eastAsiaTheme="minorEastAsia" w:hAnsi="Times New Roman" w:cs="Times New Roman"/>
          <w:spacing w:val="-6"/>
          <w:sz w:val="28"/>
          <w:szCs w:val="28"/>
          <w:lang w:val="de-AT"/>
        </w:rPr>
      </w:pPr>
      <m:oMath>
        <m:r>
          <m:rPr>
            <m:sty m:val="p"/>
          </m:rPr>
          <w:rPr>
            <w:rFonts w:ascii="Cambria Math" w:hAnsi="Cambria Math" w:cs="Times New Roman"/>
            <w:spacing w:val="-6"/>
            <w:sz w:val="28"/>
            <w:szCs w:val="28"/>
            <w:lang w:val="de-AT"/>
          </w:rPr>
          <m:t xml:space="preserve">(E[Y </m:t>
        </m:r>
      </m:oMath>
      <w:r w:rsidRPr="00217022">
        <w:rPr>
          <w:rFonts w:ascii="Times New Roman" w:hAnsi="Times New Roman" w:cs="Times New Roman"/>
          <w:spacing w:val="-6"/>
          <w:sz w:val="28"/>
          <w:szCs w:val="28"/>
          <w:vertAlign w:val="subscript"/>
          <w:lang w:val="de-AT"/>
        </w:rPr>
        <w:t>t</w:t>
      </w:r>
      <w:r w:rsidRPr="00217022">
        <w:rPr>
          <w:rFonts w:ascii="Times New Roman" w:hAnsi="Times New Roman" w:cs="Times New Roman"/>
          <w:spacing w:val="-6"/>
          <w:sz w:val="28"/>
          <w:szCs w:val="28"/>
          <w:lang w:val="de-AT"/>
        </w:rPr>
        <w:t xml:space="preserve">, </w:t>
      </w:r>
      <w:r w:rsidRPr="00217022">
        <w:rPr>
          <w:rFonts w:ascii="Times New Roman" w:hAnsi="Times New Roman" w:cs="Times New Roman"/>
          <w:spacing w:val="-6"/>
          <w:sz w:val="28"/>
          <w:szCs w:val="28"/>
          <w:vertAlign w:val="subscript"/>
          <w:lang w:val="de-AT"/>
        </w:rPr>
        <w:t>D=1</w:t>
      </w:r>
      <m:oMath>
        <m:r>
          <m:rPr>
            <m:sty m:val="p"/>
          </m:rPr>
          <w:rPr>
            <w:rFonts w:ascii="Cambria Math" w:hAnsi="Cambria Math" w:cs="Times New Roman"/>
            <w:spacing w:val="-6"/>
            <w:sz w:val="28"/>
            <w:szCs w:val="28"/>
            <w:lang w:val="de-AT"/>
          </w:rPr>
          <m:t>]</m:t>
        </m:r>
      </m:oMath>
      <w:r w:rsidRPr="00217022">
        <w:rPr>
          <w:rFonts w:ascii="Times New Roman" w:hAnsi="Times New Roman" w:cs="Times New Roman"/>
          <w:spacing w:val="-6"/>
          <w:sz w:val="28"/>
          <w:szCs w:val="28"/>
          <w:lang w:val="de-AT"/>
        </w:rPr>
        <w:t xml:space="preserve"> - </w:t>
      </w:r>
      <m:oMath>
        <m:r>
          <m:rPr>
            <m:sty m:val="p"/>
          </m:rPr>
          <w:rPr>
            <w:rFonts w:ascii="Cambria Math" w:hAnsi="Cambria Math" w:cs="Times New Roman"/>
            <w:spacing w:val="-6"/>
            <w:sz w:val="28"/>
            <w:szCs w:val="28"/>
            <w:lang w:val="de-AT"/>
          </w:rPr>
          <m:t xml:space="preserve">E[Y </m:t>
        </m:r>
      </m:oMath>
      <w:r w:rsidRPr="00217022">
        <w:rPr>
          <w:rFonts w:ascii="Times New Roman" w:hAnsi="Times New Roman" w:cs="Times New Roman"/>
          <w:spacing w:val="-6"/>
          <w:sz w:val="28"/>
          <w:szCs w:val="28"/>
          <w:vertAlign w:val="subscript"/>
          <w:lang w:val="de-AT"/>
        </w:rPr>
        <w:t>t-1</w:t>
      </w:r>
      <w:r w:rsidRPr="00217022">
        <w:rPr>
          <w:rFonts w:ascii="Times New Roman" w:hAnsi="Times New Roman" w:cs="Times New Roman"/>
          <w:spacing w:val="-6"/>
          <w:sz w:val="28"/>
          <w:szCs w:val="28"/>
          <w:lang w:val="de-AT"/>
        </w:rPr>
        <w:t xml:space="preserve">, </w:t>
      </w:r>
      <w:r w:rsidRPr="00217022">
        <w:rPr>
          <w:rFonts w:ascii="Times New Roman" w:hAnsi="Times New Roman" w:cs="Times New Roman"/>
          <w:spacing w:val="-6"/>
          <w:sz w:val="28"/>
          <w:szCs w:val="28"/>
          <w:vertAlign w:val="subscript"/>
          <w:lang w:val="de-AT"/>
        </w:rPr>
        <w:t>D=1</w:t>
      </w:r>
      <m:oMath>
        <m:r>
          <m:rPr>
            <m:sty m:val="p"/>
          </m:rPr>
          <w:rPr>
            <w:rFonts w:ascii="Cambria Math" w:hAnsi="Cambria Math" w:cs="Times New Roman"/>
            <w:spacing w:val="-6"/>
            <w:lang w:val="de-AT"/>
          </w:rPr>
          <m:t>])*</m:t>
        </m:r>
        <m:d>
          <m:dPr>
            <m:ctrlPr>
              <w:rPr>
                <w:rFonts w:ascii="Cambria Math" w:hAnsi="Cambria Math" w:cs="Times New Roman"/>
                <w:spacing w:val="-6"/>
                <w:sz w:val="28"/>
                <w:szCs w:val="28"/>
                <w:lang w:val="en-GB"/>
              </w:rPr>
            </m:ctrlPr>
          </m:dPr>
          <m:e>
            <m:r>
              <m:rPr>
                <m:sty m:val="p"/>
              </m:rPr>
              <w:rPr>
                <w:rFonts w:ascii="Cambria Math" w:hAnsi="Cambria Math" w:cs="Times New Roman"/>
                <w:spacing w:val="-6"/>
                <w:sz w:val="28"/>
                <w:szCs w:val="28"/>
                <w:lang w:val="de-AT"/>
              </w:rPr>
              <m:t>0</m:t>
            </m:r>
          </m:e>
        </m:d>
        <m:r>
          <w:rPr>
            <w:rFonts w:ascii="Cambria Math" w:hAnsi="Cambria Math" w:cs="Times New Roman"/>
            <w:spacing w:val="-6"/>
            <w:sz w:val="28"/>
            <w:szCs w:val="28"/>
            <w:lang w:val="de-AT"/>
          </w:rPr>
          <m:t>|</m:t>
        </m:r>
        <m:r>
          <w:rPr>
            <w:rFonts w:ascii="Cambria Math" w:hAnsi="Cambria Math" w:cs="Times New Roman"/>
            <w:spacing w:val="-6"/>
            <w:sz w:val="28"/>
            <w:szCs w:val="28"/>
            <w:lang w:val="en-GB"/>
          </w:rPr>
          <m:t>X</m:t>
        </m:r>
        <m:r>
          <w:rPr>
            <w:rFonts w:ascii="Cambria Math" w:hAnsi="Cambria Math" w:cs="Times New Roman"/>
            <w:spacing w:val="-6"/>
            <w:sz w:val="28"/>
            <w:szCs w:val="28"/>
            <w:lang w:val="de-AT"/>
          </w:rPr>
          <m:t>,</m:t>
        </m:r>
        <m:r>
          <w:rPr>
            <w:rFonts w:ascii="Cambria Math" w:hAnsi="Cambria Math" w:cs="Times New Roman"/>
            <w:spacing w:val="-6"/>
            <w:sz w:val="28"/>
            <w:szCs w:val="28"/>
            <w:lang w:val="en-GB"/>
          </w:rPr>
          <m:t>G</m:t>
        </m:r>
        <m:r>
          <w:rPr>
            <w:rFonts w:ascii="Cambria Math" w:hAnsi="Cambria Math" w:cs="Times New Roman"/>
            <w:spacing w:val="-6"/>
            <w:sz w:val="28"/>
            <w:szCs w:val="28"/>
            <w:lang w:val="de-AT"/>
          </w:rPr>
          <m:t>=</m:t>
        </m:r>
        <m:r>
          <w:rPr>
            <w:rFonts w:ascii="Cambria Math" w:hAnsi="Cambria Math" w:cs="Times New Roman"/>
            <w:spacing w:val="-6"/>
            <w:sz w:val="28"/>
            <w:szCs w:val="28"/>
            <w:lang w:val="en-GB"/>
          </w:rPr>
          <m:t>g</m:t>
        </m:r>
        <m:r>
          <w:rPr>
            <w:rFonts w:ascii="Cambria Math" w:hAnsi="Cambria Math" w:cs="Times New Roman"/>
            <w:spacing w:val="-6"/>
            <w:sz w:val="28"/>
            <w:szCs w:val="28"/>
            <w:lang w:val="de-AT"/>
          </w:rPr>
          <m:t>|</m:t>
        </m:r>
      </m:oMath>
      <w:r w:rsidRPr="00217022">
        <w:rPr>
          <w:rFonts w:ascii="Times New Roman" w:hAnsi="Times New Roman" w:cs="Times New Roman"/>
          <w:spacing w:val="-6"/>
          <w:sz w:val="28"/>
          <w:szCs w:val="28"/>
          <w:lang w:val="de-AT"/>
        </w:rPr>
        <w:t xml:space="preserve">= </w:t>
      </w:r>
      <m:oMath>
        <m:r>
          <w:rPr>
            <w:rFonts w:ascii="Cambria Math" w:hAnsi="Cambria Math" w:cs="Times New Roman"/>
            <w:spacing w:val="-6"/>
            <w:sz w:val="28"/>
            <w:szCs w:val="28"/>
            <w:lang w:val="de-AT"/>
          </w:rPr>
          <m:t>(</m:t>
        </m:r>
        <m:r>
          <m:rPr>
            <m:sty m:val="p"/>
          </m:rPr>
          <w:rPr>
            <w:rFonts w:ascii="Cambria Math" w:hAnsi="Cambria Math" w:cs="Times New Roman"/>
            <w:spacing w:val="-6"/>
            <w:sz w:val="28"/>
            <w:szCs w:val="28"/>
            <w:lang w:val="de-AT"/>
          </w:rPr>
          <m:t>E[Y</m:t>
        </m:r>
      </m:oMath>
      <w:r w:rsidRPr="00217022">
        <w:rPr>
          <w:rFonts w:ascii="Times New Roman" w:hAnsi="Times New Roman" w:cs="Times New Roman"/>
          <w:spacing w:val="-6"/>
          <w:sz w:val="28"/>
          <w:szCs w:val="28"/>
          <w:lang w:val="de-AT"/>
        </w:rPr>
        <w:t xml:space="preserve"> </w:t>
      </w:r>
      <w:r w:rsidRPr="00217022">
        <w:rPr>
          <w:rFonts w:ascii="Times New Roman" w:hAnsi="Times New Roman" w:cs="Times New Roman"/>
          <w:spacing w:val="-6"/>
          <w:sz w:val="28"/>
          <w:szCs w:val="28"/>
          <w:vertAlign w:val="subscript"/>
          <w:lang w:val="de-AT"/>
        </w:rPr>
        <w:t>t,</w:t>
      </w:r>
      <w:r w:rsidRPr="00217022">
        <w:rPr>
          <w:rFonts w:ascii="Times New Roman" w:hAnsi="Times New Roman" w:cs="Times New Roman"/>
          <w:spacing w:val="-6"/>
          <w:sz w:val="28"/>
          <w:szCs w:val="28"/>
          <w:lang w:val="de-AT"/>
        </w:rPr>
        <w:t xml:space="preserve"> </w:t>
      </w:r>
      <w:r w:rsidRPr="00217022">
        <w:rPr>
          <w:rFonts w:ascii="Times New Roman" w:hAnsi="Times New Roman" w:cs="Times New Roman"/>
          <w:spacing w:val="-6"/>
          <w:sz w:val="28"/>
          <w:szCs w:val="28"/>
          <w:vertAlign w:val="subscript"/>
          <w:lang w:val="de-AT"/>
        </w:rPr>
        <w:t>D=0</w:t>
      </w:r>
      <m:oMath>
        <m:r>
          <m:rPr>
            <m:sty m:val="p"/>
          </m:rPr>
          <w:rPr>
            <w:rFonts w:ascii="Cambria Math" w:hAnsi="Cambria Math" w:cs="Times New Roman"/>
            <w:spacing w:val="-6"/>
            <w:sz w:val="28"/>
            <w:szCs w:val="28"/>
            <w:lang w:val="de-AT"/>
          </w:rPr>
          <m:t>]</m:t>
        </m:r>
      </m:oMath>
      <w:r w:rsidRPr="00217022">
        <w:rPr>
          <w:rFonts w:ascii="Times New Roman" w:hAnsi="Times New Roman" w:cs="Times New Roman"/>
          <w:spacing w:val="-6"/>
          <w:sz w:val="28"/>
          <w:szCs w:val="28"/>
          <w:lang w:val="de-AT"/>
        </w:rPr>
        <w:t xml:space="preserve"> - </w:t>
      </w:r>
      <m:oMath>
        <m:r>
          <m:rPr>
            <m:sty m:val="p"/>
          </m:rPr>
          <w:rPr>
            <w:rFonts w:ascii="Cambria Math" w:hAnsi="Cambria Math" w:cs="Times New Roman"/>
            <w:spacing w:val="-6"/>
            <w:sz w:val="28"/>
            <w:szCs w:val="28"/>
            <w:lang w:val="de-AT"/>
          </w:rPr>
          <m:t xml:space="preserve">E[Y </m:t>
        </m:r>
      </m:oMath>
      <w:r w:rsidRPr="00217022">
        <w:rPr>
          <w:rFonts w:ascii="Times New Roman" w:hAnsi="Times New Roman" w:cs="Times New Roman"/>
          <w:spacing w:val="-6"/>
          <w:sz w:val="28"/>
          <w:szCs w:val="28"/>
          <w:vertAlign w:val="subscript"/>
          <w:lang w:val="de-AT"/>
        </w:rPr>
        <w:t>t-1</w:t>
      </w:r>
      <w:r w:rsidRPr="00217022">
        <w:rPr>
          <w:rFonts w:ascii="Times New Roman" w:hAnsi="Times New Roman" w:cs="Times New Roman"/>
          <w:spacing w:val="-6"/>
          <w:sz w:val="28"/>
          <w:szCs w:val="28"/>
          <w:lang w:val="de-AT"/>
        </w:rPr>
        <w:t xml:space="preserve">, </w:t>
      </w:r>
      <w:r w:rsidRPr="00217022">
        <w:rPr>
          <w:rFonts w:ascii="Times New Roman" w:hAnsi="Times New Roman" w:cs="Times New Roman"/>
          <w:spacing w:val="-6"/>
          <w:sz w:val="28"/>
          <w:szCs w:val="28"/>
          <w:vertAlign w:val="subscript"/>
          <w:lang w:val="de-AT"/>
        </w:rPr>
        <w:t>D=0</w:t>
      </w:r>
      <m:oMath>
        <m:r>
          <m:rPr>
            <m:sty m:val="p"/>
          </m:rPr>
          <w:rPr>
            <w:rFonts w:ascii="Cambria Math" w:hAnsi="Cambria Math" w:cs="Times New Roman"/>
            <w:spacing w:val="-6"/>
            <w:lang w:val="de-AT"/>
          </w:rPr>
          <m:t>])*</m:t>
        </m:r>
        <m:d>
          <m:dPr>
            <m:ctrlPr>
              <w:rPr>
                <w:rFonts w:ascii="Cambria Math" w:hAnsi="Cambria Math" w:cs="Times New Roman"/>
                <w:spacing w:val="-6"/>
                <w:sz w:val="28"/>
                <w:szCs w:val="28"/>
                <w:lang w:val="en-GB"/>
              </w:rPr>
            </m:ctrlPr>
          </m:dPr>
          <m:e>
            <m:r>
              <m:rPr>
                <m:sty m:val="p"/>
              </m:rPr>
              <w:rPr>
                <w:rFonts w:ascii="Cambria Math" w:hAnsi="Cambria Math" w:cs="Times New Roman"/>
                <w:spacing w:val="-6"/>
                <w:sz w:val="28"/>
                <w:szCs w:val="28"/>
                <w:lang w:val="de-AT"/>
              </w:rPr>
              <m:t>0</m:t>
            </m:r>
          </m:e>
        </m:d>
        <m:r>
          <w:rPr>
            <w:rFonts w:ascii="Cambria Math" w:hAnsi="Cambria Math" w:cs="Times New Roman"/>
            <w:spacing w:val="-6"/>
            <w:sz w:val="28"/>
            <w:szCs w:val="28"/>
            <w:lang w:val="de-AT"/>
          </w:rPr>
          <m:t>|</m:t>
        </m:r>
        <m:r>
          <w:rPr>
            <w:rFonts w:ascii="Cambria Math" w:hAnsi="Cambria Math" w:cs="Times New Roman"/>
            <w:spacing w:val="-6"/>
            <w:sz w:val="28"/>
            <w:szCs w:val="28"/>
            <w:lang w:val="en-GB"/>
          </w:rPr>
          <m:t>X</m:t>
        </m:r>
        <m:r>
          <w:rPr>
            <w:rFonts w:ascii="Cambria Math" w:hAnsi="Cambria Math" w:cs="Times New Roman"/>
            <w:spacing w:val="-6"/>
            <w:sz w:val="28"/>
            <w:szCs w:val="28"/>
            <w:lang w:val="de-AT"/>
          </w:rPr>
          <m:t>,</m:t>
        </m:r>
        <m:r>
          <w:rPr>
            <w:rFonts w:ascii="Cambria Math" w:hAnsi="Cambria Math" w:cs="Times New Roman"/>
            <w:spacing w:val="-6"/>
            <w:sz w:val="28"/>
            <w:szCs w:val="28"/>
            <w:lang w:val="en-GB"/>
          </w:rPr>
          <m:t>C</m:t>
        </m:r>
        <m:r>
          <w:rPr>
            <w:rFonts w:ascii="Cambria Math" w:hAnsi="Cambria Math" w:cs="Times New Roman"/>
            <w:spacing w:val="-6"/>
            <w:sz w:val="28"/>
            <w:szCs w:val="28"/>
            <w:lang w:val="de-AT"/>
          </w:rPr>
          <m:t>=1|</m:t>
        </m:r>
      </m:oMath>
      <w:r w:rsidRPr="00217022">
        <w:rPr>
          <w:rFonts w:ascii="Times New Roman" w:eastAsiaTheme="minorEastAsia" w:hAnsi="Times New Roman" w:cs="Times New Roman"/>
          <w:spacing w:val="-6"/>
          <w:sz w:val="28"/>
          <w:szCs w:val="28"/>
          <w:lang w:val="de-AT"/>
        </w:rPr>
        <w:t>.</w:t>
      </w:r>
    </w:p>
    <w:p w14:paraId="60164B73" w14:textId="77777777" w:rsidR="00217022" w:rsidRPr="00217022" w:rsidRDefault="00217022" w:rsidP="00217022">
      <w:pPr>
        <w:spacing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Natomiast w przypadku braku statystycznej weryfikacji tego założenia istnieje wówczas możliwość wykorzystania wyników jednostek jeszcze niepoddanych oddziaływaniu interwencji, tj. przyjęcia jako wyników odniesienia podgrup do momentu poddania ich oddziaływaniu instrumentu. Wówczas musi być spełniony warunek dla wszystkich grup g=2,..,J  oraz dla okresów s, t=2,…,J przy założeniu że: t ≥ g i s≥t wówczas:</w:t>
      </w:r>
    </w:p>
    <w:p w14:paraId="5259773C" w14:textId="77777777" w:rsidR="00217022" w:rsidRPr="00217022" w:rsidRDefault="00217022" w:rsidP="00217022">
      <w:pPr>
        <w:jc w:val="center"/>
        <w:rPr>
          <w:rFonts w:ascii="Times New Roman" w:eastAsiaTheme="minorEastAsia" w:hAnsi="Times New Roman" w:cs="Times New Roman"/>
          <w:spacing w:val="-8"/>
          <w:sz w:val="28"/>
          <w:szCs w:val="28"/>
          <w:lang w:val="de-AT"/>
        </w:rPr>
      </w:pPr>
      <m:oMath>
        <m:r>
          <m:rPr>
            <m:sty m:val="p"/>
          </m:rPr>
          <w:rPr>
            <w:rFonts w:ascii="Cambria Math" w:hAnsi="Cambria Math" w:cs="Times New Roman"/>
            <w:spacing w:val="-8"/>
            <w:sz w:val="28"/>
            <w:szCs w:val="28"/>
            <w:lang w:val="de-AT"/>
          </w:rPr>
          <m:t xml:space="preserve">(E[Y </m:t>
        </m:r>
      </m:oMath>
      <w:r w:rsidRPr="00217022">
        <w:rPr>
          <w:rFonts w:ascii="Times New Roman" w:hAnsi="Times New Roman" w:cs="Times New Roman"/>
          <w:spacing w:val="-8"/>
          <w:sz w:val="28"/>
          <w:szCs w:val="28"/>
          <w:vertAlign w:val="subscript"/>
          <w:lang w:val="de-AT"/>
        </w:rPr>
        <w:t>t</w:t>
      </w:r>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D=1</w:t>
      </w:r>
      <m:oMath>
        <m:r>
          <m:rPr>
            <m:sty m:val="p"/>
          </m:rPr>
          <w:rPr>
            <w:rFonts w:ascii="Cambria Math" w:hAnsi="Cambria Math" w:cs="Times New Roman"/>
            <w:spacing w:val="-8"/>
            <w:sz w:val="28"/>
            <w:szCs w:val="28"/>
            <w:lang w:val="de-AT"/>
          </w:rPr>
          <m:t>]</m:t>
        </m:r>
      </m:oMath>
      <w:r w:rsidRPr="00217022">
        <w:rPr>
          <w:rFonts w:ascii="Times New Roman" w:hAnsi="Times New Roman" w:cs="Times New Roman"/>
          <w:spacing w:val="-8"/>
          <w:sz w:val="28"/>
          <w:szCs w:val="28"/>
          <w:lang w:val="de-AT"/>
        </w:rPr>
        <w:t xml:space="preserve"> - </w:t>
      </w:r>
      <m:oMath>
        <m:r>
          <m:rPr>
            <m:sty m:val="p"/>
          </m:rPr>
          <w:rPr>
            <w:rFonts w:ascii="Cambria Math" w:hAnsi="Cambria Math" w:cs="Times New Roman"/>
            <w:spacing w:val="-8"/>
            <w:sz w:val="28"/>
            <w:szCs w:val="28"/>
            <w:lang w:val="de-AT"/>
          </w:rPr>
          <m:t xml:space="preserve">E[Y </m:t>
        </m:r>
      </m:oMath>
      <w:r w:rsidRPr="00217022">
        <w:rPr>
          <w:rFonts w:ascii="Times New Roman" w:hAnsi="Times New Roman" w:cs="Times New Roman"/>
          <w:spacing w:val="-8"/>
          <w:sz w:val="28"/>
          <w:szCs w:val="28"/>
          <w:vertAlign w:val="subscript"/>
          <w:lang w:val="de-AT"/>
        </w:rPr>
        <w:t>t-1</w:t>
      </w:r>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D=1</w:t>
      </w:r>
      <m:oMath>
        <m:r>
          <m:rPr>
            <m:sty m:val="p"/>
          </m:rPr>
          <w:rPr>
            <w:rFonts w:ascii="Cambria Math" w:hAnsi="Cambria Math" w:cs="Times New Roman"/>
            <w:spacing w:val="-8"/>
            <w:sz w:val="28"/>
            <w:szCs w:val="28"/>
            <w:lang w:val="de-AT"/>
          </w:rPr>
          <m:t>])*</m:t>
        </m:r>
        <m:d>
          <m:dPr>
            <m:ctrlPr>
              <w:rPr>
                <w:rFonts w:ascii="Cambria Math" w:hAnsi="Cambria Math" w:cs="Times New Roman"/>
                <w:spacing w:val="-8"/>
                <w:sz w:val="28"/>
                <w:szCs w:val="28"/>
                <w:lang w:val="en-GB"/>
              </w:rPr>
            </m:ctrlPr>
          </m:dPr>
          <m:e>
            <m:r>
              <m:rPr>
                <m:sty m:val="p"/>
              </m:rPr>
              <w:rPr>
                <w:rFonts w:ascii="Cambria Math" w:hAnsi="Cambria Math" w:cs="Times New Roman"/>
                <w:spacing w:val="-8"/>
                <w:sz w:val="28"/>
                <w:szCs w:val="28"/>
                <w:lang w:val="de-AT"/>
              </w:rPr>
              <m:t>0</m:t>
            </m:r>
          </m:e>
        </m:d>
        <m:r>
          <w:rPr>
            <w:rFonts w:ascii="Cambria Math" w:hAnsi="Cambria Math" w:cs="Times New Roman"/>
            <w:spacing w:val="-8"/>
            <w:sz w:val="28"/>
            <w:szCs w:val="28"/>
            <w:lang w:val="de-AT"/>
          </w:rPr>
          <m:t>|</m:t>
        </m:r>
        <m:r>
          <w:rPr>
            <w:rFonts w:ascii="Cambria Math" w:hAnsi="Cambria Math" w:cs="Times New Roman"/>
            <w:spacing w:val="-8"/>
            <w:sz w:val="28"/>
            <w:szCs w:val="28"/>
            <w:lang w:val="en-GB"/>
          </w:rPr>
          <m:t>X</m:t>
        </m:r>
        <m:r>
          <w:rPr>
            <w:rFonts w:ascii="Cambria Math" w:hAnsi="Cambria Math" w:cs="Times New Roman"/>
            <w:spacing w:val="-8"/>
            <w:sz w:val="28"/>
            <w:szCs w:val="28"/>
            <w:lang w:val="de-AT"/>
          </w:rPr>
          <m:t>,</m:t>
        </m:r>
        <m:r>
          <w:rPr>
            <w:rFonts w:ascii="Cambria Math" w:hAnsi="Cambria Math" w:cs="Times New Roman"/>
            <w:spacing w:val="-8"/>
            <w:sz w:val="28"/>
            <w:szCs w:val="28"/>
            <w:lang w:val="en-GB"/>
          </w:rPr>
          <m:t>G</m:t>
        </m:r>
        <m:r>
          <w:rPr>
            <w:rFonts w:ascii="Cambria Math" w:hAnsi="Cambria Math" w:cs="Times New Roman"/>
            <w:spacing w:val="-8"/>
            <w:sz w:val="28"/>
            <w:szCs w:val="28"/>
            <w:lang w:val="de-AT"/>
          </w:rPr>
          <m:t>=</m:t>
        </m:r>
        <m:r>
          <w:rPr>
            <w:rFonts w:ascii="Cambria Math" w:hAnsi="Cambria Math" w:cs="Times New Roman"/>
            <w:spacing w:val="-8"/>
            <w:sz w:val="28"/>
            <w:szCs w:val="28"/>
            <w:lang w:val="en-GB"/>
          </w:rPr>
          <m:t>g</m:t>
        </m:r>
        <m:r>
          <w:rPr>
            <w:rFonts w:ascii="Cambria Math" w:hAnsi="Cambria Math" w:cs="Times New Roman"/>
            <w:spacing w:val="-8"/>
            <w:sz w:val="28"/>
            <w:szCs w:val="28"/>
            <w:lang w:val="de-AT"/>
          </w:rPr>
          <m:t>|</m:t>
        </m:r>
      </m:oMath>
      <w:r w:rsidRPr="00217022">
        <w:rPr>
          <w:rFonts w:ascii="Times New Roman" w:hAnsi="Times New Roman" w:cs="Times New Roman"/>
          <w:spacing w:val="-8"/>
          <w:sz w:val="28"/>
          <w:szCs w:val="28"/>
          <w:lang w:val="de-AT"/>
        </w:rPr>
        <w:t xml:space="preserve"> = </w:t>
      </w:r>
    </w:p>
    <w:p w14:paraId="4D400752" w14:textId="77777777" w:rsidR="00217022" w:rsidRPr="00217022" w:rsidRDefault="00217022" w:rsidP="00217022">
      <w:pPr>
        <w:jc w:val="center"/>
        <w:rPr>
          <w:rFonts w:ascii="Times New Roman" w:eastAsiaTheme="minorEastAsia" w:hAnsi="Times New Roman" w:cs="Times New Roman"/>
          <w:spacing w:val="-8"/>
          <w:sz w:val="28"/>
          <w:szCs w:val="28"/>
          <w:lang w:val="de-AT"/>
        </w:rPr>
      </w:pPr>
      <m:oMath>
        <m:r>
          <w:rPr>
            <w:rFonts w:ascii="Cambria Math" w:hAnsi="Cambria Math" w:cs="Times New Roman"/>
            <w:spacing w:val="-8"/>
            <w:sz w:val="28"/>
            <w:szCs w:val="28"/>
            <w:lang w:val="de-AT"/>
          </w:rPr>
          <m:t>=(</m:t>
        </m:r>
        <m:r>
          <m:rPr>
            <m:sty m:val="p"/>
          </m:rPr>
          <w:rPr>
            <w:rFonts w:ascii="Cambria Math" w:hAnsi="Cambria Math" w:cs="Times New Roman"/>
            <w:spacing w:val="-8"/>
            <w:sz w:val="28"/>
            <w:szCs w:val="28"/>
            <w:lang w:val="de-AT"/>
          </w:rPr>
          <m:t>E[Y</m:t>
        </m:r>
      </m:oMath>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t,</w:t>
      </w:r>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D=0</w:t>
      </w:r>
      <m:oMath>
        <m:r>
          <m:rPr>
            <m:sty m:val="p"/>
          </m:rPr>
          <w:rPr>
            <w:rFonts w:ascii="Cambria Math" w:hAnsi="Cambria Math" w:cs="Times New Roman"/>
            <w:spacing w:val="-8"/>
            <w:sz w:val="28"/>
            <w:szCs w:val="28"/>
            <w:lang w:val="de-AT"/>
          </w:rPr>
          <m:t>]</m:t>
        </m:r>
      </m:oMath>
      <w:r w:rsidRPr="00217022">
        <w:rPr>
          <w:rFonts w:ascii="Times New Roman" w:hAnsi="Times New Roman" w:cs="Times New Roman"/>
          <w:spacing w:val="-8"/>
          <w:sz w:val="28"/>
          <w:szCs w:val="28"/>
          <w:lang w:val="de-AT"/>
        </w:rPr>
        <w:t xml:space="preserve"> - </w:t>
      </w:r>
      <m:oMath>
        <m:r>
          <m:rPr>
            <m:sty m:val="p"/>
          </m:rPr>
          <w:rPr>
            <w:rFonts w:ascii="Cambria Math" w:hAnsi="Cambria Math" w:cs="Times New Roman"/>
            <w:spacing w:val="-8"/>
            <w:sz w:val="28"/>
            <w:szCs w:val="28"/>
            <w:lang w:val="de-AT"/>
          </w:rPr>
          <m:t xml:space="preserve">E[Y </m:t>
        </m:r>
      </m:oMath>
      <w:r w:rsidRPr="00217022">
        <w:rPr>
          <w:rFonts w:ascii="Times New Roman" w:hAnsi="Times New Roman" w:cs="Times New Roman"/>
          <w:spacing w:val="-8"/>
          <w:sz w:val="28"/>
          <w:szCs w:val="28"/>
          <w:vertAlign w:val="subscript"/>
          <w:lang w:val="de-AT"/>
        </w:rPr>
        <w:t>t-1</w:t>
      </w:r>
      <w:r w:rsidRPr="00217022">
        <w:rPr>
          <w:rFonts w:ascii="Times New Roman" w:hAnsi="Times New Roman" w:cs="Times New Roman"/>
          <w:spacing w:val="-8"/>
          <w:sz w:val="28"/>
          <w:szCs w:val="28"/>
          <w:lang w:val="de-AT"/>
        </w:rPr>
        <w:t xml:space="preserve">, </w:t>
      </w:r>
      <w:r w:rsidRPr="00217022">
        <w:rPr>
          <w:rFonts w:ascii="Times New Roman" w:hAnsi="Times New Roman" w:cs="Times New Roman"/>
          <w:spacing w:val="-8"/>
          <w:sz w:val="28"/>
          <w:szCs w:val="28"/>
          <w:vertAlign w:val="subscript"/>
          <w:lang w:val="de-AT"/>
        </w:rPr>
        <w:t>D=0</w:t>
      </w:r>
      <m:oMath>
        <m:r>
          <m:rPr>
            <m:sty m:val="p"/>
          </m:rPr>
          <w:rPr>
            <w:rFonts w:ascii="Cambria Math" w:hAnsi="Cambria Math" w:cs="Times New Roman"/>
            <w:spacing w:val="-8"/>
            <w:sz w:val="28"/>
            <w:szCs w:val="28"/>
            <w:lang w:val="de-AT"/>
          </w:rPr>
          <m:t>])*</m:t>
        </m:r>
        <m:d>
          <m:dPr>
            <m:ctrlPr>
              <w:rPr>
                <w:rFonts w:ascii="Cambria Math" w:hAnsi="Cambria Math" w:cs="Times New Roman"/>
                <w:spacing w:val="-8"/>
                <w:sz w:val="28"/>
                <w:szCs w:val="28"/>
                <w:lang w:val="en-GB"/>
              </w:rPr>
            </m:ctrlPr>
          </m:dPr>
          <m:e>
            <m:r>
              <m:rPr>
                <m:sty m:val="p"/>
              </m:rPr>
              <w:rPr>
                <w:rFonts w:ascii="Cambria Math" w:hAnsi="Cambria Math" w:cs="Times New Roman"/>
                <w:spacing w:val="-8"/>
                <w:sz w:val="28"/>
                <w:szCs w:val="28"/>
                <w:lang w:val="de-AT"/>
              </w:rPr>
              <m:t>0</m:t>
            </m:r>
          </m:e>
        </m:d>
        <m:r>
          <w:rPr>
            <w:rFonts w:ascii="Cambria Math" w:hAnsi="Cambria Math" w:cs="Times New Roman"/>
            <w:spacing w:val="-8"/>
            <w:sz w:val="28"/>
            <w:szCs w:val="28"/>
            <w:lang w:val="de-AT"/>
          </w:rPr>
          <m:t>|</m:t>
        </m:r>
        <m:r>
          <w:rPr>
            <w:rFonts w:ascii="Cambria Math" w:hAnsi="Cambria Math" w:cs="Times New Roman"/>
            <w:spacing w:val="-8"/>
            <w:sz w:val="28"/>
            <w:szCs w:val="28"/>
            <w:lang w:val="en-GB"/>
          </w:rPr>
          <m:t>X</m:t>
        </m:r>
        <m:r>
          <w:rPr>
            <w:rFonts w:ascii="Cambria Math" w:hAnsi="Cambria Math" w:cs="Times New Roman"/>
            <w:spacing w:val="-8"/>
            <w:sz w:val="28"/>
            <w:szCs w:val="28"/>
            <w:lang w:val="de-AT"/>
          </w:rPr>
          <m:t>,</m:t>
        </m:r>
        <m:sSub>
          <m:sSubPr>
            <m:ctrlPr>
              <w:rPr>
                <w:rFonts w:ascii="Cambria Math" w:hAnsi="Cambria Math" w:cs="Times New Roman"/>
                <w:i/>
                <w:spacing w:val="-8"/>
                <w:sz w:val="28"/>
                <w:szCs w:val="28"/>
                <w:lang w:val="en-GB"/>
              </w:rPr>
            </m:ctrlPr>
          </m:sSubPr>
          <m:e>
            <m:r>
              <w:rPr>
                <w:rFonts w:ascii="Cambria Math" w:hAnsi="Cambria Math" w:cs="Times New Roman"/>
                <w:spacing w:val="-8"/>
                <w:sz w:val="28"/>
                <w:szCs w:val="28"/>
                <w:lang w:val="en-GB"/>
              </w:rPr>
              <m:t>D</m:t>
            </m:r>
          </m:e>
          <m:sub>
            <m:r>
              <w:rPr>
                <w:rFonts w:ascii="Cambria Math" w:hAnsi="Cambria Math" w:cs="Times New Roman"/>
                <w:spacing w:val="-8"/>
                <w:sz w:val="28"/>
                <w:szCs w:val="28"/>
                <w:lang w:val="en-GB"/>
              </w:rPr>
              <m:t>s</m:t>
            </m:r>
          </m:sub>
        </m:sSub>
        <m:r>
          <w:rPr>
            <w:rFonts w:ascii="Cambria Math" w:hAnsi="Cambria Math" w:cs="Times New Roman"/>
            <w:spacing w:val="-8"/>
            <w:sz w:val="28"/>
            <w:szCs w:val="28"/>
            <w:lang w:val="de-AT"/>
          </w:rPr>
          <m:t>=0,</m:t>
        </m:r>
        <m:r>
          <w:rPr>
            <w:rFonts w:ascii="Cambria Math" w:hAnsi="Cambria Math" w:cs="Times New Roman"/>
            <w:spacing w:val="-8"/>
            <w:sz w:val="28"/>
            <w:szCs w:val="28"/>
          </w:rPr>
          <m:t>G</m:t>
        </m:r>
        <m:r>
          <w:rPr>
            <w:rFonts w:ascii="Cambria Math" w:hAnsi="Cambria Math" w:cs="Times New Roman"/>
            <w:spacing w:val="-8"/>
            <w:sz w:val="28"/>
            <w:szCs w:val="28"/>
            <w:lang w:val="de-AT"/>
          </w:rPr>
          <m:t>≠</m:t>
        </m:r>
        <m:r>
          <w:rPr>
            <w:rFonts w:ascii="Cambria Math" w:hAnsi="Cambria Math" w:cs="Times New Roman"/>
            <w:spacing w:val="-8"/>
            <w:sz w:val="28"/>
            <w:szCs w:val="28"/>
          </w:rPr>
          <m:t>g</m:t>
        </m:r>
        <m:r>
          <w:rPr>
            <w:rFonts w:ascii="Cambria Math" w:hAnsi="Cambria Math" w:cs="Times New Roman"/>
            <w:spacing w:val="-8"/>
            <w:sz w:val="28"/>
            <w:szCs w:val="28"/>
            <w:lang w:val="de-AT"/>
          </w:rPr>
          <m:t>|</m:t>
        </m:r>
      </m:oMath>
      <w:r w:rsidRPr="00217022">
        <w:rPr>
          <w:rFonts w:ascii="Times New Roman" w:eastAsiaTheme="minorEastAsia" w:hAnsi="Times New Roman" w:cs="Times New Roman"/>
          <w:spacing w:val="-8"/>
          <w:sz w:val="28"/>
          <w:szCs w:val="28"/>
          <w:lang w:val="de-AT"/>
        </w:rPr>
        <w:t>.</w:t>
      </w:r>
    </w:p>
    <w:p w14:paraId="2C65BC6B" w14:textId="77777777" w:rsidR="00217022" w:rsidRPr="00217022" w:rsidRDefault="00217022" w:rsidP="00217022">
      <w:pPr>
        <w:ind w:firstLine="708"/>
        <w:jc w:val="both"/>
        <w:rPr>
          <w:rFonts w:ascii="Times New Roman" w:hAnsi="Times New Roman" w:cs="Times New Roman"/>
          <w:sz w:val="28"/>
          <w:szCs w:val="28"/>
        </w:rPr>
      </w:pPr>
      <w:r w:rsidRPr="00217022">
        <w:rPr>
          <w:rFonts w:ascii="Times New Roman" w:hAnsi="Times New Roman" w:cs="Times New Roman"/>
          <w:sz w:val="28"/>
          <w:szCs w:val="28"/>
        </w:rPr>
        <w:t>W przypadku spełnienia pierwszego warunku (równoległe wszystkie trendy względem jednostek niepodanych interwencji) średni efekt ATT(</w:t>
      </w:r>
      <w:r w:rsidRPr="00217022">
        <w:rPr>
          <w:rFonts w:ascii="Times New Roman" w:hAnsi="Times New Roman" w:cs="Times New Roman"/>
          <w:sz w:val="28"/>
          <w:szCs w:val="28"/>
          <w:vertAlign w:val="subscript"/>
        </w:rPr>
        <w:t>g,p</w:t>
      </w:r>
      <w:r w:rsidRPr="00217022">
        <w:rPr>
          <w:rFonts w:ascii="Times New Roman" w:hAnsi="Times New Roman" w:cs="Times New Roman"/>
          <w:sz w:val="28"/>
          <w:szCs w:val="28"/>
        </w:rPr>
        <w:t>) jest obliczany analitycznie dla wszystkich okresów t ≥ g według wzoru:</w:t>
      </w:r>
    </w:p>
    <w:p w14:paraId="55FA105D" w14:textId="77777777" w:rsidR="00217022" w:rsidRPr="00217022" w:rsidRDefault="00217022" w:rsidP="00217022">
      <w:pPr>
        <w:jc w:val="center"/>
        <w:rPr>
          <w:rFonts w:ascii="Times New Roman" w:hAnsi="Times New Roman" w:cs="Times New Roman"/>
          <w:sz w:val="28"/>
          <w:szCs w:val="28"/>
          <w:lang w:val="de-AT"/>
        </w:rPr>
      </w:pPr>
      <w:r w:rsidRPr="00217022">
        <w:rPr>
          <w:rFonts w:ascii="Times New Roman" w:hAnsi="Times New Roman" w:cs="Times New Roman"/>
          <w:sz w:val="28"/>
          <w:szCs w:val="28"/>
          <w:lang w:val="de-AT"/>
        </w:rPr>
        <w:t>ATT(</w:t>
      </w:r>
      <w:r w:rsidRPr="00217022">
        <w:rPr>
          <w:rFonts w:ascii="Times New Roman" w:hAnsi="Times New Roman" w:cs="Times New Roman"/>
          <w:sz w:val="28"/>
          <w:szCs w:val="28"/>
          <w:vertAlign w:val="subscript"/>
          <w:lang w:val="de-AT"/>
        </w:rPr>
        <w:t>g,p</w:t>
      </w:r>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t</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D=1</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g-1</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D=1</w:t>
      </w:r>
      <m:oMath>
        <m:r>
          <m:rPr>
            <m:sty m:val="p"/>
          </m:rPr>
          <w:rPr>
            <w:rFonts w:ascii="Cambria Math" w:hAnsi="Cambria Math" w:cs="Times New Roman"/>
            <w:sz w:val="28"/>
            <w:szCs w:val="28"/>
            <w:lang w:val="de-AT"/>
          </w:rPr>
          <m:t>]</m:t>
        </m:r>
        <m:r>
          <w:rPr>
            <w:rFonts w:ascii="Cambria Math" w:hAnsi="Cambria Math" w:cs="Times New Roman"/>
            <w:sz w:val="28"/>
            <w:szCs w:val="28"/>
            <w:lang w:val="de-AT"/>
          </w:rPr>
          <m:t>|</m:t>
        </m:r>
        <m:r>
          <w:rPr>
            <w:rFonts w:ascii="Cambria Math" w:hAnsi="Cambria Math" w:cs="Times New Roman"/>
            <w:sz w:val="28"/>
            <w:szCs w:val="28"/>
            <w:lang w:val="en-GB"/>
          </w:rPr>
          <m:t>X</m:t>
        </m:r>
        <m:r>
          <w:rPr>
            <w:rFonts w:ascii="Cambria Math" w:hAnsi="Cambria Math" w:cs="Times New Roman"/>
            <w:sz w:val="28"/>
            <w:szCs w:val="28"/>
            <w:lang w:val="de-AT"/>
          </w:rPr>
          <m:t>,</m:t>
        </m:r>
        <m:r>
          <w:rPr>
            <w:rFonts w:ascii="Cambria Math" w:hAnsi="Cambria Math" w:cs="Times New Roman"/>
            <w:sz w:val="28"/>
            <w:szCs w:val="28"/>
            <w:lang w:val="en-GB"/>
          </w:rPr>
          <m:t>G</m:t>
        </m:r>
        <m:r>
          <w:rPr>
            <w:rFonts w:ascii="Cambria Math" w:hAnsi="Cambria Math" w:cs="Times New Roman"/>
            <w:sz w:val="28"/>
            <w:szCs w:val="28"/>
            <w:lang w:val="de-AT"/>
          </w:rPr>
          <m:t>=</m:t>
        </m:r>
        <m:r>
          <w:rPr>
            <w:rFonts w:ascii="Cambria Math" w:hAnsi="Cambria Math" w:cs="Times New Roman"/>
            <w:sz w:val="28"/>
            <w:szCs w:val="28"/>
            <w:lang w:val="en-GB"/>
          </w:rPr>
          <m:t>g</m:t>
        </m:r>
        <m: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w:p>
    <w:p w14:paraId="7552A22A" w14:textId="77777777" w:rsidR="00217022" w:rsidRPr="00217022" w:rsidRDefault="00217022" w:rsidP="00217022">
      <w:pPr>
        <w:numPr>
          <w:ilvl w:val="0"/>
          <w:numId w:val="65"/>
        </w:numPr>
        <w:contextualSpacing/>
        <w:jc w:val="center"/>
        <w:rPr>
          <w:rFonts w:ascii="Times New Roman" w:eastAsiaTheme="minorEastAsia" w:hAnsi="Times New Roman" w:cs="Times New Roman"/>
          <w:sz w:val="28"/>
          <w:szCs w:val="28"/>
          <w:lang w:val="de-AT"/>
        </w:rPr>
      </w:pPr>
      <m:oMath>
        <m:r>
          <w:rPr>
            <w:rFonts w:ascii="Cambria Math" w:hAnsi="Cambria Math" w:cs="Times New Roman"/>
            <w:sz w:val="28"/>
            <w:szCs w:val="28"/>
            <w:lang w:val="de-AT"/>
          </w:rPr>
          <m:t>(</m:t>
        </m:r>
        <m:r>
          <m:rPr>
            <m:sty m:val="p"/>
          </m:rPr>
          <w:rPr>
            <w:rFonts w:ascii="Cambria Math" w:hAnsi="Cambria Math" w:cs="Times New Roman"/>
            <w:sz w:val="28"/>
            <w:szCs w:val="28"/>
            <w:lang w:val="de-AT"/>
          </w:rPr>
          <m:t>E[Y</m:t>
        </m:r>
      </m:oMath>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t,</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D=0</w:t>
      </w:r>
      <m:oMath>
        <m:r>
          <m:rPr>
            <m:sty m:val="p"/>
          </m:rPr>
          <w:rPr>
            <w:rFonts w:ascii="Cambria Math" w:hAnsi="Cambria Math" w:cs="Times New Roman"/>
            <w:sz w:val="28"/>
            <w:szCs w:val="28"/>
            <w:lang w:val="de-AT"/>
          </w:rPr>
          <m:t>]</m:t>
        </m:r>
      </m:oMath>
      <w:r w:rsidRPr="00217022">
        <w:rPr>
          <w:rFonts w:ascii="Times New Roman" w:hAnsi="Times New Roman" w:cs="Times New Roman"/>
          <w:sz w:val="28"/>
          <w:szCs w:val="28"/>
          <w:lang w:val="de-AT"/>
        </w:rPr>
        <w:t xml:space="preserve"> - </w:t>
      </w:r>
      <m:oMath>
        <m:r>
          <m:rPr>
            <m:sty m:val="p"/>
          </m:rPr>
          <w:rPr>
            <w:rFonts w:ascii="Cambria Math" w:hAnsi="Cambria Math" w:cs="Times New Roman"/>
            <w:sz w:val="28"/>
            <w:szCs w:val="28"/>
            <w:lang w:val="de-AT"/>
          </w:rPr>
          <m:t xml:space="preserve">E[Y </m:t>
        </m:r>
      </m:oMath>
      <w:r w:rsidRPr="00217022">
        <w:rPr>
          <w:rFonts w:ascii="Times New Roman" w:hAnsi="Times New Roman" w:cs="Times New Roman"/>
          <w:sz w:val="28"/>
          <w:szCs w:val="28"/>
          <w:vertAlign w:val="subscript"/>
          <w:lang w:val="de-AT"/>
        </w:rPr>
        <w:t>g-1</w:t>
      </w:r>
      <w:r w:rsidRPr="00217022">
        <w:rPr>
          <w:rFonts w:ascii="Times New Roman" w:hAnsi="Times New Roman" w:cs="Times New Roman"/>
          <w:sz w:val="28"/>
          <w:szCs w:val="28"/>
          <w:lang w:val="de-AT"/>
        </w:rPr>
        <w:t xml:space="preserve">, </w:t>
      </w:r>
      <w:r w:rsidRPr="00217022">
        <w:rPr>
          <w:rFonts w:ascii="Times New Roman" w:hAnsi="Times New Roman" w:cs="Times New Roman"/>
          <w:sz w:val="28"/>
          <w:szCs w:val="28"/>
          <w:vertAlign w:val="subscript"/>
          <w:lang w:val="de-AT"/>
        </w:rPr>
        <w:t>D=0</w:t>
      </w:r>
      <m:oMath>
        <m:r>
          <m:rPr>
            <m:sty m:val="p"/>
          </m:rPr>
          <w:rPr>
            <w:rFonts w:ascii="Cambria Math" w:hAnsi="Cambria Math" w:cs="Times New Roman"/>
            <w:sz w:val="28"/>
            <w:szCs w:val="28"/>
            <w:lang w:val="de-AT"/>
          </w:rPr>
          <m:t>]</m:t>
        </m:r>
        <m:r>
          <w:rPr>
            <w:rFonts w:ascii="Cambria Math" w:hAnsi="Cambria Math" w:cs="Times New Roman"/>
            <w:sz w:val="28"/>
            <w:szCs w:val="28"/>
            <w:lang w:val="de-AT"/>
          </w:rPr>
          <m:t>|</m:t>
        </m:r>
        <m:r>
          <w:rPr>
            <w:rFonts w:ascii="Cambria Math" w:hAnsi="Cambria Math" w:cs="Times New Roman"/>
            <w:sz w:val="28"/>
            <w:szCs w:val="28"/>
            <w:lang w:val="en-GB"/>
          </w:rPr>
          <m:t>X</m:t>
        </m:r>
        <m:r>
          <w:rPr>
            <w:rFonts w:ascii="Cambria Math" w:hAnsi="Cambria Math" w:cs="Times New Roman"/>
            <w:sz w:val="28"/>
            <w:szCs w:val="28"/>
            <w:lang w:val="de-AT"/>
          </w:rPr>
          <m:t>,</m:t>
        </m:r>
        <m:r>
          <w:rPr>
            <w:rFonts w:ascii="Cambria Math" w:hAnsi="Cambria Math" w:cs="Times New Roman"/>
            <w:sz w:val="28"/>
            <w:szCs w:val="28"/>
            <w:lang w:val="en-GB"/>
          </w:rPr>
          <m:t>C</m:t>
        </m:r>
        <m:r>
          <w:rPr>
            <w:rFonts w:ascii="Cambria Math" w:hAnsi="Cambria Math" w:cs="Times New Roman"/>
            <w:sz w:val="28"/>
            <w:szCs w:val="28"/>
            <w:lang w:val="de-AT"/>
          </w:rPr>
          <m:t>=1|)</m:t>
        </m:r>
      </m:oMath>
      <w:r w:rsidRPr="00217022">
        <w:rPr>
          <w:rFonts w:ascii="Times New Roman" w:eastAsiaTheme="minorEastAsia" w:hAnsi="Times New Roman" w:cs="Times New Roman"/>
          <w:sz w:val="28"/>
          <w:szCs w:val="28"/>
          <w:lang w:val="de-AT"/>
        </w:rPr>
        <w:t>.</w:t>
      </w:r>
    </w:p>
    <w:p w14:paraId="7E24120D" w14:textId="77777777" w:rsidR="00217022" w:rsidRPr="00217022" w:rsidRDefault="00217022" w:rsidP="00217022">
      <w:pPr>
        <w:ind w:firstLine="708"/>
        <w:jc w:val="both"/>
        <w:rPr>
          <w:rFonts w:ascii="Times New Roman" w:hAnsi="Times New Roman" w:cs="Times New Roman"/>
          <w:sz w:val="28"/>
          <w:szCs w:val="28"/>
        </w:rPr>
      </w:pPr>
      <w:r w:rsidRPr="00217022">
        <w:rPr>
          <w:rFonts w:ascii="Times New Roman" w:hAnsi="Times New Roman" w:cs="Times New Roman"/>
          <w:sz w:val="28"/>
          <w:szCs w:val="28"/>
        </w:rPr>
        <w:t>W drugim przypadku (równoległe trendy tylko w podgrupach poddanych interwencji) średni efekt interwencji ATT(</w:t>
      </w:r>
      <w:r w:rsidRPr="00217022">
        <w:rPr>
          <w:rFonts w:ascii="Times New Roman" w:hAnsi="Times New Roman" w:cs="Times New Roman"/>
          <w:sz w:val="28"/>
          <w:szCs w:val="28"/>
          <w:vertAlign w:val="subscript"/>
        </w:rPr>
        <w:t>g,p</w:t>
      </w:r>
      <w:r w:rsidRPr="00217022">
        <w:rPr>
          <w:rFonts w:ascii="Times New Roman" w:hAnsi="Times New Roman" w:cs="Times New Roman"/>
          <w:sz w:val="28"/>
          <w:szCs w:val="28"/>
        </w:rPr>
        <w:t>) jest obliczany w sposób analityczny dla wszystkich okresów t ≥ g i s ≥ t według wzoru:</w:t>
      </w:r>
    </w:p>
    <w:p w14:paraId="48D57309" w14:textId="77777777" w:rsidR="00217022" w:rsidRPr="00217022" w:rsidRDefault="00217022" w:rsidP="00217022">
      <w:pPr>
        <w:ind w:firstLine="708"/>
        <w:jc w:val="both"/>
        <w:rPr>
          <w:rFonts w:ascii="Times New Roman" w:hAnsi="Times New Roman" w:cs="Times New Roman"/>
          <w:sz w:val="28"/>
          <w:szCs w:val="28"/>
        </w:rPr>
      </w:pPr>
    </w:p>
    <w:p w14:paraId="3FAAF2EA" w14:textId="77777777" w:rsidR="00217022" w:rsidRPr="00217022" w:rsidRDefault="00217022" w:rsidP="00217022">
      <w:pPr>
        <w:jc w:val="center"/>
        <w:rPr>
          <w:rFonts w:ascii="Times New Roman" w:eastAsiaTheme="minorEastAsia" w:hAnsi="Times New Roman" w:cs="Times New Roman"/>
          <w:spacing w:val="-4"/>
          <w:sz w:val="28"/>
          <w:szCs w:val="28"/>
          <w:lang w:val="de-AT"/>
        </w:rPr>
      </w:pPr>
      <w:bookmarkStart w:id="33" w:name="_Hlk182306056"/>
      <w:r w:rsidRPr="00217022">
        <w:rPr>
          <w:rFonts w:ascii="Times New Roman" w:hAnsi="Times New Roman" w:cs="Times New Roman"/>
          <w:spacing w:val="-4"/>
          <w:sz w:val="28"/>
          <w:szCs w:val="28"/>
          <w:lang w:val="de-AT"/>
        </w:rPr>
        <w:lastRenderedPageBreak/>
        <w:t>ATT(</w:t>
      </w:r>
      <w:r w:rsidRPr="00217022">
        <w:rPr>
          <w:rFonts w:ascii="Times New Roman" w:hAnsi="Times New Roman" w:cs="Times New Roman"/>
          <w:spacing w:val="-4"/>
          <w:sz w:val="28"/>
          <w:szCs w:val="28"/>
          <w:vertAlign w:val="subscript"/>
          <w:lang w:val="de-AT"/>
        </w:rPr>
        <w:t>g,p</w:t>
      </w:r>
      <w:r w:rsidRPr="00217022">
        <w:rPr>
          <w:rFonts w:ascii="Times New Roman" w:hAnsi="Times New Roman" w:cs="Times New Roman"/>
          <w:spacing w:val="-4"/>
          <w:sz w:val="28"/>
          <w:szCs w:val="28"/>
          <w:lang w:val="de-AT"/>
        </w:rPr>
        <w:t>)</w:t>
      </w:r>
      <w:bookmarkEnd w:id="33"/>
      <w:r w:rsidRPr="00217022">
        <w:rPr>
          <w:rFonts w:ascii="Times New Roman" w:hAnsi="Times New Roman" w:cs="Times New Roman"/>
          <w:spacing w:val="-4"/>
          <w:sz w:val="28"/>
          <w:szCs w:val="28"/>
          <w:lang w:val="de-AT"/>
        </w:rPr>
        <w:t xml:space="preserve"> = </w:t>
      </w:r>
      <m:oMath>
        <m:r>
          <m:rPr>
            <m:sty m:val="p"/>
          </m:rPr>
          <w:rPr>
            <w:rFonts w:ascii="Cambria Math" w:hAnsi="Cambria Math" w:cs="Times New Roman"/>
            <w:spacing w:val="-4"/>
            <w:sz w:val="28"/>
            <w:szCs w:val="28"/>
            <w:lang w:val="de-AT"/>
          </w:rPr>
          <m:t xml:space="preserve">(E[Y </m:t>
        </m:r>
      </m:oMath>
      <w:r w:rsidRPr="00217022">
        <w:rPr>
          <w:rFonts w:ascii="Times New Roman" w:hAnsi="Times New Roman" w:cs="Times New Roman"/>
          <w:spacing w:val="-4"/>
          <w:sz w:val="28"/>
          <w:szCs w:val="28"/>
          <w:vertAlign w:val="subscript"/>
          <w:lang w:val="de-AT"/>
        </w:rPr>
        <w:t>t</w:t>
      </w:r>
      <w:r w:rsidRPr="00217022">
        <w:rPr>
          <w:rFonts w:ascii="Times New Roman" w:hAnsi="Times New Roman" w:cs="Times New Roman"/>
          <w:spacing w:val="-4"/>
          <w:sz w:val="28"/>
          <w:szCs w:val="28"/>
          <w:lang w:val="de-AT"/>
        </w:rPr>
        <w:t xml:space="preserve">, </w:t>
      </w:r>
      <w:r w:rsidRPr="00217022">
        <w:rPr>
          <w:rFonts w:ascii="Times New Roman" w:hAnsi="Times New Roman" w:cs="Times New Roman"/>
          <w:spacing w:val="-4"/>
          <w:sz w:val="28"/>
          <w:szCs w:val="28"/>
          <w:vertAlign w:val="subscript"/>
          <w:lang w:val="de-AT"/>
        </w:rPr>
        <w:t>D=1</w:t>
      </w:r>
      <m:oMath>
        <m:r>
          <m:rPr>
            <m:sty m:val="p"/>
          </m:rPr>
          <w:rPr>
            <w:rFonts w:ascii="Cambria Math" w:hAnsi="Cambria Math" w:cs="Times New Roman"/>
            <w:spacing w:val="-4"/>
            <w:sz w:val="28"/>
            <w:szCs w:val="28"/>
            <w:lang w:val="de-AT"/>
          </w:rPr>
          <m:t>]</m:t>
        </m:r>
      </m:oMath>
      <w:r w:rsidRPr="00217022">
        <w:rPr>
          <w:rFonts w:ascii="Times New Roman" w:hAnsi="Times New Roman" w:cs="Times New Roman"/>
          <w:spacing w:val="-4"/>
          <w:sz w:val="28"/>
          <w:szCs w:val="28"/>
          <w:lang w:val="de-AT"/>
        </w:rPr>
        <w:t xml:space="preserve"> - </w:t>
      </w:r>
      <m:oMath>
        <m:r>
          <m:rPr>
            <m:sty m:val="p"/>
          </m:rPr>
          <w:rPr>
            <w:rFonts w:ascii="Cambria Math" w:hAnsi="Cambria Math" w:cs="Times New Roman"/>
            <w:spacing w:val="-4"/>
            <w:sz w:val="28"/>
            <w:szCs w:val="28"/>
            <w:lang w:val="de-AT"/>
          </w:rPr>
          <m:t xml:space="preserve">E[Y </m:t>
        </m:r>
      </m:oMath>
      <w:r w:rsidRPr="00217022">
        <w:rPr>
          <w:rFonts w:ascii="Times New Roman" w:hAnsi="Times New Roman" w:cs="Times New Roman"/>
          <w:spacing w:val="-4"/>
          <w:sz w:val="28"/>
          <w:szCs w:val="28"/>
          <w:vertAlign w:val="subscript"/>
          <w:lang w:val="de-AT"/>
        </w:rPr>
        <w:t>g-1</w:t>
      </w:r>
      <w:r w:rsidRPr="00217022">
        <w:rPr>
          <w:rFonts w:ascii="Times New Roman" w:hAnsi="Times New Roman" w:cs="Times New Roman"/>
          <w:spacing w:val="-4"/>
          <w:sz w:val="28"/>
          <w:szCs w:val="28"/>
          <w:lang w:val="de-AT"/>
        </w:rPr>
        <w:t xml:space="preserve">, </w:t>
      </w:r>
      <w:r w:rsidRPr="00217022">
        <w:rPr>
          <w:rFonts w:ascii="Times New Roman" w:hAnsi="Times New Roman" w:cs="Times New Roman"/>
          <w:spacing w:val="-4"/>
          <w:sz w:val="28"/>
          <w:szCs w:val="28"/>
          <w:vertAlign w:val="subscript"/>
          <w:lang w:val="de-AT"/>
        </w:rPr>
        <w:t>D=1</w:t>
      </w:r>
      <m:oMath>
        <m:r>
          <m:rPr>
            <m:sty m:val="p"/>
          </m:rPr>
          <w:rPr>
            <w:rFonts w:ascii="Cambria Math" w:hAnsi="Cambria Math" w:cs="Times New Roman"/>
            <w:spacing w:val="-4"/>
            <w:sz w:val="28"/>
            <w:szCs w:val="28"/>
            <w:lang w:val="de-AT"/>
          </w:rPr>
          <m:t>]</m:t>
        </m:r>
        <m:r>
          <w:rPr>
            <w:rFonts w:ascii="Cambria Math" w:hAnsi="Cambria Math" w:cs="Times New Roman"/>
            <w:spacing w:val="-4"/>
            <w:sz w:val="28"/>
            <w:szCs w:val="28"/>
            <w:lang w:val="de-AT"/>
          </w:rPr>
          <m:t>|</m:t>
        </m:r>
        <m:r>
          <w:rPr>
            <w:rFonts w:ascii="Cambria Math" w:hAnsi="Cambria Math" w:cs="Times New Roman"/>
            <w:spacing w:val="-4"/>
            <w:sz w:val="28"/>
            <w:szCs w:val="28"/>
            <w:lang w:val="en-GB"/>
          </w:rPr>
          <m:t>X</m:t>
        </m:r>
        <m:r>
          <w:rPr>
            <w:rFonts w:ascii="Cambria Math" w:hAnsi="Cambria Math" w:cs="Times New Roman"/>
            <w:spacing w:val="-4"/>
            <w:sz w:val="28"/>
            <w:szCs w:val="28"/>
            <w:lang w:val="de-AT"/>
          </w:rPr>
          <m:t>,</m:t>
        </m:r>
        <m:r>
          <w:rPr>
            <w:rFonts w:ascii="Cambria Math" w:hAnsi="Cambria Math" w:cs="Times New Roman"/>
            <w:spacing w:val="-4"/>
            <w:sz w:val="28"/>
            <w:szCs w:val="28"/>
            <w:lang w:val="en-GB"/>
          </w:rPr>
          <m:t>G</m:t>
        </m:r>
        <m:r>
          <w:rPr>
            <w:rFonts w:ascii="Cambria Math" w:hAnsi="Cambria Math" w:cs="Times New Roman"/>
            <w:spacing w:val="-4"/>
            <w:sz w:val="28"/>
            <w:szCs w:val="28"/>
            <w:lang w:val="de-AT"/>
          </w:rPr>
          <m:t>=</m:t>
        </m:r>
        <m:r>
          <w:rPr>
            <w:rFonts w:ascii="Cambria Math" w:hAnsi="Cambria Math" w:cs="Times New Roman"/>
            <w:spacing w:val="-4"/>
            <w:sz w:val="28"/>
            <w:szCs w:val="28"/>
            <w:lang w:val="en-GB"/>
          </w:rPr>
          <m:t>g</m:t>
        </m:r>
        <m:r>
          <w:rPr>
            <w:rFonts w:ascii="Cambria Math" w:hAnsi="Cambria Math" w:cs="Times New Roman"/>
            <w:spacing w:val="-4"/>
            <w:sz w:val="28"/>
            <w:szCs w:val="28"/>
            <w:lang w:val="de-AT"/>
          </w:rPr>
          <m:t>|)</m:t>
        </m:r>
      </m:oMath>
      <w:r w:rsidRPr="00217022">
        <w:rPr>
          <w:rFonts w:ascii="Times New Roman" w:hAnsi="Times New Roman" w:cs="Times New Roman"/>
          <w:spacing w:val="-4"/>
          <w:sz w:val="28"/>
          <w:szCs w:val="28"/>
          <w:lang w:val="de-AT"/>
        </w:rPr>
        <w:t xml:space="preserve"> –</w:t>
      </w:r>
      <w:r w:rsidRPr="00217022">
        <w:rPr>
          <w:rFonts w:ascii="Times New Roman" w:hAnsi="Times New Roman" w:cs="Times New Roman"/>
          <w:spacing w:val="-4"/>
          <w:sz w:val="28"/>
          <w:szCs w:val="28"/>
          <w:lang w:val="de-AT"/>
        </w:rPr>
        <w:br/>
        <w:t xml:space="preserve">– </w:t>
      </w:r>
      <m:oMath>
        <m:r>
          <w:rPr>
            <w:rFonts w:ascii="Cambria Math" w:hAnsi="Cambria Math" w:cs="Times New Roman"/>
            <w:spacing w:val="-4"/>
            <w:sz w:val="28"/>
            <w:szCs w:val="28"/>
            <w:lang w:val="de-AT"/>
          </w:rPr>
          <m:t>(</m:t>
        </m:r>
        <m:r>
          <m:rPr>
            <m:sty m:val="p"/>
          </m:rPr>
          <w:rPr>
            <w:rFonts w:ascii="Cambria Math" w:hAnsi="Cambria Math" w:cs="Times New Roman"/>
            <w:spacing w:val="-4"/>
            <w:sz w:val="28"/>
            <w:szCs w:val="28"/>
            <w:lang w:val="de-AT"/>
          </w:rPr>
          <m:t>E[Y</m:t>
        </m:r>
      </m:oMath>
      <w:r w:rsidRPr="00217022">
        <w:rPr>
          <w:rFonts w:ascii="Times New Roman" w:hAnsi="Times New Roman" w:cs="Times New Roman"/>
          <w:spacing w:val="-4"/>
          <w:sz w:val="28"/>
          <w:szCs w:val="28"/>
          <w:lang w:val="de-AT"/>
        </w:rPr>
        <w:t xml:space="preserve"> </w:t>
      </w:r>
      <w:r w:rsidRPr="00217022">
        <w:rPr>
          <w:rFonts w:ascii="Times New Roman" w:hAnsi="Times New Roman" w:cs="Times New Roman"/>
          <w:spacing w:val="-4"/>
          <w:sz w:val="28"/>
          <w:szCs w:val="28"/>
          <w:vertAlign w:val="subscript"/>
          <w:lang w:val="de-AT"/>
        </w:rPr>
        <w:t>t,</w:t>
      </w:r>
      <w:r w:rsidRPr="00217022">
        <w:rPr>
          <w:rFonts w:ascii="Times New Roman" w:hAnsi="Times New Roman" w:cs="Times New Roman"/>
          <w:spacing w:val="-4"/>
          <w:sz w:val="28"/>
          <w:szCs w:val="28"/>
          <w:lang w:val="de-AT"/>
        </w:rPr>
        <w:t xml:space="preserve"> </w:t>
      </w:r>
      <w:r w:rsidRPr="00217022">
        <w:rPr>
          <w:rFonts w:ascii="Times New Roman" w:hAnsi="Times New Roman" w:cs="Times New Roman"/>
          <w:spacing w:val="-4"/>
          <w:sz w:val="28"/>
          <w:szCs w:val="28"/>
          <w:vertAlign w:val="subscript"/>
          <w:lang w:val="de-AT"/>
        </w:rPr>
        <w:t>D=0</w:t>
      </w:r>
      <m:oMath>
        <m:r>
          <m:rPr>
            <m:sty m:val="p"/>
          </m:rPr>
          <w:rPr>
            <w:rFonts w:ascii="Cambria Math" w:hAnsi="Cambria Math" w:cs="Times New Roman"/>
            <w:spacing w:val="-4"/>
            <w:sz w:val="28"/>
            <w:szCs w:val="28"/>
            <w:lang w:val="de-AT"/>
          </w:rPr>
          <m:t>]</m:t>
        </m:r>
      </m:oMath>
      <w:r w:rsidRPr="00217022">
        <w:rPr>
          <w:rFonts w:ascii="Times New Roman" w:hAnsi="Times New Roman" w:cs="Times New Roman"/>
          <w:spacing w:val="-4"/>
          <w:sz w:val="28"/>
          <w:szCs w:val="28"/>
          <w:lang w:val="de-AT"/>
        </w:rPr>
        <w:t xml:space="preserve"> - </w:t>
      </w:r>
      <m:oMath>
        <m:r>
          <m:rPr>
            <m:sty m:val="p"/>
          </m:rPr>
          <w:rPr>
            <w:rFonts w:ascii="Cambria Math" w:hAnsi="Cambria Math" w:cs="Times New Roman"/>
            <w:spacing w:val="-4"/>
            <w:sz w:val="28"/>
            <w:szCs w:val="28"/>
            <w:lang w:val="de-AT"/>
          </w:rPr>
          <m:t xml:space="preserve">E[Y </m:t>
        </m:r>
      </m:oMath>
      <w:r w:rsidRPr="00217022">
        <w:rPr>
          <w:rFonts w:ascii="Times New Roman" w:hAnsi="Times New Roman" w:cs="Times New Roman"/>
          <w:spacing w:val="-4"/>
          <w:sz w:val="28"/>
          <w:szCs w:val="28"/>
          <w:vertAlign w:val="subscript"/>
          <w:lang w:val="de-AT"/>
        </w:rPr>
        <w:t>g-1</w:t>
      </w:r>
      <w:r w:rsidRPr="00217022">
        <w:rPr>
          <w:rFonts w:ascii="Times New Roman" w:hAnsi="Times New Roman" w:cs="Times New Roman"/>
          <w:spacing w:val="-4"/>
          <w:sz w:val="28"/>
          <w:szCs w:val="28"/>
          <w:lang w:val="de-AT"/>
        </w:rPr>
        <w:t xml:space="preserve">, </w:t>
      </w:r>
      <w:r w:rsidRPr="00217022">
        <w:rPr>
          <w:rFonts w:ascii="Times New Roman" w:hAnsi="Times New Roman" w:cs="Times New Roman"/>
          <w:spacing w:val="-4"/>
          <w:sz w:val="28"/>
          <w:szCs w:val="28"/>
          <w:vertAlign w:val="subscript"/>
          <w:lang w:val="de-AT"/>
        </w:rPr>
        <w:t>D=0</w:t>
      </w:r>
      <m:oMath>
        <m:r>
          <m:rPr>
            <m:sty m:val="p"/>
          </m:rPr>
          <w:rPr>
            <w:rFonts w:ascii="Cambria Math" w:hAnsi="Cambria Math" w:cs="Times New Roman"/>
            <w:spacing w:val="-4"/>
            <w:sz w:val="28"/>
            <w:szCs w:val="28"/>
            <w:lang w:val="de-AT"/>
          </w:rPr>
          <m:t>]</m:t>
        </m:r>
        <m:r>
          <w:rPr>
            <w:rFonts w:ascii="Cambria Math" w:hAnsi="Cambria Math" w:cs="Times New Roman"/>
            <w:spacing w:val="-4"/>
            <w:sz w:val="28"/>
            <w:szCs w:val="28"/>
            <w:lang w:val="de-AT"/>
          </w:rPr>
          <m:t>|</m:t>
        </m:r>
        <m:r>
          <w:rPr>
            <w:rFonts w:ascii="Cambria Math" w:hAnsi="Cambria Math" w:cs="Times New Roman"/>
            <w:spacing w:val="-4"/>
            <w:sz w:val="28"/>
            <w:szCs w:val="28"/>
            <w:lang w:val="en-GB"/>
          </w:rPr>
          <m:t>X</m:t>
        </m:r>
        <m:r>
          <w:rPr>
            <w:rFonts w:ascii="Cambria Math" w:hAnsi="Cambria Math" w:cs="Times New Roman"/>
            <w:spacing w:val="-4"/>
            <w:sz w:val="28"/>
            <w:szCs w:val="28"/>
            <w:lang w:val="de-AT"/>
          </w:rPr>
          <m:t>,</m:t>
        </m:r>
        <m:sSub>
          <m:sSubPr>
            <m:ctrlPr>
              <w:rPr>
                <w:rFonts w:ascii="Cambria Math" w:hAnsi="Cambria Math" w:cs="Times New Roman"/>
                <w:i/>
                <w:spacing w:val="-4"/>
                <w:sz w:val="28"/>
                <w:szCs w:val="28"/>
                <w:lang w:val="en-GB"/>
              </w:rPr>
            </m:ctrlPr>
          </m:sSubPr>
          <m:e>
            <m:r>
              <w:rPr>
                <w:rFonts w:ascii="Cambria Math" w:hAnsi="Cambria Math" w:cs="Times New Roman"/>
                <w:spacing w:val="-4"/>
                <w:sz w:val="28"/>
                <w:szCs w:val="28"/>
                <w:lang w:val="en-GB"/>
              </w:rPr>
              <m:t>D</m:t>
            </m:r>
          </m:e>
          <m:sub>
            <m:r>
              <w:rPr>
                <w:rFonts w:ascii="Cambria Math" w:hAnsi="Cambria Math" w:cs="Times New Roman"/>
                <w:spacing w:val="-4"/>
                <w:sz w:val="28"/>
                <w:szCs w:val="28"/>
                <w:lang w:val="en-GB"/>
              </w:rPr>
              <m:t>s</m:t>
            </m:r>
          </m:sub>
        </m:sSub>
        <m:r>
          <w:rPr>
            <w:rFonts w:ascii="Cambria Math" w:hAnsi="Cambria Math" w:cs="Times New Roman"/>
            <w:spacing w:val="-4"/>
            <w:sz w:val="28"/>
            <w:szCs w:val="28"/>
            <w:lang w:val="de-AT"/>
          </w:rPr>
          <m:t>=0,</m:t>
        </m:r>
        <m:r>
          <w:rPr>
            <w:rFonts w:ascii="Cambria Math" w:hAnsi="Cambria Math" w:cs="Times New Roman"/>
            <w:spacing w:val="-4"/>
            <w:sz w:val="28"/>
            <w:szCs w:val="28"/>
          </w:rPr>
          <m:t>G</m:t>
        </m:r>
        <m:r>
          <w:rPr>
            <w:rFonts w:ascii="Cambria Math" w:hAnsi="Cambria Math" w:cs="Times New Roman"/>
            <w:spacing w:val="-4"/>
            <w:sz w:val="28"/>
            <w:szCs w:val="28"/>
            <w:lang w:val="de-AT"/>
          </w:rPr>
          <m:t>≠</m:t>
        </m:r>
        <m:r>
          <w:rPr>
            <w:rFonts w:ascii="Cambria Math" w:hAnsi="Cambria Math" w:cs="Times New Roman"/>
            <w:spacing w:val="-4"/>
            <w:sz w:val="28"/>
            <w:szCs w:val="28"/>
          </w:rPr>
          <m:t>g</m:t>
        </m:r>
        <m:r>
          <w:rPr>
            <w:rFonts w:ascii="Cambria Math" w:hAnsi="Cambria Math" w:cs="Times New Roman"/>
            <w:spacing w:val="-4"/>
            <w:sz w:val="28"/>
            <w:szCs w:val="28"/>
            <w:lang w:val="de-AT"/>
          </w:rPr>
          <m:t>|)</m:t>
        </m:r>
      </m:oMath>
      <w:r w:rsidRPr="00217022">
        <w:rPr>
          <w:rFonts w:ascii="Times New Roman" w:eastAsiaTheme="minorEastAsia" w:hAnsi="Times New Roman" w:cs="Times New Roman"/>
          <w:spacing w:val="-4"/>
          <w:sz w:val="28"/>
          <w:szCs w:val="28"/>
          <w:lang w:val="de-AT"/>
        </w:rPr>
        <w:t>.</w:t>
      </w:r>
    </w:p>
    <w:p w14:paraId="1C35E243" w14:textId="58951CCA" w:rsidR="00217022" w:rsidRPr="00217022" w:rsidRDefault="00217022" w:rsidP="00217022">
      <w:pPr>
        <w:spacing w:after="0" w:line="266" w:lineRule="auto"/>
        <w:ind w:firstLine="708"/>
        <w:jc w:val="both"/>
        <w:rPr>
          <w:rFonts w:ascii="Times New Roman" w:hAnsi="Times New Roman" w:cs="Times New Roman"/>
          <w:sz w:val="28"/>
          <w:szCs w:val="28"/>
        </w:rPr>
      </w:pPr>
      <w:r w:rsidRPr="00217022">
        <w:rPr>
          <w:rFonts w:ascii="Times New Roman" w:hAnsi="Times New Roman" w:cs="Times New Roman"/>
          <w:sz w:val="28"/>
          <w:szCs w:val="28"/>
        </w:rPr>
        <w:t xml:space="preserve">Pakietem informatycznym pozwalającym na wykorzystanie kowariatów w estymacji zaproponowanej przez Callawaya </w:t>
      </w:r>
      <w:r w:rsidR="003925E3">
        <w:rPr>
          <w:rFonts w:ascii="Times New Roman" w:hAnsi="Times New Roman" w:cs="Times New Roman"/>
          <w:sz w:val="28"/>
          <w:szCs w:val="28"/>
        </w:rPr>
        <w:t>i</w:t>
      </w:r>
      <w:r w:rsidRPr="00217022">
        <w:rPr>
          <w:rFonts w:ascii="Times New Roman" w:hAnsi="Times New Roman" w:cs="Times New Roman"/>
          <w:sz w:val="28"/>
          <w:szCs w:val="28"/>
        </w:rPr>
        <w:t xml:space="preserve"> Sant’Anne (2021) podczas obliczania ATT jest dodatek funkcyjny CSDID (Rios-Avila i in. 2021) Stanowi on swoistego rodzaju nakładkę, która do obliczeń korzysta z pakietu DRDID z </w:t>
      </w:r>
      <w:bookmarkEnd w:id="32"/>
      <w:r w:rsidRPr="00217022">
        <w:rPr>
          <w:rFonts w:ascii="Times New Roman" w:hAnsi="Times New Roman" w:cs="Times New Roman"/>
          <w:sz w:val="28"/>
          <w:szCs w:val="28"/>
        </w:rPr>
        <w:t>polecenia dripw. (Rios-Avila i in. 2022). W tym przypadku wykorzystywan</w:t>
      </w:r>
      <w:r w:rsidR="0069332A">
        <w:rPr>
          <w:rFonts w:ascii="Times New Roman" w:hAnsi="Times New Roman" w:cs="Times New Roman"/>
          <w:sz w:val="28"/>
          <w:szCs w:val="28"/>
        </w:rPr>
        <w:t>a</w:t>
      </w:r>
      <w:r w:rsidRPr="00217022">
        <w:rPr>
          <w:rFonts w:ascii="Times New Roman" w:hAnsi="Times New Roman" w:cs="Times New Roman"/>
          <w:sz w:val="28"/>
          <w:szCs w:val="28"/>
        </w:rPr>
        <w:t xml:space="preserve"> jest estymacja zaproponowana przez Callawaya </w:t>
      </w:r>
      <w:r w:rsidR="00CB272C">
        <w:rPr>
          <w:rFonts w:ascii="Times New Roman" w:hAnsi="Times New Roman" w:cs="Times New Roman"/>
          <w:sz w:val="28"/>
          <w:szCs w:val="28"/>
        </w:rPr>
        <w:t>i</w:t>
      </w:r>
      <w:r w:rsidRPr="00217022">
        <w:rPr>
          <w:rFonts w:ascii="Times New Roman" w:hAnsi="Times New Roman" w:cs="Times New Roman"/>
          <w:sz w:val="28"/>
          <w:szCs w:val="28"/>
        </w:rPr>
        <w:t xml:space="preserve"> Sant’Anne, jednak różnica polega na sposobie ustalania wag dla poszczególnych podgrup. Podejście to zakłada wykorzystywanie rozwiązania przedstawionego przez Sant’Anne i Zhao (2020)</w:t>
      </w:r>
      <w:r w:rsidR="0069332A">
        <w:rPr>
          <w:rFonts w:ascii="Times New Roman" w:hAnsi="Times New Roman" w:cs="Times New Roman"/>
          <w:sz w:val="28"/>
          <w:szCs w:val="28"/>
        </w:rPr>
        <w:t>,</w:t>
      </w:r>
      <w:r w:rsidRPr="00217022">
        <w:rPr>
          <w:rFonts w:ascii="Times New Roman" w:hAnsi="Times New Roman" w:cs="Times New Roman"/>
          <w:sz w:val="28"/>
          <w:szCs w:val="28"/>
        </w:rPr>
        <w:t xml:space="preserve"> w którym ważenie odbywa się z wykorzystaniem prawdopodobieństwa przypisania danej jednostki do podgrupy przed uruchomieniem interwencji. </w:t>
      </w:r>
    </w:p>
    <w:p w14:paraId="5A35E35A" w14:textId="5A605B1A" w:rsidR="00217022" w:rsidRPr="00217022" w:rsidRDefault="00217022" w:rsidP="00217022">
      <w:pPr>
        <w:spacing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Borusyak i in. (2021), Gardner (2022), Liu i in. (2022) oraz Wooldridge (2021) zaproponowali pokrewne podejście z dwustopniowym szacowaniem ATT, ale z odmiennym sposobem szacowania estymatorów – estymator imputacyjny (imputation estimator). Był to wynik prac prowadzonych w celu poprawy własności oszacowanych wyników ATT uzyskanych w regresji TWFE. Polega</w:t>
      </w:r>
      <w:r w:rsidR="0069332A">
        <w:rPr>
          <w:rFonts w:ascii="Times New Roman" w:hAnsi="Times New Roman" w:cs="Times New Roman"/>
          <w:sz w:val="28"/>
          <w:szCs w:val="28"/>
        </w:rPr>
        <w:t>ły</w:t>
      </w:r>
      <w:r w:rsidRPr="00217022">
        <w:rPr>
          <w:rFonts w:ascii="Times New Roman" w:hAnsi="Times New Roman" w:cs="Times New Roman"/>
          <w:sz w:val="28"/>
          <w:szCs w:val="28"/>
        </w:rPr>
        <w:t xml:space="preserve"> on</w:t>
      </w:r>
      <w:r w:rsidR="0069332A">
        <w:rPr>
          <w:rFonts w:ascii="Times New Roman" w:hAnsi="Times New Roman" w:cs="Times New Roman"/>
          <w:sz w:val="28"/>
          <w:szCs w:val="28"/>
        </w:rPr>
        <w:t>e</w:t>
      </w:r>
      <w:r w:rsidRPr="00217022">
        <w:rPr>
          <w:rFonts w:ascii="Times New Roman" w:hAnsi="Times New Roman" w:cs="Times New Roman"/>
          <w:sz w:val="28"/>
          <w:szCs w:val="28"/>
        </w:rPr>
        <w:t xml:space="preserve"> w pierwszej kolejności na oszacowaniu regresji dla jednostek niepoddanych interwencji (lub z uwzględnieniem jeszcze niepoddanych interwencji) w okresach poprzedzających rozpoczęcie oddziaływania instrumentu. </w:t>
      </w:r>
    </w:p>
    <w:p w14:paraId="605FEAAE" w14:textId="77777777" w:rsidR="00217022" w:rsidRPr="00217022" w:rsidRDefault="00217022" w:rsidP="00217022">
      <w:pPr>
        <w:spacing w:line="264" w:lineRule="auto"/>
        <w:ind w:firstLine="709"/>
        <w:jc w:val="center"/>
        <w:rPr>
          <w:rFonts w:ascii="Times New Roman" w:hAnsi="Times New Roman" w:cs="Times New Roman"/>
          <w:sz w:val="28"/>
          <w:szCs w:val="28"/>
          <w:lang w:val="de-AT"/>
        </w:rPr>
      </w:pPr>
      <w:r w:rsidRPr="00217022">
        <w:rPr>
          <w:rFonts w:ascii="Times New Roman" w:hAnsi="Times New Roman" w:cs="Times New Roman"/>
          <w:sz w:val="28"/>
          <w:szCs w:val="28"/>
          <w:lang w:val="de-AT"/>
        </w:rPr>
        <w:t>Y</w:t>
      </w:r>
      <w:r w:rsidRPr="00217022">
        <w:rPr>
          <w:rFonts w:ascii="Times New Roman" w:hAnsi="Times New Roman" w:cs="Times New Roman"/>
          <w:sz w:val="28"/>
          <w:szCs w:val="28"/>
          <w:vertAlign w:val="subscript"/>
          <w:lang w:val="de-AT"/>
        </w:rPr>
        <w:t>i,t</w:t>
      </w:r>
      <w:r w:rsidRPr="00217022">
        <w:rPr>
          <w:rFonts w:ascii="Times New Roman" w:hAnsi="Times New Roman" w:cs="Times New Roman"/>
          <w:sz w:val="28"/>
          <w:szCs w:val="28"/>
          <w:lang w:val="de-AT"/>
        </w:rPr>
        <w:t xml:space="preserve">(∞) = </w:t>
      </w:r>
      <w:r w:rsidRPr="00217022">
        <w:rPr>
          <w:rFonts w:ascii="Times New Roman" w:hAnsi="Times New Roman" w:cs="Times New Roman"/>
          <w:sz w:val="28"/>
          <w:szCs w:val="28"/>
        </w:rPr>
        <w:t>α</w:t>
      </w:r>
      <w:r w:rsidRPr="00217022">
        <w:rPr>
          <w:rFonts w:ascii="Times New Roman" w:hAnsi="Times New Roman" w:cs="Times New Roman"/>
          <w:sz w:val="28"/>
          <w:szCs w:val="28"/>
          <w:lang w:val="de-AT"/>
        </w:rPr>
        <w:t xml:space="preserve">i + </w:t>
      </w:r>
      <w:r w:rsidRPr="00217022">
        <w:rPr>
          <w:rFonts w:ascii="Times New Roman" w:hAnsi="Times New Roman" w:cs="Times New Roman"/>
          <w:sz w:val="28"/>
          <w:szCs w:val="28"/>
        </w:rPr>
        <w:t>λ</w:t>
      </w:r>
      <w:r w:rsidRPr="00217022">
        <w:rPr>
          <w:rFonts w:ascii="Times New Roman" w:hAnsi="Times New Roman" w:cs="Times New Roman"/>
          <w:sz w:val="28"/>
          <w:szCs w:val="28"/>
          <w:lang w:val="de-AT"/>
        </w:rPr>
        <w:t xml:space="preserve">t + </w:t>
      </w:r>
      <w:r w:rsidRPr="00217022">
        <w:rPr>
          <w:rFonts w:ascii="Times New Roman" w:hAnsi="Times New Roman" w:cs="Times New Roman"/>
          <w:sz w:val="28"/>
          <w:szCs w:val="28"/>
        </w:rPr>
        <w:t>ϵ</w:t>
      </w:r>
      <w:r w:rsidRPr="00217022">
        <w:rPr>
          <w:rFonts w:ascii="Times New Roman" w:hAnsi="Times New Roman" w:cs="Times New Roman"/>
          <w:sz w:val="28"/>
          <w:szCs w:val="28"/>
          <w:lang w:val="de-AT"/>
        </w:rPr>
        <w:t>i,t  (</w:t>
      </w:r>
      <m:oMath>
        <m:r>
          <w:rPr>
            <w:rFonts w:ascii="Cambria Math" w:hAnsi="Cambria Math" w:cs="Times New Roman"/>
            <w:spacing w:val="-6"/>
            <w:sz w:val="28"/>
            <w:szCs w:val="28"/>
            <w:lang w:val="en-GB"/>
          </w:rPr>
          <m:t>C</m:t>
        </m:r>
        <m:r>
          <w:rPr>
            <w:rFonts w:ascii="Cambria Math" w:hAnsi="Cambria Math" w:cs="Times New Roman"/>
            <w:spacing w:val="-6"/>
            <w:sz w:val="28"/>
            <w:szCs w:val="28"/>
            <w:lang w:val="de-AT"/>
          </w:rPr>
          <m:t xml:space="preserve">=1 </m:t>
        </m:r>
        <m:r>
          <w:rPr>
            <w:rFonts w:ascii="Cambria Math" w:hAnsi="Cambria Math" w:cs="Times New Roman"/>
            <w:spacing w:val="-6"/>
            <w:sz w:val="28"/>
            <w:szCs w:val="28"/>
          </w:rPr>
          <m:t>lub</m:t>
        </m:r>
        <m:r>
          <w:rPr>
            <w:rFonts w:ascii="Cambria Math" w:hAnsi="Cambria Math" w:cs="Times New Roman"/>
            <w:spacing w:val="-6"/>
            <w:sz w:val="28"/>
            <w:szCs w:val="28"/>
            <w:lang w:val="de-AT"/>
          </w:rPr>
          <m:t xml:space="preserve"> </m:t>
        </m:r>
        <m:sSub>
          <m:sSubPr>
            <m:ctrlPr>
              <w:rPr>
                <w:rFonts w:ascii="Cambria Math" w:hAnsi="Cambria Math" w:cs="Times New Roman"/>
                <w:i/>
                <w:spacing w:val="-6"/>
                <w:sz w:val="28"/>
                <w:szCs w:val="28"/>
              </w:rPr>
            </m:ctrlPr>
          </m:sSubPr>
          <m:e>
            <m:r>
              <w:rPr>
                <w:rFonts w:ascii="Cambria Math" w:hAnsi="Cambria Math" w:cs="Times New Roman"/>
                <w:spacing w:val="-6"/>
                <w:sz w:val="28"/>
                <w:szCs w:val="28"/>
              </w:rPr>
              <m:t>D</m:t>
            </m:r>
          </m:e>
          <m:sub>
            <m:r>
              <w:rPr>
                <w:rFonts w:ascii="Cambria Math" w:hAnsi="Cambria Math" w:cs="Times New Roman"/>
                <w:spacing w:val="-6"/>
                <w:sz w:val="28"/>
                <w:szCs w:val="28"/>
              </w:rPr>
              <m:t>s</m:t>
            </m:r>
          </m:sub>
        </m:sSub>
        <m:r>
          <w:rPr>
            <w:rFonts w:ascii="Cambria Math" w:hAnsi="Cambria Math" w:cs="Times New Roman"/>
            <w:spacing w:val="-8"/>
            <w:sz w:val="28"/>
            <w:szCs w:val="28"/>
            <w:lang w:val="de-AT"/>
          </w:rPr>
          <m:t>=0</m:t>
        </m:r>
      </m:oMath>
      <w:r w:rsidRPr="00217022">
        <w:rPr>
          <w:rFonts w:ascii="Times New Roman" w:eastAsiaTheme="minorEastAsia" w:hAnsi="Times New Roman" w:cs="Times New Roman"/>
          <w:spacing w:val="-8"/>
          <w:sz w:val="28"/>
          <w:szCs w:val="28"/>
          <w:lang w:val="de-AT"/>
        </w:rPr>
        <w:t>).</w:t>
      </w:r>
    </w:p>
    <w:p w14:paraId="5ABB0022" w14:textId="1BB260A2"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Pozwala to na obliczenie stałych efektów w czasie λ oraz stałych efektów grupowych α. Następnie na podstawie </w:t>
      </w:r>
      <w:bookmarkStart w:id="34" w:name="_Hlk181567857"/>
      <w:r w:rsidRPr="00217022">
        <w:rPr>
          <w:rFonts w:ascii="Times New Roman" w:hAnsi="Times New Roman" w:cs="Times New Roman"/>
          <w:sz w:val="28"/>
          <w:szCs w:val="28"/>
        </w:rPr>
        <w:t>Y</w:t>
      </w:r>
      <w:r w:rsidRPr="00217022">
        <w:rPr>
          <w:rFonts w:ascii="Times New Roman" w:hAnsi="Times New Roman" w:cs="Times New Roman"/>
          <w:sz w:val="28"/>
          <w:szCs w:val="28"/>
          <w:vertAlign w:val="subscript"/>
        </w:rPr>
        <w:t>i,t</w:t>
      </w:r>
      <w:r w:rsidRPr="00217022">
        <w:rPr>
          <w:rFonts w:ascii="Times New Roman" w:hAnsi="Times New Roman" w:cs="Times New Roman"/>
          <w:sz w:val="28"/>
          <w:szCs w:val="28"/>
        </w:rPr>
        <w:t xml:space="preserve">(∞) </w:t>
      </w:r>
      <w:bookmarkEnd w:id="34"/>
      <w:r w:rsidRPr="00217022">
        <w:rPr>
          <w:rFonts w:ascii="Times New Roman" w:hAnsi="Times New Roman" w:cs="Times New Roman"/>
          <w:sz w:val="28"/>
          <w:szCs w:val="28"/>
        </w:rPr>
        <w:t>szacowan</w:t>
      </w:r>
      <w:r w:rsidR="0069332A">
        <w:rPr>
          <w:rFonts w:ascii="Times New Roman" w:hAnsi="Times New Roman" w:cs="Times New Roman"/>
          <w:sz w:val="28"/>
          <w:szCs w:val="28"/>
        </w:rPr>
        <w:t>a</w:t>
      </w:r>
      <w:r w:rsidRPr="00217022">
        <w:rPr>
          <w:rFonts w:ascii="Times New Roman" w:hAnsi="Times New Roman" w:cs="Times New Roman"/>
          <w:sz w:val="28"/>
          <w:szCs w:val="28"/>
        </w:rPr>
        <w:t xml:space="preserve"> jest dla każdej jednostki poddanej interwencji (D=1) wartość wynikowa </w:t>
      </w:r>
      <m:oMath>
        <m:acc>
          <m:accPr>
            <m:chr m:val="̇"/>
            <m:ctrlPr>
              <w:rPr>
                <w:rFonts w:ascii="Cambria Math" w:hAnsi="Cambria Math" w:cs="Times New Roman"/>
                <w:i/>
                <w:sz w:val="28"/>
                <w:szCs w:val="28"/>
              </w:rPr>
            </m:ctrlPr>
          </m:accPr>
          <m:e>
            <m:r>
              <m:rPr>
                <m:sty m:val="p"/>
              </m:rPr>
              <w:rPr>
                <w:rFonts w:ascii="Cambria Math" w:hAnsi="Cambria Math" w:cs="Times New Roman"/>
                <w:sz w:val="28"/>
                <w:szCs w:val="28"/>
              </w:rPr>
              <m:t>Y</m:t>
            </m:r>
          </m:e>
        </m:acc>
      </m:oMath>
      <w:r w:rsidRPr="00217022">
        <w:rPr>
          <w:rFonts w:ascii="Times New Roman" w:hAnsi="Times New Roman" w:cs="Times New Roman"/>
          <w:sz w:val="28"/>
          <w:szCs w:val="28"/>
          <w:vertAlign w:val="subscript"/>
        </w:rPr>
        <w:t>i,t</w:t>
      </w:r>
      <w:r w:rsidRPr="00217022">
        <w:rPr>
          <w:rFonts w:ascii="Times New Roman" w:hAnsi="Times New Roman" w:cs="Times New Roman"/>
          <w:sz w:val="28"/>
          <w:szCs w:val="28"/>
        </w:rPr>
        <w:t>(∞). Ostateczny efekt interwencji ATT jest obliczany jako różnica pomiędzy rzeczywistymi wynikami dla każdej jednostki, gdy (D=1 i t+1)</w:t>
      </w:r>
      <w:r w:rsidR="0069332A">
        <w:rPr>
          <w:rFonts w:ascii="Times New Roman" w:hAnsi="Times New Roman" w:cs="Times New Roman"/>
          <w:sz w:val="28"/>
          <w:szCs w:val="28"/>
        </w:rPr>
        <w:t>,</w:t>
      </w:r>
      <w:r w:rsidRPr="00217022">
        <w:rPr>
          <w:rFonts w:ascii="Times New Roman" w:hAnsi="Times New Roman" w:cs="Times New Roman"/>
          <w:sz w:val="28"/>
          <w:szCs w:val="28"/>
        </w:rPr>
        <w:t xml:space="preserve"> oraz wynik</w:t>
      </w:r>
      <w:r w:rsidR="0069332A">
        <w:rPr>
          <w:rFonts w:ascii="Times New Roman" w:hAnsi="Times New Roman" w:cs="Times New Roman"/>
          <w:sz w:val="28"/>
          <w:szCs w:val="28"/>
        </w:rPr>
        <w:t>ami</w:t>
      </w:r>
      <w:r w:rsidRPr="00217022">
        <w:rPr>
          <w:rFonts w:ascii="Times New Roman" w:hAnsi="Times New Roman" w:cs="Times New Roman"/>
          <w:sz w:val="28"/>
          <w:szCs w:val="28"/>
        </w:rPr>
        <w:t xml:space="preserve"> oszacowanymi gdy (D=1 i t-1), a więc </w:t>
      </w:r>
      <w:bookmarkStart w:id="35" w:name="_Hlk182389241"/>
      <w:r w:rsidRPr="00217022">
        <w:rPr>
          <w:rFonts w:ascii="Times New Roman" w:hAnsi="Times New Roman" w:cs="Times New Roman"/>
          <w:sz w:val="28"/>
          <w:szCs w:val="28"/>
        </w:rPr>
        <w:t>Y</w:t>
      </w:r>
      <w:r w:rsidRPr="00217022">
        <w:rPr>
          <w:rFonts w:ascii="Times New Roman" w:hAnsi="Times New Roman" w:cs="Times New Roman"/>
          <w:sz w:val="28"/>
          <w:szCs w:val="28"/>
          <w:vertAlign w:val="subscript"/>
        </w:rPr>
        <w:t>i,t</w:t>
      </w:r>
      <w:r w:rsidRPr="00217022">
        <w:rPr>
          <w:rFonts w:ascii="Times New Roman" w:hAnsi="Times New Roman" w:cs="Times New Roman"/>
          <w:sz w:val="28"/>
          <w:szCs w:val="28"/>
        </w:rPr>
        <w:t xml:space="preserve"> - </w:t>
      </w:r>
      <m:oMath>
        <m:acc>
          <m:accPr>
            <m:chr m:val="̇"/>
            <m:ctrlPr>
              <w:rPr>
                <w:rFonts w:ascii="Cambria Math" w:hAnsi="Cambria Math" w:cs="Times New Roman"/>
                <w:i/>
                <w:sz w:val="28"/>
                <w:szCs w:val="28"/>
              </w:rPr>
            </m:ctrlPr>
          </m:accPr>
          <m:e>
            <m:r>
              <m:rPr>
                <m:sty m:val="p"/>
              </m:rPr>
              <w:rPr>
                <w:rFonts w:ascii="Cambria Math" w:hAnsi="Cambria Math" w:cs="Times New Roman"/>
                <w:sz w:val="28"/>
                <w:szCs w:val="28"/>
              </w:rPr>
              <m:t>Y</m:t>
            </m:r>
          </m:e>
        </m:acc>
      </m:oMath>
      <w:r w:rsidRPr="00217022">
        <w:rPr>
          <w:rFonts w:ascii="Times New Roman" w:hAnsi="Times New Roman" w:cs="Times New Roman"/>
          <w:sz w:val="28"/>
          <w:szCs w:val="28"/>
          <w:vertAlign w:val="subscript"/>
        </w:rPr>
        <w:t>i,t</w:t>
      </w:r>
      <w:r w:rsidRPr="00217022">
        <w:rPr>
          <w:rFonts w:ascii="Times New Roman" w:hAnsi="Times New Roman" w:cs="Times New Roman"/>
          <w:sz w:val="28"/>
          <w:szCs w:val="28"/>
        </w:rPr>
        <w:t>(∞)</w:t>
      </w:r>
      <w:bookmarkEnd w:id="35"/>
      <w:r w:rsidRPr="00217022">
        <w:rPr>
          <w:rFonts w:ascii="Times New Roman" w:hAnsi="Times New Roman" w:cs="Times New Roman"/>
          <w:sz w:val="28"/>
          <w:szCs w:val="28"/>
        </w:rPr>
        <w:t>, przy zachowaniu równoległości trendów i efektu antycypacji. Podobnie jak w przypadku estymatora Callawaya i Sant’Ann</w:t>
      </w:r>
      <w:r w:rsidR="003925E3">
        <w:rPr>
          <w:rFonts w:ascii="Times New Roman" w:hAnsi="Times New Roman" w:cs="Times New Roman"/>
          <w:sz w:val="28"/>
          <w:szCs w:val="28"/>
        </w:rPr>
        <w:t>y</w:t>
      </w:r>
      <w:r w:rsidRPr="00217022">
        <w:rPr>
          <w:rFonts w:ascii="Times New Roman" w:hAnsi="Times New Roman" w:cs="Times New Roman"/>
          <w:sz w:val="28"/>
          <w:szCs w:val="28"/>
        </w:rPr>
        <w:t xml:space="preserve"> założenie to można uogólnić na sytuację, w której uruch</w:t>
      </w:r>
      <w:r w:rsidR="00C734EC">
        <w:rPr>
          <w:rFonts w:ascii="Times New Roman" w:hAnsi="Times New Roman" w:cs="Times New Roman"/>
          <w:sz w:val="28"/>
          <w:szCs w:val="28"/>
        </w:rPr>
        <w:t>amianie</w:t>
      </w:r>
      <w:r w:rsidRPr="00217022">
        <w:rPr>
          <w:rFonts w:ascii="Times New Roman" w:hAnsi="Times New Roman" w:cs="Times New Roman"/>
          <w:sz w:val="28"/>
          <w:szCs w:val="28"/>
        </w:rPr>
        <w:t xml:space="preserve"> interwencji następuje w różnych okresach czasu (dla wydzielonych podgrup). Różnica pomiędzy estymatorem Borusyaka i in. a  Callawaya i Sant’Anny polega również na tym, że w pierwszym przypadku obliczana jest średnia dla wszystkich okresów poprzedzających uruchomienie instrumentu, a w drugim jedynie jeden okres bezpośrednio go poprzedzający (Roth i in., 2023).  Według Liu i in. (2024) estymator imputacyjny jest najbardziej efektywn</w:t>
      </w:r>
      <w:r w:rsidR="00832380">
        <w:rPr>
          <w:rFonts w:ascii="Times New Roman" w:hAnsi="Times New Roman" w:cs="Times New Roman"/>
          <w:sz w:val="28"/>
          <w:szCs w:val="28"/>
        </w:rPr>
        <w:t>ym</w:t>
      </w:r>
      <w:r w:rsidRPr="00217022">
        <w:rPr>
          <w:rFonts w:ascii="Times New Roman" w:hAnsi="Times New Roman" w:cs="Times New Roman"/>
          <w:sz w:val="28"/>
          <w:szCs w:val="28"/>
        </w:rPr>
        <w:t xml:space="preserve"> rozwiązanie</w:t>
      </w:r>
      <w:r w:rsidR="00832380">
        <w:rPr>
          <w:rFonts w:ascii="Times New Roman" w:hAnsi="Times New Roman" w:cs="Times New Roman"/>
          <w:sz w:val="28"/>
          <w:szCs w:val="28"/>
        </w:rPr>
        <w:t>m</w:t>
      </w:r>
      <w:r w:rsidRPr="00217022">
        <w:rPr>
          <w:rFonts w:ascii="Times New Roman" w:hAnsi="Times New Roman" w:cs="Times New Roman"/>
          <w:sz w:val="28"/>
          <w:szCs w:val="28"/>
        </w:rPr>
        <w:t xml:space="preserve"> spośród liniowych estymatorów dla ATT w metodzie dwustopniowej estymacji DID. Wykazuje większą odporność na </w:t>
      </w:r>
      <w:r w:rsidRPr="00217022">
        <w:rPr>
          <w:rFonts w:ascii="Times New Roman" w:hAnsi="Times New Roman" w:cs="Times New Roman"/>
          <w:sz w:val="28"/>
          <w:szCs w:val="28"/>
        </w:rPr>
        <w:lastRenderedPageBreak/>
        <w:t xml:space="preserve">heterogeniczność interwencji w czasie i w sytuacji uruchamiania narzędzia w różnych okresach czasu dla poszczególnych podgrup.  </w:t>
      </w:r>
    </w:p>
    <w:p w14:paraId="5300F9E8" w14:textId="524D9D4F"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Estymator imputacyjny został wykorzystany między innymi w pakiecie DID2s zbudowany</w:t>
      </w:r>
      <w:r w:rsidR="00832380">
        <w:rPr>
          <w:rFonts w:ascii="Times New Roman" w:hAnsi="Times New Roman" w:cs="Times New Roman"/>
          <w:sz w:val="28"/>
          <w:szCs w:val="28"/>
        </w:rPr>
        <w:t>m</w:t>
      </w:r>
      <w:r w:rsidRPr="00217022">
        <w:rPr>
          <w:rFonts w:ascii="Times New Roman" w:hAnsi="Times New Roman" w:cs="Times New Roman"/>
          <w:sz w:val="28"/>
          <w:szCs w:val="28"/>
        </w:rPr>
        <w:t xml:space="preserve"> prze</w:t>
      </w:r>
      <w:r w:rsidR="00832380">
        <w:rPr>
          <w:rFonts w:ascii="Times New Roman" w:hAnsi="Times New Roman" w:cs="Times New Roman"/>
          <w:sz w:val="28"/>
          <w:szCs w:val="28"/>
        </w:rPr>
        <w:t>z</w:t>
      </w:r>
      <w:r w:rsidRPr="00217022">
        <w:rPr>
          <w:rFonts w:ascii="Times New Roman" w:hAnsi="Times New Roman" w:cs="Times New Roman"/>
          <w:sz w:val="28"/>
          <w:szCs w:val="28"/>
        </w:rPr>
        <w:t xml:space="preserve"> Buttsa i Gardnera (2021), który jako podstawowe narzędzie używa opracowany przez Bergéa (2018) pakiet o nazwie fixest.  Jednak DID2s jest wygodniejszy do wykorzystania i pozwala na więcej funkcji obrazujących uzyskane wyniki (grupowanie względem podgrup, czasu</w:t>
      </w:r>
      <w:r w:rsidR="00B509C5">
        <w:rPr>
          <w:rFonts w:ascii="Times New Roman" w:hAnsi="Times New Roman" w:cs="Times New Roman"/>
          <w:sz w:val="28"/>
          <w:szCs w:val="28"/>
        </w:rPr>
        <w:t xml:space="preserve"> </w:t>
      </w:r>
      <w:r w:rsidRPr="00217022">
        <w:rPr>
          <w:rFonts w:ascii="Times New Roman" w:hAnsi="Times New Roman" w:cs="Times New Roman"/>
          <w:sz w:val="28"/>
          <w:szCs w:val="28"/>
        </w:rPr>
        <w:t xml:space="preserve">czy też sporządzanie </w:t>
      </w:r>
      <w:r w:rsidR="00B509C5">
        <w:rPr>
          <w:rFonts w:ascii="Times New Roman" w:hAnsi="Times New Roman" w:cs="Times New Roman"/>
          <w:sz w:val="28"/>
          <w:szCs w:val="28"/>
        </w:rPr>
        <w:t>rysunków</w:t>
      </w:r>
      <w:r w:rsidRPr="00217022">
        <w:rPr>
          <w:rFonts w:ascii="Times New Roman" w:hAnsi="Times New Roman" w:cs="Times New Roman"/>
          <w:sz w:val="28"/>
          <w:szCs w:val="28"/>
        </w:rPr>
        <w:t xml:space="preserve">). </w:t>
      </w:r>
    </w:p>
    <w:p w14:paraId="67802626" w14:textId="77777777" w:rsidR="00217022" w:rsidRPr="00217022" w:rsidRDefault="00217022" w:rsidP="00217022">
      <w:pPr>
        <w:spacing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W celu skorzystania z powyższego pakietu w programie R należy go pobrać, a następnie zainstalować zgodnie z instrukcją:</w:t>
      </w:r>
    </w:p>
    <w:p w14:paraId="3A447D16"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rPr>
      </w:pPr>
      <w:r w:rsidRPr="00217022">
        <w:rPr>
          <w:rFonts w:ascii="Courier New" w:hAnsi="Courier New" w:cs="Courier New"/>
          <w:spacing w:val="-4"/>
          <w:kern w:val="0"/>
        </w:rPr>
        <w:t>install.packages("did2s")</w:t>
      </w:r>
    </w:p>
    <w:p w14:paraId="707F8371" w14:textId="5100AF35" w:rsidR="00217022" w:rsidRPr="00217022" w:rsidRDefault="00217022" w:rsidP="00217022">
      <w:pPr>
        <w:spacing w:before="160" w:line="264" w:lineRule="auto"/>
        <w:jc w:val="both"/>
        <w:rPr>
          <w:rFonts w:ascii="Times New Roman" w:hAnsi="Times New Roman" w:cs="Times New Roman"/>
          <w:sz w:val="28"/>
          <w:szCs w:val="28"/>
        </w:rPr>
      </w:pPr>
      <w:r w:rsidRPr="00217022">
        <w:rPr>
          <w:rFonts w:ascii="Times New Roman" w:hAnsi="Times New Roman" w:cs="Times New Roman"/>
          <w:sz w:val="28"/>
          <w:szCs w:val="28"/>
        </w:rPr>
        <w:t xml:space="preserve">a </w:t>
      </w:r>
      <w:r w:rsidR="00832380">
        <w:rPr>
          <w:rFonts w:ascii="Times New Roman" w:hAnsi="Times New Roman" w:cs="Times New Roman"/>
          <w:sz w:val="28"/>
          <w:szCs w:val="28"/>
        </w:rPr>
        <w:t xml:space="preserve">w końcu </w:t>
      </w:r>
      <w:r w:rsidRPr="00217022">
        <w:rPr>
          <w:rFonts w:ascii="Times New Roman" w:hAnsi="Times New Roman" w:cs="Times New Roman"/>
          <w:sz w:val="28"/>
          <w:szCs w:val="28"/>
        </w:rPr>
        <w:t xml:space="preserve">wersję docelową: </w:t>
      </w:r>
    </w:p>
    <w:p w14:paraId="66E266B5" w14:textId="77777777" w:rsidR="00217022" w:rsidRPr="00217022" w:rsidRDefault="00217022" w:rsidP="00217022">
      <w:pPr>
        <w:pBdr>
          <w:top w:val="single" w:sz="4" w:space="1" w:color="auto"/>
          <w:left w:val="single" w:sz="4" w:space="4"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devtools::install_github("kylebutts/did2s")</w:t>
      </w:r>
    </w:p>
    <w:p w14:paraId="168B13E2" w14:textId="77777777" w:rsidR="00217022" w:rsidRPr="00217022" w:rsidRDefault="00217022" w:rsidP="009E7E96">
      <w:pPr>
        <w:spacing w:after="0" w:line="264" w:lineRule="auto"/>
        <w:jc w:val="both"/>
        <w:rPr>
          <w:rFonts w:ascii="Times New Roman" w:hAnsi="Times New Roman" w:cs="Times New Roman"/>
          <w:sz w:val="28"/>
          <w:szCs w:val="28"/>
        </w:rPr>
      </w:pPr>
      <w:r w:rsidRPr="00217022">
        <w:rPr>
          <w:rFonts w:ascii="Times New Roman" w:hAnsi="Times New Roman" w:cs="Times New Roman"/>
          <w:sz w:val="28"/>
          <w:szCs w:val="28"/>
        </w:rPr>
        <w:t>następnie należy określić:</w:t>
      </w:r>
    </w:p>
    <w:p w14:paraId="70868EAE" w14:textId="77777777" w:rsidR="00217022" w:rsidRPr="00217022" w:rsidRDefault="00217022" w:rsidP="009E7E96">
      <w:pPr>
        <w:numPr>
          <w:ilvl w:val="0"/>
          <w:numId w:val="60"/>
        </w:numPr>
        <w:spacing w:after="0" w:line="264" w:lineRule="auto"/>
        <w:ind w:left="426" w:hanging="426"/>
        <w:contextualSpacing/>
        <w:jc w:val="both"/>
        <w:rPr>
          <w:rFonts w:ascii="Times New Roman" w:hAnsi="Times New Roman" w:cs="Times New Roman"/>
          <w:sz w:val="28"/>
          <w:szCs w:val="28"/>
        </w:rPr>
      </w:pPr>
      <w:r w:rsidRPr="00217022">
        <w:rPr>
          <w:rFonts w:ascii="Times New Roman" w:hAnsi="Times New Roman" w:cs="Times New Roman"/>
          <w:sz w:val="28"/>
          <w:szCs w:val="28"/>
        </w:rPr>
        <w:t>data,: określić zmienną czas;</w:t>
      </w:r>
    </w:p>
    <w:p w14:paraId="751C9149" w14:textId="77777777" w:rsidR="00217022" w:rsidRPr="00217022" w:rsidRDefault="00217022" w:rsidP="009E7E96">
      <w:pPr>
        <w:numPr>
          <w:ilvl w:val="0"/>
          <w:numId w:val="60"/>
        </w:numPr>
        <w:spacing w:after="0" w:line="264" w:lineRule="auto"/>
        <w:ind w:left="426" w:hanging="426"/>
        <w:contextualSpacing/>
        <w:jc w:val="both"/>
        <w:rPr>
          <w:rFonts w:ascii="Times New Roman" w:hAnsi="Times New Roman" w:cs="Times New Roman"/>
          <w:sz w:val="28"/>
          <w:szCs w:val="28"/>
        </w:rPr>
      </w:pPr>
      <w:r w:rsidRPr="00217022">
        <w:rPr>
          <w:rFonts w:ascii="Times New Roman" w:hAnsi="Times New Roman" w:cs="Times New Roman"/>
          <w:sz w:val="28"/>
          <w:szCs w:val="28"/>
        </w:rPr>
        <w:t>yname: zmienną wynikową;</w:t>
      </w:r>
    </w:p>
    <w:p w14:paraId="63FE82E5" w14:textId="0ED4D586" w:rsidR="00217022" w:rsidRPr="00217022" w:rsidRDefault="00217022" w:rsidP="009E7E96">
      <w:pPr>
        <w:numPr>
          <w:ilvl w:val="0"/>
          <w:numId w:val="60"/>
        </w:numPr>
        <w:spacing w:after="0" w:line="264" w:lineRule="auto"/>
        <w:ind w:left="426" w:hanging="426"/>
        <w:contextualSpacing/>
        <w:jc w:val="both"/>
        <w:rPr>
          <w:rFonts w:ascii="Times New Roman" w:hAnsi="Times New Roman" w:cs="Times New Roman"/>
          <w:sz w:val="28"/>
          <w:szCs w:val="28"/>
        </w:rPr>
      </w:pPr>
      <w:r w:rsidRPr="00217022">
        <w:rPr>
          <w:rFonts w:ascii="Times New Roman" w:hAnsi="Times New Roman" w:cs="Times New Roman"/>
          <w:sz w:val="28"/>
          <w:szCs w:val="28"/>
        </w:rPr>
        <w:t>first_stage: formuła dla pierwszego kroku w celu określenia stałych efektów i kowariatów, ale nie zmienn</w:t>
      </w:r>
      <w:r w:rsidR="00832380">
        <w:rPr>
          <w:rFonts w:ascii="Times New Roman" w:hAnsi="Times New Roman" w:cs="Times New Roman"/>
          <w:sz w:val="28"/>
          <w:szCs w:val="28"/>
        </w:rPr>
        <w:t>ych</w:t>
      </w:r>
      <w:r w:rsidRPr="00217022">
        <w:rPr>
          <w:rFonts w:ascii="Times New Roman" w:hAnsi="Times New Roman" w:cs="Times New Roman"/>
          <w:sz w:val="28"/>
          <w:szCs w:val="28"/>
        </w:rPr>
        <w:t xml:space="preserve"> wynikow</w:t>
      </w:r>
      <w:r w:rsidR="00832380">
        <w:rPr>
          <w:rFonts w:ascii="Times New Roman" w:hAnsi="Times New Roman" w:cs="Times New Roman"/>
          <w:sz w:val="28"/>
          <w:szCs w:val="28"/>
        </w:rPr>
        <w:t>ych</w:t>
      </w:r>
      <w:r w:rsidRPr="00217022">
        <w:rPr>
          <w:rFonts w:ascii="Times New Roman" w:hAnsi="Times New Roman" w:cs="Times New Roman"/>
          <w:sz w:val="28"/>
          <w:szCs w:val="28"/>
        </w:rPr>
        <w:t xml:space="preserve"> interwencji;</w:t>
      </w:r>
    </w:p>
    <w:p w14:paraId="35F08241" w14:textId="77777777" w:rsidR="00217022" w:rsidRPr="00217022" w:rsidRDefault="00217022" w:rsidP="009E7E96">
      <w:pPr>
        <w:numPr>
          <w:ilvl w:val="0"/>
          <w:numId w:val="60"/>
        </w:numPr>
        <w:spacing w:after="0" w:line="264" w:lineRule="auto"/>
        <w:ind w:left="426" w:hanging="426"/>
        <w:contextualSpacing/>
        <w:jc w:val="both"/>
        <w:rPr>
          <w:rFonts w:ascii="Times New Roman" w:hAnsi="Times New Roman" w:cs="Times New Roman"/>
          <w:sz w:val="28"/>
          <w:szCs w:val="28"/>
        </w:rPr>
      </w:pPr>
      <w:r w:rsidRPr="00217022">
        <w:rPr>
          <w:rFonts w:ascii="Times New Roman" w:hAnsi="Times New Roman" w:cs="Times New Roman"/>
          <w:sz w:val="28"/>
          <w:szCs w:val="28"/>
        </w:rPr>
        <w:t xml:space="preserve">second_stage: w drugim kroku określamy, skąd pakiet ma pobrać dane odpowiadające za zmienność interwencji; </w:t>
      </w:r>
    </w:p>
    <w:p w14:paraId="66C1C324" w14:textId="77777777" w:rsidR="00217022" w:rsidRPr="00217022" w:rsidRDefault="00217022" w:rsidP="009E7E96">
      <w:pPr>
        <w:numPr>
          <w:ilvl w:val="0"/>
          <w:numId w:val="60"/>
        </w:numPr>
        <w:spacing w:after="0" w:line="264" w:lineRule="auto"/>
        <w:ind w:left="426" w:hanging="426"/>
        <w:contextualSpacing/>
        <w:jc w:val="both"/>
        <w:rPr>
          <w:rFonts w:ascii="Times New Roman" w:hAnsi="Times New Roman" w:cs="Times New Roman"/>
          <w:sz w:val="28"/>
          <w:szCs w:val="28"/>
        </w:rPr>
      </w:pPr>
      <w:r w:rsidRPr="00217022">
        <w:rPr>
          <w:rFonts w:ascii="Times New Roman" w:hAnsi="Times New Roman" w:cs="Times New Roman"/>
          <w:sz w:val="28"/>
          <w:szCs w:val="28"/>
        </w:rPr>
        <w:t>treatment: zmienna identyfikująca grupę lub podgrupy poddane interwencji (D=1)</w:t>
      </w:r>
    </w:p>
    <w:p w14:paraId="32681984" w14:textId="77777777" w:rsidR="00217022" w:rsidRPr="009E7E96" w:rsidRDefault="00217022" w:rsidP="009E7E96">
      <w:pPr>
        <w:pStyle w:val="Akapitzlist"/>
        <w:numPr>
          <w:ilvl w:val="0"/>
          <w:numId w:val="68"/>
        </w:numPr>
        <w:spacing w:after="0" w:line="264" w:lineRule="auto"/>
        <w:ind w:left="426" w:hanging="426"/>
        <w:jc w:val="both"/>
        <w:rPr>
          <w:rFonts w:ascii="Times New Roman" w:hAnsi="Times New Roman" w:cs="Times New Roman"/>
          <w:sz w:val="28"/>
          <w:szCs w:val="28"/>
        </w:rPr>
      </w:pPr>
      <w:r w:rsidRPr="009E7E96">
        <w:rPr>
          <w:rFonts w:ascii="Times New Roman" w:hAnsi="Times New Roman" w:cs="Times New Roman"/>
          <w:sz w:val="28"/>
          <w:szCs w:val="28"/>
        </w:rPr>
        <w:t>cluster_var: które zmienne należy grupować.</w:t>
      </w:r>
    </w:p>
    <w:p w14:paraId="5EA7A3D5" w14:textId="77777777" w:rsidR="00217022" w:rsidRPr="00217022" w:rsidRDefault="00217022" w:rsidP="00217022">
      <w:pPr>
        <w:spacing w:before="160" w:line="264" w:lineRule="auto"/>
        <w:jc w:val="both"/>
        <w:rPr>
          <w:rFonts w:ascii="Times New Roman" w:hAnsi="Times New Roman" w:cs="Times New Roman"/>
          <w:sz w:val="28"/>
          <w:szCs w:val="28"/>
        </w:rPr>
      </w:pPr>
      <w:r w:rsidRPr="00217022">
        <w:rPr>
          <w:rFonts w:ascii="Times New Roman" w:hAnsi="Times New Roman" w:cs="Times New Roman"/>
          <w:sz w:val="28"/>
          <w:szCs w:val="28"/>
        </w:rPr>
        <w:t>opcjonalnie można również określić:</w:t>
      </w:r>
    </w:p>
    <w:p w14:paraId="60451C23" w14:textId="6A640BE3" w:rsidR="00217022" w:rsidRPr="00217022" w:rsidRDefault="00217022" w:rsidP="009E7E96">
      <w:pPr>
        <w:numPr>
          <w:ilvl w:val="0"/>
          <w:numId w:val="61"/>
        </w:numPr>
        <w:spacing w:after="0" w:line="264" w:lineRule="auto"/>
        <w:ind w:left="426" w:hanging="426"/>
        <w:contextualSpacing/>
        <w:jc w:val="both"/>
        <w:rPr>
          <w:rFonts w:ascii="Times New Roman" w:hAnsi="Times New Roman" w:cs="Times New Roman"/>
          <w:sz w:val="28"/>
          <w:szCs w:val="28"/>
        </w:rPr>
      </w:pPr>
      <w:r w:rsidRPr="00217022">
        <w:rPr>
          <w:rFonts w:ascii="Times New Roman" w:hAnsi="Times New Roman" w:cs="Times New Roman"/>
          <w:sz w:val="28"/>
          <w:szCs w:val="28"/>
        </w:rPr>
        <w:t>weights: zmienn</w:t>
      </w:r>
      <w:r w:rsidR="00832380">
        <w:rPr>
          <w:rFonts w:ascii="Times New Roman" w:hAnsi="Times New Roman" w:cs="Times New Roman"/>
          <w:sz w:val="28"/>
          <w:szCs w:val="28"/>
        </w:rPr>
        <w:t>e</w:t>
      </w:r>
      <w:r w:rsidRPr="00217022">
        <w:rPr>
          <w:rFonts w:ascii="Times New Roman" w:hAnsi="Times New Roman" w:cs="Times New Roman"/>
          <w:sz w:val="28"/>
          <w:szCs w:val="28"/>
        </w:rPr>
        <w:t xml:space="preserve"> wykorzystywan</w:t>
      </w:r>
      <w:r w:rsidR="00832380">
        <w:rPr>
          <w:rFonts w:ascii="Times New Roman" w:hAnsi="Times New Roman" w:cs="Times New Roman"/>
          <w:sz w:val="28"/>
          <w:szCs w:val="28"/>
        </w:rPr>
        <w:t>e</w:t>
      </w:r>
      <w:r w:rsidRPr="00217022">
        <w:rPr>
          <w:rFonts w:ascii="Times New Roman" w:hAnsi="Times New Roman" w:cs="Times New Roman"/>
          <w:sz w:val="28"/>
          <w:szCs w:val="28"/>
        </w:rPr>
        <w:t xml:space="preserve"> do ważenia regresji pierwszego i drugiego etapu.</w:t>
      </w:r>
    </w:p>
    <w:p w14:paraId="56554AEC" w14:textId="01DF2E43" w:rsidR="00217022" w:rsidRPr="00217022" w:rsidRDefault="00217022" w:rsidP="009E7E96">
      <w:pPr>
        <w:numPr>
          <w:ilvl w:val="0"/>
          <w:numId w:val="61"/>
        </w:numPr>
        <w:spacing w:after="0" w:line="264" w:lineRule="auto"/>
        <w:ind w:left="426" w:hanging="426"/>
        <w:contextualSpacing/>
        <w:jc w:val="both"/>
        <w:rPr>
          <w:rFonts w:ascii="Times New Roman" w:hAnsi="Times New Roman" w:cs="Times New Roman"/>
          <w:sz w:val="28"/>
          <w:szCs w:val="28"/>
        </w:rPr>
      </w:pPr>
      <w:r w:rsidRPr="00217022">
        <w:rPr>
          <w:rFonts w:ascii="Times New Roman" w:hAnsi="Times New Roman" w:cs="Times New Roman"/>
          <w:sz w:val="28"/>
          <w:szCs w:val="28"/>
        </w:rPr>
        <w:t>bootstrap: odpowiada na pytanie</w:t>
      </w:r>
      <w:r w:rsidR="00832380">
        <w:rPr>
          <w:rFonts w:ascii="Times New Roman" w:hAnsi="Times New Roman" w:cs="Times New Roman"/>
          <w:sz w:val="28"/>
          <w:szCs w:val="28"/>
        </w:rPr>
        <w:t>,</w:t>
      </w:r>
      <w:r w:rsidRPr="00217022">
        <w:rPr>
          <w:rFonts w:ascii="Times New Roman" w:hAnsi="Times New Roman" w:cs="Times New Roman"/>
          <w:sz w:val="28"/>
          <w:szCs w:val="28"/>
        </w:rPr>
        <w:t xml:space="preserve"> czy zamiast błędów standardowych powinny być </w:t>
      </w:r>
      <w:r w:rsidR="00832380">
        <w:rPr>
          <w:rFonts w:ascii="Times New Roman" w:hAnsi="Times New Roman" w:cs="Times New Roman"/>
          <w:sz w:val="28"/>
          <w:szCs w:val="28"/>
        </w:rPr>
        <w:t>błędy</w:t>
      </w:r>
      <w:r w:rsidRPr="00217022">
        <w:rPr>
          <w:rFonts w:ascii="Times New Roman" w:hAnsi="Times New Roman" w:cs="Times New Roman"/>
          <w:sz w:val="28"/>
          <w:szCs w:val="28"/>
        </w:rPr>
        <w:t xml:space="preserve"> obliczane na podstawie bootstrapingu? Domyślnie przyjęto, że nie.</w:t>
      </w:r>
    </w:p>
    <w:p w14:paraId="21282244" w14:textId="4DA63CA9" w:rsidR="00217022" w:rsidRPr="00217022" w:rsidRDefault="00217022" w:rsidP="009E7E96">
      <w:pPr>
        <w:numPr>
          <w:ilvl w:val="0"/>
          <w:numId w:val="61"/>
        </w:numPr>
        <w:spacing w:line="264" w:lineRule="auto"/>
        <w:ind w:left="426" w:hanging="426"/>
        <w:contextualSpacing/>
        <w:jc w:val="both"/>
        <w:rPr>
          <w:rFonts w:ascii="Times New Roman" w:hAnsi="Times New Roman" w:cs="Times New Roman"/>
          <w:sz w:val="28"/>
          <w:szCs w:val="28"/>
        </w:rPr>
      </w:pPr>
      <w:r w:rsidRPr="00217022">
        <w:rPr>
          <w:rFonts w:ascii="Times New Roman" w:hAnsi="Times New Roman" w:cs="Times New Roman"/>
          <w:sz w:val="28"/>
          <w:szCs w:val="28"/>
        </w:rPr>
        <w:t xml:space="preserve">n_bootstraps: </w:t>
      </w:r>
      <w:r w:rsidR="00832380">
        <w:rPr>
          <w:rFonts w:ascii="Times New Roman" w:hAnsi="Times New Roman" w:cs="Times New Roman"/>
          <w:sz w:val="28"/>
          <w:szCs w:val="28"/>
        </w:rPr>
        <w:t>i</w:t>
      </w:r>
      <w:r w:rsidRPr="00217022">
        <w:rPr>
          <w:rFonts w:ascii="Times New Roman" w:hAnsi="Times New Roman" w:cs="Times New Roman"/>
          <w:sz w:val="28"/>
          <w:szCs w:val="28"/>
        </w:rPr>
        <w:t>le powtórzeń należy wykonać dla błędów standardowych</w:t>
      </w:r>
      <w:r w:rsidR="003A6284">
        <w:rPr>
          <w:rFonts w:ascii="Times New Roman" w:hAnsi="Times New Roman" w:cs="Times New Roman"/>
          <w:sz w:val="28"/>
          <w:szCs w:val="28"/>
        </w:rPr>
        <w:t>?;</w:t>
      </w:r>
      <w:r w:rsidRPr="00217022">
        <w:rPr>
          <w:rFonts w:ascii="Times New Roman" w:hAnsi="Times New Roman" w:cs="Times New Roman"/>
          <w:sz w:val="28"/>
          <w:szCs w:val="28"/>
        </w:rPr>
        <w:t xml:space="preserve">  domyślnie 250.</w:t>
      </w:r>
    </w:p>
    <w:p w14:paraId="1BB75F13" w14:textId="5CE7ED6C" w:rsidR="00217022" w:rsidRDefault="00217022" w:rsidP="00217022">
      <w:pPr>
        <w:spacing w:after="24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W przykładzie przedstawionym przez Buttsa obliczan</w:t>
      </w:r>
      <w:r w:rsidR="003A6284">
        <w:rPr>
          <w:rFonts w:ascii="Times New Roman" w:hAnsi="Times New Roman" w:cs="Times New Roman"/>
          <w:sz w:val="28"/>
          <w:szCs w:val="28"/>
        </w:rPr>
        <w:t>y</w:t>
      </w:r>
      <w:r w:rsidRPr="00217022">
        <w:rPr>
          <w:rFonts w:ascii="Times New Roman" w:hAnsi="Times New Roman" w:cs="Times New Roman"/>
          <w:sz w:val="28"/>
          <w:szCs w:val="28"/>
        </w:rPr>
        <w:t xml:space="preserve"> jest łączn</w:t>
      </w:r>
      <w:r w:rsidR="003A6284">
        <w:rPr>
          <w:rFonts w:ascii="Times New Roman" w:hAnsi="Times New Roman" w:cs="Times New Roman"/>
          <w:sz w:val="28"/>
          <w:szCs w:val="28"/>
        </w:rPr>
        <w:t>y</w:t>
      </w:r>
      <w:r w:rsidRPr="00217022">
        <w:rPr>
          <w:rFonts w:ascii="Times New Roman" w:hAnsi="Times New Roman" w:cs="Times New Roman"/>
          <w:sz w:val="28"/>
          <w:szCs w:val="28"/>
        </w:rPr>
        <w:t xml:space="preserve"> ATT przy uruchomienia interwencji w dwóch latach (2000 i 2010) i analizowaniu trzech grup (dwóch podgrup poddanych interwencji i jednej niepoddanej w całym badanym okresie. Za pomocą polecenia agg – agregowania oraz plot </w:t>
      </w:r>
      <w:r w:rsidR="00B509C5">
        <w:rPr>
          <w:rFonts w:ascii="Times New Roman" w:hAnsi="Times New Roman" w:cs="Times New Roman"/>
          <w:sz w:val="28"/>
          <w:szCs w:val="28"/>
        </w:rPr>
        <w:t>–</w:t>
      </w:r>
      <w:r w:rsidRPr="00217022">
        <w:rPr>
          <w:rFonts w:ascii="Times New Roman" w:hAnsi="Times New Roman" w:cs="Times New Roman"/>
          <w:sz w:val="28"/>
          <w:szCs w:val="28"/>
        </w:rPr>
        <w:t xml:space="preserve"> </w:t>
      </w:r>
      <w:r w:rsidR="00B509C5">
        <w:rPr>
          <w:rFonts w:ascii="Times New Roman" w:hAnsi="Times New Roman" w:cs="Times New Roman"/>
          <w:sz w:val="28"/>
          <w:szCs w:val="28"/>
        </w:rPr>
        <w:t xml:space="preserve">rysunek </w:t>
      </w:r>
      <w:r w:rsidRPr="00217022">
        <w:rPr>
          <w:rFonts w:ascii="Times New Roman" w:hAnsi="Times New Roman" w:cs="Times New Roman"/>
          <w:sz w:val="28"/>
          <w:szCs w:val="28"/>
        </w:rPr>
        <w:t>sporządzany jest dla tych trzech zbiorowości:</w:t>
      </w:r>
    </w:p>
    <w:p w14:paraId="64C7239B"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Times New Roman" w:hAnsi="Times New Roman" w:cs="Times New Roman"/>
          <w:color w:val="000000"/>
          <w:kern w:val="0"/>
          <w:sz w:val="28"/>
          <w:szCs w:val="28"/>
        </w:rPr>
        <w:lastRenderedPageBreak/>
        <w:t xml:space="preserve"> </w:t>
      </w:r>
      <w:r w:rsidRPr="00217022">
        <w:rPr>
          <w:rFonts w:ascii="Courier New" w:hAnsi="Courier New" w:cs="Courier New"/>
          <w:spacing w:val="-4"/>
          <w:kern w:val="0"/>
          <w:lang w:val="en-GB"/>
        </w:rPr>
        <w:t>Mean for treatment group-year</w:t>
      </w:r>
    </w:p>
    <w:p w14:paraId="46ADEAFE"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agg &lt;- </w:t>
      </w:r>
      <w:hyperlink r:id="rId284" w:history="1">
        <w:r w:rsidRPr="00217022">
          <w:rPr>
            <w:rFonts w:ascii="Courier New" w:hAnsi="Courier New" w:cs="Courier New"/>
            <w:spacing w:val="-4"/>
            <w:kern w:val="0"/>
            <w:lang w:val="en-GB"/>
          </w:rPr>
          <w:t>aggregate</w:t>
        </w:r>
      </w:hyperlink>
      <w:r w:rsidRPr="00217022">
        <w:rPr>
          <w:rFonts w:ascii="Courier New" w:hAnsi="Courier New" w:cs="Courier New"/>
          <w:spacing w:val="-4"/>
          <w:kern w:val="0"/>
          <w:lang w:val="en-GB"/>
        </w:rPr>
        <w:t>(df_het$dep_var, by=</w:t>
      </w:r>
      <w:hyperlink r:id="rId285" w:history="1">
        <w:r w:rsidRPr="00217022">
          <w:rPr>
            <w:rFonts w:ascii="Courier New" w:hAnsi="Courier New" w:cs="Courier New"/>
            <w:spacing w:val="-4"/>
            <w:kern w:val="0"/>
            <w:lang w:val="en-GB"/>
          </w:rPr>
          <w:t>list</w:t>
        </w:r>
      </w:hyperlink>
      <w:r w:rsidRPr="00217022">
        <w:rPr>
          <w:rFonts w:ascii="Courier New" w:hAnsi="Courier New" w:cs="Courier New"/>
          <w:spacing w:val="-4"/>
          <w:kern w:val="0"/>
          <w:lang w:val="en-GB"/>
        </w:rPr>
        <w:t>(g = df_het$g, year = df_het$year), FUN = mean)</w:t>
      </w:r>
    </w:p>
    <w:p w14:paraId="191CEB84"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p>
    <w:p w14:paraId="0583E73F"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agg$g &lt;- </w:t>
      </w:r>
      <w:hyperlink r:id="rId286" w:history="1">
        <w:r w:rsidRPr="00217022">
          <w:rPr>
            <w:rFonts w:ascii="Courier New" w:hAnsi="Courier New" w:cs="Courier New"/>
            <w:spacing w:val="-4"/>
            <w:kern w:val="0"/>
            <w:lang w:val="en-GB"/>
          </w:rPr>
          <w:t>as.character</w:t>
        </w:r>
      </w:hyperlink>
      <w:r w:rsidRPr="00217022">
        <w:rPr>
          <w:rFonts w:ascii="Courier New" w:hAnsi="Courier New" w:cs="Courier New"/>
          <w:spacing w:val="-4"/>
          <w:kern w:val="0"/>
          <w:lang w:val="en-GB"/>
        </w:rPr>
        <w:t>(agg$g)</w:t>
      </w:r>
    </w:p>
    <w:p w14:paraId="304B0985"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agg$g &lt;- </w:t>
      </w:r>
      <w:hyperlink r:id="rId287" w:history="1">
        <w:r w:rsidRPr="00217022">
          <w:rPr>
            <w:rFonts w:ascii="Courier New" w:hAnsi="Courier New" w:cs="Courier New"/>
            <w:spacing w:val="-4"/>
            <w:kern w:val="0"/>
            <w:lang w:val="en-GB"/>
          </w:rPr>
          <w:t>ifelse</w:t>
        </w:r>
      </w:hyperlink>
      <w:r w:rsidRPr="00217022">
        <w:rPr>
          <w:rFonts w:ascii="Courier New" w:hAnsi="Courier New" w:cs="Courier New"/>
          <w:spacing w:val="-4"/>
          <w:kern w:val="0"/>
          <w:lang w:val="en-GB"/>
        </w:rPr>
        <w:t>(agg$g == "0", "Never Treated", agg$g)</w:t>
      </w:r>
    </w:p>
    <w:p w14:paraId="49B8FE8B"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p>
    <w:p w14:paraId="590A026C"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never &lt;- agg[agg$g == "Never Treated", ]</w:t>
      </w:r>
    </w:p>
    <w:p w14:paraId="700BC099" w14:textId="77777777" w:rsidR="00217022" w:rsidRPr="00217022" w:rsidRDefault="00217022" w:rsidP="00217022">
      <w:pPr>
        <w:spacing w:after="240" w:line="264" w:lineRule="auto"/>
        <w:jc w:val="both"/>
        <w:rPr>
          <w:rFonts w:ascii="Times New Roman" w:hAnsi="Times New Roman" w:cs="Times New Roman"/>
          <w:sz w:val="28"/>
          <w:szCs w:val="28"/>
          <w:lang w:val="en-US"/>
        </w:rPr>
      </w:pPr>
    </w:p>
    <w:p w14:paraId="0DE8A5D8"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US"/>
        </w:rPr>
      </w:pPr>
    </w:p>
    <w:p w14:paraId="312F177A"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g1 &lt;- agg[agg$g == "2000", ]</w:t>
      </w:r>
    </w:p>
    <w:p w14:paraId="76A46C26"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g2 &lt;- agg[agg$g == "2010", ]</w:t>
      </w:r>
    </w:p>
    <w:p w14:paraId="1CD5DCED"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p>
    <w:p w14:paraId="538931F5"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p>
    <w:p w14:paraId="514E773E"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hyperlink r:id="rId288" w:history="1">
        <w:r w:rsidRPr="00217022">
          <w:rPr>
            <w:rFonts w:ascii="Courier New" w:hAnsi="Courier New" w:cs="Courier New"/>
            <w:spacing w:val="-4"/>
            <w:kern w:val="0"/>
            <w:lang w:val="en-GB"/>
          </w:rPr>
          <w:t>plot</w:t>
        </w:r>
      </w:hyperlink>
      <w:r w:rsidRPr="00217022">
        <w:rPr>
          <w:rFonts w:ascii="Courier New" w:hAnsi="Courier New" w:cs="Courier New"/>
          <w:spacing w:val="-4"/>
          <w:kern w:val="0"/>
          <w:lang w:val="en-GB"/>
        </w:rPr>
        <w:t xml:space="preserve">(0, 0, xlim = </w:t>
      </w:r>
      <w:hyperlink r:id="rId289" w:history="1">
        <w:r w:rsidRPr="00217022">
          <w:rPr>
            <w:rFonts w:ascii="Courier New" w:hAnsi="Courier New" w:cs="Courier New"/>
            <w:spacing w:val="-4"/>
            <w:kern w:val="0"/>
            <w:lang w:val="en-GB"/>
          </w:rPr>
          <w:t>c</w:t>
        </w:r>
      </w:hyperlink>
      <w:r w:rsidRPr="00217022">
        <w:rPr>
          <w:rFonts w:ascii="Courier New" w:hAnsi="Courier New" w:cs="Courier New"/>
          <w:spacing w:val="-4"/>
          <w:kern w:val="0"/>
          <w:lang w:val="en-GB"/>
        </w:rPr>
        <w:t xml:space="preserve">(1990,2020), ylim = </w:t>
      </w:r>
      <w:hyperlink r:id="rId290" w:history="1">
        <w:r w:rsidRPr="00217022">
          <w:rPr>
            <w:rFonts w:ascii="Courier New" w:hAnsi="Courier New" w:cs="Courier New"/>
            <w:spacing w:val="-4"/>
            <w:kern w:val="0"/>
            <w:lang w:val="en-GB"/>
          </w:rPr>
          <w:t>c</w:t>
        </w:r>
      </w:hyperlink>
      <w:r w:rsidRPr="00217022">
        <w:rPr>
          <w:rFonts w:ascii="Courier New" w:hAnsi="Courier New" w:cs="Courier New"/>
          <w:spacing w:val="-4"/>
          <w:kern w:val="0"/>
          <w:lang w:val="en-GB"/>
        </w:rPr>
        <w:t>(4,7.2), type = "n",</w:t>
      </w:r>
    </w:p>
    <w:p w14:paraId="4A416D4C"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     main = "Data-generating Process", ylab = "Outcome", xlab = "Year")</w:t>
      </w:r>
    </w:p>
    <w:p w14:paraId="4B0AEC67"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hyperlink r:id="rId291" w:history="1">
        <w:r w:rsidRPr="00217022">
          <w:rPr>
            <w:rFonts w:ascii="Courier New" w:hAnsi="Courier New" w:cs="Courier New"/>
            <w:spacing w:val="-4"/>
            <w:kern w:val="0"/>
            <w:lang w:val="en-GB"/>
          </w:rPr>
          <w:t>abline</w:t>
        </w:r>
      </w:hyperlink>
      <w:r w:rsidRPr="00217022">
        <w:rPr>
          <w:rFonts w:ascii="Courier New" w:hAnsi="Courier New" w:cs="Courier New"/>
          <w:spacing w:val="-4"/>
          <w:kern w:val="0"/>
          <w:lang w:val="en-GB"/>
        </w:rPr>
        <w:t xml:space="preserve">(v = </w:t>
      </w:r>
      <w:hyperlink r:id="rId292" w:history="1">
        <w:r w:rsidRPr="00217022">
          <w:rPr>
            <w:rFonts w:ascii="Courier New" w:hAnsi="Courier New" w:cs="Courier New"/>
            <w:spacing w:val="-4"/>
            <w:kern w:val="0"/>
            <w:lang w:val="en-GB"/>
          </w:rPr>
          <w:t>c</w:t>
        </w:r>
      </w:hyperlink>
      <w:r w:rsidRPr="00217022">
        <w:rPr>
          <w:rFonts w:ascii="Courier New" w:hAnsi="Courier New" w:cs="Courier New"/>
          <w:spacing w:val="-4"/>
          <w:kern w:val="0"/>
          <w:lang w:val="en-GB"/>
        </w:rPr>
        <w:t>(1999.5, 2009.5), lty = 2)</w:t>
      </w:r>
    </w:p>
    <w:p w14:paraId="7D1C058E"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hyperlink r:id="rId293" w:history="1">
        <w:r w:rsidRPr="00217022">
          <w:rPr>
            <w:rFonts w:ascii="Courier New" w:hAnsi="Courier New" w:cs="Courier New"/>
            <w:spacing w:val="-4"/>
            <w:kern w:val="0"/>
            <w:lang w:val="en-GB"/>
          </w:rPr>
          <w:t>lines</w:t>
        </w:r>
      </w:hyperlink>
      <w:r w:rsidRPr="00217022">
        <w:rPr>
          <w:rFonts w:ascii="Courier New" w:hAnsi="Courier New" w:cs="Courier New"/>
          <w:spacing w:val="-4"/>
          <w:kern w:val="0"/>
          <w:lang w:val="en-GB"/>
        </w:rPr>
        <w:t>(never$year, never$x, col = "#8e549f", type = "b", pch = 15)</w:t>
      </w:r>
    </w:p>
    <w:p w14:paraId="370E0622"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hyperlink r:id="rId294" w:history="1">
        <w:r w:rsidRPr="00217022">
          <w:rPr>
            <w:rFonts w:ascii="Courier New" w:hAnsi="Courier New" w:cs="Courier New"/>
            <w:spacing w:val="-4"/>
            <w:kern w:val="0"/>
            <w:lang w:val="en-GB"/>
          </w:rPr>
          <w:t>lines</w:t>
        </w:r>
      </w:hyperlink>
      <w:r w:rsidRPr="00217022">
        <w:rPr>
          <w:rFonts w:ascii="Courier New" w:hAnsi="Courier New" w:cs="Courier New"/>
          <w:spacing w:val="-4"/>
          <w:kern w:val="0"/>
          <w:lang w:val="en-GB"/>
        </w:rPr>
        <w:t>(g1$year, g1$x, col = "#497eb3", type = "b", pch = 17)</w:t>
      </w:r>
    </w:p>
    <w:p w14:paraId="300E0F68"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hyperlink r:id="rId295" w:history="1">
        <w:r w:rsidRPr="00217022">
          <w:rPr>
            <w:rFonts w:ascii="Courier New" w:hAnsi="Courier New" w:cs="Courier New"/>
            <w:spacing w:val="-4"/>
            <w:kern w:val="0"/>
            <w:lang w:val="en-GB"/>
          </w:rPr>
          <w:t>lines</w:t>
        </w:r>
      </w:hyperlink>
      <w:r w:rsidRPr="00217022">
        <w:rPr>
          <w:rFonts w:ascii="Courier New" w:hAnsi="Courier New" w:cs="Courier New"/>
          <w:spacing w:val="-4"/>
          <w:kern w:val="0"/>
          <w:lang w:val="en-GB"/>
        </w:rPr>
        <w:t>(g2$year, g2$x, col = "#d2382c", type = "b", pch = 16)</w:t>
      </w:r>
    </w:p>
    <w:p w14:paraId="2671E672"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de-AT"/>
        </w:rPr>
      </w:pPr>
      <w:hyperlink r:id="rId296" w:history="1">
        <w:r w:rsidRPr="00217022">
          <w:rPr>
            <w:rFonts w:ascii="Courier New" w:hAnsi="Courier New" w:cs="Courier New"/>
            <w:spacing w:val="-4"/>
            <w:kern w:val="0"/>
            <w:lang w:val="de-AT"/>
          </w:rPr>
          <w:t>legend</w:t>
        </w:r>
      </w:hyperlink>
      <w:r w:rsidRPr="00217022">
        <w:rPr>
          <w:rFonts w:ascii="Courier New" w:hAnsi="Courier New" w:cs="Courier New"/>
          <w:spacing w:val="-4"/>
          <w:kern w:val="0"/>
          <w:lang w:val="de-AT"/>
        </w:rPr>
        <w:t xml:space="preserve">(x=1990, y=7.1, col = </w:t>
      </w:r>
      <w:hyperlink r:id="rId297" w:history="1">
        <w:r w:rsidRPr="00217022">
          <w:rPr>
            <w:rFonts w:ascii="Courier New" w:hAnsi="Courier New" w:cs="Courier New"/>
            <w:spacing w:val="-4"/>
            <w:kern w:val="0"/>
            <w:lang w:val="de-AT"/>
          </w:rPr>
          <w:t>c</w:t>
        </w:r>
      </w:hyperlink>
      <w:r w:rsidRPr="00217022">
        <w:rPr>
          <w:rFonts w:ascii="Courier New" w:hAnsi="Courier New" w:cs="Courier New"/>
          <w:spacing w:val="-4"/>
          <w:kern w:val="0"/>
          <w:lang w:val="de-AT"/>
        </w:rPr>
        <w:t xml:space="preserve">("#8e549f", "#497eb3", "#d2382c"), </w:t>
      </w:r>
    </w:p>
    <w:p w14:paraId="7AA258D6"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de-AT"/>
        </w:rPr>
        <w:t xml:space="preserve">       </w:t>
      </w:r>
      <w:r w:rsidRPr="00217022">
        <w:rPr>
          <w:rFonts w:ascii="Courier New" w:hAnsi="Courier New" w:cs="Courier New"/>
          <w:spacing w:val="-4"/>
          <w:kern w:val="0"/>
          <w:lang w:val="en-GB"/>
        </w:rPr>
        <w:t xml:space="preserve">pch = </w:t>
      </w:r>
      <w:hyperlink r:id="rId298" w:history="1">
        <w:r w:rsidRPr="00217022">
          <w:rPr>
            <w:rFonts w:ascii="Courier New" w:hAnsi="Courier New" w:cs="Courier New"/>
            <w:spacing w:val="-4"/>
            <w:kern w:val="0"/>
            <w:lang w:val="en-GB"/>
          </w:rPr>
          <w:t>c</w:t>
        </w:r>
      </w:hyperlink>
      <w:r w:rsidRPr="00217022">
        <w:rPr>
          <w:rFonts w:ascii="Courier New" w:hAnsi="Courier New" w:cs="Courier New"/>
          <w:spacing w:val="-4"/>
          <w:kern w:val="0"/>
          <w:lang w:val="en-GB"/>
        </w:rPr>
        <w:t>(15, 17, 16),</w:t>
      </w:r>
    </w:p>
    <w:p w14:paraId="4136F723" w14:textId="77777777" w:rsidR="00217022" w:rsidRPr="00217022" w:rsidRDefault="00217022" w:rsidP="00217022">
      <w:pPr>
        <w:pBdr>
          <w:top w:val="single" w:sz="4" w:space="1" w:color="auto"/>
          <w:left w:val="single" w:sz="4" w:space="0" w:color="auto"/>
          <w:bottom w:val="single" w:sz="4" w:space="1" w:color="auto"/>
          <w:right w:val="single" w:sz="4" w:space="4" w:color="auto"/>
        </w:pBdr>
        <w:autoSpaceDE w:val="0"/>
        <w:autoSpaceDN w:val="0"/>
        <w:adjustRightInd w:val="0"/>
        <w:spacing w:after="0" w:line="264" w:lineRule="auto"/>
        <w:rPr>
          <w:rFonts w:ascii="Courier New" w:hAnsi="Courier New" w:cs="Courier New"/>
          <w:spacing w:val="-4"/>
          <w:kern w:val="0"/>
          <w:lang w:val="en-GB"/>
        </w:rPr>
      </w:pPr>
      <w:r w:rsidRPr="00217022">
        <w:rPr>
          <w:rFonts w:ascii="Courier New" w:hAnsi="Courier New" w:cs="Courier New"/>
          <w:spacing w:val="-4"/>
          <w:kern w:val="0"/>
          <w:lang w:val="en-GB"/>
        </w:rPr>
        <w:t xml:space="preserve">       legend = </w:t>
      </w:r>
      <w:hyperlink r:id="rId299" w:history="1">
        <w:r w:rsidRPr="00217022">
          <w:rPr>
            <w:rFonts w:ascii="Courier New" w:hAnsi="Courier New" w:cs="Courier New"/>
            <w:spacing w:val="-4"/>
            <w:kern w:val="0"/>
            <w:lang w:val="en-GB"/>
          </w:rPr>
          <w:t>c</w:t>
        </w:r>
      </w:hyperlink>
      <w:r w:rsidRPr="00217022">
        <w:rPr>
          <w:rFonts w:ascii="Courier New" w:hAnsi="Courier New" w:cs="Courier New"/>
          <w:spacing w:val="-4"/>
          <w:kern w:val="0"/>
          <w:lang w:val="en-GB"/>
        </w:rPr>
        <w:t>("Never Treated", "2000", "2010"))</w:t>
      </w:r>
    </w:p>
    <w:p w14:paraId="74B3DB0B" w14:textId="77777777" w:rsidR="00217022" w:rsidRPr="00217022" w:rsidRDefault="00217022" w:rsidP="00217022">
      <w:pPr>
        <w:spacing w:after="0" w:line="264" w:lineRule="auto"/>
        <w:jc w:val="both"/>
        <w:rPr>
          <w:rFonts w:ascii="Times New Roman" w:hAnsi="Times New Roman" w:cs="Times New Roman"/>
          <w:sz w:val="28"/>
          <w:szCs w:val="28"/>
        </w:rPr>
      </w:pPr>
      <w:r w:rsidRPr="00217022">
        <w:rPr>
          <w:rFonts w:ascii="Times New Roman" w:hAnsi="Times New Roman" w:cs="Times New Roman"/>
          <w:i/>
          <w:iCs/>
        </w:rPr>
        <w:t>Źródło: https://kylebutts.github.io/did2s/.</w:t>
      </w:r>
    </w:p>
    <w:p w14:paraId="32E73354" w14:textId="77777777" w:rsidR="00217022" w:rsidRPr="00217022" w:rsidRDefault="00217022" w:rsidP="00217022">
      <w:pPr>
        <w:spacing w:after="0" w:line="240" w:lineRule="auto"/>
        <w:rPr>
          <w:rFonts w:ascii="Times New Roman" w:eastAsia="Times New Roman" w:hAnsi="Times New Roman" w:cs="Times New Roman"/>
          <w:kern w:val="0"/>
          <w:lang w:eastAsia="pl-PL"/>
          <w14:ligatures w14:val="none"/>
        </w:rPr>
      </w:pPr>
      <w:r w:rsidRPr="00217022">
        <w:rPr>
          <w:rFonts w:ascii="Times New Roman" w:eastAsia="Times New Roman" w:hAnsi="Times New Roman" w:cs="Times New Roman"/>
          <w:noProof/>
          <w:kern w:val="0"/>
          <w:lang w:eastAsia="pl-PL"/>
          <w14:ligatures w14:val="none"/>
        </w:rPr>
        <w:drawing>
          <wp:inline distT="0" distB="0" distL="0" distR="0" wp14:anchorId="5D151F98" wp14:editId="0E6A015C">
            <wp:extent cx="5810250" cy="3581400"/>
            <wp:effectExtent l="0" t="0" r="0" b="0"/>
            <wp:docPr id="1809477778" name="Obraz 1809477778" descr="Przykładowe dane z niejednorodnymi efektami lecz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zykładowe dane z niejednorodnymi efektami leczenia"/>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5810250" cy="3581400"/>
                    </a:xfrm>
                    <a:prstGeom prst="rect">
                      <a:avLst/>
                    </a:prstGeom>
                    <a:noFill/>
                    <a:ln>
                      <a:noFill/>
                    </a:ln>
                  </pic:spPr>
                </pic:pic>
              </a:graphicData>
            </a:graphic>
          </wp:inline>
        </w:drawing>
      </w:r>
    </w:p>
    <w:p w14:paraId="6AA8DA94" w14:textId="7C7B55CA" w:rsidR="00217022" w:rsidRPr="00217022" w:rsidRDefault="00217022" w:rsidP="00217022">
      <w:pPr>
        <w:spacing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lastRenderedPageBreak/>
        <w:t>Następnie jest obliczan</w:t>
      </w:r>
      <w:r w:rsidR="00A162B2">
        <w:rPr>
          <w:rFonts w:ascii="Times New Roman" w:hAnsi="Times New Roman" w:cs="Times New Roman"/>
          <w:sz w:val="28"/>
          <w:szCs w:val="28"/>
        </w:rPr>
        <w:t>y</w:t>
      </w:r>
      <w:r w:rsidRPr="00217022">
        <w:rPr>
          <w:rFonts w:ascii="Times New Roman" w:hAnsi="Times New Roman" w:cs="Times New Roman"/>
          <w:sz w:val="28"/>
          <w:szCs w:val="28"/>
        </w:rPr>
        <w:t xml:space="preserve"> syntetyczn</w:t>
      </w:r>
      <w:r w:rsidR="00A162B2">
        <w:rPr>
          <w:rFonts w:ascii="Times New Roman" w:hAnsi="Times New Roman" w:cs="Times New Roman"/>
          <w:sz w:val="28"/>
          <w:szCs w:val="28"/>
        </w:rPr>
        <w:t>y</w:t>
      </w:r>
      <w:r w:rsidRPr="00217022">
        <w:rPr>
          <w:rFonts w:ascii="Times New Roman" w:hAnsi="Times New Roman" w:cs="Times New Roman"/>
          <w:sz w:val="28"/>
          <w:szCs w:val="28"/>
        </w:rPr>
        <w:t xml:space="preserve"> ATT łącznie dla </w:t>
      </w:r>
      <w:r w:rsidR="00A162B2" w:rsidRPr="00217022">
        <w:rPr>
          <w:rFonts w:ascii="Times New Roman" w:hAnsi="Times New Roman" w:cs="Times New Roman"/>
          <w:sz w:val="28"/>
          <w:szCs w:val="28"/>
        </w:rPr>
        <w:t>jednostek</w:t>
      </w:r>
      <w:r w:rsidRPr="00217022">
        <w:rPr>
          <w:rFonts w:ascii="Times New Roman" w:hAnsi="Times New Roman" w:cs="Times New Roman"/>
          <w:sz w:val="28"/>
          <w:szCs w:val="28"/>
        </w:rPr>
        <w:t xml:space="preserve"> poddanych interwencji oraz podane</w:t>
      </w:r>
      <w:r w:rsidR="00A162B2">
        <w:rPr>
          <w:rFonts w:ascii="Times New Roman" w:hAnsi="Times New Roman" w:cs="Times New Roman"/>
          <w:sz w:val="28"/>
          <w:szCs w:val="28"/>
        </w:rPr>
        <w:t xml:space="preserve"> są</w:t>
      </w:r>
      <w:r w:rsidRPr="00217022">
        <w:rPr>
          <w:rFonts w:ascii="Times New Roman" w:hAnsi="Times New Roman" w:cs="Times New Roman"/>
          <w:sz w:val="28"/>
          <w:szCs w:val="28"/>
        </w:rPr>
        <w:t xml:space="preserve"> dane statystyczne, w tym R</w:t>
      </w:r>
      <w:r w:rsidRPr="00217022">
        <w:rPr>
          <w:rFonts w:ascii="Times New Roman" w:hAnsi="Times New Roman" w:cs="Times New Roman"/>
          <w:sz w:val="28"/>
          <w:szCs w:val="28"/>
          <w:vertAlign w:val="superscript"/>
        </w:rPr>
        <w:t>2</w:t>
      </w:r>
      <w:r w:rsidRPr="00217022">
        <w:rPr>
          <w:rFonts w:ascii="Times New Roman" w:hAnsi="Times New Roman" w:cs="Times New Roman"/>
          <w:sz w:val="28"/>
          <w:szCs w:val="28"/>
        </w:rPr>
        <w:t xml:space="preserve">, wartość statystyki t oraz jej poziom istotności. W tym przypadku efekt ten wynosił 2,15 i był zbliżony do wartości oczekiwanej wygenerowanej dzięki zastosowaniu innych formuł. </w:t>
      </w:r>
    </w:p>
    <w:p w14:paraId="6AD66164" w14:textId="77777777" w:rsidR="00217022" w:rsidRPr="00217022" w:rsidRDefault="00217022" w:rsidP="00FD4185">
      <w:pPr>
        <w:pBdr>
          <w:top w:val="single" w:sz="4" w:space="1" w:color="auto"/>
          <w:left w:val="single" w:sz="4" w:space="0" w:color="auto"/>
          <w:bottom w:val="single" w:sz="4" w:space="0"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fixest::etable(static)</w:t>
      </w:r>
    </w:p>
    <w:p w14:paraId="3D631C4F" w14:textId="77777777" w:rsidR="00217022" w:rsidRPr="00217022" w:rsidRDefault="00217022" w:rsidP="00FD4185">
      <w:pPr>
        <w:pBdr>
          <w:top w:val="single" w:sz="4" w:space="1" w:color="auto"/>
          <w:left w:val="single" w:sz="4" w:space="0" w:color="auto"/>
          <w:bottom w:val="single" w:sz="4" w:space="0"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static</w:t>
      </w:r>
    </w:p>
    <w:p w14:paraId="1E41DA98" w14:textId="77777777" w:rsidR="00217022" w:rsidRPr="00217022" w:rsidRDefault="00217022" w:rsidP="00FD4185">
      <w:pPr>
        <w:pBdr>
          <w:top w:val="single" w:sz="4" w:space="1" w:color="auto"/>
          <w:left w:val="single" w:sz="4" w:space="0" w:color="auto"/>
          <w:bottom w:val="single" w:sz="4" w:space="0"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Dependent Var.:           dep_var</w:t>
      </w:r>
    </w:p>
    <w:p w14:paraId="5F6BAF2A" w14:textId="77777777" w:rsidR="00217022" w:rsidRPr="00217022" w:rsidRDefault="00217022" w:rsidP="00FD4185">
      <w:pPr>
        <w:pBdr>
          <w:top w:val="single" w:sz="4" w:space="1" w:color="auto"/>
          <w:left w:val="single" w:sz="4" w:space="0" w:color="auto"/>
          <w:bottom w:val="single" w:sz="4" w:space="0"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 xml:space="preserve">#&gt;                                  </w:t>
      </w:r>
    </w:p>
    <w:p w14:paraId="412BD612" w14:textId="77777777" w:rsidR="00217022" w:rsidRPr="00217022" w:rsidRDefault="00217022" w:rsidP="00FD4185">
      <w:pPr>
        <w:pBdr>
          <w:top w:val="single" w:sz="4" w:space="1" w:color="auto"/>
          <w:left w:val="single" w:sz="4" w:space="0" w:color="auto"/>
          <w:bottom w:val="single" w:sz="4" w:space="0"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treat = TRUE    2.152*** (0.0476)</w:t>
      </w:r>
    </w:p>
    <w:p w14:paraId="49C03506" w14:textId="77777777" w:rsidR="00217022" w:rsidRPr="00217022" w:rsidRDefault="00217022" w:rsidP="00FD4185">
      <w:pPr>
        <w:pBdr>
          <w:top w:val="single" w:sz="4" w:space="1" w:color="auto"/>
          <w:left w:val="single" w:sz="4" w:space="0" w:color="auto"/>
          <w:bottom w:val="single" w:sz="4" w:space="0"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_______________ _________________</w:t>
      </w:r>
    </w:p>
    <w:p w14:paraId="6DBF01C4" w14:textId="77777777" w:rsidR="00217022" w:rsidRPr="00217022" w:rsidRDefault="00217022" w:rsidP="00FD4185">
      <w:pPr>
        <w:pBdr>
          <w:top w:val="single" w:sz="4" w:space="1" w:color="auto"/>
          <w:left w:val="single" w:sz="4" w:space="0" w:color="auto"/>
          <w:bottom w:val="single" w:sz="4" w:space="0"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S.E. type                  Custom</w:t>
      </w:r>
    </w:p>
    <w:p w14:paraId="53B3AD32" w14:textId="77777777" w:rsidR="00217022" w:rsidRPr="00217022" w:rsidRDefault="00217022" w:rsidP="00FD4185">
      <w:pPr>
        <w:pBdr>
          <w:top w:val="single" w:sz="4" w:space="1" w:color="auto"/>
          <w:left w:val="single" w:sz="4" w:space="0" w:color="auto"/>
          <w:bottom w:val="single" w:sz="4" w:space="0"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Observations               46,500</w:t>
      </w:r>
    </w:p>
    <w:p w14:paraId="2F082DB5" w14:textId="77777777" w:rsidR="00217022" w:rsidRPr="00217022" w:rsidRDefault="00217022" w:rsidP="00FD4185">
      <w:pPr>
        <w:pBdr>
          <w:top w:val="single" w:sz="4" w:space="1" w:color="auto"/>
          <w:left w:val="single" w:sz="4" w:space="0" w:color="auto"/>
          <w:bottom w:val="single" w:sz="4" w:space="0"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R2                        0.33790</w:t>
      </w:r>
    </w:p>
    <w:p w14:paraId="67CE4AB9" w14:textId="77777777" w:rsidR="00217022" w:rsidRPr="00217022" w:rsidRDefault="00217022" w:rsidP="00FD4185">
      <w:pPr>
        <w:pBdr>
          <w:top w:val="single" w:sz="4" w:space="1" w:color="auto"/>
          <w:left w:val="single" w:sz="4" w:space="0" w:color="auto"/>
          <w:bottom w:val="single" w:sz="4" w:space="0"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Adj. R2                   0.33790</w:t>
      </w:r>
    </w:p>
    <w:p w14:paraId="70159078" w14:textId="77777777" w:rsidR="00217022" w:rsidRPr="00217022" w:rsidRDefault="00217022" w:rsidP="00FD4185">
      <w:pPr>
        <w:pBdr>
          <w:top w:val="single" w:sz="4" w:space="1" w:color="auto"/>
          <w:left w:val="single" w:sz="4" w:space="0" w:color="auto"/>
          <w:bottom w:val="single" w:sz="4" w:space="0"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GB"/>
        </w:rPr>
      </w:pPr>
      <w:r w:rsidRPr="00217022">
        <w:rPr>
          <w:rFonts w:ascii="Courier New" w:hAnsi="Courier New" w:cs="Courier New"/>
          <w:spacing w:val="-4"/>
          <w:kern w:val="0"/>
          <w:sz w:val="20"/>
          <w:szCs w:val="20"/>
          <w:lang w:val="en-GB"/>
        </w:rPr>
        <w:t>#&gt; ---</w:t>
      </w:r>
    </w:p>
    <w:p w14:paraId="06542FB4" w14:textId="77777777" w:rsidR="00217022" w:rsidRPr="00217022" w:rsidRDefault="00217022" w:rsidP="00FD4185">
      <w:pPr>
        <w:pBdr>
          <w:top w:val="single" w:sz="4" w:space="1" w:color="auto"/>
          <w:left w:val="single" w:sz="4" w:space="0" w:color="auto"/>
          <w:bottom w:val="single" w:sz="4" w:space="0" w:color="auto"/>
          <w:right w:val="single" w:sz="4" w:space="4" w:color="auto"/>
        </w:pBdr>
        <w:autoSpaceDE w:val="0"/>
        <w:autoSpaceDN w:val="0"/>
        <w:adjustRightInd w:val="0"/>
        <w:spacing w:after="0" w:line="264" w:lineRule="auto"/>
        <w:rPr>
          <w:rFonts w:ascii="Courier New" w:hAnsi="Courier New" w:cs="Courier New"/>
          <w:spacing w:val="-4"/>
          <w:kern w:val="0"/>
          <w:sz w:val="20"/>
          <w:szCs w:val="20"/>
          <w:lang w:val="en-US"/>
        </w:rPr>
      </w:pPr>
      <w:r w:rsidRPr="00217022">
        <w:rPr>
          <w:rFonts w:ascii="Courier New" w:hAnsi="Courier New" w:cs="Courier New"/>
          <w:spacing w:val="-4"/>
          <w:kern w:val="0"/>
          <w:sz w:val="20"/>
          <w:szCs w:val="20"/>
          <w:lang w:val="en-GB"/>
        </w:rPr>
        <w:t xml:space="preserve">#&gt; Signif. codes: 0 '***' 0.001 '**' 0.01 '*' 0.05 '.' </w:t>
      </w:r>
      <w:r w:rsidRPr="00217022">
        <w:rPr>
          <w:rFonts w:ascii="Courier New" w:hAnsi="Courier New" w:cs="Courier New"/>
          <w:spacing w:val="-4"/>
          <w:kern w:val="0"/>
          <w:sz w:val="20"/>
          <w:szCs w:val="20"/>
          <w:lang w:val="en-US"/>
        </w:rPr>
        <w:t>0.1 ' ' 1</w:t>
      </w:r>
    </w:p>
    <w:p w14:paraId="66B6B347" w14:textId="77777777" w:rsidR="00217022" w:rsidRPr="00217022" w:rsidRDefault="00217022" w:rsidP="00217022">
      <w:pPr>
        <w:spacing w:before="160" w:after="0" w:line="264" w:lineRule="auto"/>
        <w:jc w:val="both"/>
        <w:rPr>
          <w:rFonts w:ascii="Times New Roman" w:hAnsi="Times New Roman" w:cs="Times New Roman"/>
          <w:sz w:val="28"/>
          <w:szCs w:val="28"/>
          <w:lang w:val="en-GB"/>
        </w:rPr>
      </w:pPr>
      <w:r w:rsidRPr="00217022">
        <w:rPr>
          <w:rFonts w:ascii="Times New Roman" w:hAnsi="Times New Roman" w:cs="Times New Roman"/>
          <w:i/>
          <w:iCs/>
          <w:lang w:val="en-GB"/>
        </w:rPr>
        <w:t>Źródło: Butts, K., &amp; Gardner, J. (2021). {did2s}: Two-stage difference-in-differences. arXiv preprint arXiv:2109.05913.</w:t>
      </w:r>
    </w:p>
    <w:p w14:paraId="0A088F0D" w14:textId="77777777" w:rsidR="00217022" w:rsidRPr="00217022" w:rsidRDefault="00217022" w:rsidP="00217022">
      <w:pPr>
        <w:spacing w:after="0" w:line="264" w:lineRule="auto"/>
        <w:ind w:firstLine="709"/>
        <w:jc w:val="both"/>
        <w:rPr>
          <w:rFonts w:ascii="Times New Roman" w:hAnsi="Times New Roman" w:cs="Times New Roman"/>
          <w:sz w:val="28"/>
          <w:szCs w:val="28"/>
          <w:lang w:val="en-GB"/>
        </w:rPr>
      </w:pPr>
    </w:p>
    <w:p w14:paraId="05649A8D" w14:textId="67E6B260"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Zaprezentowane podejścia i sposoby oszacowywania estymatorów DID nie wyczerpują wszystkich propozycji przedstawianych przez ekonometryków.  W przeprowadzonych badaniach zaprezentowano jedynie wybrane modele i podejścia</w:t>
      </w:r>
      <w:r w:rsidR="007014BA">
        <w:rPr>
          <w:rFonts w:ascii="Times New Roman" w:hAnsi="Times New Roman" w:cs="Times New Roman"/>
          <w:sz w:val="28"/>
          <w:szCs w:val="28"/>
        </w:rPr>
        <w:t>,</w:t>
      </w:r>
      <w:r w:rsidRPr="00217022">
        <w:rPr>
          <w:rFonts w:ascii="Times New Roman" w:hAnsi="Times New Roman" w:cs="Times New Roman"/>
          <w:sz w:val="28"/>
          <w:szCs w:val="28"/>
        </w:rPr>
        <w:t xml:space="preserve"> ograniczając się do najbardziej popularnych w literaturze przedmiotu. Dobór metody, a więc wybór potencjalnie innego rozwiązania</w:t>
      </w:r>
      <w:r w:rsidR="007014BA">
        <w:rPr>
          <w:rFonts w:ascii="Times New Roman" w:hAnsi="Times New Roman" w:cs="Times New Roman"/>
          <w:sz w:val="28"/>
          <w:szCs w:val="28"/>
        </w:rPr>
        <w:t>,</w:t>
      </w:r>
      <w:r w:rsidRPr="00217022">
        <w:rPr>
          <w:rFonts w:ascii="Times New Roman" w:hAnsi="Times New Roman" w:cs="Times New Roman"/>
          <w:sz w:val="28"/>
          <w:szCs w:val="28"/>
        </w:rPr>
        <w:t xml:space="preserve"> może jednak wynikać z charakterystyki badanej zbiorowości i specyfiki danych </w:t>
      </w:r>
      <w:r w:rsidR="007014BA">
        <w:rPr>
          <w:rFonts w:ascii="Times New Roman" w:hAnsi="Times New Roman" w:cs="Times New Roman"/>
          <w:sz w:val="28"/>
          <w:szCs w:val="28"/>
        </w:rPr>
        <w:t>oraz</w:t>
      </w:r>
      <w:r w:rsidRPr="00217022">
        <w:rPr>
          <w:rFonts w:ascii="Times New Roman" w:hAnsi="Times New Roman" w:cs="Times New Roman"/>
          <w:sz w:val="28"/>
          <w:szCs w:val="28"/>
        </w:rPr>
        <w:t xml:space="preserve"> ich własności uzyskanych jako materiał wyjściowy w drodze badan empirycznych.</w:t>
      </w:r>
    </w:p>
    <w:p w14:paraId="7F89C8DE" w14:textId="039CFB1E"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Wykorzystanie metody DID do badań ewaluacyjnych ma niewątpliwe zalety i wady (tabela </w:t>
      </w:r>
      <w:r w:rsidR="00FC6E62">
        <w:rPr>
          <w:rFonts w:ascii="Times New Roman" w:hAnsi="Times New Roman" w:cs="Times New Roman"/>
          <w:sz w:val="28"/>
          <w:szCs w:val="28"/>
        </w:rPr>
        <w:t>10</w:t>
      </w:r>
      <w:r w:rsidRPr="00217022">
        <w:rPr>
          <w:rFonts w:ascii="Times New Roman" w:hAnsi="Times New Roman" w:cs="Times New Roman"/>
          <w:sz w:val="28"/>
          <w:szCs w:val="28"/>
        </w:rPr>
        <w:t>)</w:t>
      </w:r>
      <w:r w:rsidR="00FD4185">
        <w:rPr>
          <w:rFonts w:ascii="Times New Roman" w:hAnsi="Times New Roman" w:cs="Times New Roman"/>
          <w:sz w:val="28"/>
          <w:szCs w:val="28"/>
        </w:rPr>
        <w:t>.</w:t>
      </w:r>
    </w:p>
    <w:p w14:paraId="63EBEEF2" w14:textId="77777777" w:rsidR="00217022" w:rsidRPr="00217022" w:rsidRDefault="00217022" w:rsidP="00217022">
      <w:pPr>
        <w:spacing w:after="0" w:line="264" w:lineRule="auto"/>
        <w:ind w:firstLine="709"/>
        <w:jc w:val="both"/>
        <w:rPr>
          <w:rFonts w:ascii="Times New Roman" w:hAnsi="Times New Roman" w:cs="Times New Roman"/>
          <w:sz w:val="28"/>
          <w:szCs w:val="28"/>
        </w:rPr>
      </w:pPr>
    </w:p>
    <w:p w14:paraId="6D3AB552" w14:textId="180A1A3E" w:rsidR="00217022" w:rsidRPr="00AD4D3E" w:rsidRDefault="00217022" w:rsidP="00AD4D3E">
      <w:pPr>
        <w:spacing w:after="0" w:line="264" w:lineRule="auto"/>
        <w:rPr>
          <w:rFonts w:ascii="Times New Roman" w:hAnsi="Times New Roman" w:cs="Times New Roman"/>
          <w:spacing w:val="-4"/>
          <w:sz w:val="28"/>
          <w:szCs w:val="28"/>
        </w:rPr>
      </w:pPr>
      <w:r w:rsidRPr="00E226AA">
        <w:rPr>
          <w:rFonts w:ascii="Times New Roman" w:hAnsi="Times New Roman" w:cs="Times New Roman"/>
          <w:b/>
          <w:bCs/>
          <w:sz w:val="28"/>
          <w:szCs w:val="28"/>
        </w:rPr>
        <w:t xml:space="preserve">Tabela </w:t>
      </w:r>
      <w:r w:rsidR="00FC6E62">
        <w:rPr>
          <w:rFonts w:ascii="Times New Roman" w:hAnsi="Times New Roman" w:cs="Times New Roman"/>
          <w:b/>
          <w:bCs/>
          <w:sz w:val="28"/>
          <w:szCs w:val="28"/>
        </w:rPr>
        <w:t>10</w:t>
      </w:r>
      <w:r w:rsidRPr="00E226AA">
        <w:rPr>
          <w:rFonts w:ascii="Times New Roman" w:hAnsi="Times New Roman" w:cs="Times New Roman"/>
          <w:b/>
          <w:bCs/>
          <w:sz w:val="28"/>
          <w:szCs w:val="28"/>
        </w:rPr>
        <w:t>.</w:t>
      </w:r>
      <w:r w:rsidRPr="00217022">
        <w:rPr>
          <w:rFonts w:ascii="Times New Roman" w:hAnsi="Times New Roman" w:cs="Times New Roman"/>
          <w:sz w:val="28"/>
          <w:szCs w:val="28"/>
        </w:rPr>
        <w:t xml:space="preserve"> </w:t>
      </w:r>
      <w:r w:rsidRPr="00AD4D3E">
        <w:rPr>
          <w:rFonts w:ascii="Times New Roman" w:hAnsi="Times New Roman" w:cs="Times New Roman"/>
          <w:spacing w:val="-4"/>
          <w:sz w:val="28"/>
          <w:szCs w:val="28"/>
        </w:rPr>
        <w:t>Główne zalety i wady metody DID z punktu widzenia ewaluacyjnego</w:t>
      </w:r>
    </w:p>
    <w:tbl>
      <w:tblPr>
        <w:tblStyle w:val="Tabela-Siatka1"/>
        <w:tblW w:w="0" w:type="auto"/>
        <w:tblLook w:val="04A0" w:firstRow="1" w:lastRow="0" w:firstColumn="1" w:lastColumn="0" w:noHBand="0" w:noVBand="1"/>
      </w:tblPr>
      <w:tblGrid>
        <w:gridCol w:w="4673"/>
        <w:gridCol w:w="4388"/>
      </w:tblGrid>
      <w:tr w:rsidR="00217022" w:rsidRPr="00217022" w14:paraId="556600F3" w14:textId="77777777" w:rsidTr="005D3575">
        <w:tc>
          <w:tcPr>
            <w:tcW w:w="4673" w:type="dxa"/>
          </w:tcPr>
          <w:p w14:paraId="004AEADA" w14:textId="77777777" w:rsidR="00217022" w:rsidRPr="00217022" w:rsidRDefault="00217022" w:rsidP="00217022">
            <w:pPr>
              <w:spacing w:line="264" w:lineRule="auto"/>
              <w:jc w:val="center"/>
              <w:rPr>
                <w:rFonts w:ascii="Times New Roman" w:hAnsi="Times New Roman" w:cs="Times New Roman"/>
                <w:sz w:val="22"/>
                <w:szCs w:val="22"/>
              </w:rPr>
            </w:pPr>
            <w:r w:rsidRPr="00217022">
              <w:rPr>
                <w:rFonts w:ascii="Times New Roman" w:hAnsi="Times New Roman" w:cs="Times New Roman"/>
                <w:sz w:val="22"/>
                <w:szCs w:val="22"/>
              </w:rPr>
              <w:t>Zalety</w:t>
            </w:r>
          </w:p>
        </w:tc>
        <w:tc>
          <w:tcPr>
            <w:tcW w:w="4388" w:type="dxa"/>
          </w:tcPr>
          <w:p w14:paraId="55205B93" w14:textId="77777777" w:rsidR="00217022" w:rsidRPr="00217022" w:rsidRDefault="00217022" w:rsidP="00217022">
            <w:pPr>
              <w:spacing w:line="264" w:lineRule="auto"/>
              <w:jc w:val="center"/>
              <w:rPr>
                <w:rFonts w:ascii="Times New Roman" w:hAnsi="Times New Roman" w:cs="Times New Roman"/>
                <w:sz w:val="22"/>
                <w:szCs w:val="22"/>
              </w:rPr>
            </w:pPr>
            <w:r w:rsidRPr="00217022">
              <w:rPr>
                <w:rFonts w:ascii="Times New Roman" w:hAnsi="Times New Roman" w:cs="Times New Roman"/>
                <w:sz w:val="22"/>
                <w:szCs w:val="22"/>
              </w:rPr>
              <w:t>Wady</w:t>
            </w:r>
          </w:p>
        </w:tc>
      </w:tr>
      <w:tr w:rsidR="00217022" w:rsidRPr="00217022" w14:paraId="0FA7C401" w14:textId="77777777" w:rsidTr="00FD4185">
        <w:trPr>
          <w:trHeight w:val="3249"/>
        </w:trPr>
        <w:tc>
          <w:tcPr>
            <w:tcW w:w="4673" w:type="dxa"/>
          </w:tcPr>
          <w:p w14:paraId="453F5DBE" w14:textId="77777777" w:rsidR="00217022" w:rsidRPr="00217022" w:rsidRDefault="00217022" w:rsidP="00217022">
            <w:pPr>
              <w:numPr>
                <w:ilvl w:val="0"/>
                <w:numId w:val="66"/>
              </w:numPr>
              <w:shd w:val="clear" w:color="auto" w:fill="FFFFFF"/>
              <w:spacing w:before="100" w:beforeAutospacing="1" w:after="100" w:afterAutospacing="1"/>
              <w:ind w:left="306" w:hanging="306"/>
              <w:contextualSpacing/>
              <w:rPr>
                <w:rFonts w:ascii="Times New Roman" w:eastAsia="Times New Roman" w:hAnsi="Times New Roman" w:cs="Times New Roman"/>
                <w:color w:val="171B1F"/>
                <w:kern w:val="0"/>
                <w:sz w:val="22"/>
                <w:szCs w:val="22"/>
                <w:lang w:eastAsia="pl-PL"/>
                <w14:ligatures w14:val="none"/>
              </w:rPr>
            </w:pPr>
            <w:r w:rsidRPr="00217022">
              <w:rPr>
                <w:rFonts w:ascii="Times New Roman" w:eastAsia="Times New Roman" w:hAnsi="Times New Roman" w:cs="Times New Roman"/>
                <w:color w:val="171B1F"/>
                <w:kern w:val="0"/>
                <w:sz w:val="22"/>
                <w:szCs w:val="22"/>
                <w:lang w:eastAsia="pl-PL"/>
                <w14:ligatures w14:val="none"/>
              </w:rPr>
              <w:t>Pozwala kontrolować nieobserwowaną heterogeniczność zmiennych, która może mieć wpływ na wyniki, ale tylko przy założeniu, że nie zmienia się ona w czasie lub w takim samym stopniu w grupie docelowej jak kontrolnej.</w:t>
            </w:r>
          </w:p>
          <w:p w14:paraId="2AFC1858" w14:textId="77777777" w:rsidR="00217022" w:rsidRPr="00217022" w:rsidRDefault="00217022" w:rsidP="00217022">
            <w:pPr>
              <w:numPr>
                <w:ilvl w:val="0"/>
                <w:numId w:val="66"/>
              </w:numPr>
              <w:ind w:left="306" w:hanging="306"/>
              <w:contextualSpacing/>
              <w:rPr>
                <w:rFonts w:ascii="Times New Roman" w:eastAsia="Times New Roman" w:hAnsi="Times New Roman" w:cs="Times New Roman"/>
                <w:color w:val="171B1F"/>
                <w:kern w:val="0"/>
                <w:sz w:val="22"/>
                <w:szCs w:val="22"/>
                <w:lang w:eastAsia="pl-PL"/>
                <w14:ligatures w14:val="none"/>
              </w:rPr>
            </w:pPr>
            <w:r w:rsidRPr="00217022">
              <w:rPr>
                <w:rFonts w:ascii="Times New Roman" w:eastAsia="Times New Roman" w:hAnsi="Times New Roman" w:cs="Times New Roman"/>
                <w:color w:val="171B1F"/>
                <w:kern w:val="0"/>
                <w:sz w:val="22"/>
                <w:szCs w:val="22"/>
                <w:lang w:eastAsia="pl-PL"/>
                <w14:ligatures w14:val="none"/>
              </w:rPr>
              <w:t>Elastyczne podejście, które pozwala na wstępną ocenę wyników na podstawie ilustracji graficznej.</w:t>
            </w:r>
          </w:p>
          <w:p w14:paraId="243EA50A" w14:textId="77777777" w:rsidR="00217022" w:rsidRPr="00217022" w:rsidRDefault="00217022" w:rsidP="00217022">
            <w:pPr>
              <w:numPr>
                <w:ilvl w:val="0"/>
                <w:numId w:val="66"/>
              </w:numPr>
              <w:ind w:left="306" w:hanging="306"/>
              <w:contextualSpacing/>
              <w:rPr>
                <w:rFonts w:ascii="Times New Roman" w:eastAsia="Times New Roman" w:hAnsi="Times New Roman" w:cs="Times New Roman"/>
                <w:color w:val="171B1F"/>
                <w:kern w:val="0"/>
                <w:sz w:val="22"/>
                <w:szCs w:val="22"/>
                <w:lang w:eastAsia="pl-PL"/>
                <w14:ligatures w14:val="none"/>
              </w:rPr>
            </w:pPr>
            <w:r w:rsidRPr="00217022">
              <w:rPr>
                <w:rFonts w:ascii="Times New Roman" w:eastAsia="Times New Roman" w:hAnsi="Times New Roman" w:cs="Times New Roman"/>
                <w:color w:val="171B1F"/>
                <w:kern w:val="0"/>
                <w:sz w:val="22"/>
                <w:szCs w:val="22"/>
                <w:lang w:eastAsia="pl-PL"/>
                <w14:ligatures w14:val="none"/>
              </w:rPr>
              <w:t>Pozwala określić nie tylko poziom wpływu, ale przy zachowaniu określonych warunków przyczynowość zjawiska</w:t>
            </w:r>
          </w:p>
          <w:p w14:paraId="124E2589" w14:textId="2B7F8B16" w:rsidR="00217022" w:rsidRPr="00217022" w:rsidRDefault="00217022" w:rsidP="00217022">
            <w:pPr>
              <w:numPr>
                <w:ilvl w:val="0"/>
                <w:numId w:val="66"/>
              </w:numPr>
              <w:ind w:left="306" w:hanging="306"/>
              <w:contextualSpacing/>
              <w:rPr>
                <w:rFonts w:ascii="Times New Roman" w:hAnsi="Times New Roman" w:cs="Times New Roman"/>
                <w:sz w:val="22"/>
                <w:szCs w:val="22"/>
              </w:rPr>
            </w:pPr>
            <w:r w:rsidRPr="00217022">
              <w:rPr>
                <w:rFonts w:ascii="Times New Roman" w:eastAsia="Times New Roman" w:hAnsi="Times New Roman" w:cs="Times New Roman"/>
                <w:color w:val="171B1F"/>
                <w:kern w:val="0"/>
                <w:sz w:val="22"/>
                <w:szCs w:val="22"/>
                <w:lang w:eastAsia="pl-PL"/>
                <w14:ligatures w14:val="none"/>
              </w:rPr>
              <w:t>Możliwość łatwego użycia kombinacji estymatorów lub</w:t>
            </w:r>
            <w:r w:rsidR="007014BA">
              <w:rPr>
                <w:rFonts w:ascii="Times New Roman" w:eastAsia="Times New Roman" w:hAnsi="Times New Roman" w:cs="Times New Roman"/>
                <w:color w:val="171B1F"/>
                <w:kern w:val="0"/>
                <w:sz w:val="22"/>
                <w:szCs w:val="22"/>
                <w:lang w:eastAsia="pl-PL"/>
                <w14:ligatures w14:val="none"/>
              </w:rPr>
              <w:t xml:space="preserve"> ich</w:t>
            </w:r>
            <w:r w:rsidRPr="00217022">
              <w:rPr>
                <w:rFonts w:ascii="Times New Roman" w:eastAsia="Times New Roman" w:hAnsi="Times New Roman" w:cs="Times New Roman"/>
                <w:color w:val="171B1F"/>
                <w:kern w:val="0"/>
                <w:sz w:val="22"/>
                <w:szCs w:val="22"/>
                <w:lang w:eastAsia="pl-PL"/>
                <w14:ligatures w14:val="none"/>
              </w:rPr>
              <w:t xml:space="preserve"> łączenia </w:t>
            </w:r>
            <w:r w:rsidR="007014BA">
              <w:rPr>
                <w:rFonts w:ascii="Times New Roman" w:eastAsia="Times New Roman" w:hAnsi="Times New Roman" w:cs="Times New Roman"/>
                <w:color w:val="171B1F"/>
                <w:kern w:val="0"/>
                <w:sz w:val="22"/>
                <w:szCs w:val="22"/>
                <w:lang w:eastAsia="pl-PL"/>
                <w14:ligatures w14:val="none"/>
              </w:rPr>
              <w:t>z</w:t>
            </w:r>
            <w:r w:rsidRPr="00217022">
              <w:rPr>
                <w:rFonts w:ascii="Times New Roman" w:eastAsia="Times New Roman" w:hAnsi="Times New Roman" w:cs="Times New Roman"/>
                <w:color w:val="171B1F"/>
                <w:kern w:val="0"/>
                <w:sz w:val="22"/>
                <w:szCs w:val="22"/>
                <w:lang w:eastAsia="pl-PL"/>
                <w14:ligatures w14:val="none"/>
              </w:rPr>
              <w:t xml:space="preserve"> </w:t>
            </w:r>
            <w:r w:rsidR="007014BA">
              <w:rPr>
                <w:rFonts w:ascii="Times New Roman" w:eastAsia="Times New Roman" w:hAnsi="Times New Roman" w:cs="Times New Roman"/>
                <w:color w:val="171B1F"/>
                <w:kern w:val="0"/>
                <w:sz w:val="22"/>
                <w:szCs w:val="22"/>
                <w:lang w:eastAsia="pl-PL"/>
                <w14:ligatures w14:val="none"/>
              </w:rPr>
              <w:t>i</w:t>
            </w:r>
            <w:r w:rsidRPr="00217022">
              <w:rPr>
                <w:rFonts w:ascii="Times New Roman" w:eastAsia="Times New Roman" w:hAnsi="Times New Roman" w:cs="Times New Roman"/>
                <w:color w:val="171B1F"/>
                <w:kern w:val="0"/>
                <w:sz w:val="22"/>
                <w:szCs w:val="22"/>
                <w:lang w:eastAsia="pl-PL"/>
                <w14:ligatures w14:val="none"/>
              </w:rPr>
              <w:t xml:space="preserve">nnymi metodami </w:t>
            </w:r>
          </w:p>
        </w:tc>
        <w:tc>
          <w:tcPr>
            <w:tcW w:w="4388" w:type="dxa"/>
          </w:tcPr>
          <w:p w14:paraId="5B02B563" w14:textId="77777777" w:rsidR="00217022" w:rsidRPr="00217022" w:rsidRDefault="00217022" w:rsidP="00217022">
            <w:pPr>
              <w:numPr>
                <w:ilvl w:val="0"/>
                <w:numId w:val="67"/>
              </w:numPr>
              <w:shd w:val="clear" w:color="auto" w:fill="FFFFFF"/>
              <w:spacing w:before="100" w:beforeAutospacing="1" w:after="100" w:afterAutospacing="1"/>
              <w:ind w:left="319" w:right="-116" w:hanging="283"/>
              <w:contextualSpacing/>
              <w:rPr>
                <w:rFonts w:ascii="Times New Roman" w:eastAsia="Times New Roman" w:hAnsi="Times New Roman" w:cs="Times New Roman"/>
                <w:color w:val="171B1F"/>
                <w:kern w:val="0"/>
                <w:sz w:val="22"/>
                <w:szCs w:val="22"/>
                <w:lang w:eastAsia="pl-PL"/>
                <w14:ligatures w14:val="none"/>
              </w:rPr>
            </w:pPr>
            <w:r w:rsidRPr="00217022">
              <w:rPr>
                <w:rFonts w:ascii="Times New Roman" w:eastAsia="Times New Roman" w:hAnsi="Times New Roman" w:cs="Times New Roman"/>
                <w:color w:val="171B1F"/>
                <w:kern w:val="0"/>
                <w:sz w:val="22"/>
                <w:szCs w:val="22"/>
                <w:lang w:eastAsia="pl-PL"/>
                <w14:ligatures w14:val="none"/>
              </w:rPr>
              <w:t>Oparcie obliczeń o założenie równoległych trendów zmiennej wynikowej dla grupie poddanej interwencji oraz odniesienia. Niespełnienie tego wymogu może powodować nieprawidłowe wyniki estymacji.</w:t>
            </w:r>
          </w:p>
          <w:p w14:paraId="11F56EC9" w14:textId="107CBC14" w:rsidR="00217022" w:rsidRPr="00217022" w:rsidRDefault="00217022" w:rsidP="00217022">
            <w:pPr>
              <w:numPr>
                <w:ilvl w:val="0"/>
                <w:numId w:val="67"/>
              </w:numPr>
              <w:ind w:left="319" w:hanging="319"/>
              <w:contextualSpacing/>
              <w:rPr>
                <w:rFonts w:ascii="Times New Roman" w:hAnsi="Times New Roman" w:cs="Times New Roman"/>
                <w:sz w:val="22"/>
                <w:szCs w:val="22"/>
              </w:rPr>
            </w:pPr>
            <w:r w:rsidRPr="00217022">
              <w:rPr>
                <w:rFonts w:ascii="Times New Roman" w:eastAsia="Times New Roman" w:hAnsi="Times New Roman" w:cs="Times New Roman"/>
                <w:color w:val="171B1F"/>
                <w:kern w:val="0"/>
                <w:sz w:val="22"/>
                <w:szCs w:val="22"/>
                <w:lang w:eastAsia="pl-PL"/>
                <w14:ligatures w14:val="none"/>
              </w:rPr>
              <w:t>Zasadniczo mniej odporn</w:t>
            </w:r>
            <w:r w:rsidR="007014BA">
              <w:rPr>
                <w:rFonts w:ascii="Times New Roman" w:eastAsia="Times New Roman" w:hAnsi="Times New Roman" w:cs="Times New Roman"/>
                <w:color w:val="171B1F"/>
                <w:kern w:val="0"/>
                <w:sz w:val="22"/>
                <w:szCs w:val="22"/>
                <w:lang w:eastAsia="pl-PL"/>
                <w14:ligatures w14:val="none"/>
              </w:rPr>
              <w:t>a</w:t>
            </w:r>
            <w:r w:rsidRPr="00217022">
              <w:rPr>
                <w:rFonts w:ascii="Times New Roman" w:eastAsia="Times New Roman" w:hAnsi="Times New Roman" w:cs="Times New Roman"/>
                <w:color w:val="171B1F"/>
                <w:kern w:val="0"/>
                <w:sz w:val="22"/>
                <w:szCs w:val="22"/>
                <w:lang w:eastAsia="pl-PL"/>
                <w14:ligatures w14:val="none"/>
              </w:rPr>
              <w:t xml:space="preserve"> niż inne metody quasi-eksperymentalne (np. PSM lub PSM i DID</w:t>
            </w:r>
            <w:r w:rsidR="007014BA">
              <w:rPr>
                <w:rFonts w:ascii="Times New Roman" w:eastAsia="Times New Roman" w:hAnsi="Times New Roman" w:cs="Times New Roman"/>
                <w:color w:val="171B1F"/>
                <w:kern w:val="0"/>
                <w:sz w:val="22"/>
                <w:szCs w:val="22"/>
                <w:lang w:eastAsia="pl-PL"/>
                <w14:ligatures w14:val="none"/>
              </w:rPr>
              <w:t>)</w:t>
            </w:r>
            <w:r w:rsidRPr="00217022">
              <w:rPr>
                <w:rFonts w:ascii="Times New Roman" w:eastAsia="Times New Roman" w:hAnsi="Times New Roman" w:cs="Times New Roman"/>
                <w:color w:val="171B1F"/>
                <w:kern w:val="0"/>
                <w:sz w:val="22"/>
                <w:szCs w:val="22"/>
                <w:lang w:eastAsia="pl-PL"/>
                <w14:ligatures w14:val="none"/>
              </w:rPr>
              <w:t xml:space="preserve"> na niespełnienie założeń metody. W niektórych przypadkach warun</w:t>
            </w:r>
            <w:r w:rsidR="007014BA">
              <w:rPr>
                <w:rFonts w:ascii="Times New Roman" w:eastAsia="Times New Roman" w:hAnsi="Times New Roman" w:cs="Times New Roman"/>
                <w:color w:val="171B1F"/>
                <w:kern w:val="0"/>
                <w:sz w:val="22"/>
                <w:szCs w:val="22"/>
                <w:lang w:eastAsia="pl-PL"/>
                <w14:ligatures w14:val="none"/>
              </w:rPr>
              <w:t>ku</w:t>
            </w:r>
            <w:r w:rsidRPr="00217022">
              <w:rPr>
                <w:rFonts w:ascii="Times New Roman" w:eastAsia="Times New Roman" w:hAnsi="Times New Roman" w:cs="Times New Roman"/>
                <w:color w:val="171B1F"/>
                <w:kern w:val="0"/>
                <w:sz w:val="22"/>
                <w:szCs w:val="22"/>
                <w:lang w:eastAsia="pl-PL"/>
                <w14:ligatures w14:val="none"/>
              </w:rPr>
              <w:t xml:space="preserve"> równoległości trendów nie można</w:t>
            </w:r>
            <w:r w:rsidR="007014BA" w:rsidRPr="00217022">
              <w:rPr>
                <w:rFonts w:ascii="Times New Roman" w:eastAsia="Times New Roman" w:hAnsi="Times New Roman" w:cs="Times New Roman"/>
                <w:color w:val="171B1F"/>
                <w:kern w:val="0"/>
                <w:sz w:val="22"/>
                <w:szCs w:val="22"/>
                <w:lang w:eastAsia="pl-PL"/>
                <w14:ligatures w14:val="none"/>
              </w:rPr>
              <w:t xml:space="preserve"> zweryfikować</w:t>
            </w:r>
            <w:r w:rsidRPr="00217022">
              <w:rPr>
                <w:rFonts w:ascii="Times New Roman" w:eastAsia="Times New Roman" w:hAnsi="Times New Roman" w:cs="Times New Roman"/>
                <w:color w:val="171B1F"/>
                <w:kern w:val="0"/>
                <w:sz w:val="22"/>
                <w:szCs w:val="22"/>
                <w:lang w:eastAsia="pl-PL"/>
                <w14:ligatures w14:val="none"/>
              </w:rPr>
              <w:t xml:space="preserve"> lub jest</w:t>
            </w:r>
            <w:r w:rsidR="007014BA">
              <w:rPr>
                <w:rFonts w:ascii="Times New Roman" w:eastAsia="Times New Roman" w:hAnsi="Times New Roman" w:cs="Times New Roman"/>
                <w:color w:val="171B1F"/>
                <w:kern w:val="0"/>
                <w:sz w:val="22"/>
                <w:szCs w:val="22"/>
                <w:lang w:eastAsia="pl-PL"/>
                <w14:ligatures w14:val="none"/>
              </w:rPr>
              <w:t xml:space="preserve"> to</w:t>
            </w:r>
            <w:r w:rsidRPr="00217022">
              <w:rPr>
                <w:rFonts w:ascii="Times New Roman" w:eastAsia="Times New Roman" w:hAnsi="Times New Roman" w:cs="Times New Roman"/>
                <w:color w:val="171B1F"/>
                <w:kern w:val="0"/>
                <w:sz w:val="22"/>
                <w:szCs w:val="22"/>
                <w:lang w:eastAsia="pl-PL"/>
                <w14:ligatures w14:val="none"/>
              </w:rPr>
              <w:t xml:space="preserve"> trudn</w:t>
            </w:r>
            <w:r w:rsidR="007014BA">
              <w:rPr>
                <w:rFonts w:ascii="Times New Roman" w:eastAsia="Times New Roman" w:hAnsi="Times New Roman" w:cs="Times New Roman"/>
                <w:color w:val="171B1F"/>
                <w:kern w:val="0"/>
                <w:sz w:val="22"/>
                <w:szCs w:val="22"/>
                <w:lang w:eastAsia="pl-PL"/>
                <w14:ligatures w14:val="none"/>
              </w:rPr>
              <w:t>e</w:t>
            </w:r>
            <w:r w:rsidRPr="00217022">
              <w:rPr>
                <w:rFonts w:ascii="Times New Roman" w:eastAsia="Times New Roman" w:hAnsi="Times New Roman" w:cs="Times New Roman"/>
                <w:color w:val="171B1F"/>
                <w:kern w:val="0"/>
                <w:sz w:val="22"/>
                <w:szCs w:val="22"/>
                <w:lang w:eastAsia="pl-PL"/>
                <w14:ligatures w14:val="none"/>
              </w:rPr>
              <w:t xml:space="preserve">  </w:t>
            </w:r>
          </w:p>
        </w:tc>
      </w:tr>
    </w:tbl>
    <w:p w14:paraId="32170992" w14:textId="77777777" w:rsidR="00217022" w:rsidRPr="00217022" w:rsidRDefault="00217022" w:rsidP="00217022">
      <w:pPr>
        <w:jc w:val="both"/>
        <w:rPr>
          <w:rFonts w:ascii="Times New Roman" w:hAnsi="Times New Roman" w:cs="Times New Roman"/>
          <w:i/>
          <w:iCs/>
        </w:rPr>
      </w:pPr>
      <w:r w:rsidRPr="00217022">
        <w:rPr>
          <w:rFonts w:ascii="Times New Roman" w:hAnsi="Times New Roman" w:cs="Times New Roman"/>
          <w:i/>
          <w:iCs/>
        </w:rPr>
        <w:t>Źródło: EU CAP https://eu-cap-network.ec.europa.eu ( data dostępu 10.08.2024).</w:t>
      </w:r>
    </w:p>
    <w:p w14:paraId="27E191EB" w14:textId="77777777" w:rsidR="00217022" w:rsidRPr="00217022" w:rsidRDefault="00217022" w:rsidP="00217022">
      <w:pPr>
        <w:spacing w:line="259" w:lineRule="auto"/>
        <w:jc w:val="both"/>
        <w:rPr>
          <w:rFonts w:ascii="Times New Roman" w:hAnsi="Times New Roman" w:cs="Times New Roman"/>
          <w:b/>
          <w:bCs/>
          <w:sz w:val="32"/>
          <w:szCs w:val="32"/>
        </w:rPr>
      </w:pPr>
      <w:r w:rsidRPr="00217022">
        <w:rPr>
          <w:rFonts w:ascii="Times New Roman" w:hAnsi="Times New Roman" w:cs="Times New Roman"/>
          <w:b/>
          <w:bCs/>
          <w:sz w:val="28"/>
          <w:szCs w:val="28"/>
        </w:rPr>
        <w:lastRenderedPageBreak/>
        <w:t>6.3. Przykłady użycia w ubezpieczeniach rolnych</w:t>
      </w:r>
    </w:p>
    <w:p w14:paraId="13A79D3F" w14:textId="3D48C6FA"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W praktyce wykorzystanie metody DID i jej różnych odmian nie jest zbyt powszechne w badaniu ewaluacji ubezpieczeń rolnych z uwagi na fakt, że warstwa metodyczna, a tym samym dostępne pakiety informatyczne</w:t>
      </w:r>
      <w:r w:rsidR="00DC19CB">
        <w:rPr>
          <w:rFonts w:ascii="Times New Roman" w:hAnsi="Times New Roman" w:cs="Times New Roman"/>
          <w:sz w:val="28"/>
          <w:szCs w:val="28"/>
        </w:rPr>
        <w:t>,</w:t>
      </w:r>
      <w:r w:rsidRPr="00217022">
        <w:rPr>
          <w:rFonts w:ascii="Times New Roman" w:hAnsi="Times New Roman" w:cs="Times New Roman"/>
          <w:sz w:val="28"/>
          <w:szCs w:val="28"/>
        </w:rPr>
        <w:t xml:space="preserve"> są dynamicznie rozwijane, jednak dopiero w ostatnich latach wiele rozwiązań zostało udostępnionych badaczom. Zbliżone do przedstawionego najprostszego modelu TWFE rozwiązanie zostało zastosowane przez Younga (2023). Analizował on wpływ reformy Farm Bill 2018 na skłonność do ubezpieczania upraw rolnych przez różne grupy potencjalnie osób wykluczanych w tym: rdzennych etnicznie mieszkańców (głównie Indian,) Latynosów, Afroamerykanów czy też weteranów wojennych. W procesie analitycznym zastosował on model zbliżony do regresji wielorakiej z efektami stałymi według następującej formuły:</w:t>
      </w:r>
    </w:p>
    <w:p w14:paraId="20482832" w14:textId="77777777" w:rsidR="00217022" w:rsidRPr="00217022" w:rsidRDefault="00217022" w:rsidP="00217022">
      <w:pPr>
        <w:spacing w:before="120" w:after="120" w:line="264" w:lineRule="auto"/>
        <w:jc w:val="both"/>
        <w:rPr>
          <w:rFonts w:ascii="Times New Roman" w:hAnsi="Times New Roman" w:cs="Times New Roman"/>
          <w:sz w:val="28"/>
          <w:szCs w:val="28"/>
          <w:vertAlign w:val="subscript"/>
        </w:rPr>
      </w:pPr>
      <w:r w:rsidRPr="00217022">
        <w:rPr>
          <w:rFonts w:ascii="Times New Roman" w:hAnsi="Times New Roman" w:cs="Times New Roman"/>
          <w:sz w:val="28"/>
          <w:szCs w:val="28"/>
        </w:rPr>
        <w:t>Υ</w:t>
      </w:r>
      <w:r w:rsidRPr="00217022">
        <w:rPr>
          <w:rFonts w:ascii="Cambria Math" w:hAnsi="Cambria Math" w:cs="Cambria Math"/>
          <w:sz w:val="28"/>
          <w:szCs w:val="28"/>
        </w:rPr>
        <w:t>𝑖</w:t>
      </w:r>
      <w:r w:rsidRPr="00217022">
        <w:rPr>
          <w:rFonts w:ascii="Times New Roman" w:hAnsi="Times New Roman" w:cs="Times New Roman"/>
          <w:sz w:val="28"/>
          <w:szCs w:val="28"/>
        </w:rPr>
        <w:t xml:space="preserve"> = </w:t>
      </w:r>
      <w:r w:rsidRPr="00217022">
        <w:rPr>
          <w:rFonts w:ascii="Cambria Math" w:hAnsi="Cambria Math" w:cs="Cambria Math"/>
          <w:sz w:val="28"/>
          <w:szCs w:val="28"/>
        </w:rPr>
        <w:t>𝛼</w:t>
      </w:r>
      <w:r w:rsidRPr="00217022">
        <w:rPr>
          <w:rFonts w:ascii="Times New Roman" w:hAnsi="Times New Roman" w:cs="Times New Roman"/>
          <w:sz w:val="28"/>
          <w:szCs w:val="28"/>
        </w:rPr>
        <w:t xml:space="preserve"> + </w:t>
      </w:r>
      <w:r w:rsidRPr="00217022">
        <w:rPr>
          <w:rFonts w:ascii="Cambria Math" w:hAnsi="Cambria Math" w:cs="Cambria Math"/>
          <w:sz w:val="28"/>
          <w:szCs w:val="28"/>
        </w:rPr>
        <w:t>𝛽</w:t>
      </w:r>
      <w:r w:rsidRPr="00217022">
        <w:rPr>
          <w:rFonts w:ascii="Times New Roman" w:hAnsi="Times New Roman" w:cs="Times New Roman"/>
          <w:sz w:val="28"/>
          <w:szCs w:val="28"/>
        </w:rPr>
        <w:t>(</w:t>
      </w:r>
      <w:r w:rsidRPr="00217022">
        <w:rPr>
          <w:rFonts w:ascii="Cambria Math" w:hAnsi="Cambria Math" w:cs="Cambria Math"/>
          <w:sz w:val="28"/>
          <w:szCs w:val="28"/>
        </w:rPr>
        <w:t>𝐹𝐵</w:t>
      </w:r>
      <w:r w:rsidRPr="00217022">
        <w:rPr>
          <w:rFonts w:ascii="Cambria Math" w:hAnsi="Cambria Math" w:cs="Cambria Math"/>
          <w:sz w:val="28"/>
          <w:szCs w:val="28"/>
          <w:vertAlign w:val="subscript"/>
        </w:rPr>
        <w:t>𝑖</w:t>
      </w:r>
      <w:r w:rsidRPr="00217022">
        <w:rPr>
          <w:rFonts w:ascii="Times New Roman" w:hAnsi="Times New Roman" w:cs="Times New Roman"/>
          <w:sz w:val="28"/>
          <w:szCs w:val="28"/>
        </w:rPr>
        <w:t xml:space="preserve">) + </w:t>
      </w:r>
      <w:r w:rsidRPr="00217022">
        <w:rPr>
          <w:rFonts w:ascii="Cambria Math" w:hAnsi="Cambria Math" w:cs="Cambria Math"/>
          <w:sz w:val="28"/>
          <w:szCs w:val="28"/>
        </w:rPr>
        <w:t>𝛿</w:t>
      </w:r>
      <w:r w:rsidRPr="00217022">
        <w:rPr>
          <w:rFonts w:ascii="Times New Roman" w:hAnsi="Times New Roman" w:cs="Times New Roman"/>
          <w:sz w:val="28"/>
          <w:szCs w:val="28"/>
        </w:rPr>
        <w:t>(</w:t>
      </w:r>
      <w:bookmarkStart w:id="36" w:name="_Hlk181631287"/>
      <w:r w:rsidRPr="00217022">
        <w:rPr>
          <w:rFonts w:ascii="Cambria Math" w:hAnsi="Cambria Math" w:cs="Cambria Math"/>
          <w:sz w:val="28"/>
          <w:szCs w:val="28"/>
        </w:rPr>
        <w:t>𝐶𝑜𝑢𝑛𝑡𝑦</w:t>
      </w:r>
      <w:r w:rsidRPr="00217022">
        <w:rPr>
          <w:rFonts w:ascii="Cambria Math" w:hAnsi="Cambria Math" w:cs="Cambria Math"/>
          <w:sz w:val="28"/>
          <w:szCs w:val="28"/>
          <w:vertAlign w:val="subscript"/>
        </w:rPr>
        <w:t>𝑖</w:t>
      </w:r>
      <w:bookmarkEnd w:id="36"/>
      <w:r w:rsidRPr="00217022">
        <w:rPr>
          <w:rFonts w:ascii="Times New Roman" w:hAnsi="Times New Roman" w:cs="Times New Roman"/>
          <w:sz w:val="28"/>
          <w:szCs w:val="28"/>
        </w:rPr>
        <w:t xml:space="preserve">)+ </w:t>
      </w:r>
      <w:r w:rsidRPr="00217022">
        <w:rPr>
          <w:rFonts w:ascii="Cambria Math" w:hAnsi="Cambria Math" w:cs="Cambria Math"/>
          <w:sz w:val="28"/>
          <w:szCs w:val="28"/>
        </w:rPr>
        <w:t>𝛿</w:t>
      </w:r>
      <w:r w:rsidRPr="00217022">
        <w:rPr>
          <w:rFonts w:ascii="Times New Roman" w:hAnsi="Times New Roman" w:cs="Times New Roman"/>
          <w:sz w:val="28"/>
          <w:szCs w:val="28"/>
        </w:rPr>
        <w:t>(</w:t>
      </w:r>
      <w:r w:rsidRPr="00217022">
        <w:rPr>
          <w:rFonts w:ascii="Cambria Math" w:hAnsi="Cambria Math" w:cs="Cambria Math"/>
          <w:sz w:val="28"/>
          <w:szCs w:val="28"/>
        </w:rPr>
        <w:t>𝐹𝐵𝑖</w:t>
      </w:r>
      <w:r w:rsidRPr="00217022">
        <w:rPr>
          <w:rFonts w:ascii="Times New Roman" w:hAnsi="Times New Roman" w:cs="Times New Roman"/>
          <w:sz w:val="28"/>
          <w:szCs w:val="28"/>
        </w:rPr>
        <w:t xml:space="preserve"> </w:t>
      </w:r>
      <w:r w:rsidRPr="00217022">
        <w:rPr>
          <w:rFonts w:ascii="Cambria Math" w:hAnsi="Cambria Math" w:cs="Cambria Math"/>
          <w:sz w:val="28"/>
          <w:szCs w:val="28"/>
        </w:rPr>
        <w:t>∗</w:t>
      </w:r>
      <w:r w:rsidRPr="00217022">
        <w:rPr>
          <w:rFonts w:ascii="Times New Roman" w:hAnsi="Times New Roman" w:cs="Times New Roman"/>
          <w:sz w:val="28"/>
          <w:szCs w:val="28"/>
        </w:rPr>
        <w:t xml:space="preserve"> </w:t>
      </w:r>
      <w:r w:rsidRPr="00217022">
        <w:rPr>
          <w:rFonts w:ascii="Cambria Math" w:hAnsi="Cambria Math" w:cs="Cambria Math"/>
          <w:sz w:val="28"/>
          <w:szCs w:val="28"/>
        </w:rPr>
        <w:t>𝑉𝑒𝑡</w:t>
      </w:r>
      <w:r w:rsidRPr="00217022">
        <w:rPr>
          <w:rFonts w:ascii="Cambria Math" w:hAnsi="Cambria Math" w:cs="Cambria Math"/>
          <w:sz w:val="28"/>
          <w:szCs w:val="28"/>
          <w:vertAlign w:val="subscript"/>
        </w:rPr>
        <w:t>𝑖</w:t>
      </w:r>
      <w:r w:rsidRPr="00217022">
        <w:rPr>
          <w:rFonts w:ascii="Times New Roman" w:hAnsi="Times New Roman" w:cs="Times New Roman"/>
          <w:sz w:val="28"/>
          <w:szCs w:val="28"/>
        </w:rPr>
        <w:t xml:space="preserve">) + </w:t>
      </w:r>
      <w:r w:rsidRPr="00217022">
        <w:rPr>
          <w:rFonts w:ascii="Cambria Math" w:hAnsi="Cambria Math" w:cs="Cambria Math"/>
          <w:sz w:val="28"/>
          <w:szCs w:val="28"/>
        </w:rPr>
        <w:t>𝛿</w:t>
      </w:r>
      <w:r w:rsidRPr="00217022">
        <w:rPr>
          <w:rFonts w:ascii="Times New Roman" w:hAnsi="Times New Roman" w:cs="Times New Roman"/>
          <w:sz w:val="28"/>
          <w:szCs w:val="28"/>
        </w:rPr>
        <w:t>(</w:t>
      </w:r>
      <w:r w:rsidRPr="00217022">
        <w:rPr>
          <w:rFonts w:ascii="Cambria Math" w:hAnsi="Cambria Math" w:cs="Cambria Math"/>
          <w:sz w:val="28"/>
          <w:szCs w:val="28"/>
        </w:rPr>
        <w:t>𝐹𝐵𝑖</w:t>
      </w:r>
      <w:r w:rsidRPr="00217022">
        <w:rPr>
          <w:rFonts w:ascii="Times New Roman" w:hAnsi="Times New Roman" w:cs="Times New Roman"/>
          <w:sz w:val="28"/>
          <w:szCs w:val="28"/>
        </w:rPr>
        <w:t xml:space="preserve"> </w:t>
      </w:r>
      <w:r w:rsidRPr="00217022">
        <w:rPr>
          <w:rFonts w:ascii="Cambria Math" w:hAnsi="Cambria Math" w:cs="Cambria Math"/>
          <w:sz w:val="28"/>
          <w:szCs w:val="28"/>
        </w:rPr>
        <w:t>∗</w:t>
      </w:r>
      <w:r w:rsidRPr="00217022">
        <w:rPr>
          <w:rFonts w:ascii="Times New Roman" w:hAnsi="Times New Roman" w:cs="Times New Roman"/>
          <w:sz w:val="28"/>
          <w:szCs w:val="28"/>
        </w:rPr>
        <w:t xml:space="preserve"> </w:t>
      </w:r>
      <w:r w:rsidRPr="00217022">
        <w:rPr>
          <w:rFonts w:ascii="Cambria Math" w:hAnsi="Cambria Math" w:cs="Cambria Math"/>
          <w:sz w:val="28"/>
          <w:szCs w:val="28"/>
        </w:rPr>
        <w:t>𝐵𝑙𝑎𝑐𝑘</w:t>
      </w:r>
      <w:r w:rsidRPr="00217022">
        <w:rPr>
          <w:rFonts w:ascii="Cambria Math" w:hAnsi="Cambria Math" w:cs="Cambria Math"/>
          <w:sz w:val="28"/>
          <w:szCs w:val="28"/>
          <w:vertAlign w:val="subscript"/>
        </w:rPr>
        <w:t>𝑖</w:t>
      </w:r>
      <w:r w:rsidRPr="00217022">
        <w:rPr>
          <w:rFonts w:ascii="Times New Roman" w:hAnsi="Times New Roman" w:cs="Times New Roman"/>
          <w:sz w:val="28"/>
          <w:szCs w:val="28"/>
        </w:rPr>
        <w:t xml:space="preserve">)+ </w:t>
      </w:r>
      <w:r w:rsidRPr="00217022">
        <w:rPr>
          <w:rFonts w:ascii="Cambria Math" w:hAnsi="Cambria Math" w:cs="Cambria Math"/>
          <w:sz w:val="28"/>
          <w:szCs w:val="28"/>
        </w:rPr>
        <w:t>𝛿</w:t>
      </w:r>
      <w:r w:rsidRPr="00217022">
        <w:rPr>
          <w:rFonts w:ascii="Times New Roman" w:hAnsi="Times New Roman" w:cs="Times New Roman"/>
          <w:sz w:val="28"/>
          <w:szCs w:val="28"/>
        </w:rPr>
        <w:t>(</w:t>
      </w:r>
      <w:r w:rsidRPr="00217022">
        <w:rPr>
          <w:rFonts w:ascii="Cambria Math" w:hAnsi="Cambria Math" w:cs="Cambria Math"/>
          <w:sz w:val="28"/>
          <w:szCs w:val="28"/>
        </w:rPr>
        <w:t>𝐹𝐵𝑖</w:t>
      </w:r>
      <w:r w:rsidRPr="00217022">
        <w:rPr>
          <w:rFonts w:ascii="Times New Roman" w:hAnsi="Times New Roman" w:cs="Times New Roman"/>
          <w:sz w:val="28"/>
          <w:szCs w:val="28"/>
        </w:rPr>
        <w:t xml:space="preserve"> </w:t>
      </w:r>
      <w:r w:rsidRPr="00217022">
        <w:rPr>
          <w:rFonts w:ascii="Cambria Math" w:hAnsi="Cambria Math" w:cs="Cambria Math"/>
          <w:sz w:val="28"/>
          <w:szCs w:val="28"/>
        </w:rPr>
        <w:t>∗</w:t>
      </w:r>
      <w:r w:rsidRPr="00217022">
        <w:rPr>
          <w:rFonts w:ascii="Times New Roman" w:hAnsi="Times New Roman" w:cs="Times New Roman"/>
          <w:sz w:val="28"/>
          <w:szCs w:val="28"/>
        </w:rPr>
        <w:t xml:space="preserve"> </w:t>
      </w:r>
      <w:r w:rsidRPr="00217022">
        <w:rPr>
          <w:rFonts w:ascii="Cambria Math" w:hAnsi="Cambria Math" w:cs="Cambria Math"/>
          <w:sz w:val="28"/>
          <w:szCs w:val="28"/>
        </w:rPr>
        <w:t>𝑁𝑎𝑡𝑖𝑣𝑒</w:t>
      </w:r>
      <w:r w:rsidRPr="00217022">
        <w:rPr>
          <w:rFonts w:ascii="Cambria Math" w:hAnsi="Cambria Math" w:cs="Cambria Math"/>
          <w:sz w:val="28"/>
          <w:szCs w:val="28"/>
          <w:vertAlign w:val="subscript"/>
        </w:rPr>
        <w:t>𝑖</w:t>
      </w:r>
      <w:r w:rsidRPr="00217022">
        <w:rPr>
          <w:rFonts w:ascii="Times New Roman" w:hAnsi="Times New Roman" w:cs="Times New Roman"/>
          <w:sz w:val="28"/>
          <w:szCs w:val="28"/>
        </w:rPr>
        <w:t xml:space="preserve">)+ </w:t>
      </w:r>
      <w:r w:rsidRPr="00217022">
        <w:rPr>
          <w:rFonts w:ascii="Cambria Math" w:hAnsi="Cambria Math" w:cs="Cambria Math"/>
          <w:sz w:val="28"/>
          <w:szCs w:val="28"/>
        </w:rPr>
        <w:t>𝛿</w:t>
      </w:r>
      <w:r w:rsidRPr="00217022">
        <w:rPr>
          <w:rFonts w:ascii="Times New Roman" w:hAnsi="Times New Roman" w:cs="Times New Roman"/>
          <w:sz w:val="28"/>
          <w:szCs w:val="28"/>
        </w:rPr>
        <w:t>(</w:t>
      </w:r>
      <w:r w:rsidRPr="00217022">
        <w:rPr>
          <w:rFonts w:ascii="Cambria Math" w:hAnsi="Cambria Math" w:cs="Cambria Math"/>
          <w:sz w:val="28"/>
          <w:szCs w:val="28"/>
        </w:rPr>
        <w:t>𝐹𝐵𝑖</w:t>
      </w:r>
      <w:r w:rsidRPr="00217022">
        <w:rPr>
          <w:rFonts w:ascii="Times New Roman" w:hAnsi="Times New Roman" w:cs="Times New Roman"/>
          <w:sz w:val="28"/>
          <w:szCs w:val="28"/>
        </w:rPr>
        <w:t xml:space="preserve"> </w:t>
      </w:r>
      <w:r w:rsidRPr="00217022">
        <w:rPr>
          <w:rFonts w:ascii="Cambria Math" w:hAnsi="Cambria Math" w:cs="Cambria Math"/>
          <w:sz w:val="28"/>
          <w:szCs w:val="28"/>
        </w:rPr>
        <w:t>∗</w:t>
      </w:r>
      <w:r w:rsidRPr="00217022">
        <w:rPr>
          <w:rFonts w:ascii="Times New Roman" w:hAnsi="Times New Roman" w:cs="Times New Roman"/>
          <w:sz w:val="28"/>
          <w:szCs w:val="28"/>
        </w:rPr>
        <w:t xml:space="preserve"> </w:t>
      </w:r>
      <w:r w:rsidRPr="00217022">
        <w:rPr>
          <w:rFonts w:ascii="Cambria Math" w:hAnsi="Cambria Math" w:cs="Cambria Math"/>
          <w:sz w:val="28"/>
          <w:szCs w:val="28"/>
        </w:rPr>
        <w:t>𝐻𝑖𝑠𝑝𝑎𝑛𝑖𝑐</w:t>
      </w:r>
      <w:r w:rsidRPr="00217022">
        <w:rPr>
          <w:rFonts w:ascii="Cambria Math" w:hAnsi="Cambria Math" w:cs="Cambria Math"/>
          <w:sz w:val="28"/>
          <w:szCs w:val="28"/>
          <w:vertAlign w:val="subscript"/>
        </w:rPr>
        <w:t>𝑖</w:t>
      </w:r>
      <w:r w:rsidRPr="00217022">
        <w:rPr>
          <w:rFonts w:ascii="Times New Roman" w:hAnsi="Times New Roman" w:cs="Times New Roman"/>
          <w:sz w:val="28"/>
          <w:szCs w:val="28"/>
        </w:rPr>
        <w:t xml:space="preserve">) + </w:t>
      </w:r>
      <w:r w:rsidRPr="00217022">
        <w:rPr>
          <w:rFonts w:ascii="Cambria Math" w:hAnsi="Cambria Math" w:cs="Cambria Math"/>
          <w:sz w:val="28"/>
          <w:szCs w:val="28"/>
        </w:rPr>
        <w:t>𝛿</w:t>
      </w:r>
      <w:r w:rsidRPr="00217022">
        <w:rPr>
          <w:rFonts w:ascii="Times New Roman" w:hAnsi="Times New Roman" w:cs="Times New Roman"/>
          <w:sz w:val="28"/>
          <w:szCs w:val="28"/>
        </w:rPr>
        <w:t>(</w:t>
      </w:r>
      <w:r w:rsidRPr="00217022">
        <w:rPr>
          <w:rFonts w:ascii="Cambria Math" w:hAnsi="Cambria Math" w:cs="Cambria Math"/>
          <w:sz w:val="28"/>
          <w:szCs w:val="28"/>
        </w:rPr>
        <w:t>𝐷𝑟𝑜𝑢𝑔</w:t>
      </w:r>
      <w:r w:rsidRPr="00217022">
        <w:rPr>
          <w:rFonts w:ascii="Times New Roman" w:hAnsi="Times New Roman" w:cs="Times New Roman"/>
          <w:sz w:val="28"/>
          <w:szCs w:val="28"/>
        </w:rPr>
        <w:t>ℎ</w:t>
      </w:r>
      <w:r w:rsidRPr="00217022">
        <w:rPr>
          <w:rFonts w:ascii="Times New Roman" w:hAnsi="Times New Roman" w:cs="Times New Roman"/>
          <w:i/>
          <w:iCs/>
          <w:sz w:val="28"/>
          <w:szCs w:val="28"/>
        </w:rPr>
        <w:t>t</w:t>
      </w:r>
      <w:r w:rsidRPr="00217022">
        <w:rPr>
          <w:rFonts w:ascii="Cambria Math" w:hAnsi="Cambria Math" w:cs="Cambria Math"/>
          <w:sz w:val="28"/>
          <w:szCs w:val="28"/>
          <w:vertAlign w:val="subscript"/>
        </w:rPr>
        <w:t>𝑡</w:t>
      </w:r>
      <w:r w:rsidRPr="00217022">
        <w:rPr>
          <w:rFonts w:ascii="Times New Roman" w:hAnsi="Times New Roman" w:cs="Times New Roman"/>
          <w:sz w:val="28"/>
          <w:szCs w:val="28"/>
        </w:rPr>
        <w:t xml:space="preserve">) + </w:t>
      </w:r>
      <w:r w:rsidRPr="00217022">
        <w:rPr>
          <w:rFonts w:ascii="Cambria Math" w:hAnsi="Cambria Math" w:cs="Cambria Math"/>
          <w:sz w:val="28"/>
          <w:szCs w:val="28"/>
        </w:rPr>
        <w:t>𝛿</w:t>
      </w:r>
      <w:r w:rsidRPr="00217022">
        <w:rPr>
          <w:rFonts w:ascii="Times New Roman" w:hAnsi="Times New Roman" w:cs="Times New Roman"/>
          <w:sz w:val="28"/>
          <w:szCs w:val="28"/>
        </w:rPr>
        <w:t>(</w:t>
      </w:r>
      <w:r w:rsidRPr="00217022">
        <w:rPr>
          <w:rFonts w:ascii="Cambria Math" w:hAnsi="Cambria Math" w:cs="Cambria Math"/>
          <w:sz w:val="28"/>
          <w:szCs w:val="28"/>
        </w:rPr>
        <w:t>𝐷𝑟𝑜𝑢𝑔</w:t>
      </w:r>
      <w:r w:rsidRPr="00217022">
        <w:rPr>
          <w:rFonts w:ascii="Times New Roman" w:hAnsi="Times New Roman" w:cs="Times New Roman"/>
          <w:sz w:val="28"/>
          <w:szCs w:val="28"/>
        </w:rPr>
        <w:t>ℎ</w:t>
      </w:r>
      <w:r w:rsidRPr="00217022">
        <w:rPr>
          <w:rFonts w:ascii="Cambria Math" w:hAnsi="Cambria Math" w:cs="Cambria Math"/>
          <w:sz w:val="28"/>
          <w:szCs w:val="28"/>
        </w:rPr>
        <w:t>𝑡</w:t>
      </w:r>
      <w:r w:rsidRPr="00217022">
        <w:rPr>
          <w:rFonts w:ascii="Cambria Math" w:hAnsi="Cambria Math" w:cs="Cambria Math"/>
          <w:sz w:val="28"/>
          <w:szCs w:val="28"/>
          <w:vertAlign w:val="subscript"/>
        </w:rPr>
        <w:t>𝑡</w:t>
      </w:r>
      <w:r w:rsidRPr="00217022">
        <w:rPr>
          <w:rFonts w:ascii="Times New Roman" w:hAnsi="Times New Roman" w:cs="Times New Roman"/>
          <w:sz w:val="28"/>
          <w:szCs w:val="28"/>
          <w:vertAlign w:val="subscript"/>
        </w:rPr>
        <w:t>−1</w:t>
      </w:r>
      <w:r w:rsidRPr="00217022">
        <w:rPr>
          <w:rFonts w:ascii="Times New Roman" w:hAnsi="Times New Roman" w:cs="Times New Roman"/>
          <w:sz w:val="28"/>
          <w:szCs w:val="28"/>
        </w:rPr>
        <w:t xml:space="preserve">)+ </w:t>
      </w:r>
      <w:r w:rsidRPr="00217022">
        <w:rPr>
          <w:rFonts w:ascii="Cambria Math" w:hAnsi="Cambria Math" w:cs="Cambria Math"/>
          <w:sz w:val="28"/>
          <w:szCs w:val="28"/>
        </w:rPr>
        <w:t>𝜀</w:t>
      </w:r>
      <w:r w:rsidRPr="00217022">
        <w:rPr>
          <w:rFonts w:ascii="Tahoma" w:hAnsi="Tahoma" w:cs="Tahoma"/>
          <w:sz w:val="28"/>
          <w:szCs w:val="28"/>
          <w:vertAlign w:val="subscript"/>
        </w:rPr>
        <w:t>l</w:t>
      </w:r>
      <w:r w:rsidRPr="00217022">
        <w:rPr>
          <w:rFonts w:ascii="Times New Roman" w:hAnsi="Times New Roman" w:cs="Times New Roman"/>
          <w:sz w:val="28"/>
          <w:szCs w:val="28"/>
          <w:vertAlign w:val="subscript"/>
        </w:rPr>
        <w:t xml:space="preserve"> </w:t>
      </w:r>
      <w:r w:rsidRPr="00217022">
        <w:rPr>
          <w:rFonts w:ascii="Times New Roman" w:hAnsi="Times New Roman" w:cs="Times New Roman"/>
          <w:sz w:val="28"/>
          <w:szCs w:val="28"/>
        </w:rPr>
        <w:t>.</w:t>
      </w:r>
    </w:p>
    <w:p w14:paraId="0B3AC362" w14:textId="038B0E81"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W regresji tej wykorzystał zmienną </w:t>
      </w:r>
      <w:r w:rsidRPr="00217022">
        <w:rPr>
          <w:rFonts w:ascii="Cambria Math" w:hAnsi="Cambria Math" w:cs="Cambria Math"/>
          <w:sz w:val="28"/>
          <w:szCs w:val="28"/>
        </w:rPr>
        <w:t>𝐹𝐵</w:t>
      </w:r>
      <w:r w:rsidRPr="00217022">
        <w:rPr>
          <w:rFonts w:ascii="Cambria Math" w:hAnsi="Cambria Math" w:cs="Cambria Math"/>
          <w:sz w:val="28"/>
          <w:szCs w:val="28"/>
          <w:vertAlign w:val="subscript"/>
        </w:rPr>
        <w:t>𝑖</w:t>
      </w:r>
      <w:r w:rsidRPr="00217022">
        <w:rPr>
          <w:rFonts w:ascii="Cambria Math" w:hAnsi="Cambria Math" w:cs="Cambria Math"/>
          <w:sz w:val="28"/>
          <w:szCs w:val="28"/>
        </w:rPr>
        <w:t xml:space="preserve"> jako binarną, przyjmującą wartość 0 przed wdrożeniem ustawy</w:t>
      </w:r>
      <w:r w:rsidRPr="00217022">
        <w:rPr>
          <w:rFonts w:ascii="Times New Roman" w:hAnsi="Times New Roman" w:cs="Times New Roman"/>
          <w:sz w:val="28"/>
          <w:szCs w:val="28"/>
        </w:rPr>
        <w:t xml:space="preserve"> Farm Bill 2018 </w:t>
      </w:r>
      <w:r w:rsidRPr="00217022">
        <w:rPr>
          <w:rFonts w:ascii="Cambria Math" w:hAnsi="Cambria Math" w:cs="Cambria Math"/>
          <w:sz w:val="28"/>
          <w:szCs w:val="28"/>
        </w:rPr>
        <w:t>i 1 po jej wdrożeniu. Następnie</w:t>
      </w:r>
      <w:r w:rsidRPr="00217022">
        <w:t xml:space="preserve"> </w:t>
      </w:r>
      <w:r w:rsidRPr="00217022">
        <w:rPr>
          <w:rFonts w:ascii="Times New Roman" w:hAnsi="Times New Roman" w:cs="Times New Roman"/>
          <w:sz w:val="28"/>
          <w:szCs w:val="28"/>
        </w:rPr>
        <w:t>uwzględnił zmienną</w:t>
      </w:r>
      <w:r w:rsidRPr="00217022">
        <w:t xml:space="preserve"> </w:t>
      </w:r>
      <w:r w:rsidRPr="00217022">
        <w:rPr>
          <w:rFonts w:ascii="Cambria Math" w:hAnsi="Cambria Math" w:cs="Cambria Math"/>
          <w:sz w:val="28"/>
          <w:szCs w:val="28"/>
        </w:rPr>
        <w:t>𝐶𝑜𝑢𝑛𝑡𝑦</w:t>
      </w:r>
      <w:r w:rsidRPr="00217022">
        <w:rPr>
          <w:rFonts w:ascii="Cambria Math" w:hAnsi="Cambria Math" w:cs="Cambria Math"/>
          <w:sz w:val="28"/>
          <w:szCs w:val="28"/>
          <w:vertAlign w:val="subscript"/>
        </w:rPr>
        <w:t>𝑖</w:t>
      </w:r>
      <w:r w:rsidRPr="00217022">
        <w:rPr>
          <w:rFonts w:ascii="Times New Roman" w:hAnsi="Times New Roman" w:cs="Times New Roman"/>
          <w:sz w:val="28"/>
          <w:szCs w:val="28"/>
        </w:rPr>
        <w:t xml:space="preserve"> jako efekt stały charakterystyczny dla każdego konkretnego hrabstwa w USA oraz zmienne interakcyjne pomiędzy wdrożeniem reformy (</w:t>
      </w:r>
      <w:r w:rsidRPr="00217022">
        <w:rPr>
          <w:rFonts w:ascii="Cambria Math" w:hAnsi="Cambria Math" w:cs="Cambria Math"/>
          <w:sz w:val="28"/>
          <w:szCs w:val="28"/>
        </w:rPr>
        <w:t>𝐹𝐵</w:t>
      </w:r>
      <w:r w:rsidRPr="00217022">
        <w:rPr>
          <w:rFonts w:ascii="Cambria Math" w:hAnsi="Cambria Math" w:cs="Cambria Math"/>
          <w:sz w:val="28"/>
          <w:szCs w:val="28"/>
          <w:vertAlign w:val="subscript"/>
        </w:rPr>
        <w:t>𝑖</w:t>
      </w:r>
      <w:r w:rsidRPr="00217022">
        <w:rPr>
          <w:rFonts w:ascii="Cambria Math" w:hAnsi="Cambria Math" w:cs="Cambria Math"/>
          <w:sz w:val="28"/>
          <w:szCs w:val="28"/>
        </w:rPr>
        <w:t>)</w:t>
      </w:r>
      <w:r w:rsidRPr="00217022">
        <w:rPr>
          <w:rFonts w:ascii="Times New Roman" w:hAnsi="Times New Roman" w:cs="Times New Roman"/>
          <w:sz w:val="28"/>
          <w:szCs w:val="28"/>
        </w:rPr>
        <w:t xml:space="preserve"> a: </w:t>
      </w:r>
      <w:r w:rsidRPr="00217022">
        <w:rPr>
          <w:rFonts w:ascii="Cambria Math" w:hAnsi="Cambria Math" w:cs="Cambria Math"/>
          <w:sz w:val="28"/>
          <w:szCs w:val="28"/>
        </w:rPr>
        <w:t>𝑉𝑒𝑡</w:t>
      </w:r>
      <w:r w:rsidRPr="00217022">
        <w:rPr>
          <w:rFonts w:ascii="Cambria Math" w:hAnsi="Cambria Math" w:cs="Cambria Math"/>
          <w:sz w:val="28"/>
          <w:szCs w:val="28"/>
          <w:vertAlign w:val="subscript"/>
        </w:rPr>
        <w:t>𝑖</w:t>
      </w:r>
      <w:r w:rsidRPr="00217022">
        <w:rPr>
          <w:rFonts w:ascii="Times New Roman" w:hAnsi="Times New Roman" w:cs="Times New Roman"/>
          <w:sz w:val="28"/>
          <w:szCs w:val="28"/>
        </w:rPr>
        <w:t xml:space="preserve"> (grupą weteranów), </w:t>
      </w:r>
      <w:r w:rsidRPr="00217022">
        <w:rPr>
          <w:rFonts w:ascii="Cambria Math" w:hAnsi="Cambria Math" w:cs="Cambria Math"/>
          <w:sz w:val="28"/>
          <w:szCs w:val="28"/>
        </w:rPr>
        <w:t>𝐵𝑙𝑎𝑐𝑘</w:t>
      </w:r>
      <w:r w:rsidRPr="00217022">
        <w:rPr>
          <w:rFonts w:ascii="Cambria Math" w:hAnsi="Cambria Math" w:cs="Cambria Math"/>
          <w:sz w:val="28"/>
          <w:szCs w:val="28"/>
          <w:vertAlign w:val="subscript"/>
        </w:rPr>
        <w:t>𝑖</w:t>
      </w:r>
      <w:r w:rsidRPr="00217022">
        <w:rPr>
          <w:rFonts w:ascii="Times New Roman" w:hAnsi="Times New Roman" w:cs="Times New Roman"/>
          <w:sz w:val="28"/>
          <w:szCs w:val="28"/>
        </w:rPr>
        <w:t xml:space="preserve"> (Afroamerykanów), </w:t>
      </w:r>
      <w:r w:rsidRPr="00217022">
        <w:rPr>
          <w:rFonts w:ascii="Cambria Math" w:hAnsi="Cambria Math" w:cs="Cambria Math"/>
          <w:sz w:val="28"/>
          <w:szCs w:val="28"/>
        </w:rPr>
        <w:t>𝑁𝑎𝑡𝑖𝑣𝑒</w:t>
      </w:r>
      <w:r w:rsidRPr="00217022">
        <w:rPr>
          <w:rFonts w:ascii="Cambria Math" w:hAnsi="Cambria Math" w:cs="Cambria Math"/>
          <w:sz w:val="28"/>
          <w:szCs w:val="28"/>
          <w:vertAlign w:val="subscript"/>
        </w:rPr>
        <w:t>𝑖</w:t>
      </w:r>
      <w:r w:rsidRPr="00217022">
        <w:rPr>
          <w:rFonts w:ascii="Times New Roman" w:hAnsi="Times New Roman" w:cs="Times New Roman"/>
          <w:sz w:val="28"/>
          <w:szCs w:val="28"/>
        </w:rPr>
        <w:t xml:space="preserve"> (rdzennych mieszkańców), </w:t>
      </w:r>
      <w:r w:rsidRPr="00217022">
        <w:rPr>
          <w:rFonts w:ascii="Cambria Math" w:hAnsi="Cambria Math" w:cs="Cambria Math"/>
          <w:sz w:val="28"/>
          <w:szCs w:val="28"/>
        </w:rPr>
        <w:t>𝐻𝑖𝑠𝑝𝑎𝑛𝑖𝑐</w:t>
      </w:r>
      <w:r w:rsidRPr="00217022">
        <w:rPr>
          <w:rFonts w:ascii="Cambria Math" w:hAnsi="Cambria Math" w:cs="Cambria Math"/>
          <w:sz w:val="28"/>
          <w:szCs w:val="28"/>
          <w:vertAlign w:val="subscript"/>
        </w:rPr>
        <w:t xml:space="preserve">𝑖 </w:t>
      </w:r>
      <w:r w:rsidRPr="00217022">
        <w:rPr>
          <w:rFonts w:ascii="Times New Roman" w:hAnsi="Times New Roman" w:cs="Times New Roman"/>
          <w:sz w:val="28"/>
          <w:szCs w:val="28"/>
        </w:rPr>
        <w:t>(Latynosów). Dodatkowo wprowadził zmienne kontrolne: występowanie suszy w danym okresie (</w:t>
      </w:r>
      <w:r w:rsidRPr="00217022">
        <w:rPr>
          <w:rFonts w:ascii="Cambria Math" w:hAnsi="Cambria Math" w:cs="Cambria Math"/>
          <w:sz w:val="28"/>
          <w:szCs w:val="28"/>
        </w:rPr>
        <w:t>𝐷𝑟𝑜𝑢𝑔</w:t>
      </w:r>
      <w:r w:rsidRPr="00217022">
        <w:rPr>
          <w:rFonts w:ascii="Times New Roman" w:hAnsi="Times New Roman" w:cs="Times New Roman"/>
          <w:sz w:val="28"/>
          <w:szCs w:val="28"/>
        </w:rPr>
        <w:t>ℎ</w:t>
      </w:r>
      <w:r w:rsidR="00DC19CB" w:rsidRPr="00DC19CB">
        <w:rPr>
          <w:rFonts w:ascii="Times New Roman" w:hAnsi="Times New Roman" w:cs="Times New Roman"/>
          <w:i/>
          <w:iCs/>
          <w:sz w:val="28"/>
          <w:szCs w:val="28"/>
        </w:rPr>
        <w:t>t</w:t>
      </w:r>
      <w:r w:rsidRPr="00217022">
        <w:rPr>
          <w:rFonts w:ascii="Cambria Math" w:hAnsi="Cambria Math" w:cs="Cambria Math"/>
          <w:sz w:val="28"/>
          <w:szCs w:val="28"/>
          <w:vertAlign w:val="subscript"/>
        </w:rPr>
        <w:t xml:space="preserve">) </w:t>
      </w:r>
      <w:r w:rsidRPr="00217022">
        <w:rPr>
          <w:rFonts w:ascii="Times New Roman" w:hAnsi="Times New Roman" w:cs="Times New Roman"/>
          <w:sz w:val="28"/>
          <w:szCs w:val="28"/>
        </w:rPr>
        <w:t xml:space="preserve">oraz jej opóźniony wpływ </w:t>
      </w:r>
      <w:r w:rsidRPr="00217022">
        <w:rPr>
          <w:rFonts w:ascii="Cambria Math" w:hAnsi="Cambria Math" w:cs="Cambria Math"/>
          <w:sz w:val="28"/>
          <w:szCs w:val="28"/>
        </w:rPr>
        <w:t>𝐷𝑟𝑜𝑢𝑔</w:t>
      </w:r>
      <w:r w:rsidRPr="00217022">
        <w:rPr>
          <w:rFonts w:ascii="Times New Roman" w:hAnsi="Times New Roman" w:cs="Times New Roman"/>
          <w:sz w:val="28"/>
          <w:szCs w:val="28"/>
        </w:rPr>
        <w:t>ℎ</w:t>
      </w:r>
      <w:r w:rsidRPr="00217022">
        <w:rPr>
          <w:rFonts w:ascii="Times New Roman" w:hAnsi="Times New Roman" w:cs="Times New Roman"/>
          <w:i/>
          <w:iCs/>
          <w:sz w:val="28"/>
          <w:szCs w:val="28"/>
        </w:rPr>
        <w:t>t</w:t>
      </w:r>
      <w:r w:rsidRPr="00217022">
        <w:rPr>
          <w:rFonts w:ascii="Times New Roman" w:hAnsi="Times New Roman" w:cs="Times New Roman"/>
          <w:sz w:val="28"/>
          <w:szCs w:val="28"/>
        </w:rPr>
        <w:t xml:space="preserve">, tj. w okresie (t-1). </w:t>
      </w:r>
      <w:r w:rsidRPr="00217022">
        <w:rPr>
          <w:rFonts w:ascii="Times New Roman" w:hAnsi="Times New Roman" w:cs="Times New Roman"/>
          <w:i/>
          <w:iCs/>
          <w:sz w:val="28"/>
          <w:szCs w:val="28"/>
        </w:rPr>
        <w:t>Y</w:t>
      </w:r>
      <w:r w:rsidRPr="00217022">
        <w:rPr>
          <w:rFonts w:ascii="Times New Roman" w:hAnsi="Times New Roman" w:cs="Times New Roman"/>
          <w:sz w:val="28"/>
          <w:szCs w:val="28"/>
        </w:rPr>
        <w:t xml:space="preserve"> – zmienna wynikowa określała liczbę sprzedanych umów ubezpieczeniowych w danym hrabstwie. Jest to przykład na wykorzystania w modelu wielu kowariancji zmiennych jakościowych. </w:t>
      </w:r>
    </w:p>
    <w:p w14:paraId="6866496F" w14:textId="7EDD3377"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W pracy otrzymano wyniki wskazujące z jednej strony, że wprowadzenie ustawy Farm Bill 2018 negatywnie wpływało na dostęp – zawieraną łącznie liczbę umów ubezpieczeń upraw rolnych w </w:t>
      </w:r>
      <w:r w:rsidR="003925E3" w:rsidRPr="00217022">
        <w:rPr>
          <w:rFonts w:ascii="Times New Roman" w:hAnsi="Times New Roman" w:cs="Times New Roman"/>
          <w:sz w:val="28"/>
          <w:szCs w:val="28"/>
        </w:rPr>
        <w:t>ogólnej</w:t>
      </w:r>
      <w:r w:rsidRPr="00217022">
        <w:rPr>
          <w:rFonts w:ascii="Times New Roman" w:hAnsi="Times New Roman" w:cs="Times New Roman"/>
          <w:sz w:val="28"/>
          <w:szCs w:val="28"/>
        </w:rPr>
        <w:t xml:space="preserve"> zbiorowości farmerów. Wynik ten był jednak statystycznie istotny jedynie przy uwzględnieniu zmiennych kontrolnych, a wówczas stwierdzono dodatni wpływ i statystycznie istotny wybranych grup etniczno-społecznych na zmienną wynikową. Konkluzja wskazuje, że ustawa negatywnie wpływała jedynie w grupie farmerów nie zaliczanych do grona potencjalnie wykluczanych.  W modelu pominięto jednak efekty stałe dla czynnika czasu, brak jest również</w:t>
      </w:r>
      <w:r w:rsidR="00B76162">
        <w:rPr>
          <w:rFonts w:ascii="Times New Roman" w:hAnsi="Times New Roman" w:cs="Times New Roman"/>
          <w:sz w:val="28"/>
          <w:szCs w:val="28"/>
        </w:rPr>
        <w:t xml:space="preserve"> w nim</w:t>
      </w:r>
      <w:r w:rsidRPr="00217022">
        <w:rPr>
          <w:rFonts w:ascii="Times New Roman" w:hAnsi="Times New Roman" w:cs="Times New Roman"/>
          <w:sz w:val="28"/>
          <w:szCs w:val="28"/>
        </w:rPr>
        <w:t xml:space="preserve"> testów pozwalających stwierdzić spełnienie podstawowych wymagań statystycznych.  </w:t>
      </w:r>
    </w:p>
    <w:p w14:paraId="371C286D" w14:textId="44E0585B" w:rsidR="00217022" w:rsidRPr="00217022" w:rsidRDefault="00217022" w:rsidP="00217022">
      <w:pPr>
        <w:spacing w:after="0" w:line="264" w:lineRule="auto"/>
        <w:ind w:firstLine="709"/>
        <w:jc w:val="both"/>
        <w:rPr>
          <w:rFonts w:ascii="Times New Roman" w:hAnsi="Times New Roman" w:cs="Times New Roman"/>
          <w:sz w:val="28"/>
          <w:szCs w:val="28"/>
        </w:rPr>
      </w:pPr>
      <w:r w:rsidRPr="00217022">
        <w:rPr>
          <w:rFonts w:ascii="Times New Roman" w:hAnsi="Times New Roman" w:cs="Times New Roman"/>
          <w:sz w:val="28"/>
          <w:szCs w:val="28"/>
        </w:rPr>
        <w:t xml:space="preserve">Przykładem zastosowania metody DID w celu określenie wpływu ubezpieczeń na dobrobyt mieszkańców wiejskich może być praca Peironga (2024). Ten badacz przyjął jako zmienną objaśniającą dochód operacyjny w przeliczeniu na mieszkańca wsi w Chinach kontynentalnych, która według przyjętych założeń </w:t>
      </w:r>
      <w:r w:rsidRPr="00217022">
        <w:rPr>
          <w:rFonts w:ascii="Times New Roman" w:hAnsi="Times New Roman" w:cs="Times New Roman"/>
          <w:sz w:val="28"/>
          <w:szCs w:val="28"/>
        </w:rPr>
        <w:lastRenderedPageBreak/>
        <w:t>odzwierciedla dobrobyt mieszkańców. Jako podstawową zmienną objaśniającą przyjęto wprowadzenie dopłat do ubezpieczeń rolnych. Założył on, że instrument ten zgodnie z jego podstawową funkcją powinien stabilizować i zwiększ</w:t>
      </w:r>
      <w:r w:rsidR="00B76162">
        <w:rPr>
          <w:rFonts w:ascii="Times New Roman" w:hAnsi="Times New Roman" w:cs="Times New Roman"/>
          <w:sz w:val="28"/>
          <w:szCs w:val="28"/>
        </w:rPr>
        <w:t>a</w:t>
      </w:r>
      <w:r w:rsidRPr="00217022">
        <w:rPr>
          <w:rFonts w:ascii="Times New Roman" w:hAnsi="Times New Roman" w:cs="Times New Roman"/>
          <w:sz w:val="28"/>
          <w:szCs w:val="28"/>
        </w:rPr>
        <w:t>ć zdeflowane dochody w czasie. Interwencja była wdrażan</w:t>
      </w:r>
      <w:r w:rsidR="00B76162">
        <w:rPr>
          <w:rFonts w:ascii="Times New Roman" w:hAnsi="Times New Roman" w:cs="Times New Roman"/>
          <w:sz w:val="28"/>
          <w:szCs w:val="28"/>
        </w:rPr>
        <w:t>a</w:t>
      </w:r>
      <w:r w:rsidRPr="00217022">
        <w:rPr>
          <w:rFonts w:ascii="Times New Roman" w:hAnsi="Times New Roman" w:cs="Times New Roman"/>
          <w:sz w:val="28"/>
          <w:szCs w:val="28"/>
        </w:rPr>
        <w:t xml:space="preserve"> w rożnym czasie w poszczególnych prowincjach oraz regionach autonomicznych na przestrzeni lat 2007-2012. Autor zastosował jednak model regresji z efektami stałymi według następującej formuły: </w:t>
      </w:r>
    </w:p>
    <w:p w14:paraId="4E47B62A" w14:textId="77777777" w:rsidR="00217022" w:rsidRPr="00217022" w:rsidRDefault="00217022" w:rsidP="00217022">
      <w:pPr>
        <w:spacing w:before="160" w:line="264" w:lineRule="auto"/>
        <w:ind w:firstLine="709"/>
        <w:jc w:val="center"/>
        <w:rPr>
          <w:rFonts w:ascii="Times New Roman" w:hAnsi="Times New Roman" w:cs="Times New Roman"/>
          <w:sz w:val="28"/>
          <w:szCs w:val="28"/>
        </w:rPr>
      </w:pPr>
      <w:r w:rsidRPr="00217022">
        <w:rPr>
          <w:rFonts w:ascii="Cambria Math" w:hAnsi="Cambria Math" w:cs="Cambria Math"/>
          <w:sz w:val="28"/>
          <w:szCs w:val="28"/>
        </w:rPr>
        <w:t>𝐿𝑛𝐼𝑛𝑐𝑜𝑚𝑒</w:t>
      </w:r>
      <w:r w:rsidRPr="00217022">
        <w:rPr>
          <w:rFonts w:ascii="Cambria Math" w:hAnsi="Cambria Math" w:cs="Cambria Math"/>
          <w:sz w:val="28"/>
          <w:szCs w:val="28"/>
          <w:vertAlign w:val="subscript"/>
        </w:rPr>
        <w:t>𝑖</w:t>
      </w:r>
      <w:r w:rsidRPr="00217022">
        <w:rPr>
          <w:sz w:val="28"/>
          <w:szCs w:val="28"/>
          <w:vertAlign w:val="subscript"/>
        </w:rPr>
        <w:t>,</w:t>
      </w:r>
      <w:r w:rsidRPr="00217022">
        <w:rPr>
          <w:rFonts w:ascii="Cambria Math" w:hAnsi="Cambria Math" w:cs="Cambria Math"/>
          <w:sz w:val="28"/>
          <w:szCs w:val="28"/>
          <w:vertAlign w:val="subscript"/>
        </w:rPr>
        <w:t>𝑡</w:t>
      </w:r>
      <w:r w:rsidRPr="00217022">
        <w:rPr>
          <w:sz w:val="28"/>
          <w:szCs w:val="28"/>
          <w:vertAlign w:val="subscript"/>
        </w:rPr>
        <w:t xml:space="preserve"> </w:t>
      </w:r>
      <w:r w:rsidRPr="00217022">
        <w:rPr>
          <w:sz w:val="28"/>
          <w:szCs w:val="28"/>
        </w:rPr>
        <w:t xml:space="preserve">= </w:t>
      </w:r>
      <w:r w:rsidRPr="00217022">
        <w:rPr>
          <w:rFonts w:ascii="Cambria Math" w:hAnsi="Cambria Math" w:cs="Cambria Math"/>
          <w:sz w:val="28"/>
          <w:szCs w:val="28"/>
        </w:rPr>
        <w:t>𝛼</w:t>
      </w:r>
      <w:r w:rsidRPr="00217022">
        <w:rPr>
          <w:sz w:val="28"/>
          <w:szCs w:val="28"/>
          <w:vertAlign w:val="subscript"/>
        </w:rPr>
        <w:t>0</w:t>
      </w:r>
      <w:r w:rsidRPr="00217022">
        <w:rPr>
          <w:sz w:val="28"/>
          <w:szCs w:val="28"/>
        </w:rPr>
        <w:t xml:space="preserve"> + </w:t>
      </w:r>
      <w:r w:rsidRPr="00217022">
        <w:rPr>
          <w:rFonts w:ascii="Cambria Math" w:hAnsi="Cambria Math" w:cs="Cambria Math"/>
          <w:sz w:val="28"/>
          <w:szCs w:val="28"/>
        </w:rPr>
        <w:t>𝛼</w:t>
      </w:r>
      <w:r w:rsidRPr="00217022">
        <w:rPr>
          <w:sz w:val="28"/>
          <w:szCs w:val="28"/>
          <w:vertAlign w:val="subscript"/>
        </w:rPr>
        <w:t>1</w:t>
      </w:r>
      <w:r w:rsidRPr="00217022">
        <w:rPr>
          <w:rFonts w:ascii="Cambria Math" w:hAnsi="Cambria Math" w:cs="Cambria Math"/>
          <w:sz w:val="28"/>
          <w:szCs w:val="28"/>
        </w:rPr>
        <w:t>𝑃𝑜𝑙𝑖𝑐𝑦</w:t>
      </w:r>
      <w:r w:rsidRPr="00217022">
        <w:rPr>
          <w:rFonts w:ascii="Cambria Math" w:hAnsi="Cambria Math" w:cs="Cambria Math"/>
          <w:sz w:val="28"/>
          <w:szCs w:val="28"/>
          <w:vertAlign w:val="subscript"/>
        </w:rPr>
        <w:t>𝑖</w:t>
      </w:r>
      <w:r w:rsidRPr="00217022">
        <w:rPr>
          <w:sz w:val="28"/>
          <w:szCs w:val="28"/>
          <w:vertAlign w:val="subscript"/>
        </w:rPr>
        <w:t>,</w:t>
      </w:r>
      <w:r w:rsidRPr="00217022">
        <w:rPr>
          <w:rFonts w:ascii="Cambria Math" w:hAnsi="Cambria Math" w:cs="Cambria Math"/>
          <w:sz w:val="28"/>
          <w:szCs w:val="28"/>
          <w:vertAlign w:val="subscript"/>
        </w:rPr>
        <w:t>𝑡</w:t>
      </w:r>
      <w:r w:rsidRPr="00217022">
        <w:rPr>
          <w:sz w:val="28"/>
          <w:szCs w:val="28"/>
          <w:vertAlign w:val="subscript"/>
        </w:rPr>
        <w:t xml:space="preserve"> </w:t>
      </w:r>
      <w:r w:rsidRPr="00217022">
        <w:rPr>
          <w:sz w:val="28"/>
          <w:szCs w:val="28"/>
        </w:rPr>
        <w:t xml:space="preserve">+ ∑ </w:t>
      </w:r>
      <w:r w:rsidRPr="00217022">
        <w:rPr>
          <w:rFonts w:ascii="Cambria Math" w:hAnsi="Cambria Math" w:cs="Cambria Math"/>
          <w:sz w:val="28"/>
          <w:szCs w:val="28"/>
        </w:rPr>
        <w:t>𝛽</w:t>
      </w:r>
      <w:r w:rsidRPr="00217022">
        <w:rPr>
          <w:rFonts w:ascii="Cambria Math" w:hAnsi="Cambria Math" w:cs="Cambria Math"/>
          <w:sz w:val="28"/>
          <w:szCs w:val="28"/>
          <w:vertAlign w:val="subscript"/>
        </w:rPr>
        <w:t>𝑘</w:t>
      </w:r>
      <w:r w:rsidRPr="00217022">
        <w:rPr>
          <w:sz w:val="28"/>
          <w:szCs w:val="28"/>
        </w:rPr>
        <w:t xml:space="preserve"> </w:t>
      </w:r>
      <w:bookmarkStart w:id="37" w:name="_Hlk181638821"/>
      <w:r w:rsidRPr="00217022">
        <w:rPr>
          <w:rFonts w:ascii="Cambria Math" w:hAnsi="Cambria Math" w:cs="Cambria Math"/>
          <w:sz w:val="28"/>
          <w:szCs w:val="28"/>
        </w:rPr>
        <w:t>𝑋</w:t>
      </w:r>
      <w:r w:rsidRPr="00217022">
        <w:rPr>
          <w:rFonts w:ascii="Cambria Math" w:hAnsi="Cambria Math" w:cs="Cambria Math"/>
          <w:sz w:val="28"/>
          <w:szCs w:val="28"/>
          <w:vertAlign w:val="subscript"/>
        </w:rPr>
        <w:t>𝑘</w:t>
      </w:r>
      <w:r w:rsidRPr="00217022">
        <w:rPr>
          <w:sz w:val="28"/>
          <w:szCs w:val="28"/>
          <w:vertAlign w:val="subscript"/>
        </w:rPr>
        <w:t>,</w:t>
      </w:r>
      <w:r w:rsidRPr="00217022">
        <w:rPr>
          <w:rFonts w:ascii="Cambria Math" w:hAnsi="Cambria Math" w:cs="Cambria Math"/>
          <w:sz w:val="28"/>
          <w:szCs w:val="28"/>
          <w:vertAlign w:val="subscript"/>
        </w:rPr>
        <w:t>𝑖</w:t>
      </w:r>
      <w:r w:rsidRPr="00217022">
        <w:rPr>
          <w:sz w:val="28"/>
          <w:szCs w:val="28"/>
          <w:vertAlign w:val="subscript"/>
        </w:rPr>
        <w:t>,</w:t>
      </w:r>
      <w:r w:rsidRPr="00217022">
        <w:rPr>
          <w:rFonts w:ascii="Cambria Math" w:hAnsi="Cambria Math" w:cs="Cambria Math"/>
          <w:sz w:val="28"/>
          <w:szCs w:val="28"/>
          <w:vertAlign w:val="subscript"/>
        </w:rPr>
        <w:t>𝑡</w:t>
      </w:r>
      <w:r w:rsidRPr="00217022">
        <w:rPr>
          <w:sz w:val="28"/>
          <w:szCs w:val="28"/>
        </w:rPr>
        <w:t xml:space="preserve"> </w:t>
      </w:r>
      <w:bookmarkEnd w:id="37"/>
      <w:r w:rsidRPr="00217022">
        <w:rPr>
          <w:sz w:val="28"/>
          <w:szCs w:val="28"/>
        </w:rPr>
        <w:t xml:space="preserve">+ </w:t>
      </w:r>
      <w:r w:rsidRPr="00217022">
        <w:rPr>
          <w:rFonts w:ascii="Cambria Math" w:hAnsi="Cambria Math" w:cs="Cambria Math"/>
          <w:sz w:val="28"/>
          <w:szCs w:val="28"/>
        </w:rPr>
        <w:t>𝜇</w:t>
      </w:r>
      <w:r w:rsidRPr="00217022">
        <w:rPr>
          <w:rFonts w:ascii="Cambria Math" w:hAnsi="Cambria Math" w:cs="Cambria Math"/>
          <w:sz w:val="28"/>
          <w:szCs w:val="28"/>
          <w:vertAlign w:val="subscript"/>
        </w:rPr>
        <w:t>𝑖</w:t>
      </w:r>
      <w:r w:rsidRPr="00217022">
        <w:rPr>
          <w:sz w:val="28"/>
          <w:szCs w:val="28"/>
        </w:rPr>
        <w:t xml:space="preserve"> + </w:t>
      </w:r>
      <w:r w:rsidRPr="00217022">
        <w:rPr>
          <w:rFonts w:ascii="Cambria Math" w:hAnsi="Cambria Math" w:cs="Cambria Math"/>
          <w:sz w:val="28"/>
          <w:szCs w:val="28"/>
        </w:rPr>
        <w:t>𝜆</w:t>
      </w:r>
      <w:r w:rsidRPr="00217022">
        <w:rPr>
          <w:rFonts w:ascii="Cambria Math" w:hAnsi="Cambria Math" w:cs="Cambria Math"/>
          <w:sz w:val="28"/>
          <w:szCs w:val="28"/>
          <w:vertAlign w:val="subscript"/>
        </w:rPr>
        <w:t>𝑡</w:t>
      </w:r>
      <w:r w:rsidRPr="00217022">
        <w:rPr>
          <w:sz w:val="28"/>
          <w:szCs w:val="28"/>
        </w:rPr>
        <w:t xml:space="preserve"> + </w:t>
      </w:r>
      <w:r w:rsidRPr="00217022">
        <w:rPr>
          <w:rFonts w:ascii="Cambria Math" w:hAnsi="Cambria Math" w:cs="Cambria Math"/>
          <w:sz w:val="28"/>
          <w:szCs w:val="28"/>
        </w:rPr>
        <w:t>ℇ</w:t>
      </w:r>
      <w:r w:rsidRPr="00217022">
        <w:rPr>
          <w:rFonts w:ascii="Cambria Math" w:hAnsi="Cambria Math" w:cs="Cambria Math"/>
          <w:sz w:val="28"/>
          <w:szCs w:val="28"/>
          <w:vertAlign w:val="subscript"/>
        </w:rPr>
        <w:t>𝑖</w:t>
      </w:r>
      <w:r w:rsidRPr="00217022">
        <w:rPr>
          <w:sz w:val="28"/>
          <w:szCs w:val="28"/>
        </w:rPr>
        <w:t>,</w:t>
      </w:r>
    </w:p>
    <w:p w14:paraId="3024378F" w14:textId="77777777" w:rsidR="00217022" w:rsidRPr="00217022" w:rsidRDefault="00217022" w:rsidP="00217022">
      <w:pPr>
        <w:spacing w:after="0" w:line="264" w:lineRule="auto"/>
        <w:jc w:val="both"/>
        <w:rPr>
          <w:rFonts w:ascii="Times New Roman" w:hAnsi="Times New Roman" w:cs="Times New Roman"/>
          <w:sz w:val="28"/>
          <w:szCs w:val="28"/>
        </w:rPr>
      </w:pPr>
      <w:r w:rsidRPr="00217022">
        <w:rPr>
          <w:rFonts w:ascii="Times New Roman" w:hAnsi="Times New Roman" w:cs="Times New Roman"/>
          <w:sz w:val="28"/>
          <w:szCs w:val="28"/>
        </w:rPr>
        <w:t xml:space="preserve">gdzie: </w:t>
      </w:r>
      <w:r w:rsidRPr="00217022">
        <w:rPr>
          <w:rFonts w:ascii="Cambria Math" w:hAnsi="Cambria Math" w:cs="Cambria Math"/>
          <w:i/>
          <w:iCs/>
          <w:sz w:val="28"/>
          <w:szCs w:val="28"/>
        </w:rPr>
        <w:t>𝐿𝑛𝐼𝑛𝑐𝑜𝑚𝑒</w:t>
      </w:r>
      <w:r w:rsidRPr="00217022">
        <w:rPr>
          <w:rFonts w:ascii="Cambria Math" w:hAnsi="Cambria Math" w:cs="Cambria Math"/>
          <w:i/>
          <w:iCs/>
          <w:sz w:val="28"/>
          <w:szCs w:val="28"/>
          <w:vertAlign w:val="subscript"/>
        </w:rPr>
        <w:t>𝑖</w:t>
      </w:r>
      <w:r w:rsidRPr="00217022">
        <w:rPr>
          <w:rFonts w:ascii="Times New Roman" w:hAnsi="Times New Roman" w:cs="Times New Roman"/>
          <w:i/>
          <w:iCs/>
          <w:sz w:val="28"/>
          <w:szCs w:val="28"/>
          <w:vertAlign w:val="subscript"/>
        </w:rPr>
        <w:t>,</w:t>
      </w:r>
      <w:r w:rsidRPr="00217022">
        <w:rPr>
          <w:rFonts w:ascii="Cambria Math" w:hAnsi="Cambria Math" w:cs="Cambria Math"/>
          <w:i/>
          <w:iCs/>
          <w:sz w:val="28"/>
          <w:szCs w:val="28"/>
          <w:vertAlign w:val="subscript"/>
        </w:rPr>
        <w:t>𝑡</w:t>
      </w:r>
      <w:r w:rsidRPr="00217022">
        <w:rPr>
          <w:rFonts w:ascii="Times New Roman" w:hAnsi="Times New Roman" w:cs="Times New Roman"/>
          <w:sz w:val="28"/>
          <w:szCs w:val="28"/>
          <w:vertAlign w:val="subscript"/>
        </w:rPr>
        <w:t xml:space="preserve"> </w:t>
      </w:r>
      <w:r w:rsidRPr="00217022">
        <w:rPr>
          <w:rFonts w:ascii="Times New Roman" w:hAnsi="Times New Roman" w:cs="Times New Roman"/>
          <w:sz w:val="28"/>
          <w:szCs w:val="28"/>
        </w:rPr>
        <w:t xml:space="preserve"> – logarytm naturalny dochodu  w okresie t w prowincji </w:t>
      </w:r>
      <w:r w:rsidRPr="00217022">
        <w:rPr>
          <w:rFonts w:ascii="Times New Roman" w:hAnsi="Times New Roman" w:cs="Times New Roman"/>
          <w:i/>
          <w:iCs/>
          <w:sz w:val="28"/>
          <w:szCs w:val="28"/>
        </w:rPr>
        <w:t>i</w:t>
      </w:r>
      <w:r w:rsidRPr="00217022">
        <w:rPr>
          <w:rFonts w:ascii="Times New Roman" w:hAnsi="Times New Roman" w:cs="Times New Roman"/>
          <w:sz w:val="28"/>
          <w:szCs w:val="28"/>
        </w:rPr>
        <w:t xml:space="preserve">; </w:t>
      </w:r>
      <w:r w:rsidRPr="00217022">
        <w:rPr>
          <w:rFonts w:ascii="Cambria Math" w:hAnsi="Cambria Math" w:cs="Cambria Math"/>
          <w:i/>
          <w:iCs/>
          <w:sz w:val="28"/>
          <w:szCs w:val="28"/>
        </w:rPr>
        <w:t>𝑃𝑜𝑙𝑖𝑐𝑦</w:t>
      </w:r>
      <w:r w:rsidRPr="00217022">
        <w:rPr>
          <w:rFonts w:ascii="Cambria Math" w:hAnsi="Cambria Math" w:cs="Cambria Math"/>
          <w:i/>
          <w:iCs/>
          <w:sz w:val="28"/>
          <w:szCs w:val="28"/>
          <w:vertAlign w:val="subscript"/>
        </w:rPr>
        <w:t>𝑖</w:t>
      </w:r>
      <w:r w:rsidRPr="00217022">
        <w:rPr>
          <w:rFonts w:ascii="Times New Roman" w:hAnsi="Times New Roman" w:cs="Times New Roman"/>
          <w:i/>
          <w:iCs/>
          <w:sz w:val="28"/>
          <w:szCs w:val="28"/>
          <w:vertAlign w:val="subscript"/>
        </w:rPr>
        <w:t>,</w:t>
      </w:r>
      <w:r w:rsidRPr="00217022">
        <w:rPr>
          <w:rFonts w:ascii="Cambria Math" w:hAnsi="Cambria Math" w:cs="Cambria Math"/>
          <w:i/>
          <w:iCs/>
          <w:sz w:val="28"/>
          <w:szCs w:val="28"/>
          <w:vertAlign w:val="subscript"/>
        </w:rPr>
        <w:t>𝑡</w:t>
      </w:r>
      <w:r w:rsidRPr="00217022">
        <w:rPr>
          <w:rFonts w:ascii="Times New Roman" w:hAnsi="Times New Roman" w:cs="Times New Roman"/>
          <w:sz w:val="28"/>
          <w:szCs w:val="28"/>
          <w:vertAlign w:val="subscript"/>
        </w:rPr>
        <w:t xml:space="preserve">  </w:t>
      </w:r>
      <w:r w:rsidRPr="00217022">
        <w:rPr>
          <w:rFonts w:ascii="Times New Roman" w:hAnsi="Times New Roman" w:cs="Times New Roman"/>
          <w:sz w:val="28"/>
          <w:szCs w:val="28"/>
        </w:rPr>
        <w:t xml:space="preserve"> – zmienna binarna w okresach, kiedy nie były wdrożone dotowane ubezpieczenia w prowincji i w okresie t przyjęto 0, a w okresach po wprowadzeniu 1; </w:t>
      </w:r>
      <w:r w:rsidRPr="00217022">
        <w:rPr>
          <w:rFonts w:ascii="Cambria Math" w:hAnsi="Cambria Math" w:cs="Cambria Math"/>
          <w:i/>
          <w:iCs/>
          <w:sz w:val="28"/>
          <w:szCs w:val="28"/>
        </w:rPr>
        <w:t>𝑋</w:t>
      </w:r>
      <w:r w:rsidRPr="00217022">
        <w:rPr>
          <w:rFonts w:ascii="Cambria Math" w:hAnsi="Cambria Math" w:cs="Cambria Math"/>
          <w:i/>
          <w:iCs/>
          <w:sz w:val="28"/>
          <w:szCs w:val="28"/>
          <w:vertAlign w:val="subscript"/>
        </w:rPr>
        <w:t>𝑘</w:t>
      </w:r>
      <w:r w:rsidRPr="00217022">
        <w:rPr>
          <w:rFonts w:ascii="Times New Roman" w:hAnsi="Times New Roman" w:cs="Times New Roman"/>
          <w:i/>
          <w:iCs/>
          <w:sz w:val="28"/>
          <w:szCs w:val="28"/>
          <w:vertAlign w:val="subscript"/>
        </w:rPr>
        <w:t>,</w:t>
      </w:r>
      <w:r w:rsidRPr="00217022">
        <w:rPr>
          <w:rFonts w:ascii="Cambria Math" w:hAnsi="Cambria Math" w:cs="Cambria Math"/>
          <w:i/>
          <w:iCs/>
          <w:sz w:val="28"/>
          <w:szCs w:val="28"/>
          <w:vertAlign w:val="subscript"/>
        </w:rPr>
        <w:t>𝑖</w:t>
      </w:r>
      <w:r w:rsidRPr="00217022">
        <w:rPr>
          <w:rFonts w:ascii="Times New Roman" w:hAnsi="Times New Roman" w:cs="Times New Roman"/>
          <w:i/>
          <w:iCs/>
          <w:sz w:val="28"/>
          <w:szCs w:val="28"/>
          <w:vertAlign w:val="subscript"/>
        </w:rPr>
        <w:t>,</w:t>
      </w:r>
      <w:r w:rsidRPr="00217022">
        <w:rPr>
          <w:rFonts w:ascii="Cambria Math" w:hAnsi="Cambria Math" w:cs="Cambria Math"/>
          <w:i/>
          <w:iCs/>
          <w:sz w:val="28"/>
          <w:szCs w:val="28"/>
          <w:vertAlign w:val="subscript"/>
        </w:rPr>
        <w:t>𝑡</w:t>
      </w:r>
      <w:r w:rsidRPr="00217022">
        <w:rPr>
          <w:rFonts w:ascii="Times New Roman" w:hAnsi="Times New Roman" w:cs="Times New Roman"/>
          <w:sz w:val="28"/>
          <w:szCs w:val="28"/>
        </w:rPr>
        <w:t xml:space="preserve"> –  pozostałe zmienne objaśniające- zmienne kontrolne; </w:t>
      </w:r>
      <w:r w:rsidRPr="00217022">
        <w:rPr>
          <w:rFonts w:ascii="Cambria Math" w:hAnsi="Cambria Math" w:cs="Cambria Math"/>
          <w:i/>
          <w:iCs/>
          <w:sz w:val="28"/>
          <w:szCs w:val="28"/>
        </w:rPr>
        <w:t>𝜇</w:t>
      </w:r>
      <w:r w:rsidRPr="00217022">
        <w:rPr>
          <w:rFonts w:ascii="Cambria Math" w:hAnsi="Cambria Math" w:cs="Cambria Math"/>
          <w:i/>
          <w:iCs/>
          <w:sz w:val="28"/>
          <w:szCs w:val="28"/>
          <w:vertAlign w:val="subscript"/>
        </w:rPr>
        <w:t>𝑖</w:t>
      </w:r>
      <w:r w:rsidRPr="00217022">
        <w:rPr>
          <w:rFonts w:ascii="Times New Roman" w:hAnsi="Times New Roman" w:cs="Times New Roman"/>
          <w:sz w:val="28"/>
          <w:szCs w:val="28"/>
          <w:vertAlign w:val="subscript"/>
        </w:rPr>
        <w:t xml:space="preserve">  </w:t>
      </w:r>
      <w:r w:rsidRPr="00217022">
        <w:rPr>
          <w:rFonts w:ascii="Times New Roman" w:hAnsi="Times New Roman" w:cs="Times New Roman"/>
          <w:sz w:val="28"/>
          <w:szCs w:val="28"/>
        </w:rPr>
        <w:t xml:space="preserve">–  stałe efekty indywidualne dla prowincji </w:t>
      </w:r>
      <w:r w:rsidRPr="00217022">
        <w:rPr>
          <w:rFonts w:ascii="Times New Roman" w:hAnsi="Times New Roman" w:cs="Times New Roman"/>
          <w:i/>
          <w:iCs/>
          <w:sz w:val="28"/>
          <w:szCs w:val="28"/>
        </w:rPr>
        <w:t>i</w:t>
      </w:r>
      <w:r w:rsidRPr="00217022">
        <w:rPr>
          <w:rFonts w:ascii="Times New Roman" w:hAnsi="Times New Roman" w:cs="Times New Roman"/>
          <w:sz w:val="28"/>
          <w:szCs w:val="28"/>
        </w:rPr>
        <w:t xml:space="preserve">; </w:t>
      </w:r>
      <w:r w:rsidRPr="00217022">
        <w:rPr>
          <w:rFonts w:ascii="Cambria Math" w:hAnsi="Cambria Math" w:cs="Cambria Math"/>
          <w:i/>
          <w:iCs/>
          <w:sz w:val="28"/>
          <w:szCs w:val="28"/>
        </w:rPr>
        <w:t>𝜆</w:t>
      </w:r>
      <w:r w:rsidRPr="00217022">
        <w:rPr>
          <w:rFonts w:ascii="Cambria Math" w:hAnsi="Cambria Math" w:cs="Cambria Math"/>
          <w:i/>
          <w:iCs/>
          <w:sz w:val="28"/>
          <w:szCs w:val="28"/>
          <w:vertAlign w:val="subscript"/>
        </w:rPr>
        <w:t>𝑡</w:t>
      </w:r>
      <w:r w:rsidRPr="00217022">
        <w:rPr>
          <w:rFonts w:ascii="Times New Roman" w:hAnsi="Times New Roman" w:cs="Times New Roman"/>
          <w:sz w:val="28"/>
          <w:szCs w:val="28"/>
          <w:vertAlign w:val="subscript"/>
        </w:rPr>
        <w:t xml:space="preserve">  </w:t>
      </w:r>
      <w:r w:rsidRPr="00217022">
        <w:rPr>
          <w:rFonts w:ascii="Times New Roman" w:hAnsi="Times New Roman" w:cs="Times New Roman"/>
          <w:sz w:val="28"/>
          <w:szCs w:val="28"/>
        </w:rPr>
        <w:t xml:space="preserve">–  stałe efekty czasowe; </w:t>
      </w:r>
      <w:r w:rsidRPr="00217022">
        <w:rPr>
          <w:rFonts w:ascii="Cambria Math" w:hAnsi="Cambria Math" w:cs="Cambria Math"/>
          <w:i/>
          <w:iCs/>
          <w:sz w:val="28"/>
          <w:szCs w:val="28"/>
        </w:rPr>
        <w:t>𝛼</w:t>
      </w:r>
      <w:r w:rsidRPr="00217022">
        <w:rPr>
          <w:rFonts w:ascii="Times New Roman" w:hAnsi="Times New Roman" w:cs="Times New Roman"/>
          <w:i/>
          <w:iCs/>
          <w:sz w:val="28"/>
          <w:szCs w:val="28"/>
          <w:vertAlign w:val="subscript"/>
        </w:rPr>
        <w:t>1</w:t>
      </w:r>
      <w:r w:rsidRPr="00217022">
        <w:rPr>
          <w:rFonts w:ascii="Times New Roman" w:hAnsi="Times New Roman" w:cs="Times New Roman"/>
          <w:sz w:val="28"/>
          <w:szCs w:val="28"/>
          <w:vertAlign w:val="subscript"/>
        </w:rPr>
        <w:t xml:space="preserve"> </w:t>
      </w:r>
      <w:r w:rsidRPr="00217022">
        <w:rPr>
          <w:rFonts w:ascii="Times New Roman" w:hAnsi="Times New Roman" w:cs="Times New Roman"/>
          <w:sz w:val="28"/>
          <w:szCs w:val="28"/>
        </w:rPr>
        <w:t xml:space="preserve">– </w:t>
      </w:r>
      <w:r w:rsidRPr="00217022">
        <w:rPr>
          <w:rFonts w:ascii="Times New Roman" w:hAnsi="Times New Roman" w:cs="Times New Roman"/>
          <w:sz w:val="28"/>
          <w:szCs w:val="28"/>
          <w:vertAlign w:val="subscript"/>
        </w:rPr>
        <w:t xml:space="preserve"> </w:t>
      </w:r>
      <w:r w:rsidRPr="00217022">
        <w:rPr>
          <w:rFonts w:ascii="Times New Roman" w:hAnsi="Times New Roman" w:cs="Times New Roman"/>
          <w:sz w:val="28"/>
          <w:szCs w:val="28"/>
        </w:rPr>
        <w:t xml:space="preserve">efekt wdrożenia dotowanych ubezpieczeń; </w:t>
      </w:r>
      <w:r w:rsidRPr="00217022">
        <w:rPr>
          <w:rFonts w:ascii="Times New Roman" w:hAnsi="Times New Roman" w:cs="Times New Roman"/>
          <w:i/>
          <w:iCs/>
          <w:sz w:val="28"/>
          <w:szCs w:val="28"/>
          <w:vertAlign w:val="subscript"/>
        </w:rPr>
        <w:t xml:space="preserve"> </w:t>
      </w:r>
      <w:r w:rsidRPr="00217022">
        <w:rPr>
          <w:rFonts w:ascii="Times New Roman" w:hAnsi="Times New Roman" w:cs="Times New Roman"/>
          <w:i/>
          <w:iCs/>
          <w:sz w:val="28"/>
          <w:szCs w:val="28"/>
        </w:rPr>
        <w:t>ℇ</w:t>
      </w:r>
      <w:r w:rsidRPr="00217022">
        <w:rPr>
          <w:rFonts w:ascii="Cambria Math" w:hAnsi="Cambria Math" w:cs="Cambria Math"/>
          <w:i/>
          <w:iCs/>
          <w:sz w:val="28"/>
          <w:szCs w:val="28"/>
          <w:vertAlign w:val="subscript"/>
        </w:rPr>
        <w:t>𝑖</w:t>
      </w:r>
      <w:r w:rsidRPr="00217022">
        <w:rPr>
          <w:rFonts w:ascii="Times New Roman" w:hAnsi="Times New Roman" w:cs="Times New Roman"/>
          <w:sz w:val="28"/>
          <w:szCs w:val="28"/>
        </w:rPr>
        <w:t xml:space="preserve">, – </w:t>
      </w:r>
      <w:r w:rsidRPr="00217022">
        <w:rPr>
          <w:rFonts w:ascii="Times New Roman" w:hAnsi="Times New Roman" w:cs="Times New Roman"/>
          <w:sz w:val="28"/>
          <w:szCs w:val="28"/>
          <w:vertAlign w:val="subscript"/>
        </w:rPr>
        <w:t xml:space="preserve"> </w:t>
      </w:r>
      <w:r w:rsidRPr="00217022">
        <w:rPr>
          <w:rFonts w:ascii="Times New Roman" w:hAnsi="Times New Roman" w:cs="Times New Roman"/>
          <w:sz w:val="28"/>
          <w:szCs w:val="28"/>
        </w:rPr>
        <w:t>efekt losowy.</w:t>
      </w:r>
    </w:p>
    <w:p w14:paraId="78743BAB" w14:textId="70E48FC4" w:rsidR="00217022" w:rsidRPr="00217022" w:rsidRDefault="00217022" w:rsidP="00217022">
      <w:pPr>
        <w:spacing w:after="0" w:line="264" w:lineRule="auto"/>
        <w:ind w:firstLine="708"/>
        <w:jc w:val="both"/>
        <w:rPr>
          <w:rFonts w:ascii="Times New Roman" w:hAnsi="Times New Roman" w:cs="Times New Roman"/>
          <w:spacing w:val="-4"/>
          <w:sz w:val="28"/>
          <w:szCs w:val="28"/>
        </w:rPr>
      </w:pPr>
      <w:r w:rsidRPr="00217022">
        <w:rPr>
          <w:rFonts w:ascii="Times New Roman" w:hAnsi="Times New Roman" w:cs="Times New Roman"/>
          <w:spacing w:val="-4"/>
          <w:sz w:val="28"/>
          <w:szCs w:val="28"/>
        </w:rPr>
        <w:t>W przeprowadzonym badaniu jako grupę porównawczą wykorzysta</w:t>
      </w:r>
      <w:r w:rsidR="00B76162">
        <w:rPr>
          <w:rFonts w:ascii="Times New Roman" w:hAnsi="Times New Roman" w:cs="Times New Roman"/>
          <w:spacing w:val="-4"/>
          <w:sz w:val="28"/>
          <w:szCs w:val="28"/>
        </w:rPr>
        <w:t>no</w:t>
      </w:r>
      <w:r w:rsidRPr="00217022">
        <w:rPr>
          <w:rFonts w:ascii="Times New Roman" w:hAnsi="Times New Roman" w:cs="Times New Roman"/>
          <w:spacing w:val="-4"/>
          <w:sz w:val="28"/>
          <w:szCs w:val="28"/>
        </w:rPr>
        <w:t xml:space="preserve"> wyniki prowincji w okresach poprzedzających uruchomienie interwencji (lata 2000- maksymalnie 2012). Warunkowało to sposób testowanie równoległości trendów. </w:t>
      </w:r>
    </w:p>
    <w:p w14:paraId="1E21FD58" w14:textId="16BDC1B3" w:rsidR="00217022" w:rsidRPr="00217022" w:rsidRDefault="00217022" w:rsidP="00217022">
      <w:pPr>
        <w:jc w:val="both"/>
        <w:rPr>
          <w:rFonts w:ascii="Times New Roman" w:hAnsi="Times New Roman" w:cs="Times New Roman"/>
          <w:sz w:val="28"/>
          <w:szCs w:val="28"/>
        </w:rPr>
      </w:pPr>
      <w:r w:rsidRPr="00217022">
        <w:rPr>
          <w:rFonts w:ascii="Times New Roman" w:hAnsi="Times New Roman" w:cs="Times New Roman"/>
          <w:sz w:val="28"/>
          <w:szCs w:val="28"/>
        </w:rPr>
        <w:t xml:space="preserve">Wykorzystując zaprezentowany powyżej model, należy przypuszczać że estymowany był za pomocą TWFE, przy uwzględnieniu stałych efektów indywidualnych oraz wynikających ze zmiennej „czas”. </w:t>
      </w:r>
      <w:r w:rsidR="00017B2D" w:rsidRPr="00217022">
        <w:rPr>
          <w:rFonts w:ascii="Times New Roman" w:hAnsi="Times New Roman" w:cs="Times New Roman"/>
          <w:sz w:val="28"/>
          <w:szCs w:val="28"/>
        </w:rPr>
        <w:t>Model</w:t>
      </w:r>
      <w:r w:rsidRPr="00217022">
        <w:rPr>
          <w:rFonts w:ascii="Times New Roman" w:hAnsi="Times New Roman" w:cs="Times New Roman"/>
          <w:sz w:val="28"/>
          <w:szCs w:val="28"/>
        </w:rPr>
        <w:t xml:space="preserve"> regresji dla 23 lat obserwacji wskazuje na dodatni wpływ interwencji na dobrobyt mieszkańców wsi. Wdrożenie dopłat do ubezpieczeń rolnych na przestrzeni lat 2007-2020 spowodowało wzrost zdeflowanego dochodu o 10% przy wysokim 84,9% poziomie R</w:t>
      </w:r>
      <w:r w:rsidRPr="00217022">
        <w:rPr>
          <w:rFonts w:ascii="Times New Roman" w:hAnsi="Times New Roman" w:cs="Times New Roman"/>
          <w:sz w:val="28"/>
          <w:szCs w:val="28"/>
          <w:vertAlign w:val="superscript"/>
        </w:rPr>
        <w:t xml:space="preserve">2 </w:t>
      </w:r>
      <w:r w:rsidRPr="00217022">
        <w:rPr>
          <w:rFonts w:ascii="Times New Roman" w:hAnsi="Times New Roman" w:cs="Times New Roman"/>
          <w:sz w:val="28"/>
          <w:szCs w:val="28"/>
        </w:rPr>
        <w:t>dla estymowanego modelu. Wprowadzenie zmiennych kontrolnych, między innymi statystycznie istotnych: wskaźnika udziału nawadnianej powierzchni użytków rolnych, logarytmu naturalnego poziomu zatrudnienia w podstawowym przemyśle doprowadziło jednak do zmniejszenie oszacowania efektu interwencji do 7,4%.  Trudno jednak stwierdzić, na ile wpływ na uzyskane wyniki miało wykorzystanie najprostszego modelu estymacji.</w:t>
      </w:r>
    </w:p>
    <w:p w14:paraId="0299DED6" w14:textId="47D6C654" w:rsidR="00277AC4" w:rsidRPr="008872BB" w:rsidRDefault="00277AC4" w:rsidP="00277AC4">
      <w:pPr>
        <w:spacing w:line="259" w:lineRule="auto"/>
        <w:jc w:val="both"/>
        <w:rPr>
          <w:rFonts w:ascii="Times New Roman" w:eastAsia="Aptos" w:hAnsi="Times New Roman" w:cs="Times New Roman"/>
          <w:b/>
          <w:bCs/>
          <w:sz w:val="28"/>
          <w:szCs w:val="28"/>
          <w:lang w:val="en-US"/>
        </w:rPr>
      </w:pPr>
      <w:bookmarkStart w:id="38" w:name="_Hlk181261343"/>
      <w:bookmarkEnd w:id="38"/>
      <w:r w:rsidRPr="008872BB">
        <w:rPr>
          <w:rFonts w:ascii="Times New Roman" w:eastAsia="Aptos" w:hAnsi="Times New Roman" w:cs="Times New Roman"/>
          <w:b/>
          <w:bCs/>
          <w:sz w:val="28"/>
          <w:szCs w:val="28"/>
          <w:lang w:val="en-US"/>
        </w:rPr>
        <w:t>7.</w:t>
      </w:r>
      <w:r w:rsidRPr="008872BB">
        <w:rPr>
          <w:rFonts w:ascii="Times New Roman" w:eastAsia="Aptos" w:hAnsi="Times New Roman" w:cs="Times New Roman"/>
          <w:b/>
          <w:bCs/>
          <w:sz w:val="28"/>
          <w:szCs w:val="28"/>
          <w:lang w:val="en-US"/>
        </w:rPr>
        <w:tab/>
        <w:t xml:space="preserve">Estymator PSM + DID </w:t>
      </w:r>
      <w:r w:rsidR="00AA5399">
        <w:rPr>
          <w:rFonts w:ascii="Times New Roman" w:eastAsia="Aptos" w:hAnsi="Times New Roman" w:cs="Times New Roman"/>
          <w:b/>
          <w:bCs/>
          <w:sz w:val="28"/>
          <w:szCs w:val="28"/>
          <w:lang w:val="en-US"/>
        </w:rPr>
        <w:t>(</w:t>
      </w:r>
      <w:r w:rsidRPr="008872BB">
        <w:rPr>
          <w:rFonts w:ascii="Times New Roman" w:eastAsia="Aptos" w:hAnsi="Times New Roman" w:cs="Times New Roman"/>
          <w:b/>
          <w:bCs/>
          <w:sz w:val="28"/>
          <w:szCs w:val="28"/>
          <w:lang w:val="en-US"/>
        </w:rPr>
        <w:t>a conditional DID lub MDID</w:t>
      </w:r>
      <w:r w:rsidR="00AA5399">
        <w:rPr>
          <w:rFonts w:ascii="Times New Roman" w:eastAsia="Aptos" w:hAnsi="Times New Roman" w:cs="Times New Roman"/>
          <w:b/>
          <w:bCs/>
          <w:sz w:val="28"/>
          <w:szCs w:val="28"/>
          <w:lang w:val="en-US"/>
        </w:rPr>
        <w:t>)</w:t>
      </w:r>
    </w:p>
    <w:p w14:paraId="640671E2" w14:textId="77777777" w:rsidR="00277AC4" w:rsidRPr="00277AC4" w:rsidRDefault="00277AC4" w:rsidP="00277AC4">
      <w:pPr>
        <w:spacing w:line="259" w:lineRule="auto"/>
        <w:jc w:val="both"/>
        <w:rPr>
          <w:rFonts w:ascii="Times New Roman" w:eastAsia="Aptos" w:hAnsi="Times New Roman" w:cs="Times New Roman"/>
          <w:b/>
          <w:bCs/>
          <w:sz w:val="28"/>
          <w:szCs w:val="28"/>
        </w:rPr>
      </w:pPr>
      <w:r w:rsidRPr="00277AC4">
        <w:rPr>
          <w:rFonts w:ascii="Times New Roman" w:eastAsia="Aptos" w:hAnsi="Times New Roman" w:cs="Times New Roman"/>
          <w:b/>
          <w:bCs/>
          <w:sz w:val="28"/>
          <w:szCs w:val="28"/>
        </w:rPr>
        <w:t>7.1.</w:t>
      </w:r>
      <w:r w:rsidRPr="00277AC4">
        <w:rPr>
          <w:rFonts w:ascii="Times New Roman" w:eastAsia="Aptos" w:hAnsi="Times New Roman" w:cs="Times New Roman"/>
          <w:b/>
          <w:bCs/>
          <w:sz w:val="28"/>
          <w:szCs w:val="28"/>
        </w:rPr>
        <w:tab/>
        <w:t>Perspektywa historyczno-ewolucyjna</w:t>
      </w:r>
    </w:p>
    <w:p w14:paraId="664BE982" w14:textId="4060CB33" w:rsidR="00277AC4" w:rsidRPr="00277AC4" w:rsidRDefault="00277AC4" w:rsidP="00277AC4">
      <w:pPr>
        <w:spacing w:after="0" w:line="259" w:lineRule="auto"/>
        <w:ind w:firstLine="709"/>
        <w:jc w:val="both"/>
        <w:rPr>
          <w:rFonts w:ascii="Times New Roman" w:eastAsia="Aptos" w:hAnsi="Times New Roman" w:cs="Times New Roman"/>
          <w:spacing w:val="-4"/>
          <w:sz w:val="28"/>
          <w:szCs w:val="28"/>
        </w:rPr>
      </w:pPr>
      <w:r w:rsidRPr="00277AC4">
        <w:rPr>
          <w:rFonts w:ascii="Times New Roman" w:eastAsia="Aptos" w:hAnsi="Times New Roman" w:cs="Times New Roman"/>
          <w:spacing w:val="-4"/>
          <w:sz w:val="28"/>
          <w:szCs w:val="28"/>
        </w:rPr>
        <w:t xml:space="preserve">Z punktu widzenia prowadzonych badań ewaluacyjnych bardzo interesującym sposobem na obliczenie wpływu interwencji jest połączenie metod PSM i DID. Podobnie jak w przypadku metody DID, w badaniu mogą zostać wykorzystane zarówno dane panelowe (panel zbilansowany), jak również przekrojowe, ale powtarzalne w czasie. W tej drugiej sytuacji, podobnie jak w metodzie PSM, służą one </w:t>
      </w:r>
      <w:r w:rsidRPr="00277AC4">
        <w:rPr>
          <w:rFonts w:ascii="Times New Roman" w:eastAsia="Aptos" w:hAnsi="Times New Roman" w:cs="Times New Roman"/>
          <w:spacing w:val="-4"/>
          <w:sz w:val="28"/>
          <w:szCs w:val="28"/>
        </w:rPr>
        <w:lastRenderedPageBreak/>
        <w:t>zazwyczaj do stworzeni</w:t>
      </w:r>
      <w:r w:rsidR="00DE297E">
        <w:rPr>
          <w:rFonts w:ascii="Times New Roman" w:eastAsia="Aptos" w:hAnsi="Times New Roman" w:cs="Times New Roman"/>
          <w:spacing w:val="-4"/>
          <w:sz w:val="28"/>
          <w:szCs w:val="28"/>
        </w:rPr>
        <w:t>a</w:t>
      </w:r>
      <w:r w:rsidRPr="00277AC4">
        <w:rPr>
          <w:rFonts w:ascii="Times New Roman" w:eastAsia="Aptos" w:hAnsi="Times New Roman" w:cs="Times New Roman"/>
          <w:spacing w:val="-4"/>
          <w:sz w:val="28"/>
          <w:szCs w:val="28"/>
        </w:rPr>
        <w:t xml:space="preserve"> panelu jednostek grupy kontrolnej (Bincii in., 2018;</w:t>
      </w:r>
      <w:r w:rsidR="000C681B">
        <w:rPr>
          <w:rFonts w:ascii="Times New Roman" w:eastAsia="Aptos" w:hAnsi="Times New Roman" w:cs="Times New Roman"/>
          <w:spacing w:val="-4"/>
          <w:sz w:val="28"/>
          <w:szCs w:val="28"/>
        </w:rPr>
        <w:t xml:space="preserve"> Imai</w:t>
      </w:r>
      <w:r w:rsidRPr="00277AC4">
        <w:rPr>
          <w:rFonts w:ascii="Aptos" w:eastAsia="Aptos" w:hAnsi="Aptos" w:cs="Times New Roman"/>
          <w:spacing w:val="-4"/>
          <w:sz w:val="22"/>
          <w:szCs w:val="22"/>
        </w:rPr>
        <w:t xml:space="preserve"> </w:t>
      </w:r>
      <w:r w:rsidRPr="00277AC4">
        <w:rPr>
          <w:rFonts w:ascii="Times New Roman" w:eastAsia="Aptos" w:hAnsi="Times New Roman" w:cs="Times New Roman"/>
          <w:spacing w:val="-4"/>
          <w:sz w:val="28"/>
          <w:szCs w:val="28"/>
        </w:rPr>
        <w:t>i in. 2023). Za twórców połączenia obu metod i stworzenia hybrydy uważani są: Heckman i in. (1997), którzy w artykule poświęconemu ocenie ekonometrycznej estymatorów uzyskanych w drodze dopasowania (matchingu) przedstawili propozycję prototypowej metody ewaluacji programu szkolenia zawodowego. Wykorzystując podejście hybrydowe, testowali jego efektywność (poziom błędu statystycznego) na podstawie porównania uzyskanych wyników z próbą randomizowan</w:t>
      </w:r>
      <w:r w:rsidR="003D6647">
        <w:rPr>
          <w:rFonts w:ascii="Times New Roman" w:eastAsia="Aptos" w:hAnsi="Times New Roman" w:cs="Times New Roman"/>
          <w:spacing w:val="-4"/>
          <w:sz w:val="28"/>
          <w:szCs w:val="28"/>
        </w:rPr>
        <w:t>ą</w:t>
      </w:r>
      <w:r w:rsidRPr="00277AC4">
        <w:rPr>
          <w:rFonts w:ascii="Times New Roman" w:eastAsia="Aptos" w:hAnsi="Times New Roman" w:cs="Times New Roman"/>
          <w:spacing w:val="-4"/>
          <w:sz w:val="28"/>
          <w:szCs w:val="28"/>
        </w:rPr>
        <w:t>, traktując tą ostatnią jako punkt odniesienia. Efekty ich badań wskazują na bardzo dużą efektywność w ten sposób uzyskanych estymatorów, a tym samym podejścia hybrydowego.</w:t>
      </w:r>
    </w:p>
    <w:p w14:paraId="0949FB1E" w14:textId="70A98D24" w:rsidR="00277AC4" w:rsidRPr="00277AC4" w:rsidRDefault="00277AC4" w:rsidP="00277AC4">
      <w:pPr>
        <w:spacing w:after="0" w:line="264" w:lineRule="auto"/>
        <w:ind w:firstLine="709"/>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Połączenie obu metod w warstwie analitycznej jest dalszym rozwinięciem metody DID, w której uwzględniane są kowariaty modyfikujące własności zmiennej wynikowej przed uruchomieniem interwencji. W przedstawionym rozdziale 6. omówiono modyfikację polegającą na wprowadzeniu dodatkowej zmiennej lub dodatkowych zmiennych (X</w:t>
      </w:r>
      <w:r w:rsidRPr="00277AC4">
        <w:rPr>
          <w:rFonts w:ascii="Times New Roman" w:eastAsia="Aptos" w:hAnsi="Times New Roman" w:cs="Times New Roman"/>
          <w:sz w:val="28"/>
          <w:szCs w:val="28"/>
          <w:vertAlign w:val="subscript"/>
        </w:rPr>
        <w:t>i</w:t>
      </w:r>
      <w:r w:rsidRPr="00277AC4">
        <w:rPr>
          <w:rFonts w:ascii="Times New Roman" w:eastAsia="Aptos" w:hAnsi="Times New Roman" w:cs="Times New Roman"/>
          <w:sz w:val="28"/>
          <w:szCs w:val="28"/>
        </w:rPr>
        <w:t>) mających za zadanie skorygować pierwotnie nierównoległe trendy w celu uzyskania ich dopasowania. Tak więc, w celu spełnienia podstawowego wymogu zastosowania metody DID, tj. spełnienia warunku równoległych trendów, dla wszystkich grup g=2,…,J  i okresów t=2,…,J or</w:t>
      </w:r>
      <w:r w:rsidR="003D6647">
        <w:rPr>
          <w:rFonts w:ascii="Times New Roman" w:eastAsia="Aptos" w:hAnsi="Times New Roman" w:cs="Times New Roman"/>
          <w:sz w:val="28"/>
          <w:szCs w:val="28"/>
        </w:rPr>
        <w:t>a</w:t>
      </w:r>
      <w:r w:rsidRPr="00277AC4">
        <w:rPr>
          <w:rFonts w:ascii="Times New Roman" w:eastAsia="Aptos" w:hAnsi="Times New Roman" w:cs="Times New Roman"/>
          <w:sz w:val="28"/>
          <w:szCs w:val="28"/>
        </w:rPr>
        <w:t>z dla t ≥ g w przypadku oparcia obliczeń na grupie odniesienia złożonej z jednostek w całym okresie niepoddanych interwencji prawdziwe jest równanie:</w:t>
      </w:r>
    </w:p>
    <w:p w14:paraId="76336E09" w14:textId="77777777" w:rsidR="00277AC4" w:rsidRPr="00277AC4" w:rsidRDefault="00277AC4" w:rsidP="00277AC4">
      <w:pPr>
        <w:spacing w:line="264" w:lineRule="auto"/>
        <w:jc w:val="center"/>
        <w:rPr>
          <w:rFonts w:ascii="Times New Roman" w:eastAsia="Aptos" w:hAnsi="Times New Roman" w:cs="Times New Roman"/>
          <w:spacing w:val="-6"/>
          <w:sz w:val="28"/>
          <w:szCs w:val="28"/>
          <w:lang w:val="de-AT"/>
        </w:rPr>
      </w:pPr>
      <m:oMath>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D=1</w:t>
      </w:r>
      <m:oMath>
        <m:r>
          <m:rPr>
            <m:sty m:val="p"/>
          </m:rPr>
          <w:rPr>
            <w:rFonts w:ascii="Cambria Math" w:eastAsia="Aptos" w:hAnsi="Cambria Math" w:cs="Times New Roman"/>
            <w:spacing w:val="-6"/>
            <w:sz w:val="28"/>
            <w:szCs w:val="28"/>
            <w:lang w:val="de-AT"/>
          </w:rPr>
          <m:t>]</m:t>
        </m:r>
      </m:oMath>
      <w:r w:rsidRPr="00277AC4">
        <w:rPr>
          <w:rFonts w:ascii="Times New Roman" w:eastAsia="Aptos" w:hAnsi="Times New Roman" w:cs="Times New Roman"/>
          <w:spacing w:val="-6"/>
          <w:sz w:val="28"/>
          <w:szCs w:val="28"/>
          <w:lang w:val="de-AT"/>
        </w:rPr>
        <w:t xml:space="preserve"> - </w:t>
      </w:r>
      <m:oMath>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t-1</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D=1</w:t>
      </w:r>
      <m:oMath>
        <m:r>
          <m:rPr>
            <m:sty m:val="p"/>
          </m:rPr>
          <w:rPr>
            <w:rFonts w:ascii="Cambria Math" w:eastAsia="Aptos" w:hAnsi="Cambria Math" w:cs="Times New Roman"/>
            <w:spacing w:val="-6"/>
            <w:lang w:val="de-AT"/>
          </w:rPr>
          <m:t>])*</m:t>
        </m:r>
        <m:d>
          <m:dPr>
            <m:ctrlPr>
              <w:rPr>
                <w:rFonts w:ascii="Cambria Math" w:eastAsia="Aptos" w:hAnsi="Cambria Math" w:cs="Times New Roman"/>
                <w:spacing w:val="-6"/>
                <w:sz w:val="28"/>
                <w:szCs w:val="28"/>
                <w:lang w:val="en-GB"/>
              </w:rPr>
            </m:ctrlPr>
          </m:dPr>
          <m:e>
            <m:r>
              <m:rPr>
                <m:sty m:val="p"/>
              </m:rPr>
              <w:rPr>
                <w:rFonts w:ascii="Cambria Math" w:eastAsia="Aptos" w:hAnsi="Cambria Math" w:cs="Times New Roman"/>
                <w:spacing w:val="-6"/>
                <w:sz w:val="28"/>
                <w:szCs w:val="28"/>
                <w:lang w:val="de-AT"/>
              </w:rPr>
              <m:t>0</m:t>
            </m:r>
          </m:e>
        </m:d>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X</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oMath>
      <w:r w:rsidRPr="00277AC4">
        <w:rPr>
          <w:rFonts w:ascii="Times New Roman" w:eastAsia="Aptos" w:hAnsi="Times New Roman" w:cs="Times New Roman"/>
          <w:spacing w:val="-6"/>
          <w:sz w:val="28"/>
          <w:szCs w:val="28"/>
          <w:lang w:val="de-AT"/>
        </w:rPr>
        <w:t xml:space="preserve"> =</w:t>
      </w:r>
    </w:p>
    <w:p w14:paraId="2E113BB1" w14:textId="77777777" w:rsidR="00277AC4" w:rsidRPr="00277AC4" w:rsidRDefault="00277AC4" w:rsidP="00277AC4">
      <w:pPr>
        <w:spacing w:line="264" w:lineRule="auto"/>
        <w:ind w:left="2268"/>
        <w:rPr>
          <w:rFonts w:ascii="Times New Roman" w:eastAsia="Aptos" w:hAnsi="Times New Roman" w:cs="Times New Roman"/>
          <w:spacing w:val="-6"/>
          <w:sz w:val="28"/>
          <w:szCs w:val="28"/>
          <w:lang w:val="de-AT"/>
        </w:rPr>
      </w:pPr>
      <w:r w:rsidRPr="00277AC4">
        <w:rPr>
          <w:rFonts w:ascii="Times New Roman" w:eastAsia="Aptos" w:hAnsi="Times New Roman" w:cs="Times New Roman"/>
          <w:spacing w:val="-6"/>
          <w:sz w:val="28"/>
          <w:szCs w:val="28"/>
          <w:lang w:val="de-AT"/>
        </w:rPr>
        <w:t xml:space="preserve">= </w:t>
      </w:r>
      <m:oMath>
        <m:r>
          <w:rPr>
            <w:rFonts w:ascii="Cambria Math" w:eastAsia="Aptos" w:hAnsi="Cambria Math" w:cs="Times New Roman"/>
            <w:spacing w:val="-6"/>
            <w:sz w:val="28"/>
            <w:szCs w:val="28"/>
            <w:lang w:val="de-AT"/>
          </w:rPr>
          <m:t>(</m:t>
        </m:r>
        <m:r>
          <m:rPr>
            <m:sty m:val="p"/>
          </m:rPr>
          <w:rPr>
            <w:rFonts w:ascii="Cambria Math" w:eastAsia="Aptos" w:hAnsi="Cambria Math" w:cs="Times New Roman"/>
            <w:spacing w:val="-6"/>
            <w:sz w:val="28"/>
            <w:szCs w:val="28"/>
            <w:lang w:val="de-AT"/>
          </w:rPr>
          <m:t>E[Y</m:t>
        </m:r>
      </m:oMath>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t,</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D=0</w:t>
      </w:r>
      <m:oMath>
        <m:r>
          <m:rPr>
            <m:sty m:val="p"/>
          </m:rPr>
          <w:rPr>
            <w:rFonts w:ascii="Cambria Math" w:eastAsia="Aptos" w:hAnsi="Cambria Math" w:cs="Times New Roman"/>
            <w:spacing w:val="-6"/>
            <w:sz w:val="28"/>
            <w:szCs w:val="28"/>
            <w:lang w:val="de-AT"/>
          </w:rPr>
          <m:t>]</m:t>
        </m:r>
      </m:oMath>
      <w:r w:rsidRPr="00277AC4">
        <w:rPr>
          <w:rFonts w:ascii="Times New Roman" w:eastAsia="Aptos" w:hAnsi="Times New Roman" w:cs="Times New Roman"/>
          <w:spacing w:val="-6"/>
          <w:sz w:val="28"/>
          <w:szCs w:val="28"/>
          <w:lang w:val="de-AT"/>
        </w:rPr>
        <w:t xml:space="preserve"> - </w:t>
      </w:r>
      <m:oMath>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t-1</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D=0</w:t>
      </w:r>
      <m:oMath>
        <m:r>
          <m:rPr>
            <m:sty m:val="p"/>
          </m:rPr>
          <w:rPr>
            <w:rFonts w:ascii="Cambria Math" w:eastAsia="Aptos" w:hAnsi="Cambria Math" w:cs="Times New Roman"/>
            <w:spacing w:val="-6"/>
            <w:lang w:val="de-AT"/>
          </w:rPr>
          <m:t>])*</m:t>
        </m:r>
        <m:d>
          <m:dPr>
            <m:ctrlPr>
              <w:rPr>
                <w:rFonts w:ascii="Cambria Math" w:eastAsia="Aptos" w:hAnsi="Cambria Math" w:cs="Times New Roman"/>
                <w:spacing w:val="-6"/>
                <w:sz w:val="28"/>
                <w:szCs w:val="28"/>
                <w:lang w:val="en-GB"/>
              </w:rPr>
            </m:ctrlPr>
          </m:dPr>
          <m:e>
            <m:r>
              <m:rPr>
                <m:sty m:val="p"/>
              </m:rPr>
              <w:rPr>
                <w:rFonts w:ascii="Cambria Math" w:eastAsia="Aptos" w:hAnsi="Cambria Math" w:cs="Times New Roman"/>
                <w:spacing w:val="-6"/>
                <w:sz w:val="28"/>
                <w:szCs w:val="28"/>
                <w:lang w:val="de-AT"/>
              </w:rPr>
              <m:t>0</m:t>
            </m:r>
          </m:e>
        </m:d>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X</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C</m:t>
        </m:r>
        <m:r>
          <w:rPr>
            <w:rFonts w:ascii="Cambria Math" w:eastAsia="Aptos" w:hAnsi="Cambria Math" w:cs="Times New Roman"/>
            <w:spacing w:val="-6"/>
            <w:sz w:val="28"/>
            <w:szCs w:val="28"/>
            <w:lang w:val="de-AT"/>
          </w:rPr>
          <m:t>=1|</m:t>
        </m:r>
      </m:oMath>
      <w:r w:rsidRPr="00277AC4">
        <w:rPr>
          <w:rFonts w:ascii="Times New Roman" w:eastAsia="Aptos" w:hAnsi="Times New Roman" w:cs="Times New Roman"/>
          <w:spacing w:val="-6"/>
          <w:sz w:val="28"/>
          <w:szCs w:val="28"/>
          <w:lang w:val="de-AT"/>
        </w:rPr>
        <w:t>.</w:t>
      </w:r>
    </w:p>
    <w:p w14:paraId="662BC8D8" w14:textId="33988BA0" w:rsidR="00277AC4" w:rsidRPr="00277AC4" w:rsidRDefault="00277AC4" w:rsidP="00277AC4">
      <w:pPr>
        <w:spacing w:line="264" w:lineRule="auto"/>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Natomiast w sytuacji uwzględnienia wszystkich jednostek, w tym jeszcze niepoddanych interwencji</w:t>
      </w:r>
      <w:r w:rsidR="003D6647">
        <w:rPr>
          <w:rFonts w:ascii="Times New Roman" w:eastAsia="Aptos" w:hAnsi="Times New Roman" w:cs="Times New Roman"/>
          <w:sz w:val="28"/>
          <w:szCs w:val="28"/>
        </w:rPr>
        <w:t>,</w:t>
      </w:r>
      <w:r w:rsidRPr="00277AC4">
        <w:rPr>
          <w:rFonts w:ascii="Times New Roman" w:eastAsia="Aptos" w:hAnsi="Times New Roman" w:cs="Times New Roman"/>
          <w:sz w:val="28"/>
          <w:szCs w:val="28"/>
        </w:rPr>
        <w:t xml:space="preserve"> mamy: </w:t>
      </w:r>
    </w:p>
    <w:p w14:paraId="38C4F49D" w14:textId="77777777" w:rsidR="00277AC4" w:rsidRPr="00277AC4" w:rsidRDefault="00277AC4" w:rsidP="00277AC4">
      <w:pPr>
        <w:jc w:val="center"/>
        <w:rPr>
          <w:rFonts w:ascii="Times New Roman" w:eastAsia="Aptos" w:hAnsi="Times New Roman" w:cs="Times New Roman"/>
          <w:spacing w:val="-8"/>
          <w:sz w:val="28"/>
          <w:szCs w:val="28"/>
          <w:lang w:val="de-AT"/>
        </w:rPr>
      </w:pPr>
      <m:oMath>
        <m:r>
          <m:rPr>
            <m:sty m:val="p"/>
          </m:rPr>
          <w:rPr>
            <w:rFonts w:ascii="Cambria Math" w:eastAsia="Aptos" w:hAnsi="Cambria Math" w:cs="Times New Roman"/>
            <w:spacing w:val="-8"/>
            <w:sz w:val="28"/>
            <w:szCs w:val="28"/>
            <w:lang w:val="de-AT"/>
          </w:rPr>
          <m:t xml:space="preserve">(E[Y </m:t>
        </m:r>
      </m:oMath>
      <w:r w:rsidRPr="00277AC4">
        <w:rPr>
          <w:rFonts w:ascii="Times New Roman" w:eastAsia="Aptos" w:hAnsi="Times New Roman" w:cs="Times New Roman"/>
          <w:spacing w:val="-8"/>
          <w:sz w:val="28"/>
          <w:szCs w:val="28"/>
          <w:vertAlign w:val="subscript"/>
          <w:lang w:val="de-AT"/>
        </w:rPr>
        <w:t>t</w:t>
      </w:r>
      <w:r w:rsidRPr="00277AC4">
        <w:rPr>
          <w:rFonts w:ascii="Times New Roman" w:eastAsia="Aptos" w:hAnsi="Times New Roman" w:cs="Times New Roman"/>
          <w:spacing w:val="-8"/>
          <w:sz w:val="28"/>
          <w:szCs w:val="28"/>
          <w:lang w:val="de-AT"/>
        </w:rPr>
        <w:t xml:space="preserve">, </w:t>
      </w:r>
      <w:r w:rsidRPr="00277AC4">
        <w:rPr>
          <w:rFonts w:ascii="Times New Roman" w:eastAsia="Aptos" w:hAnsi="Times New Roman" w:cs="Times New Roman"/>
          <w:spacing w:val="-8"/>
          <w:sz w:val="28"/>
          <w:szCs w:val="28"/>
          <w:vertAlign w:val="subscript"/>
          <w:lang w:val="de-AT"/>
        </w:rPr>
        <w:t>D=1</w:t>
      </w:r>
      <m:oMath>
        <m:r>
          <m:rPr>
            <m:sty m:val="p"/>
          </m:rPr>
          <w:rPr>
            <w:rFonts w:ascii="Cambria Math" w:eastAsia="Aptos" w:hAnsi="Cambria Math" w:cs="Times New Roman"/>
            <w:spacing w:val="-8"/>
            <w:sz w:val="28"/>
            <w:szCs w:val="28"/>
            <w:lang w:val="de-AT"/>
          </w:rPr>
          <m:t>]</m:t>
        </m:r>
      </m:oMath>
      <w:r w:rsidRPr="00277AC4">
        <w:rPr>
          <w:rFonts w:ascii="Times New Roman" w:eastAsia="Aptos" w:hAnsi="Times New Roman" w:cs="Times New Roman"/>
          <w:spacing w:val="-8"/>
          <w:sz w:val="28"/>
          <w:szCs w:val="28"/>
          <w:lang w:val="de-AT"/>
        </w:rPr>
        <w:t xml:space="preserve"> - </w:t>
      </w:r>
      <m:oMath>
        <m:r>
          <m:rPr>
            <m:sty m:val="p"/>
          </m:rPr>
          <w:rPr>
            <w:rFonts w:ascii="Cambria Math" w:eastAsia="Aptos" w:hAnsi="Cambria Math" w:cs="Times New Roman"/>
            <w:spacing w:val="-8"/>
            <w:sz w:val="28"/>
            <w:szCs w:val="28"/>
            <w:lang w:val="de-AT"/>
          </w:rPr>
          <m:t xml:space="preserve">E[Y </m:t>
        </m:r>
      </m:oMath>
      <w:r w:rsidRPr="00277AC4">
        <w:rPr>
          <w:rFonts w:ascii="Times New Roman" w:eastAsia="Aptos" w:hAnsi="Times New Roman" w:cs="Times New Roman"/>
          <w:spacing w:val="-8"/>
          <w:sz w:val="28"/>
          <w:szCs w:val="28"/>
          <w:vertAlign w:val="subscript"/>
          <w:lang w:val="de-AT"/>
        </w:rPr>
        <w:t>t-1</w:t>
      </w:r>
      <w:r w:rsidRPr="00277AC4">
        <w:rPr>
          <w:rFonts w:ascii="Times New Roman" w:eastAsia="Aptos" w:hAnsi="Times New Roman" w:cs="Times New Roman"/>
          <w:spacing w:val="-8"/>
          <w:sz w:val="28"/>
          <w:szCs w:val="28"/>
          <w:lang w:val="de-AT"/>
        </w:rPr>
        <w:t xml:space="preserve">, </w:t>
      </w:r>
      <w:r w:rsidRPr="00277AC4">
        <w:rPr>
          <w:rFonts w:ascii="Times New Roman" w:eastAsia="Aptos" w:hAnsi="Times New Roman" w:cs="Times New Roman"/>
          <w:spacing w:val="-8"/>
          <w:sz w:val="28"/>
          <w:szCs w:val="28"/>
          <w:vertAlign w:val="subscript"/>
          <w:lang w:val="de-AT"/>
        </w:rPr>
        <w:t>D=1</w:t>
      </w:r>
      <m:oMath>
        <m:r>
          <m:rPr>
            <m:sty m:val="p"/>
          </m:rPr>
          <w:rPr>
            <w:rFonts w:ascii="Cambria Math" w:eastAsia="Aptos" w:hAnsi="Cambria Math" w:cs="Times New Roman"/>
            <w:spacing w:val="-8"/>
            <w:sz w:val="28"/>
            <w:szCs w:val="28"/>
            <w:lang w:val="de-AT"/>
          </w:rPr>
          <m:t>])*</m:t>
        </m:r>
        <m:d>
          <m:dPr>
            <m:ctrlPr>
              <w:rPr>
                <w:rFonts w:ascii="Cambria Math" w:eastAsia="Aptos" w:hAnsi="Cambria Math" w:cs="Times New Roman"/>
                <w:spacing w:val="-8"/>
                <w:sz w:val="28"/>
                <w:szCs w:val="28"/>
                <w:lang w:val="en-GB"/>
              </w:rPr>
            </m:ctrlPr>
          </m:dPr>
          <m:e>
            <m:r>
              <m:rPr>
                <m:sty m:val="p"/>
              </m:rPr>
              <w:rPr>
                <w:rFonts w:ascii="Cambria Math" w:eastAsia="Aptos" w:hAnsi="Cambria Math" w:cs="Times New Roman"/>
                <w:spacing w:val="-8"/>
                <w:sz w:val="28"/>
                <w:szCs w:val="28"/>
                <w:lang w:val="de-AT"/>
              </w:rPr>
              <m:t>0</m:t>
            </m:r>
          </m:e>
        </m:d>
        <m:r>
          <w:rPr>
            <w:rFonts w:ascii="Cambria Math" w:eastAsia="Aptos" w:hAnsi="Cambria Math" w:cs="Times New Roman"/>
            <w:spacing w:val="-8"/>
            <w:sz w:val="28"/>
            <w:szCs w:val="28"/>
            <w:lang w:val="de-AT"/>
          </w:rPr>
          <m:t>|</m:t>
        </m:r>
        <m:r>
          <w:rPr>
            <w:rFonts w:ascii="Cambria Math" w:eastAsia="Aptos" w:hAnsi="Cambria Math" w:cs="Times New Roman"/>
            <w:spacing w:val="-8"/>
            <w:sz w:val="28"/>
            <w:szCs w:val="28"/>
            <w:lang w:val="en-GB"/>
          </w:rPr>
          <m:t>X</m:t>
        </m:r>
        <m:r>
          <w:rPr>
            <w:rFonts w:ascii="Cambria Math" w:eastAsia="Aptos" w:hAnsi="Cambria Math" w:cs="Times New Roman"/>
            <w:spacing w:val="-8"/>
            <w:sz w:val="28"/>
            <w:szCs w:val="28"/>
            <w:lang w:val="de-AT"/>
          </w:rPr>
          <m:t>,</m:t>
        </m:r>
        <m:r>
          <w:rPr>
            <w:rFonts w:ascii="Cambria Math" w:eastAsia="Aptos" w:hAnsi="Cambria Math" w:cs="Times New Roman"/>
            <w:spacing w:val="-8"/>
            <w:sz w:val="28"/>
            <w:szCs w:val="28"/>
            <w:lang w:val="en-GB"/>
          </w:rPr>
          <m:t>G</m:t>
        </m:r>
        <m:r>
          <w:rPr>
            <w:rFonts w:ascii="Cambria Math" w:eastAsia="Aptos" w:hAnsi="Cambria Math" w:cs="Times New Roman"/>
            <w:spacing w:val="-8"/>
            <w:sz w:val="28"/>
            <w:szCs w:val="28"/>
            <w:lang w:val="de-AT"/>
          </w:rPr>
          <m:t>=</m:t>
        </m:r>
        <m:r>
          <w:rPr>
            <w:rFonts w:ascii="Cambria Math" w:eastAsia="Aptos" w:hAnsi="Cambria Math" w:cs="Times New Roman"/>
            <w:spacing w:val="-8"/>
            <w:sz w:val="28"/>
            <w:szCs w:val="28"/>
            <w:lang w:val="en-GB"/>
          </w:rPr>
          <m:t>g</m:t>
        </m:r>
        <m:r>
          <w:rPr>
            <w:rFonts w:ascii="Cambria Math" w:eastAsia="Aptos" w:hAnsi="Cambria Math" w:cs="Times New Roman"/>
            <w:spacing w:val="-8"/>
            <w:sz w:val="28"/>
            <w:szCs w:val="28"/>
            <w:lang w:val="de-AT"/>
          </w:rPr>
          <m:t>|</m:t>
        </m:r>
      </m:oMath>
      <w:r w:rsidRPr="00277AC4">
        <w:rPr>
          <w:rFonts w:ascii="Times New Roman" w:eastAsia="Aptos" w:hAnsi="Times New Roman" w:cs="Times New Roman"/>
          <w:spacing w:val="-8"/>
          <w:sz w:val="28"/>
          <w:szCs w:val="28"/>
          <w:lang w:val="de-AT"/>
        </w:rPr>
        <w:t xml:space="preserve">  =</w:t>
      </w:r>
    </w:p>
    <w:p w14:paraId="76E90552" w14:textId="77777777" w:rsidR="00277AC4" w:rsidRPr="00277AC4" w:rsidRDefault="00277AC4" w:rsidP="00277AC4">
      <w:pPr>
        <w:ind w:left="1134" w:hanging="141"/>
        <w:jc w:val="center"/>
        <w:rPr>
          <w:rFonts w:ascii="Times New Roman" w:eastAsia="Times New Roman" w:hAnsi="Times New Roman" w:cs="Times New Roman"/>
          <w:spacing w:val="-8"/>
          <w:sz w:val="28"/>
          <w:szCs w:val="28"/>
          <w:lang w:val="de-AT"/>
        </w:rPr>
      </w:pPr>
      <w:r w:rsidRPr="00277AC4">
        <w:rPr>
          <w:rFonts w:ascii="Times New Roman" w:eastAsia="Aptos" w:hAnsi="Times New Roman" w:cs="Times New Roman"/>
          <w:spacing w:val="-8"/>
          <w:sz w:val="28"/>
          <w:szCs w:val="28"/>
          <w:lang w:val="de-AT"/>
        </w:rPr>
        <w:t xml:space="preserve">= </w:t>
      </w:r>
      <m:oMath>
        <m:r>
          <w:rPr>
            <w:rFonts w:ascii="Cambria Math" w:eastAsia="Aptos" w:hAnsi="Cambria Math" w:cs="Times New Roman"/>
            <w:spacing w:val="-8"/>
            <w:sz w:val="28"/>
            <w:szCs w:val="28"/>
            <w:lang w:val="de-AT"/>
          </w:rPr>
          <m:t>(</m:t>
        </m:r>
        <m:r>
          <m:rPr>
            <m:sty m:val="p"/>
          </m:rPr>
          <w:rPr>
            <w:rFonts w:ascii="Cambria Math" w:eastAsia="Aptos" w:hAnsi="Cambria Math" w:cs="Times New Roman"/>
            <w:spacing w:val="-8"/>
            <w:sz w:val="28"/>
            <w:szCs w:val="28"/>
            <w:lang w:val="de-AT"/>
          </w:rPr>
          <m:t>E[Y</m:t>
        </m:r>
      </m:oMath>
      <w:r w:rsidRPr="00277AC4">
        <w:rPr>
          <w:rFonts w:ascii="Times New Roman" w:eastAsia="Aptos" w:hAnsi="Times New Roman" w:cs="Times New Roman"/>
          <w:spacing w:val="-8"/>
          <w:sz w:val="28"/>
          <w:szCs w:val="28"/>
          <w:lang w:val="de-AT"/>
        </w:rPr>
        <w:t xml:space="preserve"> </w:t>
      </w:r>
      <w:r w:rsidRPr="00277AC4">
        <w:rPr>
          <w:rFonts w:ascii="Times New Roman" w:eastAsia="Aptos" w:hAnsi="Times New Roman" w:cs="Times New Roman"/>
          <w:spacing w:val="-8"/>
          <w:sz w:val="28"/>
          <w:szCs w:val="28"/>
          <w:vertAlign w:val="subscript"/>
          <w:lang w:val="de-AT"/>
        </w:rPr>
        <w:t>t,</w:t>
      </w:r>
      <w:r w:rsidRPr="00277AC4">
        <w:rPr>
          <w:rFonts w:ascii="Times New Roman" w:eastAsia="Aptos" w:hAnsi="Times New Roman" w:cs="Times New Roman"/>
          <w:spacing w:val="-8"/>
          <w:sz w:val="28"/>
          <w:szCs w:val="28"/>
          <w:lang w:val="de-AT"/>
        </w:rPr>
        <w:t xml:space="preserve"> </w:t>
      </w:r>
      <w:r w:rsidRPr="00277AC4">
        <w:rPr>
          <w:rFonts w:ascii="Times New Roman" w:eastAsia="Aptos" w:hAnsi="Times New Roman" w:cs="Times New Roman"/>
          <w:spacing w:val="-8"/>
          <w:sz w:val="28"/>
          <w:szCs w:val="28"/>
          <w:vertAlign w:val="subscript"/>
          <w:lang w:val="de-AT"/>
        </w:rPr>
        <w:t>D=0</w:t>
      </w:r>
      <m:oMath>
        <m:r>
          <m:rPr>
            <m:sty m:val="p"/>
          </m:rPr>
          <w:rPr>
            <w:rFonts w:ascii="Cambria Math" w:eastAsia="Aptos" w:hAnsi="Cambria Math" w:cs="Times New Roman"/>
            <w:spacing w:val="-8"/>
            <w:sz w:val="28"/>
            <w:szCs w:val="28"/>
            <w:lang w:val="de-AT"/>
          </w:rPr>
          <m:t>]</m:t>
        </m:r>
      </m:oMath>
      <w:r w:rsidRPr="00277AC4">
        <w:rPr>
          <w:rFonts w:ascii="Times New Roman" w:eastAsia="Aptos" w:hAnsi="Times New Roman" w:cs="Times New Roman"/>
          <w:spacing w:val="-8"/>
          <w:sz w:val="28"/>
          <w:szCs w:val="28"/>
          <w:lang w:val="de-AT"/>
        </w:rPr>
        <w:t xml:space="preserve"> - </w:t>
      </w:r>
      <m:oMath>
        <m:r>
          <m:rPr>
            <m:sty m:val="p"/>
          </m:rPr>
          <w:rPr>
            <w:rFonts w:ascii="Cambria Math" w:eastAsia="Aptos" w:hAnsi="Cambria Math" w:cs="Times New Roman"/>
            <w:spacing w:val="-8"/>
            <w:sz w:val="28"/>
            <w:szCs w:val="28"/>
            <w:lang w:val="de-AT"/>
          </w:rPr>
          <m:t xml:space="preserve">E[Y </m:t>
        </m:r>
      </m:oMath>
      <w:r w:rsidRPr="00277AC4">
        <w:rPr>
          <w:rFonts w:ascii="Times New Roman" w:eastAsia="Aptos" w:hAnsi="Times New Roman" w:cs="Times New Roman"/>
          <w:spacing w:val="-8"/>
          <w:sz w:val="28"/>
          <w:szCs w:val="28"/>
          <w:vertAlign w:val="subscript"/>
          <w:lang w:val="de-AT"/>
        </w:rPr>
        <w:t>t-1</w:t>
      </w:r>
      <w:r w:rsidRPr="00277AC4">
        <w:rPr>
          <w:rFonts w:ascii="Times New Roman" w:eastAsia="Aptos" w:hAnsi="Times New Roman" w:cs="Times New Roman"/>
          <w:spacing w:val="-8"/>
          <w:sz w:val="28"/>
          <w:szCs w:val="28"/>
          <w:lang w:val="de-AT"/>
        </w:rPr>
        <w:t xml:space="preserve">, </w:t>
      </w:r>
      <w:r w:rsidRPr="00277AC4">
        <w:rPr>
          <w:rFonts w:ascii="Times New Roman" w:eastAsia="Aptos" w:hAnsi="Times New Roman" w:cs="Times New Roman"/>
          <w:spacing w:val="-8"/>
          <w:sz w:val="28"/>
          <w:szCs w:val="28"/>
          <w:vertAlign w:val="subscript"/>
          <w:lang w:val="de-AT"/>
        </w:rPr>
        <w:t>D=0</w:t>
      </w:r>
      <m:oMath>
        <m:r>
          <m:rPr>
            <m:sty m:val="p"/>
          </m:rPr>
          <w:rPr>
            <w:rFonts w:ascii="Cambria Math" w:eastAsia="Aptos" w:hAnsi="Cambria Math" w:cs="Times New Roman"/>
            <w:spacing w:val="-8"/>
            <w:sz w:val="28"/>
            <w:szCs w:val="28"/>
            <w:lang w:val="de-AT"/>
          </w:rPr>
          <m:t>])*</m:t>
        </m:r>
        <m:d>
          <m:dPr>
            <m:ctrlPr>
              <w:rPr>
                <w:rFonts w:ascii="Cambria Math" w:eastAsia="Aptos" w:hAnsi="Cambria Math" w:cs="Times New Roman"/>
                <w:spacing w:val="-8"/>
                <w:sz w:val="28"/>
                <w:szCs w:val="28"/>
                <w:lang w:val="en-GB"/>
              </w:rPr>
            </m:ctrlPr>
          </m:dPr>
          <m:e>
            <m:r>
              <m:rPr>
                <m:sty m:val="p"/>
              </m:rPr>
              <w:rPr>
                <w:rFonts w:ascii="Cambria Math" w:eastAsia="Aptos" w:hAnsi="Cambria Math" w:cs="Times New Roman"/>
                <w:spacing w:val="-8"/>
                <w:sz w:val="28"/>
                <w:szCs w:val="28"/>
                <w:lang w:val="de-AT"/>
              </w:rPr>
              <m:t>0</m:t>
            </m:r>
          </m:e>
        </m:d>
        <m:r>
          <w:rPr>
            <w:rFonts w:ascii="Cambria Math" w:eastAsia="Aptos" w:hAnsi="Cambria Math" w:cs="Times New Roman"/>
            <w:spacing w:val="-8"/>
            <w:sz w:val="28"/>
            <w:szCs w:val="28"/>
            <w:lang w:val="de-AT"/>
          </w:rPr>
          <m:t>|</m:t>
        </m:r>
        <m:r>
          <w:rPr>
            <w:rFonts w:ascii="Cambria Math" w:eastAsia="Aptos" w:hAnsi="Cambria Math" w:cs="Times New Roman"/>
            <w:spacing w:val="-8"/>
            <w:sz w:val="28"/>
            <w:szCs w:val="28"/>
            <w:lang w:val="en-GB"/>
          </w:rPr>
          <m:t>X</m:t>
        </m:r>
        <m:r>
          <w:rPr>
            <w:rFonts w:ascii="Cambria Math" w:eastAsia="Aptos" w:hAnsi="Cambria Math" w:cs="Times New Roman"/>
            <w:spacing w:val="-8"/>
            <w:sz w:val="28"/>
            <w:szCs w:val="28"/>
            <w:lang w:val="de-AT"/>
          </w:rPr>
          <m:t>,</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D</m:t>
            </m:r>
          </m:e>
          <m:sub>
            <m:r>
              <w:rPr>
                <w:rFonts w:ascii="Cambria Math" w:eastAsia="Aptos" w:hAnsi="Cambria Math" w:cs="Times New Roman"/>
                <w:spacing w:val="-8"/>
                <w:sz w:val="28"/>
                <w:szCs w:val="28"/>
                <w:lang w:val="en-GB"/>
              </w:rPr>
              <m:t>s</m:t>
            </m:r>
          </m:sub>
        </m:sSub>
        <m:r>
          <w:rPr>
            <w:rFonts w:ascii="Cambria Math" w:eastAsia="Aptos" w:hAnsi="Cambria Math" w:cs="Times New Roman"/>
            <w:spacing w:val="-8"/>
            <w:sz w:val="28"/>
            <w:szCs w:val="28"/>
            <w:lang w:val="de-AT"/>
          </w:rPr>
          <m:t>=0,</m:t>
        </m:r>
        <m:r>
          <w:rPr>
            <w:rFonts w:ascii="Cambria Math" w:eastAsia="Aptos" w:hAnsi="Cambria Math" w:cs="Times New Roman"/>
            <w:spacing w:val="-8"/>
            <w:sz w:val="28"/>
            <w:szCs w:val="28"/>
          </w:rPr>
          <m:t>G</m:t>
        </m:r>
        <m:r>
          <w:rPr>
            <w:rFonts w:ascii="Cambria Math" w:eastAsia="Aptos" w:hAnsi="Cambria Math" w:cs="Times New Roman"/>
            <w:spacing w:val="-8"/>
            <w:sz w:val="28"/>
            <w:szCs w:val="28"/>
            <w:lang w:val="de-AT"/>
          </w:rPr>
          <m:t>≠</m:t>
        </m:r>
        <m:r>
          <w:rPr>
            <w:rFonts w:ascii="Cambria Math" w:eastAsia="Aptos" w:hAnsi="Cambria Math" w:cs="Times New Roman"/>
            <w:spacing w:val="-8"/>
            <w:sz w:val="28"/>
            <w:szCs w:val="28"/>
          </w:rPr>
          <m:t>g</m:t>
        </m:r>
        <m:r>
          <w:rPr>
            <w:rFonts w:ascii="Cambria Math" w:eastAsia="Aptos" w:hAnsi="Cambria Math" w:cs="Times New Roman"/>
            <w:spacing w:val="-8"/>
            <w:sz w:val="28"/>
            <w:szCs w:val="28"/>
            <w:lang w:val="de-AT"/>
          </w:rPr>
          <m:t>|</m:t>
        </m:r>
      </m:oMath>
      <w:r w:rsidRPr="00277AC4">
        <w:rPr>
          <w:rFonts w:ascii="Times New Roman" w:eastAsia="Aptos" w:hAnsi="Times New Roman" w:cs="Times New Roman"/>
          <w:spacing w:val="-6"/>
          <w:sz w:val="28"/>
          <w:szCs w:val="28"/>
          <w:lang w:val="de-AT"/>
        </w:rPr>
        <w:t>.</w:t>
      </w:r>
    </w:p>
    <w:p w14:paraId="647E1645" w14:textId="42C4BC5F" w:rsidR="00277AC4" w:rsidRPr="00277AC4" w:rsidRDefault="00277AC4" w:rsidP="00277AC4">
      <w:pPr>
        <w:spacing w:line="264" w:lineRule="auto"/>
        <w:ind w:firstLine="708"/>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 xml:space="preserve">Wykorzystanie metody PSM prowadzi do zmiany tej formuły i zwiększenia wymagań w zakresie dopasowania grupy odniesienia (badanej) i porównawczej (kontrolnej). Założenie teoretyczne PSM wymaga na pierwszym etapie, aby wyniki obu grup  (docelowej i odniesienia) przed uruchomieniem interwencji były jednakowe (w praktyce zbliżone do siebie). Powinien więc być spełniony bardziej rygorystyczny warunek (Abadie, 2005; Blundell </w:t>
      </w:r>
      <w:r w:rsidR="003D6647">
        <w:rPr>
          <w:rFonts w:ascii="Times New Roman" w:eastAsia="Aptos" w:hAnsi="Times New Roman" w:cs="Times New Roman"/>
          <w:sz w:val="28"/>
          <w:szCs w:val="28"/>
        </w:rPr>
        <w:t>i</w:t>
      </w:r>
      <w:r w:rsidRPr="00277AC4">
        <w:rPr>
          <w:rFonts w:ascii="Times New Roman" w:eastAsia="Aptos" w:hAnsi="Times New Roman" w:cs="Times New Roman"/>
          <w:sz w:val="28"/>
          <w:szCs w:val="28"/>
        </w:rPr>
        <w:t xml:space="preserve"> Costa Dias, 2000; Mueser i in., 2007):</w:t>
      </w:r>
    </w:p>
    <w:p w14:paraId="54293C18" w14:textId="77777777" w:rsidR="00277AC4" w:rsidRPr="00277AC4" w:rsidRDefault="00277AC4" w:rsidP="00277AC4">
      <w:pPr>
        <w:spacing w:line="264" w:lineRule="auto"/>
        <w:jc w:val="center"/>
        <w:rPr>
          <w:rFonts w:ascii="Times New Roman" w:eastAsia="Aptos" w:hAnsi="Times New Roman" w:cs="Times New Roman"/>
          <w:spacing w:val="-6"/>
          <w:sz w:val="28"/>
          <w:szCs w:val="28"/>
          <w:lang w:val="de-AT"/>
        </w:rPr>
      </w:pPr>
      <m:oMath>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t-1</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Di=1</w:t>
      </w:r>
      <m:oMath>
        <m:r>
          <m:rPr>
            <m:sty m:val="p"/>
          </m:rPr>
          <w:rPr>
            <w:rFonts w:ascii="Cambria Math" w:eastAsia="Aptos" w:hAnsi="Cambria Math" w:cs="Times New Roman"/>
            <w:spacing w:val="-6"/>
            <w:lang w:val="de-AT"/>
          </w:rPr>
          <m:t>])*</m:t>
        </m:r>
        <m:d>
          <m:dPr>
            <m:ctrlPr>
              <w:rPr>
                <w:rFonts w:ascii="Cambria Math" w:eastAsia="Aptos" w:hAnsi="Cambria Math" w:cs="Times New Roman"/>
                <w:spacing w:val="-6"/>
                <w:sz w:val="28"/>
                <w:szCs w:val="28"/>
                <w:lang w:val="en-GB"/>
              </w:rPr>
            </m:ctrlPr>
          </m:dPr>
          <m:e>
            <m:r>
              <m:rPr>
                <m:sty m:val="p"/>
              </m:rPr>
              <w:rPr>
                <w:rFonts w:ascii="Cambria Math" w:eastAsia="Aptos" w:hAnsi="Cambria Math" w:cs="Times New Roman"/>
                <w:spacing w:val="-6"/>
                <w:sz w:val="28"/>
                <w:szCs w:val="28"/>
                <w:lang w:val="de-AT"/>
              </w:rPr>
              <m:t>0</m:t>
            </m:r>
          </m:e>
        </m:d>
        <m:r>
          <w:rPr>
            <w:rFonts w:ascii="Cambria Math" w:eastAsia="Aptos" w:hAnsi="Cambria Math" w:cs="Times New Roman"/>
            <w:spacing w:val="-6"/>
            <w:sz w:val="28"/>
            <w:szCs w:val="28"/>
            <w:lang w:val="de-AT"/>
          </w:rPr>
          <m:t>|</m:t>
        </m:r>
        <w:bookmarkStart w:id="39" w:name="_Hlk182477656"/>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X</m:t>
            </m:r>
          </m:e>
          <m:sub>
            <m:r>
              <w:rPr>
                <w:rFonts w:ascii="Cambria Math" w:eastAsia="Aptos" w:hAnsi="Cambria Math" w:cs="Times New Roman"/>
                <w:spacing w:val="-8"/>
                <w:sz w:val="28"/>
                <w:szCs w:val="28"/>
                <w:lang w:val="en-GB"/>
              </w:rPr>
              <m:t>i</m:t>
            </m:r>
          </m:sub>
        </m:sSub>
        <w:bookmarkEnd w:id="39"/>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oMath>
      <w:r w:rsidRPr="00277AC4">
        <w:rPr>
          <w:rFonts w:ascii="Times New Roman" w:eastAsia="Aptos" w:hAnsi="Times New Roman" w:cs="Times New Roman"/>
          <w:spacing w:val="-6"/>
          <w:sz w:val="28"/>
          <w:szCs w:val="28"/>
          <w:lang w:val="de-AT"/>
        </w:rPr>
        <w:t>=</w:t>
      </w:r>
      <w:r w:rsidRPr="00277AC4">
        <w:rPr>
          <w:rFonts w:ascii="Cambria Math" w:eastAsia="Aptos" w:hAnsi="Cambria Math" w:cs="Times New Roman"/>
          <w:spacing w:val="-6"/>
          <w:sz w:val="28"/>
          <w:szCs w:val="28"/>
          <w:lang w:val="de-AT"/>
        </w:rPr>
        <w:t xml:space="preserve"> </w:t>
      </w:r>
      <m:oMath>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t-1</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Di=0</w:t>
      </w:r>
      <m:oMath>
        <m:r>
          <m:rPr>
            <m:sty m:val="p"/>
          </m:rPr>
          <w:rPr>
            <w:rFonts w:ascii="Cambria Math" w:eastAsia="Aptos" w:hAnsi="Cambria Math" w:cs="Times New Roman"/>
            <w:spacing w:val="-6"/>
            <w:lang w:val="de-AT"/>
          </w:rPr>
          <m:t>])*</m:t>
        </m:r>
        <m:d>
          <m:dPr>
            <m:ctrlPr>
              <w:rPr>
                <w:rFonts w:ascii="Cambria Math" w:eastAsia="Aptos" w:hAnsi="Cambria Math" w:cs="Times New Roman"/>
                <w:spacing w:val="-6"/>
                <w:sz w:val="28"/>
                <w:szCs w:val="28"/>
                <w:lang w:val="en-GB"/>
              </w:rPr>
            </m:ctrlPr>
          </m:dPr>
          <m:e>
            <m:r>
              <m:rPr>
                <m:sty m:val="p"/>
              </m:rPr>
              <w:rPr>
                <w:rFonts w:ascii="Cambria Math" w:eastAsia="Aptos" w:hAnsi="Cambria Math" w:cs="Times New Roman"/>
                <w:spacing w:val="-6"/>
                <w:sz w:val="28"/>
                <w:szCs w:val="28"/>
                <w:lang w:val="de-AT"/>
              </w:rPr>
              <m:t>0</m:t>
            </m:r>
          </m:e>
        </m:d>
        <m:r>
          <w:rPr>
            <w:rFonts w:ascii="Cambria Math" w:eastAsia="Aptos" w:hAnsi="Cambria Math" w:cs="Times New Roman"/>
            <w:spacing w:val="-6"/>
            <w:sz w:val="28"/>
            <w:szCs w:val="28"/>
            <w:lang w:val="de-AT"/>
          </w:rPr>
          <m:t>|</m:t>
        </m:r>
        <w:bookmarkStart w:id="40" w:name="_Hlk182386418"/>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X</m:t>
            </m:r>
          </m:e>
          <m:sub>
            <m:r>
              <w:rPr>
                <w:rFonts w:ascii="Cambria Math" w:eastAsia="Aptos" w:hAnsi="Cambria Math" w:cs="Times New Roman"/>
                <w:spacing w:val="-8"/>
                <w:sz w:val="28"/>
                <w:szCs w:val="28"/>
                <w:lang w:val="en-GB"/>
              </w:rPr>
              <m:t>i</m:t>
            </m:r>
          </m:sub>
        </m:sSub>
        <m:r>
          <w:rPr>
            <w:rFonts w:ascii="Cambria Math" w:eastAsia="Aptos" w:hAnsi="Cambria Math" w:cs="Times New Roman"/>
            <w:spacing w:val="-6"/>
            <w:sz w:val="28"/>
            <w:szCs w:val="28"/>
            <w:lang w:val="de-AT"/>
          </w:rPr>
          <m:t>,</m:t>
        </m:r>
        <w:bookmarkEnd w:id="40"/>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oMath>
      <w:r w:rsidRPr="00277AC4">
        <w:rPr>
          <w:rFonts w:ascii="Times New Roman" w:eastAsia="Aptos" w:hAnsi="Times New Roman" w:cs="Times New Roman"/>
          <w:spacing w:val="-6"/>
          <w:sz w:val="28"/>
          <w:szCs w:val="28"/>
          <w:lang w:val="de-AT"/>
        </w:rPr>
        <w:t>,</w:t>
      </w:r>
    </w:p>
    <w:p w14:paraId="4CF33531" w14:textId="107B6474" w:rsidR="00277AC4" w:rsidRPr="00277AC4" w:rsidRDefault="00277AC4" w:rsidP="00277AC4">
      <w:pPr>
        <w:spacing w:line="264" w:lineRule="auto"/>
        <w:jc w:val="center"/>
        <w:rPr>
          <w:rFonts w:ascii="Times New Roman" w:eastAsia="Aptos" w:hAnsi="Times New Roman" w:cs="Times New Roman"/>
          <w:sz w:val="28"/>
          <w:szCs w:val="28"/>
        </w:rPr>
      </w:pPr>
      <w:r w:rsidRPr="00277AC4">
        <w:rPr>
          <w:rFonts w:ascii="Times New Roman" w:eastAsia="Aptos" w:hAnsi="Times New Roman" w:cs="Times New Roman"/>
          <w:sz w:val="28"/>
          <w:szCs w:val="28"/>
        </w:rPr>
        <w:t>i analogicznie</w:t>
      </w:r>
      <w:r w:rsidR="003D6647">
        <w:rPr>
          <w:rFonts w:ascii="Times New Roman" w:eastAsia="Aptos" w:hAnsi="Times New Roman" w:cs="Times New Roman"/>
          <w:sz w:val="28"/>
          <w:szCs w:val="28"/>
        </w:rPr>
        <w:t>,</w:t>
      </w:r>
      <w:r w:rsidRPr="00277AC4">
        <w:rPr>
          <w:rFonts w:ascii="Times New Roman" w:eastAsia="Aptos" w:hAnsi="Times New Roman" w:cs="Times New Roman"/>
          <w:sz w:val="28"/>
          <w:szCs w:val="28"/>
        </w:rPr>
        <w:t xml:space="preserve"> uwzględniając jednostki niepoddane wcześniej interwencji:</w:t>
      </w:r>
    </w:p>
    <w:p w14:paraId="294C75CA" w14:textId="77777777" w:rsidR="00277AC4" w:rsidRPr="00277AC4" w:rsidRDefault="00277AC4" w:rsidP="00277AC4">
      <w:pPr>
        <w:spacing w:line="264" w:lineRule="auto"/>
        <w:jc w:val="center"/>
        <w:rPr>
          <w:rFonts w:ascii="Times New Roman" w:eastAsia="Aptos" w:hAnsi="Times New Roman" w:cs="Times New Roman"/>
          <w:spacing w:val="-6"/>
          <w:sz w:val="28"/>
          <w:szCs w:val="28"/>
          <w:lang w:val="de-AT"/>
        </w:rPr>
      </w:pPr>
      <m:oMath>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t-1</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Di=1</w:t>
      </w:r>
      <m:oMath>
        <m:r>
          <m:rPr>
            <m:sty m:val="p"/>
          </m:rPr>
          <w:rPr>
            <w:rFonts w:ascii="Cambria Math" w:eastAsia="Aptos" w:hAnsi="Cambria Math" w:cs="Times New Roman"/>
            <w:spacing w:val="-6"/>
            <w:lang w:val="de-AT"/>
          </w:rPr>
          <m:t>])*</m:t>
        </m:r>
        <m:d>
          <m:dPr>
            <m:ctrlPr>
              <w:rPr>
                <w:rFonts w:ascii="Cambria Math" w:eastAsia="Aptos" w:hAnsi="Cambria Math" w:cs="Times New Roman"/>
                <w:spacing w:val="-6"/>
                <w:sz w:val="28"/>
                <w:szCs w:val="28"/>
                <w:lang w:val="en-GB"/>
              </w:rPr>
            </m:ctrlPr>
          </m:dPr>
          <m:e>
            <m:r>
              <m:rPr>
                <m:sty m:val="p"/>
              </m:rPr>
              <w:rPr>
                <w:rFonts w:ascii="Cambria Math" w:eastAsia="Aptos" w:hAnsi="Cambria Math" w:cs="Times New Roman"/>
                <w:spacing w:val="-6"/>
                <w:sz w:val="28"/>
                <w:szCs w:val="28"/>
                <w:lang w:val="de-AT"/>
              </w:rPr>
              <m:t>0</m:t>
            </m:r>
          </m:e>
        </m:d>
        <m:r>
          <w:rPr>
            <w:rFonts w:ascii="Cambria Math" w:eastAsia="Aptos" w:hAnsi="Cambria Math" w:cs="Times New Roman"/>
            <w:spacing w:val="-6"/>
            <w:sz w:val="28"/>
            <w:szCs w:val="28"/>
            <w:lang w:val="de-AT"/>
          </w:rPr>
          <m:t>|</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X</m:t>
            </m:r>
          </m:e>
          <m:sub>
            <m:r>
              <w:rPr>
                <w:rFonts w:ascii="Cambria Math" w:eastAsia="Aptos" w:hAnsi="Cambria Math" w:cs="Times New Roman"/>
                <w:spacing w:val="-8"/>
                <w:sz w:val="28"/>
                <w:szCs w:val="28"/>
                <w:lang w:val="en-GB"/>
              </w:rPr>
              <m:t>i</m:t>
            </m:r>
          </m:sub>
        </m:sSub>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oMath>
      <w:r w:rsidRPr="00277AC4">
        <w:rPr>
          <w:rFonts w:ascii="Times New Roman" w:eastAsia="Aptos" w:hAnsi="Times New Roman" w:cs="Times New Roman"/>
          <w:spacing w:val="-6"/>
          <w:sz w:val="28"/>
          <w:szCs w:val="28"/>
          <w:lang w:val="de-AT"/>
        </w:rPr>
        <w:t>=</w:t>
      </w:r>
      <w:r w:rsidRPr="00277AC4">
        <w:rPr>
          <w:rFonts w:ascii="Cambria Math" w:eastAsia="Aptos" w:hAnsi="Cambria Math" w:cs="Times New Roman"/>
          <w:spacing w:val="-6"/>
          <w:sz w:val="28"/>
          <w:szCs w:val="28"/>
          <w:lang w:val="de-AT"/>
        </w:rPr>
        <w:t xml:space="preserve"> </w:t>
      </w:r>
      <m:oMath>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t-1</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Di=0</w:t>
      </w:r>
      <m:oMath>
        <m:r>
          <m:rPr>
            <m:sty m:val="p"/>
          </m:rPr>
          <w:rPr>
            <w:rFonts w:ascii="Cambria Math" w:eastAsia="Aptos" w:hAnsi="Cambria Math" w:cs="Times New Roman"/>
            <w:spacing w:val="-6"/>
            <w:lang w:val="de-AT"/>
          </w:rPr>
          <m:t>])*</m:t>
        </m:r>
        <m:d>
          <m:dPr>
            <m:ctrlPr>
              <w:rPr>
                <w:rFonts w:ascii="Cambria Math" w:eastAsia="Aptos" w:hAnsi="Cambria Math" w:cs="Times New Roman"/>
                <w:spacing w:val="-6"/>
                <w:sz w:val="28"/>
                <w:szCs w:val="28"/>
                <w:lang w:val="en-GB"/>
              </w:rPr>
            </m:ctrlPr>
          </m:dPr>
          <m:e>
            <m:r>
              <m:rPr>
                <m:sty m:val="p"/>
              </m:rPr>
              <w:rPr>
                <w:rFonts w:ascii="Cambria Math" w:eastAsia="Aptos" w:hAnsi="Cambria Math" w:cs="Times New Roman"/>
                <w:spacing w:val="-6"/>
                <w:sz w:val="28"/>
                <w:szCs w:val="28"/>
                <w:lang w:val="de-AT"/>
              </w:rPr>
              <m:t>0</m:t>
            </m:r>
          </m:e>
        </m:d>
        <m:r>
          <w:rPr>
            <w:rFonts w:ascii="Cambria Math" w:eastAsia="Aptos" w:hAnsi="Cambria Math" w:cs="Times New Roman"/>
            <w:spacing w:val="-6"/>
            <w:sz w:val="28"/>
            <w:szCs w:val="28"/>
            <w:lang w:val="de-AT"/>
          </w:rPr>
          <m:t>|</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X</m:t>
            </m:r>
          </m:e>
          <m:sub>
            <m:r>
              <w:rPr>
                <w:rFonts w:ascii="Cambria Math" w:eastAsia="Aptos" w:hAnsi="Cambria Math" w:cs="Times New Roman"/>
                <w:spacing w:val="-8"/>
                <w:sz w:val="28"/>
                <w:szCs w:val="28"/>
                <w:lang w:val="en-GB"/>
              </w:rPr>
              <m:t>i</m:t>
            </m:r>
          </m:sub>
        </m:sSub>
        <m:r>
          <w:rPr>
            <w:rFonts w:ascii="Cambria Math" w:eastAsia="Aptos" w:hAnsi="Cambria Math" w:cs="Times New Roman"/>
            <w:spacing w:val="-6"/>
            <w:sz w:val="28"/>
            <w:szCs w:val="28"/>
            <w:lang w:val="de-AT"/>
          </w:rPr>
          <m:t>,</m:t>
        </m:r>
        <m:r>
          <w:rPr>
            <w:rFonts w:ascii="Cambria Math" w:eastAsia="Aptos" w:hAnsi="Cambria Math" w:cs="Times New Roman"/>
            <w:spacing w:val="-8"/>
            <w:sz w:val="28"/>
            <w:szCs w:val="28"/>
            <w:lang w:val="en-GB"/>
          </w:rPr>
          <m:t>Ds</m:t>
        </m:r>
        <m:r>
          <w:rPr>
            <w:rFonts w:ascii="Cambria Math" w:eastAsia="Aptos" w:hAnsi="Cambria Math" w:cs="Times New Roman"/>
            <w:spacing w:val="-8"/>
            <w:sz w:val="28"/>
            <w:szCs w:val="28"/>
            <w:lang w:val="de-AT"/>
          </w:rPr>
          <m:t>=0,</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oMath>
      <w:r w:rsidRPr="00277AC4">
        <w:rPr>
          <w:rFonts w:ascii="Times New Roman" w:eastAsia="Aptos" w:hAnsi="Times New Roman" w:cs="Times New Roman"/>
          <w:spacing w:val="-6"/>
          <w:sz w:val="28"/>
          <w:szCs w:val="28"/>
          <w:lang w:val="de-AT"/>
        </w:rPr>
        <w:t>.</w:t>
      </w:r>
    </w:p>
    <w:p w14:paraId="754F89D1" w14:textId="112ACC7B" w:rsidR="00277AC4" w:rsidRPr="00277AC4" w:rsidRDefault="00277AC4" w:rsidP="00277AC4">
      <w:pPr>
        <w:spacing w:line="264" w:lineRule="auto"/>
        <w:ind w:firstLine="708"/>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lastRenderedPageBreak/>
        <w:t>W podejściu zaproponowanym przez Heckman</w:t>
      </w:r>
      <w:r w:rsidR="003D6647">
        <w:rPr>
          <w:rFonts w:ascii="Times New Roman" w:eastAsia="Aptos" w:hAnsi="Times New Roman" w:cs="Times New Roman"/>
          <w:sz w:val="28"/>
          <w:szCs w:val="28"/>
        </w:rPr>
        <w:t>a</w:t>
      </w:r>
      <w:r w:rsidRPr="00277AC4">
        <w:rPr>
          <w:rFonts w:ascii="Times New Roman" w:eastAsia="Aptos" w:hAnsi="Times New Roman" w:cs="Times New Roman"/>
          <w:sz w:val="28"/>
          <w:szCs w:val="28"/>
        </w:rPr>
        <w:t xml:space="preserve"> i in. (1998) dopasowan</w:t>
      </w:r>
      <w:r w:rsidR="003D6647">
        <w:rPr>
          <w:rFonts w:ascii="Times New Roman" w:eastAsia="Aptos" w:hAnsi="Times New Roman" w:cs="Times New Roman"/>
          <w:sz w:val="28"/>
          <w:szCs w:val="28"/>
        </w:rPr>
        <w:t>i</w:t>
      </w:r>
      <w:r w:rsidRPr="00277AC4">
        <w:rPr>
          <w:rFonts w:ascii="Times New Roman" w:eastAsia="Aptos" w:hAnsi="Times New Roman" w:cs="Times New Roman"/>
          <w:sz w:val="28"/>
          <w:szCs w:val="28"/>
        </w:rPr>
        <w:t>e jednostek i przyporządkowanie do grupy kontrolnej dokonuje się na podstawie prawdopodobieństwa poddania danej jednostki interwencji szacowanej w oparciu o obserwowalne cechy, a wówczas:</w:t>
      </w:r>
    </w:p>
    <w:p w14:paraId="0767030D" w14:textId="77777777" w:rsidR="00277AC4" w:rsidRPr="00277AC4" w:rsidRDefault="00277AC4" w:rsidP="00277AC4">
      <w:pPr>
        <w:spacing w:line="264" w:lineRule="auto"/>
        <w:jc w:val="center"/>
        <w:rPr>
          <w:rFonts w:ascii="Times New Roman" w:eastAsia="Aptos" w:hAnsi="Times New Roman" w:cs="Times New Roman"/>
          <w:spacing w:val="-6"/>
          <w:sz w:val="28"/>
          <w:szCs w:val="28"/>
          <w:lang w:val="de-AT"/>
        </w:rPr>
      </w:pPr>
      <m:oMath>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t-1</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Di=1</w:t>
      </w:r>
      <m:oMath>
        <m:r>
          <m:rPr>
            <m:sty m:val="p"/>
          </m:rPr>
          <w:rPr>
            <w:rFonts w:ascii="Cambria Math" w:eastAsia="Aptos" w:hAnsi="Cambria Math" w:cs="Times New Roman"/>
            <w:spacing w:val="-6"/>
            <w:lang w:val="de-AT"/>
          </w:rPr>
          <m:t>])*</m:t>
        </m:r>
        <m:d>
          <m:dPr>
            <m:ctrlPr>
              <w:rPr>
                <w:rFonts w:ascii="Cambria Math" w:eastAsia="Aptos" w:hAnsi="Cambria Math" w:cs="Times New Roman"/>
                <w:spacing w:val="-6"/>
                <w:sz w:val="28"/>
                <w:szCs w:val="28"/>
                <w:lang w:val="en-GB"/>
              </w:rPr>
            </m:ctrlPr>
          </m:dPr>
          <m:e>
            <m:r>
              <m:rPr>
                <m:sty m:val="p"/>
              </m:rPr>
              <w:rPr>
                <w:rFonts w:ascii="Cambria Math" w:eastAsia="Aptos" w:hAnsi="Cambria Math" w:cs="Times New Roman"/>
                <w:spacing w:val="-6"/>
                <w:sz w:val="28"/>
                <w:szCs w:val="28"/>
                <w:lang w:val="de-AT"/>
              </w:rPr>
              <m:t>0</m:t>
            </m:r>
          </m:e>
        </m:d>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P</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X</m:t>
            </m:r>
          </m:e>
          <m:sub>
            <m:r>
              <w:rPr>
                <w:rFonts w:ascii="Cambria Math" w:eastAsia="Aptos" w:hAnsi="Cambria Math" w:cs="Times New Roman"/>
                <w:spacing w:val="-8"/>
                <w:sz w:val="28"/>
                <w:szCs w:val="28"/>
                <w:lang w:val="en-GB"/>
              </w:rPr>
              <m:t>i</m:t>
            </m:r>
          </m:sub>
        </m:sSub>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oMath>
      <w:r w:rsidRPr="00277AC4">
        <w:rPr>
          <w:rFonts w:ascii="Times New Roman" w:eastAsia="Aptos" w:hAnsi="Times New Roman" w:cs="Times New Roman"/>
          <w:spacing w:val="-6"/>
          <w:sz w:val="28"/>
          <w:szCs w:val="28"/>
          <w:lang w:val="de-AT"/>
        </w:rPr>
        <w:t>=</w:t>
      </w:r>
      <w:r w:rsidRPr="00277AC4">
        <w:rPr>
          <w:rFonts w:ascii="Cambria Math" w:eastAsia="Aptos" w:hAnsi="Cambria Math" w:cs="Times New Roman"/>
          <w:spacing w:val="-6"/>
          <w:sz w:val="28"/>
          <w:szCs w:val="28"/>
          <w:lang w:val="de-AT"/>
        </w:rPr>
        <w:t xml:space="preserve"> </w:t>
      </w:r>
      <m:oMath>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t-1</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Di=0</w:t>
      </w:r>
      <m:oMath>
        <m:r>
          <m:rPr>
            <m:sty m:val="p"/>
          </m:rPr>
          <w:rPr>
            <w:rFonts w:ascii="Cambria Math" w:eastAsia="Aptos" w:hAnsi="Cambria Math" w:cs="Times New Roman"/>
            <w:spacing w:val="-6"/>
            <w:lang w:val="de-AT"/>
          </w:rPr>
          <m:t>])*</m:t>
        </m:r>
        <m:d>
          <m:dPr>
            <m:ctrlPr>
              <w:rPr>
                <w:rFonts w:ascii="Cambria Math" w:eastAsia="Aptos" w:hAnsi="Cambria Math" w:cs="Times New Roman"/>
                <w:spacing w:val="-6"/>
                <w:sz w:val="28"/>
                <w:szCs w:val="28"/>
                <w:lang w:val="en-GB"/>
              </w:rPr>
            </m:ctrlPr>
          </m:dPr>
          <m:e>
            <m:r>
              <m:rPr>
                <m:sty m:val="p"/>
              </m:rPr>
              <w:rPr>
                <w:rFonts w:ascii="Cambria Math" w:eastAsia="Aptos" w:hAnsi="Cambria Math" w:cs="Times New Roman"/>
                <w:spacing w:val="-6"/>
                <w:sz w:val="28"/>
                <w:szCs w:val="28"/>
                <w:lang w:val="de-AT"/>
              </w:rPr>
              <m:t>0</m:t>
            </m:r>
          </m:e>
        </m:d>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P</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X</m:t>
            </m:r>
          </m:e>
          <m:sub>
            <m:r>
              <w:rPr>
                <w:rFonts w:ascii="Cambria Math" w:eastAsia="Aptos" w:hAnsi="Cambria Math" w:cs="Times New Roman"/>
                <w:spacing w:val="-8"/>
                <w:sz w:val="28"/>
                <w:szCs w:val="28"/>
                <w:lang w:val="en-GB"/>
              </w:rPr>
              <m:t>i</m:t>
            </m:r>
          </m:sub>
        </m:sSub>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oMath>
      <w:r w:rsidRPr="00277AC4">
        <w:rPr>
          <w:rFonts w:ascii="Times New Roman" w:eastAsia="Aptos" w:hAnsi="Times New Roman" w:cs="Times New Roman"/>
          <w:spacing w:val="-6"/>
          <w:sz w:val="28"/>
          <w:szCs w:val="28"/>
          <w:lang w:val="de-AT"/>
        </w:rPr>
        <w:t>,</w:t>
      </w:r>
    </w:p>
    <w:p w14:paraId="15ECC166" w14:textId="77777777" w:rsidR="00277AC4" w:rsidRPr="00277AC4" w:rsidRDefault="00277AC4" w:rsidP="00277AC4">
      <w:pPr>
        <w:spacing w:line="264" w:lineRule="auto"/>
        <w:jc w:val="both"/>
        <w:rPr>
          <w:rFonts w:ascii="Times New Roman" w:eastAsia="Aptos" w:hAnsi="Times New Roman" w:cs="Times New Roman"/>
          <w:spacing w:val="-6"/>
          <w:sz w:val="28"/>
          <w:szCs w:val="28"/>
        </w:rPr>
      </w:pPr>
      <w:r w:rsidRPr="00277AC4">
        <w:rPr>
          <w:rFonts w:ascii="Times New Roman" w:eastAsia="Aptos" w:hAnsi="Times New Roman" w:cs="Times New Roman"/>
          <w:spacing w:val="-6"/>
          <w:sz w:val="28"/>
          <w:szCs w:val="28"/>
        </w:rPr>
        <w:t>i w przypadku uwzględnienia w grupie odniesienia zmiennych poddanych interwencji w okresie późniejszym (dopasowanie wielowymiarowe):</w:t>
      </w:r>
    </w:p>
    <w:p w14:paraId="36C417F5" w14:textId="7A635F18" w:rsidR="00277AC4" w:rsidRPr="00277AC4" w:rsidRDefault="00277AC4" w:rsidP="00277AC4">
      <w:pPr>
        <w:spacing w:line="264" w:lineRule="auto"/>
        <w:jc w:val="center"/>
        <w:rPr>
          <w:rFonts w:ascii="Times New Roman" w:eastAsia="Aptos" w:hAnsi="Times New Roman" w:cs="Times New Roman"/>
          <w:spacing w:val="-6"/>
          <w:sz w:val="28"/>
          <w:szCs w:val="28"/>
          <w:lang w:val="de-AT"/>
        </w:rPr>
      </w:pPr>
      <m:oMath>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t-1</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Di=1</w:t>
      </w:r>
      <m:oMath>
        <m:r>
          <m:rPr>
            <m:sty m:val="p"/>
          </m:rPr>
          <w:rPr>
            <w:rFonts w:ascii="Cambria Math" w:eastAsia="Aptos" w:hAnsi="Cambria Math" w:cs="Times New Roman"/>
            <w:spacing w:val="-6"/>
            <w:lang w:val="de-AT"/>
          </w:rPr>
          <m:t>])*</m:t>
        </m:r>
        <m:d>
          <m:dPr>
            <m:ctrlPr>
              <w:rPr>
                <w:rFonts w:ascii="Cambria Math" w:eastAsia="Aptos" w:hAnsi="Cambria Math" w:cs="Times New Roman"/>
                <w:spacing w:val="-6"/>
                <w:sz w:val="28"/>
                <w:szCs w:val="28"/>
                <w:lang w:val="en-GB"/>
              </w:rPr>
            </m:ctrlPr>
          </m:dPr>
          <m:e>
            <m:r>
              <m:rPr>
                <m:sty m:val="p"/>
              </m:rPr>
              <w:rPr>
                <w:rFonts w:ascii="Cambria Math" w:eastAsia="Aptos" w:hAnsi="Cambria Math" w:cs="Times New Roman"/>
                <w:spacing w:val="-6"/>
                <w:sz w:val="28"/>
                <w:szCs w:val="28"/>
                <w:lang w:val="de-AT"/>
              </w:rPr>
              <m:t>0</m:t>
            </m:r>
          </m:e>
        </m:d>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P</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X</m:t>
            </m:r>
          </m:e>
          <m:sub>
            <m:r>
              <w:rPr>
                <w:rFonts w:ascii="Cambria Math" w:eastAsia="Aptos" w:hAnsi="Cambria Math" w:cs="Times New Roman"/>
                <w:spacing w:val="-8"/>
                <w:sz w:val="28"/>
                <w:szCs w:val="28"/>
                <w:lang w:val="en-GB"/>
              </w:rPr>
              <m:t>i</m:t>
            </m:r>
          </m:sub>
        </m:sSub>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oMath>
      <w:r w:rsidRPr="00277AC4">
        <w:rPr>
          <w:rFonts w:ascii="Times New Roman" w:eastAsia="Aptos" w:hAnsi="Times New Roman" w:cs="Times New Roman"/>
          <w:spacing w:val="-6"/>
          <w:sz w:val="28"/>
          <w:szCs w:val="28"/>
          <w:lang w:val="de-AT"/>
        </w:rPr>
        <w:t>=</w:t>
      </w:r>
      <w:r w:rsidRPr="00277AC4">
        <w:rPr>
          <w:rFonts w:ascii="Cambria Math" w:eastAsia="Aptos" w:hAnsi="Cambria Math" w:cs="Times New Roman"/>
          <w:spacing w:val="-6"/>
          <w:sz w:val="28"/>
          <w:szCs w:val="28"/>
          <w:lang w:val="de-AT"/>
        </w:rPr>
        <w:t xml:space="preserve"> </w:t>
      </w:r>
      <m:oMath>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t-1</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Di=0</w:t>
      </w:r>
      <m:oMath>
        <m:r>
          <m:rPr>
            <m:sty m:val="p"/>
          </m:rPr>
          <w:rPr>
            <w:rFonts w:ascii="Cambria Math" w:eastAsia="Aptos" w:hAnsi="Cambria Math" w:cs="Times New Roman"/>
            <w:spacing w:val="-6"/>
            <w:lang w:val="de-AT"/>
          </w:rPr>
          <m:t>])*</m:t>
        </m:r>
        <m:d>
          <m:dPr>
            <m:ctrlPr>
              <w:rPr>
                <w:rFonts w:ascii="Cambria Math" w:eastAsia="Aptos" w:hAnsi="Cambria Math" w:cs="Times New Roman"/>
                <w:spacing w:val="-6"/>
                <w:sz w:val="28"/>
                <w:szCs w:val="28"/>
                <w:lang w:val="en-GB"/>
              </w:rPr>
            </m:ctrlPr>
          </m:dPr>
          <m:e>
            <m:r>
              <m:rPr>
                <m:sty m:val="p"/>
              </m:rPr>
              <w:rPr>
                <w:rFonts w:ascii="Cambria Math" w:eastAsia="Aptos" w:hAnsi="Cambria Math" w:cs="Times New Roman"/>
                <w:spacing w:val="-6"/>
                <w:sz w:val="28"/>
                <w:szCs w:val="28"/>
                <w:lang w:val="de-AT"/>
              </w:rPr>
              <m:t>0</m:t>
            </m:r>
          </m:e>
        </m:d>
        <m:d>
          <m:dPr>
            <m:begChr m:val="|"/>
            <m:endChr m:val="|"/>
            <m:ctrlPr>
              <w:rPr>
                <w:rFonts w:ascii="Cambria Math" w:eastAsia="Aptos" w:hAnsi="Cambria Math" w:cs="Times New Roman"/>
                <w:i/>
                <w:spacing w:val="-6"/>
                <w:sz w:val="28"/>
                <w:szCs w:val="28"/>
                <w:lang w:val="de-AT"/>
              </w:rPr>
            </m:ctrlPr>
          </m:dPr>
          <m:e>
            <m:r>
              <w:rPr>
                <w:rFonts w:ascii="Cambria Math" w:eastAsia="Aptos" w:hAnsi="Cambria Math" w:cs="Times New Roman"/>
                <w:spacing w:val="-6"/>
                <w:sz w:val="28"/>
                <w:szCs w:val="28"/>
              </w:rPr>
              <m:t>P</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X</m:t>
                </m:r>
              </m:e>
              <m:sub>
                <m:r>
                  <w:rPr>
                    <w:rFonts w:ascii="Cambria Math" w:eastAsia="Aptos" w:hAnsi="Cambria Math" w:cs="Times New Roman"/>
                    <w:spacing w:val="-8"/>
                    <w:sz w:val="28"/>
                    <w:szCs w:val="28"/>
                    <w:lang w:val="en-GB"/>
                  </w:rPr>
                  <m:t>i</m:t>
                </m:r>
              </m:sub>
            </m:sSub>
            <m:r>
              <w:rPr>
                <w:rFonts w:ascii="Cambria Math" w:eastAsia="Aptos" w:hAnsi="Cambria Math" w:cs="Times New Roman"/>
                <w:spacing w:val="-6"/>
                <w:sz w:val="28"/>
                <w:szCs w:val="28"/>
                <w:lang w:val="de-AT"/>
              </w:rPr>
              <m:t>,</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D</m:t>
                </m:r>
              </m:e>
              <m:sub>
                <m:r>
                  <w:rPr>
                    <w:rFonts w:ascii="Cambria Math" w:eastAsia="Aptos" w:hAnsi="Cambria Math" w:cs="Times New Roman"/>
                    <w:spacing w:val="-8"/>
                    <w:sz w:val="28"/>
                    <w:szCs w:val="28"/>
                    <w:lang w:val="en-GB"/>
                  </w:rPr>
                  <m:t>s</m:t>
                </m:r>
              </m:sub>
            </m:sSub>
            <m:r>
              <w:rPr>
                <w:rFonts w:ascii="Cambria Math" w:eastAsia="Aptos" w:hAnsi="Cambria Math" w:cs="Times New Roman"/>
                <w:spacing w:val="-8"/>
                <w:sz w:val="28"/>
                <w:szCs w:val="28"/>
                <w:lang w:val="de-AT"/>
              </w:rPr>
              <m:t>=0,</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e>
        </m:d>
        <m:r>
          <w:rPr>
            <w:rFonts w:ascii="Cambria Math" w:eastAsia="Aptos" w:hAnsi="Cambria Math" w:cs="Times New Roman"/>
            <w:spacing w:val="-6"/>
            <w:sz w:val="28"/>
            <w:szCs w:val="28"/>
            <w:lang w:val="de-AT"/>
          </w:rPr>
          <m:t>,</m:t>
        </m:r>
      </m:oMath>
      <w:r w:rsidRPr="00277AC4">
        <w:rPr>
          <w:rFonts w:ascii="Times New Roman" w:eastAsia="Aptos" w:hAnsi="Times New Roman" w:cs="Times New Roman"/>
          <w:spacing w:val="-6"/>
          <w:sz w:val="28"/>
          <w:szCs w:val="28"/>
          <w:lang w:val="de-AT"/>
        </w:rPr>
        <w:t xml:space="preserve"> </w:t>
      </w:r>
    </w:p>
    <w:p w14:paraId="1BD7EACC" w14:textId="77777777" w:rsidR="00277AC4" w:rsidRPr="0001323E" w:rsidRDefault="00277AC4" w:rsidP="00277AC4">
      <w:pPr>
        <w:spacing w:line="264" w:lineRule="auto"/>
        <w:jc w:val="both"/>
        <w:rPr>
          <w:rFonts w:ascii="Times New Roman" w:eastAsia="Aptos" w:hAnsi="Times New Roman" w:cs="Times New Roman"/>
          <w:sz w:val="28"/>
          <w:szCs w:val="28"/>
        </w:rPr>
      </w:pPr>
      <w:r w:rsidRPr="0001323E">
        <w:rPr>
          <w:rFonts w:ascii="Times New Roman" w:eastAsia="Aptos" w:hAnsi="Times New Roman" w:cs="Times New Roman"/>
          <w:sz w:val="28"/>
          <w:szCs w:val="28"/>
        </w:rPr>
        <w:t xml:space="preserve">gdzie: </w:t>
      </w:r>
      <w:r w:rsidRPr="0001323E">
        <w:rPr>
          <w:rFonts w:ascii="Times New Roman" w:eastAsia="Aptos" w:hAnsi="Times New Roman" w:cs="Times New Roman"/>
          <w:i/>
          <w:iCs/>
          <w:sz w:val="28"/>
          <w:szCs w:val="28"/>
        </w:rPr>
        <w:t>P</w:t>
      </w:r>
      <w:r w:rsidRPr="0001323E">
        <w:rPr>
          <w:rFonts w:ascii="Times New Roman" w:eastAsia="Aptos" w:hAnsi="Times New Roman" w:cs="Times New Roman"/>
          <w:sz w:val="28"/>
          <w:szCs w:val="28"/>
        </w:rPr>
        <w:t xml:space="preserve"> jest to oszacowane prawdopodobieństwo poddania danej jednostki oddziaływaniu instrumentu interwencji obliczone na podstawie zmiennych </w:t>
      </w:r>
      <w:r w:rsidRPr="0001323E">
        <w:rPr>
          <w:rFonts w:ascii="Times New Roman" w:eastAsia="Aptos" w:hAnsi="Times New Roman" w:cs="Times New Roman"/>
          <w:i/>
          <w:iCs/>
          <w:sz w:val="28"/>
          <w:szCs w:val="28"/>
        </w:rPr>
        <w:t>X</w:t>
      </w:r>
      <w:r w:rsidRPr="0001323E">
        <w:rPr>
          <w:rFonts w:ascii="Times New Roman" w:eastAsia="Aptos" w:hAnsi="Times New Roman" w:cs="Times New Roman"/>
          <w:i/>
          <w:iCs/>
          <w:sz w:val="28"/>
          <w:szCs w:val="28"/>
          <w:vertAlign w:val="subscript"/>
        </w:rPr>
        <w:t>i</w:t>
      </w:r>
      <w:r w:rsidRPr="0001323E">
        <w:rPr>
          <w:rFonts w:ascii="Times New Roman" w:eastAsia="Aptos" w:hAnsi="Times New Roman" w:cs="Times New Roman"/>
          <w:sz w:val="28"/>
          <w:szCs w:val="28"/>
        </w:rPr>
        <w:t>.</w:t>
      </w:r>
    </w:p>
    <w:p w14:paraId="455750F3" w14:textId="77777777" w:rsidR="00277AC4" w:rsidRPr="00277AC4" w:rsidRDefault="00277AC4" w:rsidP="00277AC4">
      <w:pPr>
        <w:spacing w:line="264" w:lineRule="auto"/>
        <w:ind w:firstLine="708"/>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Należy jednak podkreślić, że wówczas stosowane jest porównanie warunkowe dla dwóch grup, które jest obciążone. Zazwyczaj warunek ten jest spełniony więc przy założeniu, że:</w:t>
      </w:r>
    </w:p>
    <w:bookmarkStart w:id="41" w:name="_Hlk182391370"/>
    <w:p w14:paraId="41C96700" w14:textId="77777777" w:rsidR="00277AC4" w:rsidRPr="00277AC4" w:rsidRDefault="00000000" w:rsidP="00277AC4">
      <w:pPr>
        <w:spacing w:line="264" w:lineRule="auto"/>
        <w:jc w:val="center"/>
        <w:rPr>
          <w:rFonts w:ascii="Times New Roman" w:eastAsia="Aptos" w:hAnsi="Times New Roman" w:cs="Times New Roman"/>
          <w:spacing w:val="-6"/>
          <w:sz w:val="28"/>
          <w:szCs w:val="28"/>
        </w:rPr>
      </w:pPr>
      <m:oMath>
        <m:acc>
          <m:accPr>
            <m:chr m:val="̇"/>
            <m:ctrlPr>
              <w:rPr>
                <w:rFonts w:ascii="Cambria Math" w:eastAsia="Aptos" w:hAnsi="Cambria Math" w:cs="Times New Roman"/>
                <w:spacing w:val="-6"/>
                <w:sz w:val="28"/>
                <w:szCs w:val="28"/>
              </w:rPr>
            </m:ctrlPr>
          </m:accPr>
          <m:e>
            <m:r>
              <m:rPr>
                <m:sty m:val="p"/>
              </m:rPr>
              <w:rPr>
                <w:rFonts w:ascii="Cambria Math" w:eastAsia="Aptos" w:hAnsi="Cambria Math" w:cs="Times New Roman"/>
                <w:spacing w:val="-6"/>
                <w:sz w:val="28"/>
                <w:szCs w:val="28"/>
              </w:rPr>
              <m:t>Y</m:t>
            </m:r>
          </m:e>
        </m:acc>
        <m:r>
          <m:rPr>
            <m:sty m:val="p"/>
          </m:rPr>
          <w:rPr>
            <w:rFonts w:ascii="Cambria Math" w:eastAsia="Aptos" w:hAnsi="Cambria Math" w:cs="Times New Roman"/>
            <w:spacing w:val="-6"/>
            <w:sz w:val="28"/>
            <w:szCs w:val="28"/>
          </w:rPr>
          <m:t xml:space="preserve"> </m:t>
        </m:r>
      </m:oMath>
      <w:r w:rsidR="00277AC4" w:rsidRPr="00277AC4">
        <w:rPr>
          <w:rFonts w:ascii="Times New Roman" w:eastAsia="Aptos" w:hAnsi="Times New Roman" w:cs="Times New Roman"/>
          <w:spacing w:val="-6"/>
          <w:sz w:val="28"/>
          <w:szCs w:val="28"/>
          <w:vertAlign w:val="subscript"/>
        </w:rPr>
        <w:t>t-1, D=1,PXi</w:t>
      </w:r>
      <w:r w:rsidR="00277AC4" w:rsidRPr="00277AC4">
        <w:rPr>
          <w:rFonts w:ascii="Times New Roman" w:eastAsia="Aptos" w:hAnsi="Times New Roman" w:cs="Times New Roman"/>
          <w:spacing w:val="-6"/>
          <w:sz w:val="28"/>
          <w:szCs w:val="28"/>
        </w:rPr>
        <w:t xml:space="preserve"> = </w:t>
      </w:r>
      <m:oMath>
        <m:acc>
          <m:accPr>
            <m:chr m:val="̇"/>
            <m:ctrlPr>
              <w:rPr>
                <w:rFonts w:ascii="Cambria Math" w:eastAsia="Aptos" w:hAnsi="Cambria Math" w:cs="Times New Roman"/>
                <w:spacing w:val="-6"/>
                <w:sz w:val="28"/>
                <w:szCs w:val="28"/>
              </w:rPr>
            </m:ctrlPr>
          </m:accPr>
          <m:e>
            <m:r>
              <m:rPr>
                <m:sty m:val="p"/>
              </m:rPr>
              <w:rPr>
                <w:rFonts w:ascii="Cambria Math" w:eastAsia="Aptos" w:hAnsi="Cambria Math" w:cs="Times New Roman"/>
                <w:spacing w:val="-6"/>
                <w:sz w:val="28"/>
                <w:szCs w:val="28"/>
              </w:rPr>
              <m:t>Y</m:t>
            </m:r>
          </m:e>
        </m:acc>
        <m:r>
          <m:rPr>
            <m:sty m:val="p"/>
          </m:rPr>
          <w:rPr>
            <w:rFonts w:ascii="Cambria Math" w:eastAsia="Aptos" w:hAnsi="Cambria Math" w:cs="Times New Roman"/>
            <w:spacing w:val="-6"/>
            <w:sz w:val="28"/>
            <w:szCs w:val="28"/>
          </w:rPr>
          <m:t xml:space="preserve"> </m:t>
        </m:r>
      </m:oMath>
      <w:r w:rsidR="00277AC4" w:rsidRPr="00277AC4">
        <w:rPr>
          <w:rFonts w:ascii="Times New Roman" w:eastAsia="Aptos" w:hAnsi="Times New Roman" w:cs="Times New Roman"/>
          <w:spacing w:val="-6"/>
          <w:sz w:val="28"/>
          <w:szCs w:val="28"/>
          <w:vertAlign w:val="subscript"/>
        </w:rPr>
        <w:t xml:space="preserve">t-1, D=0, PXi  </w:t>
      </w:r>
      <w:bookmarkEnd w:id="41"/>
      <m:oMath>
        <m:r>
          <w:rPr>
            <w:rFonts w:ascii="Cambria Math" w:eastAsia="Aptos" w:hAnsi="Cambria Math" w:cs="Times New Roman"/>
            <w:spacing w:val="-6"/>
            <w:sz w:val="28"/>
            <w:szCs w:val="28"/>
          </w:rPr>
          <m:t>+</m:t>
        </m:r>
        <m:sSub>
          <m:sSubPr>
            <m:ctrlPr>
              <w:rPr>
                <w:rFonts w:ascii="Cambria Math" w:eastAsia="Aptos" w:hAnsi="Cambria Math" w:cs="Times New Roman"/>
                <w:i/>
                <w:spacing w:val="-6"/>
                <w:sz w:val="28"/>
                <w:szCs w:val="28"/>
                <w:lang w:val="en-GB"/>
              </w:rPr>
            </m:ctrlPr>
          </m:sSubPr>
          <m:e>
            <m:r>
              <w:rPr>
                <w:rFonts w:ascii="Cambria Math" w:eastAsia="Aptos" w:hAnsi="Cambria Math" w:cs="Times New Roman"/>
                <w:spacing w:val="-6"/>
                <w:sz w:val="28"/>
                <w:szCs w:val="28"/>
                <w:lang w:val="en-GB"/>
              </w:rPr>
              <m:t>u</m:t>
            </m:r>
          </m:e>
          <m:sub>
            <m:r>
              <w:rPr>
                <w:rFonts w:ascii="Cambria Math" w:eastAsia="Aptos" w:hAnsi="Cambria Math" w:cs="Times New Roman"/>
                <w:spacing w:val="-6"/>
                <w:sz w:val="28"/>
                <w:szCs w:val="28"/>
                <w:lang w:val="en-GB"/>
              </w:rPr>
              <m:t>i</m:t>
            </m:r>
            <m:r>
              <w:rPr>
                <w:rFonts w:ascii="Cambria Math" w:eastAsia="Aptos" w:hAnsi="Cambria Math" w:cs="Times New Roman"/>
                <w:spacing w:val="-6"/>
                <w:sz w:val="28"/>
                <w:szCs w:val="28"/>
              </w:rPr>
              <m:t>,</m:t>
            </m:r>
            <m:r>
              <w:rPr>
                <w:rFonts w:ascii="Cambria Math" w:eastAsia="Aptos" w:hAnsi="Cambria Math" w:cs="Times New Roman"/>
                <w:spacing w:val="-6"/>
                <w:sz w:val="28"/>
                <w:szCs w:val="28"/>
                <w:lang w:val="en-GB"/>
              </w:rPr>
              <m:t>t</m:t>
            </m:r>
          </m:sub>
        </m:sSub>
      </m:oMath>
      <w:r w:rsidR="00277AC4" w:rsidRPr="00277AC4">
        <w:rPr>
          <w:rFonts w:ascii="Times New Roman" w:eastAsia="Aptos" w:hAnsi="Times New Roman" w:cs="Times New Roman"/>
          <w:spacing w:val="-6"/>
          <w:sz w:val="28"/>
          <w:szCs w:val="28"/>
        </w:rPr>
        <w:t>,</w:t>
      </w:r>
    </w:p>
    <w:p w14:paraId="668133FA" w14:textId="731C6FBE" w:rsidR="00277AC4" w:rsidRPr="0001323E" w:rsidRDefault="00277AC4" w:rsidP="00277AC4">
      <w:pPr>
        <w:spacing w:line="264" w:lineRule="auto"/>
        <w:jc w:val="both"/>
        <w:rPr>
          <w:rFonts w:ascii="Times New Roman" w:eastAsia="Aptos" w:hAnsi="Times New Roman" w:cs="Times New Roman"/>
          <w:sz w:val="28"/>
          <w:szCs w:val="28"/>
        </w:rPr>
      </w:pPr>
      <w:r w:rsidRPr="0001323E">
        <w:rPr>
          <w:rFonts w:ascii="Times New Roman" w:eastAsia="Aptos" w:hAnsi="Times New Roman" w:cs="Times New Roman"/>
          <w:sz w:val="28"/>
          <w:szCs w:val="28"/>
        </w:rPr>
        <w:t xml:space="preserve">gdzie: </w:t>
      </w:r>
      <m:oMath>
        <m:sSub>
          <m:sSubPr>
            <m:ctrlPr>
              <w:rPr>
                <w:rFonts w:ascii="Cambria Math" w:eastAsia="Aptos" w:hAnsi="Cambria Math" w:cs="Times New Roman"/>
                <w:i/>
                <w:iCs/>
                <w:spacing w:val="-6"/>
                <w:sz w:val="28"/>
                <w:szCs w:val="28"/>
                <w:lang w:val="en-GB"/>
              </w:rPr>
            </m:ctrlPr>
          </m:sSubPr>
          <m:e>
            <m:r>
              <w:rPr>
                <w:rFonts w:ascii="Cambria Math" w:eastAsia="Aptos" w:hAnsi="Cambria Math" w:cs="Times New Roman"/>
                <w:spacing w:val="-6"/>
                <w:sz w:val="28"/>
                <w:szCs w:val="28"/>
                <w:lang w:val="en-GB"/>
              </w:rPr>
              <m:t>u</m:t>
            </m:r>
          </m:e>
          <m:sub>
            <m:r>
              <w:rPr>
                <w:rFonts w:ascii="Cambria Math" w:eastAsia="Aptos" w:hAnsi="Cambria Math" w:cs="Times New Roman"/>
                <w:spacing w:val="-6"/>
                <w:sz w:val="28"/>
                <w:szCs w:val="28"/>
                <w:lang w:val="en-GB"/>
              </w:rPr>
              <m:t>i</m:t>
            </m:r>
            <m:r>
              <w:rPr>
                <w:rFonts w:ascii="Cambria Math" w:eastAsia="Aptos" w:hAnsi="Cambria Math" w:cs="Times New Roman"/>
                <w:spacing w:val="-6"/>
                <w:sz w:val="28"/>
                <w:szCs w:val="28"/>
              </w:rPr>
              <m:t>,</m:t>
            </m:r>
            <m:r>
              <w:rPr>
                <w:rFonts w:ascii="Cambria Math" w:eastAsia="Aptos" w:hAnsi="Cambria Math" w:cs="Times New Roman"/>
                <w:spacing w:val="-6"/>
                <w:sz w:val="28"/>
                <w:szCs w:val="28"/>
                <w:lang w:val="en-GB"/>
              </w:rPr>
              <m:t>t</m:t>
            </m:r>
          </m:sub>
        </m:sSub>
      </m:oMath>
      <w:r w:rsidRPr="0001323E">
        <w:rPr>
          <w:rFonts w:ascii="Times New Roman" w:eastAsia="Aptos" w:hAnsi="Times New Roman" w:cs="Times New Roman"/>
          <w:sz w:val="28"/>
          <w:szCs w:val="28"/>
        </w:rPr>
        <w:t xml:space="preserve"> jest to błąd selekcji, który powinien mieć jak najmniejszą wartość.</w:t>
      </w:r>
    </w:p>
    <w:p w14:paraId="05B3FAE1" w14:textId="3B46919F" w:rsidR="00277AC4" w:rsidRPr="003D6647" w:rsidRDefault="00277AC4" w:rsidP="00277AC4">
      <w:pPr>
        <w:spacing w:line="264" w:lineRule="auto"/>
        <w:ind w:firstLine="708"/>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Na kolejnym etapie wykorzystuje się podejście stosowane w metodzie DID, traktując powyższy warunek równości wyników w grupach przed interwencją jako spełnienie warunku równoległości trendów. Tym samym ATT w formule analitycznej oblicza się według wzoru (Heckman i in.</w:t>
      </w:r>
      <w:r w:rsidR="003D6647">
        <w:rPr>
          <w:rFonts w:ascii="Times New Roman" w:eastAsia="Aptos" w:hAnsi="Times New Roman" w:cs="Times New Roman"/>
          <w:sz w:val="28"/>
          <w:szCs w:val="28"/>
        </w:rPr>
        <w:t>,</w:t>
      </w:r>
      <w:r w:rsidRPr="00277AC4">
        <w:rPr>
          <w:rFonts w:ascii="Times New Roman" w:eastAsia="Aptos" w:hAnsi="Times New Roman" w:cs="Times New Roman"/>
          <w:sz w:val="28"/>
          <w:szCs w:val="28"/>
        </w:rPr>
        <w:t xml:space="preserve"> </w:t>
      </w:r>
      <w:r w:rsidRPr="003D6647">
        <w:rPr>
          <w:rFonts w:ascii="Times New Roman" w:eastAsia="Aptos" w:hAnsi="Times New Roman" w:cs="Times New Roman"/>
          <w:sz w:val="28"/>
          <w:szCs w:val="28"/>
        </w:rPr>
        <w:t>(1997):</w:t>
      </w:r>
    </w:p>
    <w:p w14:paraId="64AC4348" w14:textId="77777777" w:rsidR="00277AC4" w:rsidRPr="00277AC4" w:rsidRDefault="00277AC4" w:rsidP="00277AC4">
      <w:pPr>
        <w:spacing w:line="264" w:lineRule="auto"/>
        <w:jc w:val="center"/>
        <w:rPr>
          <w:rFonts w:ascii="Times New Roman" w:eastAsia="Aptos" w:hAnsi="Times New Roman" w:cs="Times New Roman"/>
          <w:spacing w:val="-6"/>
          <w:sz w:val="28"/>
          <w:szCs w:val="28"/>
          <w:lang w:val="de-AT"/>
        </w:rPr>
      </w:pPr>
      <w:r w:rsidRPr="00277AC4">
        <w:rPr>
          <w:rFonts w:ascii="Times New Roman" w:eastAsia="Aptos" w:hAnsi="Times New Roman" w:cs="Times New Roman"/>
          <w:spacing w:val="-6"/>
          <w:lang w:val="de-AT"/>
        </w:rPr>
        <w:t>ATT(</w:t>
      </w:r>
      <w:r w:rsidRPr="00277AC4">
        <w:rPr>
          <w:rFonts w:ascii="Times New Roman" w:eastAsia="Aptos" w:hAnsi="Times New Roman" w:cs="Times New Roman"/>
          <w:spacing w:val="-6"/>
          <w:vertAlign w:val="subscript"/>
          <w:lang w:val="de-AT"/>
        </w:rPr>
        <w:t>g,p</w:t>
      </w:r>
      <w:r w:rsidRPr="00277AC4">
        <w:rPr>
          <w:rFonts w:ascii="Times New Roman" w:eastAsia="Aptos" w:hAnsi="Times New Roman" w:cs="Times New Roman"/>
          <w:spacing w:val="-6"/>
          <w:lang w:val="de-AT"/>
        </w:rPr>
        <w:t xml:space="preserve">) </w:t>
      </w:r>
      <w:r w:rsidRPr="00277AC4">
        <w:rPr>
          <w:rFonts w:ascii="Times New Roman" w:eastAsia="Aptos" w:hAnsi="Times New Roman" w:cs="Times New Roman"/>
          <w:spacing w:val="-6"/>
          <w:sz w:val="28"/>
          <w:szCs w:val="28"/>
          <w:lang w:val="de-AT"/>
        </w:rPr>
        <w:t xml:space="preserve">= </w:t>
      </w:r>
      <m:oMath>
        <m:r>
          <w:rPr>
            <w:rFonts w:ascii="Cambria Math" w:eastAsia="Aptos" w:hAnsi="Cambria Math" w:cs="Times New Roman"/>
            <w:spacing w:val="-6"/>
            <w:sz w:val="28"/>
            <w:szCs w:val="28"/>
            <w:lang w:val="de-AT"/>
          </w:rPr>
          <m:t>(</m:t>
        </m:r>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Di=1</w:t>
      </w:r>
      <m:oMath>
        <m:r>
          <m:rPr>
            <m:sty m:val="p"/>
          </m:rPr>
          <w:rPr>
            <w:rFonts w:ascii="Cambria Math" w:eastAsia="Aptos" w:hAnsi="Cambria Math" w:cs="Times New Roman"/>
            <w:spacing w:val="-6"/>
            <w:lang w:val="de-AT"/>
          </w:rPr>
          <m:t>]-</m:t>
        </m:r>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t-1</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Di=1</w:t>
      </w:r>
      <m:oMath>
        <m:r>
          <m:rPr>
            <m:sty m:val="p"/>
          </m:rPr>
          <w:rPr>
            <w:rFonts w:ascii="Cambria Math" w:eastAsia="Aptos" w:hAnsi="Cambria Math" w:cs="Times New Roman"/>
            <w:spacing w:val="-6"/>
            <w:lang w:val="de-AT"/>
          </w:rPr>
          <m:t>]</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P</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X</m:t>
            </m:r>
          </m:e>
          <m:sub>
            <m:r>
              <w:rPr>
                <w:rFonts w:ascii="Cambria Math" w:eastAsia="Aptos" w:hAnsi="Cambria Math" w:cs="Times New Roman"/>
                <w:spacing w:val="-8"/>
                <w:sz w:val="28"/>
                <w:szCs w:val="28"/>
                <w:lang w:val="en-GB"/>
              </w:rPr>
              <m:t>i</m:t>
            </m:r>
          </m:sub>
        </m:sSub>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oMath>
      <w:r w:rsidRPr="00277AC4">
        <w:rPr>
          <w:rFonts w:ascii="Times New Roman" w:eastAsia="Aptos" w:hAnsi="Times New Roman" w:cs="Times New Roman"/>
          <w:spacing w:val="-6"/>
          <w:sz w:val="28"/>
          <w:szCs w:val="28"/>
          <w:lang w:val="de-AT"/>
        </w:rPr>
        <w:t xml:space="preserve"> </w:t>
      </w:r>
      <w:r w:rsidRPr="00277AC4">
        <w:rPr>
          <w:rFonts w:ascii="Cambria Math" w:eastAsia="Aptos" w:hAnsi="Cambria Math" w:cs="Times New Roman"/>
          <w:spacing w:val="-6"/>
          <w:sz w:val="28"/>
          <w:szCs w:val="28"/>
          <w:lang w:val="de-AT"/>
        </w:rPr>
        <w:t xml:space="preserve"> </w:t>
      </w:r>
      <m:oMath>
        <m:r>
          <m:rPr>
            <m:sty m:val="p"/>
          </m:rPr>
          <w:rPr>
            <w:rFonts w:ascii="Cambria Math" w:eastAsia="Aptos" w:hAnsi="Cambria Math" w:cs="Times New Roman"/>
            <w:spacing w:val="-6"/>
            <w:sz w:val="28"/>
            <w:szCs w:val="28"/>
            <w:lang w:val="de-AT"/>
          </w:rPr>
          <w:br/>
        </m:r>
        <m:r>
          <w:rPr>
            <w:rFonts w:ascii="Cambria Math" w:eastAsia="Aptos" w:hAnsi="Cambria Math" w:cs="Times New Roman"/>
            <w:spacing w:val="-6"/>
            <w:sz w:val="28"/>
            <w:szCs w:val="28"/>
            <w:lang w:val="de-AT"/>
          </w:rPr>
          <m:t>- (</m:t>
        </m:r>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Di=0</w:t>
      </w:r>
      <m:oMath>
        <m:r>
          <m:rPr>
            <m:sty m:val="p"/>
          </m:rPr>
          <w:rPr>
            <w:rFonts w:ascii="Cambria Math" w:eastAsia="Aptos" w:hAnsi="Cambria Math" w:cs="Times New Roman"/>
            <w:spacing w:val="-6"/>
            <w:lang w:val="de-AT"/>
          </w:rPr>
          <m:t>]-</m:t>
        </m:r>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t-1</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Di=0</w:t>
      </w:r>
      <m:oMath>
        <m:r>
          <m:rPr>
            <m:sty m:val="p"/>
          </m:rPr>
          <w:rPr>
            <w:rFonts w:ascii="Cambria Math" w:eastAsia="Aptos" w:hAnsi="Cambria Math" w:cs="Times New Roman"/>
            <w:spacing w:val="-6"/>
            <w:lang w:val="de-AT"/>
          </w:rPr>
          <m:t>]</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P</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X</m:t>
            </m:r>
          </m:e>
          <m:sub>
            <m:r>
              <w:rPr>
                <w:rFonts w:ascii="Cambria Math" w:eastAsia="Aptos" w:hAnsi="Cambria Math" w:cs="Times New Roman"/>
                <w:spacing w:val="-8"/>
                <w:sz w:val="28"/>
                <w:szCs w:val="28"/>
                <w:lang w:val="en-GB"/>
              </w:rPr>
              <m:t>i</m:t>
            </m:r>
          </m:sub>
        </m:sSub>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oMath>
    </w:p>
    <w:p w14:paraId="3F9E0E2D" w14:textId="77777777" w:rsidR="00277AC4" w:rsidRPr="00277AC4" w:rsidRDefault="00277AC4" w:rsidP="00277AC4">
      <w:pPr>
        <w:spacing w:line="264" w:lineRule="auto"/>
        <w:jc w:val="center"/>
        <w:rPr>
          <w:rFonts w:ascii="Times New Roman" w:eastAsia="Aptos" w:hAnsi="Times New Roman" w:cs="Times New Roman"/>
          <w:spacing w:val="-6"/>
          <w:sz w:val="28"/>
          <w:szCs w:val="28"/>
        </w:rPr>
      </w:pPr>
      <w:r w:rsidRPr="00277AC4">
        <w:rPr>
          <w:rFonts w:ascii="Times New Roman" w:eastAsia="Aptos" w:hAnsi="Times New Roman" w:cs="Times New Roman"/>
          <w:spacing w:val="-6"/>
          <w:sz w:val="28"/>
          <w:szCs w:val="28"/>
        </w:rPr>
        <w:t>i analogicznie przy wykorzystaniu jednostek niepoddanych jeszcze interwencji:</w:t>
      </w:r>
    </w:p>
    <w:p w14:paraId="2D92B934" w14:textId="77777777" w:rsidR="00277AC4" w:rsidRPr="00277AC4" w:rsidRDefault="00277AC4" w:rsidP="00277AC4">
      <w:pPr>
        <w:spacing w:line="264" w:lineRule="auto"/>
        <w:jc w:val="center"/>
        <w:rPr>
          <w:rFonts w:ascii="Times New Roman" w:eastAsia="Aptos" w:hAnsi="Times New Roman" w:cs="Times New Roman"/>
          <w:spacing w:val="-6"/>
          <w:sz w:val="28"/>
          <w:szCs w:val="28"/>
          <w:lang w:val="de-AT"/>
        </w:rPr>
      </w:pPr>
      <w:r w:rsidRPr="00277AC4">
        <w:rPr>
          <w:rFonts w:ascii="Times New Roman" w:eastAsia="Aptos" w:hAnsi="Times New Roman" w:cs="Times New Roman"/>
          <w:spacing w:val="-6"/>
          <w:lang w:val="de-AT"/>
        </w:rPr>
        <w:t>ATT(</w:t>
      </w:r>
      <w:r w:rsidRPr="00277AC4">
        <w:rPr>
          <w:rFonts w:ascii="Times New Roman" w:eastAsia="Aptos" w:hAnsi="Times New Roman" w:cs="Times New Roman"/>
          <w:spacing w:val="-6"/>
          <w:vertAlign w:val="subscript"/>
          <w:lang w:val="de-AT"/>
        </w:rPr>
        <w:t>g,p</w:t>
      </w:r>
      <w:r w:rsidRPr="00277AC4">
        <w:rPr>
          <w:rFonts w:ascii="Times New Roman" w:eastAsia="Aptos" w:hAnsi="Times New Roman" w:cs="Times New Roman"/>
          <w:spacing w:val="-6"/>
          <w:lang w:val="de-AT"/>
        </w:rPr>
        <w:t xml:space="preserve">) </w:t>
      </w:r>
      <w:r w:rsidRPr="00277AC4">
        <w:rPr>
          <w:rFonts w:ascii="Times New Roman" w:eastAsia="Aptos" w:hAnsi="Times New Roman" w:cs="Times New Roman"/>
          <w:sz w:val="28"/>
          <w:szCs w:val="28"/>
          <w:lang w:val="de-AT"/>
        </w:rPr>
        <w:t xml:space="preserve">= </w:t>
      </w:r>
      <m:oMath>
        <m:r>
          <w:rPr>
            <w:rFonts w:ascii="Cambria Math" w:eastAsia="Aptos" w:hAnsi="Cambria Math" w:cs="Times New Roman"/>
            <w:sz w:val="28"/>
            <w:szCs w:val="28"/>
            <w:lang w:val="de-AT"/>
          </w:rPr>
          <m:t>(</m:t>
        </m:r>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Di=1</w:t>
      </w:r>
      <m:oMath>
        <m:r>
          <m:rPr>
            <m:sty m:val="p"/>
          </m:rPr>
          <w:rPr>
            <w:rFonts w:ascii="Cambria Math" w:eastAsia="Aptos" w:hAnsi="Cambria Math" w:cs="Times New Roman"/>
            <w:spacing w:val="-6"/>
            <w:lang w:val="de-AT"/>
          </w:rPr>
          <m:t>]-</m:t>
        </m:r>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t-1</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Di=1</w:t>
      </w:r>
      <m:oMath>
        <m:r>
          <m:rPr>
            <m:sty m:val="p"/>
          </m:rPr>
          <w:rPr>
            <w:rFonts w:ascii="Cambria Math" w:eastAsia="Aptos" w:hAnsi="Cambria Math" w:cs="Times New Roman"/>
            <w:spacing w:val="-6"/>
            <w:lang w:val="de-AT"/>
          </w:rPr>
          <m:t xml:space="preserve">] </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P</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X</m:t>
            </m:r>
          </m:e>
          <m:sub>
            <m:r>
              <w:rPr>
                <w:rFonts w:ascii="Cambria Math" w:eastAsia="Aptos" w:hAnsi="Cambria Math" w:cs="Times New Roman"/>
                <w:spacing w:val="-8"/>
                <w:sz w:val="28"/>
                <w:szCs w:val="28"/>
                <w:lang w:val="en-GB"/>
              </w:rPr>
              <m:t>i</m:t>
            </m:r>
          </m:sub>
        </m:sSub>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oMath>
      <w:r w:rsidRPr="00277AC4">
        <w:rPr>
          <w:rFonts w:ascii="Times New Roman" w:eastAsia="Aptos" w:hAnsi="Times New Roman" w:cs="Times New Roman"/>
          <w:spacing w:val="-6"/>
          <w:sz w:val="28"/>
          <w:szCs w:val="28"/>
          <w:lang w:val="de-AT"/>
        </w:rPr>
        <w:br/>
      </w:r>
      <w:r w:rsidRPr="00277AC4">
        <w:rPr>
          <w:rFonts w:ascii="Cambria Math" w:eastAsia="Aptos" w:hAnsi="Cambria Math" w:cs="Times New Roman"/>
          <w:spacing w:val="-6"/>
          <w:sz w:val="28"/>
          <w:szCs w:val="28"/>
          <w:lang w:val="de-AT"/>
        </w:rPr>
        <w:t xml:space="preserve">- </w:t>
      </w:r>
      <m:oMath>
        <m:r>
          <w:rPr>
            <w:rFonts w:ascii="Cambria Math" w:eastAsia="Aptos" w:hAnsi="Cambria Math" w:cs="Times New Roman"/>
            <w:spacing w:val="-6"/>
            <w:sz w:val="28"/>
            <w:szCs w:val="28"/>
            <w:lang w:val="de-AT"/>
          </w:rPr>
          <m:t>(</m:t>
        </m:r>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Di=0</w:t>
      </w:r>
      <m:oMath>
        <m:r>
          <m:rPr>
            <m:sty m:val="p"/>
          </m:rPr>
          <w:rPr>
            <w:rFonts w:ascii="Cambria Math" w:eastAsia="Aptos" w:hAnsi="Cambria Math" w:cs="Times New Roman"/>
            <w:spacing w:val="-6"/>
            <w:lang w:val="de-AT"/>
          </w:rPr>
          <m:t>]-</m:t>
        </m:r>
        <m:r>
          <m:rPr>
            <m:sty m:val="p"/>
          </m:rPr>
          <w:rPr>
            <w:rFonts w:ascii="Cambria Math" w:eastAsia="Aptos" w:hAnsi="Cambria Math" w:cs="Times New Roman"/>
            <w:spacing w:val="-6"/>
            <w:sz w:val="28"/>
            <w:szCs w:val="28"/>
            <w:lang w:val="de-AT"/>
          </w:rPr>
          <m:t xml:space="preserve">E[Y </m:t>
        </m:r>
      </m:oMath>
      <w:r w:rsidRPr="00277AC4">
        <w:rPr>
          <w:rFonts w:ascii="Times New Roman" w:eastAsia="Aptos" w:hAnsi="Times New Roman" w:cs="Times New Roman"/>
          <w:spacing w:val="-6"/>
          <w:sz w:val="28"/>
          <w:szCs w:val="28"/>
          <w:vertAlign w:val="subscript"/>
          <w:lang w:val="de-AT"/>
        </w:rPr>
        <w:t>t-1</w:t>
      </w:r>
      <w:r w:rsidRPr="00277AC4">
        <w:rPr>
          <w:rFonts w:ascii="Times New Roman" w:eastAsia="Aptos" w:hAnsi="Times New Roman" w:cs="Times New Roman"/>
          <w:spacing w:val="-6"/>
          <w:sz w:val="28"/>
          <w:szCs w:val="28"/>
          <w:lang w:val="de-AT"/>
        </w:rPr>
        <w:t xml:space="preserve">, </w:t>
      </w:r>
      <w:r w:rsidRPr="00277AC4">
        <w:rPr>
          <w:rFonts w:ascii="Times New Roman" w:eastAsia="Aptos" w:hAnsi="Times New Roman" w:cs="Times New Roman"/>
          <w:spacing w:val="-6"/>
          <w:sz w:val="28"/>
          <w:szCs w:val="28"/>
          <w:vertAlign w:val="subscript"/>
          <w:lang w:val="de-AT"/>
        </w:rPr>
        <w:t>Di=0</w:t>
      </w:r>
      <m:oMath>
        <m:r>
          <m:rPr>
            <m:sty m:val="p"/>
          </m:rPr>
          <w:rPr>
            <w:rFonts w:ascii="Cambria Math" w:eastAsia="Aptos" w:hAnsi="Cambria Math" w:cs="Times New Roman"/>
            <w:spacing w:val="-6"/>
            <w:lang w:val="de-AT"/>
          </w:rPr>
          <m:t>]</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P</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X</m:t>
            </m:r>
          </m:e>
          <m:sub>
            <m:r>
              <w:rPr>
                <w:rFonts w:ascii="Cambria Math" w:eastAsia="Aptos" w:hAnsi="Cambria Math" w:cs="Times New Roman"/>
                <w:spacing w:val="-8"/>
                <w:sz w:val="28"/>
                <w:szCs w:val="28"/>
                <w:lang w:val="en-GB"/>
              </w:rPr>
              <m:t>i</m:t>
            </m:r>
          </m:sub>
        </m:sSub>
        <m:r>
          <w:rPr>
            <w:rFonts w:ascii="Cambria Math" w:eastAsia="Aptos" w:hAnsi="Cambria Math" w:cs="Times New Roman"/>
            <w:spacing w:val="-6"/>
            <w:sz w:val="28"/>
            <w:szCs w:val="28"/>
            <w:lang w:val="de-AT"/>
          </w:rPr>
          <m:t>,</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D</m:t>
            </m:r>
          </m:e>
          <m:sub>
            <m:r>
              <w:rPr>
                <w:rFonts w:ascii="Cambria Math" w:eastAsia="Aptos" w:hAnsi="Cambria Math" w:cs="Times New Roman"/>
                <w:spacing w:val="-8"/>
                <w:sz w:val="28"/>
                <w:szCs w:val="28"/>
                <w:lang w:val="en-GB"/>
              </w:rPr>
              <m:t>s</m:t>
            </m:r>
          </m:sub>
        </m:sSub>
        <m:r>
          <w:rPr>
            <w:rFonts w:ascii="Cambria Math" w:eastAsia="Aptos" w:hAnsi="Cambria Math" w:cs="Times New Roman"/>
            <w:spacing w:val="-6"/>
            <w:sz w:val="28"/>
            <w:szCs w:val="28"/>
            <w:lang w:val="de-AT"/>
          </w:rPr>
          <m:t xml:space="preserve">=0, </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oMath>
    </w:p>
    <w:p w14:paraId="70D7C619" w14:textId="77777777" w:rsidR="00277AC4" w:rsidRPr="00277AC4" w:rsidRDefault="00277AC4" w:rsidP="00277AC4">
      <w:pPr>
        <w:spacing w:line="264" w:lineRule="auto"/>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Natomiast w procesie estymacji:</w:t>
      </w:r>
    </w:p>
    <w:p w14:paraId="20D78E7E" w14:textId="77777777" w:rsidR="00277AC4" w:rsidRPr="00277AC4" w:rsidRDefault="00000000" w:rsidP="00277AC4">
      <w:pPr>
        <w:spacing w:line="264" w:lineRule="auto"/>
        <w:jc w:val="center"/>
        <w:rPr>
          <w:rFonts w:ascii="Times New Roman" w:eastAsia="Aptos" w:hAnsi="Times New Roman" w:cs="Times New Roman"/>
          <w:spacing w:val="-6"/>
          <w:sz w:val="28"/>
          <w:szCs w:val="28"/>
        </w:rPr>
      </w:pPr>
      <m:oMath>
        <m:sSubSup>
          <m:sSubSupPr>
            <m:ctrlPr>
              <w:rPr>
                <w:rFonts w:ascii="Cambria Math" w:eastAsia="Aptos" w:hAnsi="Cambria Math" w:cs="Times New Roman"/>
                <w:i/>
                <w:sz w:val="28"/>
                <w:szCs w:val="28"/>
              </w:rPr>
            </m:ctrlPr>
          </m:sSubSupPr>
          <m:e>
            <m:r>
              <w:rPr>
                <w:rFonts w:ascii="Cambria Math" w:eastAsia="Aptos" w:hAnsi="Cambria Math" w:cs="Times New Roman"/>
                <w:sz w:val="28"/>
                <w:szCs w:val="28"/>
              </w:rPr>
              <m:t>β</m:t>
            </m:r>
          </m:e>
          <m:sub>
            <m:r>
              <w:rPr>
                <w:rFonts w:ascii="Cambria Math" w:eastAsia="Aptos" w:hAnsi="Cambria Math" w:cs="Times New Roman"/>
                <w:sz w:val="28"/>
                <w:szCs w:val="28"/>
              </w:rPr>
              <m:t xml:space="preserve"> </m:t>
            </m:r>
          </m:sub>
          <m:sup>
            <m:r>
              <w:rPr>
                <w:rFonts w:ascii="Cambria Math" w:eastAsia="Aptos" w:hAnsi="Cambria Math" w:cs="Times New Roman"/>
                <w:sz w:val="28"/>
                <w:szCs w:val="28"/>
              </w:rPr>
              <m:t>DD</m:t>
            </m:r>
          </m:sup>
        </m:sSubSup>
        <m:r>
          <w:rPr>
            <w:rFonts w:ascii="Cambria Math" w:eastAsia="Aptos" w:hAnsi="Cambria Math" w:cs="Times New Roman"/>
            <w:sz w:val="28"/>
            <w:szCs w:val="28"/>
          </w:rPr>
          <m:t>=</m:t>
        </m:r>
        <m:r>
          <w:rPr>
            <w:rFonts w:ascii="Cambria Math" w:eastAsia="Aptos" w:hAnsi="Cambria Math" w:cs="Times New Roman"/>
            <w:spacing w:val="-6"/>
            <w:sz w:val="28"/>
            <w:szCs w:val="28"/>
          </w:rPr>
          <m:t>(</m:t>
        </m:r>
        <m:r>
          <m:rPr>
            <m:sty m:val="p"/>
          </m:rPr>
          <w:rPr>
            <w:rFonts w:ascii="Cambria Math" w:eastAsia="Aptos" w:hAnsi="Cambria Math" w:cs="Times New Roman"/>
            <w:spacing w:val="-6"/>
            <w:sz w:val="28"/>
            <w:szCs w:val="28"/>
          </w:rPr>
          <m:t xml:space="preserve">E[Y </m:t>
        </m:r>
      </m:oMath>
      <w:r w:rsidR="00277AC4" w:rsidRPr="00277AC4">
        <w:rPr>
          <w:rFonts w:ascii="Times New Roman" w:eastAsia="Aptos" w:hAnsi="Times New Roman" w:cs="Times New Roman"/>
          <w:spacing w:val="-6"/>
          <w:sz w:val="28"/>
          <w:szCs w:val="28"/>
          <w:vertAlign w:val="subscript"/>
        </w:rPr>
        <w:t>t</w:t>
      </w:r>
      <w:r w:rsidR="00277AC4" w:rsidRPr="00277AC4">
        <w:rPr>
          <w:rFonts w:ascii="Times New Roman" w:eastAsia="Aptos" w:hAnsi="Times New Roman" w:cs="Times New Roman"/>
          <w:spacing w:val="-6"/>
          <w:sz w:val="28"/>
          <w:szCs w:val="28"/>
        </w:rPr>
        <w:t xml:space="preserve">, </w:t>
      </w:r>
      <w:r w:rsidR="00277AC4" w:rsidRPr="00277AC4">
        <w:rPr>
          <w:rFonts w:ascii="Times New Roman" w:eastAsia="Aptos" w:hAnsi="Times New Roman" w:cs="Times New Roman"/>
          <w:spacing w:val="-6"/>
          <w:sz w:val="28"/>
          <w:szCs w:val="28"/>
          <w:vertAlign w:val="subscript"/>
        </w:rPr>
        <w:t>Di=1</w:t>
      </w:r>
      <m:oMath>
        <m:r>
          <m:rPr>
            <m:sty m:val="p"/>
          </m:rPr>
          <w:rPr>
            <w:rFonts w:ascii="Cambria Math" w:eastAsia="Aptos" w:hAnsi="Cambria Math" w:cs="Times New Roman"/>
            <w:spacing w:val="-6"/>
          </w:rPr>
          <m:t>]-</m:t>
        </m:r>
        <m:r>
          <m:rPr>
            <m:sty m:val="p"/>
          </m:rPr>
          <w:rPr>
            <w:rFonts w:ascii="Cambria Math" w:eastAsia="Aptos" w:hAnsi="Cambria Math" w:cs="Times New Roman"/>
            <w:spacing w:val="-6"/>
            <w:sz w:val="28"/>
            <w:szCs w:val="28"/>
          </w:rPr>
          <m:t xml:space="preserve">E[Y </m:t>
        </m:r>
      </m:oMath>
      <w:r w:rsidR="00277AC4" w:rsidRPr="00277AC4">
        <w:rPr>
          <w:rFonts w:ascii="Times New Roman" w:eastAsia="Aptos" w:hAnsi="Times New Roman" w:cs="Times New Roman"/>
          <w:spacing w:val="-6"/>
          <w:sz w:val="28"/>
          <w:szCs w:val="28"/>
          <w:vertAlign w:val="subscript"/>
        </w:rPr>
        <w:t>t-1</w:t>
      </w:r>
      <w:r w:rsidR="00277AC4" w:rsidRPr="00277AC4">
        <w:rPr>
          <w:rFonts w:ascii="Times New Roman" w:eastAsia="Aptos" w:hAnsi="Times New Roman" w:cs="Times New Roman"/>
          <w:spacing w:val="-6"/>
          <w:sz w:val="28"/>
          <w:szCs w:val="28"/>
        </w:rPr>
        <w:t xml:space="preserve">, </w:t>
      </w:r>
      <w:r w:rsidR="00277AC4" w:rsidRPr="00277AC4">
        <w:rPr>
          <w:rFonts w:ascii="Times New Roman" w:eastAsia="Aptos" w:hAnsi="Times New Roman" w:cs="Times New Roman"/>
          <w:spacing w:val="-6"/>
          <w:sz w:val="28"/>
          <w:szCs w:val="28"/>
          <w:vertAlign w:val="subscript"/>
        </w:rPr>
        <w:t>Di=1</w:t>
      </w:r>
      <m:oMath>
        <m:r>
          <m:rPr>
            <m:sty m:val="p"/>
          </m:rPr>
          <w:rPr>
            <w:rFonts w:ascii="Cambria Math" w:eastAsia="Aptos" w:hAnsi="Cambria Math" w:cs="Times New Roman"/>
            <w:spacing w:val="-6"/>
          </w:rPr>
          <m:t>]</m:t>
        </m:r>
        <m:r>
          <w:rPr>
            <w:rFonts w:ascii="Cambria Math" w:eastAsia="Aptos" w:hAnsi="Cambria Math" w:cs="Times New Roman"/>
            <w:spacing w:val="-6"/>
            <w:sz w:val="28"/>
            <w:szCs w:val="28"/>
          </w:rPr>
          <m:t>|</m:t>
        </m:r>
        <m:r>
          <w:rPr>
            <w:rFonts w:ascii="Cambria Math" w:eastAsia="Aptos" w:hAnsi="Cambria Math" w:cs="Times New Roman"/>
            <w:spacing w:val="-6"/>
            <w:sz w:val="28"/>
            <w:szCs w:val="28"/>
            <w:lang w:val="en-GB"/>
          </w:rPr>
          <m:t>PXi</m:t>
        </m:r>
        <m:r>
          <w:rPr>
            <w:rFonts w:ascii="Cambria Math" w:eastAsia="Aptos" w:hAnsi="Cambria Math" w:cs="Times New Roman"/>
            <w:spacing w:val="-6"/>
            <w:sz w:val="28"/>
            <w:szCs w:val="28"/>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rPr>
          <m:t>|)-</m:t>
        </m:r>
      </m:oMath>
      <w:r w:rsidR="00277AC4" w:rsidRPr="00277AC4">
        <w:rPr>
          <w:rFonts w:ascii="Times New Roman" w:eastAsia="Aptos" w:hAnsi="Times New Roman" w:cs="Times New Roman"/>
          <w:spacing w:val="-6"/>
          <w:sz w:val="28"/>
          <w:szCs w:val="28"/>
        </w:rPr>
        <w:t xml:space="preserve"> </w:t>
      </w:r>
      <w:r w:rsidR="00277AC4" w:rsidRPr="00277AC4">
        <w:rPr>
          <w:rFonts w:ascii="Cambria Math" w:eastAsia="Aptos" w:hAnsi="Cambria Math" w:cs="Times New Roman"/>
          <w:spacing w:val="-6"/>
          <w:sz w:val="28"/>
          <w:szCs w:val="28"/>
        </w:rPr>
        <w:t xml:space="preserve"> </w:t>
      </w:r>
      <m:oMath>
        <m:r>
          <m:rPr>
            <m:sty m:val="p"/>
          </m:rPr>
          <w:rPr>
            <w:rFonts w:ascii="Cambria Math" w:eastAsia="Aptos" w:hAnsi="Cambria Math" w:cs="Times New Roman"/>
            <w:spacing w:val="-6"/>
            <w:sz w:val="28"/>
            <w:szCs w:val="28"/>
          </w:rPr>
          <w:br/>
        </m:r>
        <m:r>
          <w:rPr>
            <w:rFonts w:ascii="Cambria Math" w:eastAsia="Aptos" w:hAnsi="Cambria Math" w:cs="Times New Roman"/>
            <w:spacing w:val="-6"/>
            <w:sz w:val="28"/>
            <w:szCs w:val="28"/>
          </w:rPr>
          <m:t>- (</m:t>
        </m:r>
        <m:r>
          <m:rPr>
            <m:sty m:val="p"/>
          </m:rPr>
          <w:rPr>
            <w:rFonts w:ascii="Cambria Math" w:eastAsia="Aptos" w:hAnsi="Cambria Math" w:cs="Times New Roman"/>
            <w:spacing w:val="-6"/>
            <w:sz w:val="28"/>
            <w:szCs w:val="28"/>
          </w:rPr>
          <m:t xml:space="preserve">E[Y </m:t>
        </m:r>
      </m:oMath>
      <w:r w:rsidR="00277AC4" w:rsidRPr="00277AC4">
        <w:rPr>
          <w:rFonts w:ascii="Times New Roman" w:eastAsia="Aptos" w:hAnsi="Times New Roman" w:cs="Times New Roman"/>
          <w:spacing w:val="-6"/>
          <w:sz w:val="28"/>
          <w:szCs w:val="28"/>
          <w:vertAlign w:val="subscript"/>
        </w:rPr>
        <w:t>t</w:t>
      </w:r>
      <w:r w:rsidR="00277AC4" w:rsidRPr="00277AC4">
        <w:rPr>
          <w:rFonts w:ascii="Times New Roman" w:eastAsia="Aptos" w:hAnsi="Times New Roman" w:cs="Times New Roman"/>
          <w:spacing w:val="-6"/>
          <w:sz w:val="28"/>
          <w:szCs w:val="28"/>
        </w:rPr>
        <w:t xml:space="preserve">, </w:t>
      </w:r>
      <w:r w:rsidR="00277AC4" w:rsidRPr="00277AC4">
        <w:rPr>
          <w:rFonts w:ascii="Times New Roman" w:eastAsia="Aptos" w:hAnsi="Times New Roman" w:cs="Times New Roman"/>
          <w:spacing w:val="-6"/>
          <w:sz w:val="28"/>
          <w:szCs w:val="28"/>
          <w:vertAlign w:val="subscript"/>
        </w:rPr>
        <w:t>Di=0</w:t>
      </w:r>
      <m:oMath>
        <m:r>
          <m:rPr>
            <m:sty m:val="p"/>
          </m:rPr>
          <w:rPr>
            <w:rFonts w:ascii="Cambria Math" w:eastAsia="Aptos" w:hAnsi="Cambria Math" w:cs="Times New Roman"/>
            <w:spacing w:val="-6"/>
          </w:rPr>
          <m:t>]-</m:t>
        </m:r>
        <m:r>
          <m:rPr>
            <m:sty m:val="p"/>
          </m:rPr>
          <w:rPr>
            <w:rFonts w:ascii="Cambria Math" w:eastAsia="Aptos" w:hAnsi="Cambria Math" w:cs="Times New Roman"/>
            <w:spacing w:val="-6"/>
            <w:sz w:val="28"/>
            <w:szCs w:val="28"/>
          </w:rPr>
          <m:t xml:space="preserve">E[Y </m:t>
        </m:r>
      </m:oMath>
      <w:r w:rsidR="00277AC4" w:rsidRPr="00277AC4">
        <w:rPr>
          <w:rFonts w:ascii="Times New Roman" w:eastAsia="Aptos" w:hAnsi="Times New Roman" w:cs="Times New Roman"/>
          <w:spacing w:val="-6"/>
          <w:sz w:val="28"/>
          <w:szCs w:val="28"/>
          <w:vertAlign w:val="subscript"/>
        </w:rPr>
        <w:t>t-1</w:t>
      </w:r>
      <w:r w:rsidR="00277AC4" w:rsidRPr="00277AC4">
        <w:rPr>
          <w:rFonts w:ascii="Times New Roman" w:eastAsia="Aptos" w:hAnsi="Times New Roman" w:cs="Times New Roman"/>
          <w:spacing w:val="-6"/>
          <w:sz w:val="28"/>
          <w:szCs w:val="28"/>
        </w:rPr>
        <w:t xml:space="preserve">, </w:t>
      </w:r>
      <w:r w:rsidR="00277AC4" w:rsidRPr="00277AC4">
        <w:rPr>
          <w:rFonts w:ascii="Times New Roman" w:eastAsia="Aptos" w:hAnsi="Times New Roman" w:cs="Times New Roman"/>
          <w:spacing w:val="-6"/>
          <w:sz w:val="28"/>
          <w:szCs w:val="28"/>
          <w:vertAlign w:val="subscript"/>
        </w:rPr>
        <w:t>Di=0</w:t>
      </w:r>
      <m:oMath>
        <m:r>
          <m:rPr>
            <m:sty m:val="p"/>
          </m:rPr>
          <w:rPr>
            <w:rFonts w:ascii="Cambria Math" w:eastAsia="Aptos" w:hAnsi="Cambria Math" w:cs="Times New Roman"/>
            <w:spacing w:val="-6"/>
          </w:rPr>
          <m:t>]</m:t>
        </m:r>
        <m:r>
          <w:rPr>
            <w:rFonts w:ascii="Cambria Math" w:eastAsia="Aptos" w:hAnsi="Cambria Math" w:cs="Times New Roman"/>
            <w:spacing w:val="-6"/>
            <w:sz w:val="28"/>
            <w:szCs w:val="28"/>
          </w:rPr>
          <m:t>|</m:t>
        </m:r>
        <m:r>
          <w:rPr>
            <w:rFonts w:ascii="Cambria Math" w:eastAsia="Aptos" w:hAnsi="Cambria Math" w:cs="Times New Roman"/>
            <w:spacing w:val="-6"/>
            <w:sz w:val="28"/>
            <w:szCs w:val="28"/>
            <w:lang w:val="en-GB"/>
          </w:rPr>
          <m:t>PXi</m:t>
        </m:r>
        <m:r>
          <w:rPr>
            <w:rFonts w:ascii="Cambria Math" w:eastAsia="Aptos" w:hAnsi="Cambria Math" w:cs="Times New Roman"/>
            <w:spacing w:val="-6"/>
            <w:sz w:val="28"/>
            <w:szCs w:val="28"/>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rPr>
          <m:t>|)</m:t>
        </m:r>
      </m:oMath>
      <w:r w:rsidR="00277AC4" w:rsidRPr="00277AC4">
        <w:rPr>
          <w:rFonts w:ascii="Times New Roman" w:eastAsia="Aptos" w:hAnsi="Times New Roman" w:cs="Times New Roman"/>
          <w:sz w:val="28"/>
          <w:szCs w:val="28"/>
        </w:rPr>
        <w:t>+</w:t>
      </w:r>
      <m:oMath>
        <m:sSub>
          <m:sSubPr>
            <m:ctrlPr>
              <w:rPr>
                <w:rFonts w:ascii="Cambria Math" w:eastAsia="Aptos" w:hAnsi="Cambria Math" w:cs="Times New Roman"/>
                <w:i/>
                <w:spacing w:val="-6"/>
                <w:sz w:val="28"/>
                <w:szCs w:val="28"/>
                <w:lang w:val="en-GB"/>
              </w:rPr>
            </m:ctrlPr>
          </m:sSubPr>
          <m:e>
            <m:r>
              <w:rPr>
                <w:rFonts w:ascii="Cambria Math" w:eastAsia="Aptos" w:hAnsi="Cambria Math" w:cs="Times New Roman"/>
                <w:spacing w:val="-6"/>
                <w:sz w:val="28"/>
                <w:szCs w:val="28"/>
                <w:lang w:val="en-GB"/>
              </w:rPr>
              <m:t>u</m:t>
            </m:r>
          </m:e>
          <m:sub>
            <m:r>
              <w:rPr>
                <w:rFonts w:ascii="Cambria Math" w:eastAsia="Aptos" w:hAnsi="Cambria Math" w:cs="Times New Roman"/>
                <w:spacing w:val="-6"/>
                <w:sz w:val="28"/>
                <w:szCs w:val="28"/>
                <w:lang w:val="en-GB"/>
              </w:rPr>
              <m:t>i</m:t>
            </m:r>
            <m:r>
              <w:rPr>
                <w:rFonts w:ascii="Cambria Math" w:eastAsia="Aptos" w:hAnsi="Cambria Math" w:cs="Times New Roman"/>
                <w:spacing w:val="-6"/>
                <w:sz w:val="28"/>
                <w:szCs w:val="28"/>
              </w:rPr>
              <m:t>,</m:t>
            </m:r>
            <m:r>
              <w:rPr>
                <w:rFonts w:ascii="Cambria Math" w:eastAsia="Aptos" w:hAnsi="Cambria Math" w:cs="Times New Roman"/>
                <w:spacing w:val="-6"/>
                <w:sz w:val="28"/>
                <w:szCs w:val="28"/>
                <w:lang w:val="en-GB"/>
              </w:rPr>
              <m:t>t</m:t>
            </m:r>
          </m:sub>
        </m:sSub>
      </m:oMath>
    </w:p>
    <w:p w14:paraId="08823059" w14:textId="77777777" w:rsidR="00277AC4" w:rsidRPr="00277AC4" w:rsidRDefault="00277AC4" w:rsidP="00277AC4">
      <w:pPr>
        <w:spacing w:line="264" w:lineRule="auto"/>
        <w:jc w:val="center"/>
        <w:rPr>
          <w:rFonts w:ascii="Times New Roman" w:eastAsia="Aptos" w:hAnsi="Times New Roman" w:cs="Times New Roman"/>
          <w:spacing w:val="-6"/>
          <w:sz w:val="28"/>
          <w:szCs w:val="28"/>
        </w:rPr>
      </w:pPr>
      <w:r w:rsidRPr="00277AC4">
        <w:rPr>
          <w:rFonts w:ascii="Times New Roman" w:eastAsia="Aptos" w:hAnsi="Times New Roman" w:cs="Times New Roman"/>
          <w:spacing w:val="-6"/>
          <w:sz w:val="28"/>
          <w:szCs w:val="28"/>
        </w:rPr>
        <w:t>i przy wykorzystaniu w grupie odniesienia jednostek niepoddanych jeszcze interwencji:</w:t>
      </w:r>
    </w:p>
    <w:p w14:paraId="05857F22" w14:textId="1D4D5D3A" w:rsidR="00277AC4" w:rsidRPr="003D6647" w:rsidRDefault="00000000" w:rsidP="00277AC4">
      <w:pPr>
        <w:spacing w:line="264" w:lineRule="auto"/>
        <w:jc w:val="center"/>
        <w:rPr>
          <w:rFonts w:ascii="Times New Roman" w:eastAsia="Aptos" w:hAnsi="Times New Roman" w:cs="Times New Roman"/>
          <w:spacing w:val="-6"/>
          <w:sz w:val="28"/>
          <w:szCs w:val="28"/>
          <w:lang w:val="de-AT"/>
        </w:rPr>
      </w:pPr>
      <m:oMath>
        <m:sSubSup>
          <m:sSubSupPr>
            <m:ctrlPr>
              <w:rPr>
                <w:rFonts w:ascii="Cambria Math" w:eastAsia="Aptos" w:hAnsi="Cambria Math" w:cs="Times New Roman"/>
                <w:i/>
                <w:sz w:val="28"/>
                <w:szCs w:val="28"/>
              </w:rPr>
            </m:ctrlPr>
          </m:sSubSupPr>
          <m:e>
            <m:r>
              <w:rPr>
                <w:rFonts w:ascii="Cambria Math" w:eastAsia="Aptos" w:hAnsi="Cambria Math" w:cs="Times New Roman"/>
                <w:sz w:val="28"/>
                <w:szCs w:val="28"/>
              </w:rPr>
              <m:t>β</m:t>
            </m:r>
          </m:e>
          <m:sub>
            <m:r>
              <w:rPr>
                <w:rFonts w:ascii="Cambria Math" w:eastAsia="Aptos" w:hAnsi="Cambria Math" w:cs="Times New Roman"/>
                <w:sz w:val="28"/>
                <w:szCs w:val="28"/>
                <w:lang w:val="de-AT"/>
              </w:rPr>
              <m:t xml:space="preserve"> </m:t>
            </m:r>
          </m:sub>
          <m:sup>
            <m:r>
              <w:rPr>
                <w:rFonts w:ascii="Cambria Math" w:eastAsia="Aptos" w:hAnsi="Cambria Math" w:cs="Times New Roman"/>
                <w:sz w:val="28"/>
                <w:szCs w:val="28"/>
              </w:rPr>
              <m:t>DD</m:t>
            </m:r>
          </m:sup>
        </m:sSubSup>
      </m:oMath>
      <w:r w:rsidR="00277AC4" w:rsidRPr="00277AC4">
        <w:rPr>
          <w:rFonts w:ascii="Times New Roman" w:eastAsia="Aptos" w:hAnsi="Times New Roman" w:cs="Times New Roman"/>
          <w:sz w:val="28"/>
          <w:szCs w:val="28"/>
          <w:lang w:val="de-AT"/>
        </w:rPr>
        <w:t xml:space="preserve">= </w:t>
      </w:r>
      <m:oMath>
        <m:r>
          <w:rPr>
            <w:rFonts w:ascii="Cambria Math" w:eastAsia="Aptos" w:hAnsi="Cambria Math" w:cs="Times New Roman"/>
            <w:sz w:val="28"/>
            <w:szCs w:val="28"/>
            <w:lang w:val="de-AT"/>
          </w:rPr>
          <m:t>(</m:t>
        </m:r>
        <m:r>
          <m:rPr>
            <m:sty m:val="p"/>
          </m:rPr>
          <w:rPr>
            <w:rFonts w:ascii="Cambria Math" w:eastAsia="Aptos" w:hAnsi="Cambria Math" w:cs="Times New Roman"/>
            <w:spacing w:val="-6"/>
            <w:sz w:val="28"/>
            <w:szCs w:val="28"/>
            <w:lang w:val="de-AT"/>
          </w:rPr>
          <m:t xml:space="preserve">E[Y </m:t>
        </m:r>
      </m:oMath>
      <w:r w:rsidR="00277AC4" w:rsidRPr="00277AC4">
        <w:rPr>
          <w:rFonts w:ascii="Times New Roman" w:eastAsia="Aptos" w:hAnsi="Times New Roman" w:cs="Times New Roman"/>
          <w:spacing w:val="-6"/>
          <w:sz w:val="28"/>
          <w:szCs w:val="28"/>
          <w:vertAlign w:val="subscript"/>
          <w:lang w:val="de-AT"/>
        </w:rPr>
        <w:t>t</w:t>
      </w:r>
      <w:r w:rsidR="00277AC4" w:rsidRPr="00277AC4">
        <w:rPr>
          <w:rFonts w:ascii="Times New Roman" w:eastAsia="Aptos" w:hAnsi="Times New Roman" w:cs="Times New Roman"/>
          <w:spacing w:val="-6"/>
          <w:sz w:val="28"/>
          <w:szCs w:val="28"/>
          <w:lang w:val="de-AT"/>
        </w:rPr>
        <w:t xml:space="preserve">, </w:t>
      </w:r>
      <w:r w:rsidR="00277AC4" w:rsidRPr="00277AC4">
        <w:rPr>
          <w:rFonts w:ascii="Times New Roman" w:eastAsia="Aptos" w:hAnsi="Times New Roman" w:cs="Times New Roman"/>
          <w:spacing w:val="-6"/>
          <w:sz w:val="28"/>
          <w:szCs w:val="28"/>
          <w:vertAlign w:val="subscript"/>
          <w:lang w:val="de-AT"/>
        </w:rPr>
        <w:t>Di=1</w:t>
      </w:r>
      <m:oMath>
        <m:r>
          <m:rPr>
            <m:sty m:val="p"/>
          </m:rPr>
          <w:rPr>
            <w:rFonts w:ascii="Cambria Math" w:eastAsia="Aptos" w:hAnsi="Cambria Math" w:cs="Times New Roman"/>
            <w:spacing w:val="-6"/>
            <w:lang w:val="de-AT"/>
          </w:rPr>
          <m:t>]-</m:t>
        </m:r>
        <m:r>
          <m:rPr>
            <m:sty m:val="p"/>
          </m:rPr>
          <w:rPr>
            <w:rFonts w:ascii="Cambria Math" w:eastAsia="Aptos" w:hAnsi="Cambria Math" w:cs="Times New Roman"/>
            <w:spacing w:val="-6"/>
            <w:sz w:val="28"/>
            <w:szCs w:val="28"/>
            <w:lang w:val="de-AT"/>
          </w:rPr>
          <m:t xml:space="preserve">E[Y </m:t>
        </m:r>
      </m:oMath>
      <w:r w:rsidR="00277AC4" w:rsidRPr="00277AC4">
        <w:rPr>
          <w:rFonts w:ascii="Times New Roman" w:eastAsia="Aptos" w:hAnsi="Times New Roman" w:cs="Times New Roman"/>
          <w:spacing w:val="-6"/>
          <w:sz w:val="28"/>
          <w:szCs w:val="28"/>
          <w:vertAlign w:val="subscript"/>
          <w:lang w:val="de-AT"/>
        </w:rPr>
        <w:t>t-1</w:t>
      </w:r>
      <w:r w:rsidR="00277AC4" w:rsidRPr="00277AC4">
        <w:rPr>
          <w:rFonts w:ascii="Times New Roman" w:eastAsia="Aptos" w:hAnsi="Times New Roman" w:cs="Times New Roman"/>
          <w:spacing w:val="-6"/>
          <w:sz w:val="28"/>
          <w:szCs w:val="28"/>
          <w:lang w:val="de-AT"/>
        </w:rPr>
        <w:t xml:space="preserve">, </w:t>
      </w:r>
      <w:r w:rsidR="00277AC4" w:rsidRPr="00277AC4">
        <w:rPr>
          <w:rFonts w:ascii="Times New Roman" w:eastAsia="Aptos" w:hAnsi="Times New Roman" w:cs="Times New Roman"/>
          <w:spacing w:val="-6"/>
          <w:sz w:val="28"/>
          <w:szCs w:val="28"/>
          <w:vertAlign w:val="subscript"/>
          <w:lang w:val="de-AT"/>
        </w:rPr>
        <w:t>Di=1</w:t>
      </w:r>
      <m:oMath>
        <m:r>
          <m:rPr>
            <m:sty m:val="p"/>
          </m:rPr>
          <w:rPr>
            <w:rFonts w:ascii="Cambria Math" w:eastAsia="Aptos" w:hAnsi="Cambria Math" w:cs="Times New Roman"/>
            <w:spacing w:val="-6"/>
            <w:lang w:val="de-AT"/>
          </w:rPr>
          <m:t xml:space="preserve">] </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P</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X</m:t>
            </m:r>
          </m:e>
          <m:sub>
            <m:r>
              <w:rPr>
                <w:rFonts w:ascii="Cambria Math" w:eastAsia="Aptos" w:hAnsi="Cambria Math" w:cs="Times New Roman"/>
                <w:spacing w:val="-8"/>
                <w:sz w:val="28"/>
                <w:szCs w:val="28"/>
                <w:lang w:val="en-GB"/>
              </w:rPr>
              <m:t>i</m:t>
            </m:r>
          </m:sub>
        </m:sSub>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oMath>
      <w:r w:rsidR="00277AC4" w:rsidRPr="00277AC4">
        <w:rPr>
          <w:rFonts w:ascii="Times New Roman" w:eastAsia="Aptos" w:hAnsi="Times New Roman" w:cs="Times New Roman"/>
          <w:spacing w:val="-6"/>
          <w:sz w:val="28"/>
          <w:szCs w:val="28"/>
          <w:lang w:val="de-AT"/>
        </w:rPr>
        <w:br/>
      </w:r>
      <w:r w:rsidR="00277AC4" w:rsidRPr="00277AC4">
        <w:rPr>
          <w:rFonts w:ascii="Cambria Math" w:eastAsia="Aptos" w:hAnsi="Cambria Math" w:cs="Times New Roman"/>
          <w:spacing w:val="-6"/>
          <w:sz w:val="28"/>
          <w:szCs w:val="28"/>
          <w:lang w:val="de-AT"/>
        </w:rPr>
        <w:t xml:space="preserve">- </w:t>
      </w:r>
      <m:oMath>
        <m:r>
          <w:rPr>
            <w:rFonts w:ascii="Cambria Math" w:eastAsia="Aptos" w:hAnsi="Cambria Math" w:cs="Times New Roman"/>
            <w:spacing w:val="-6"/>
            <w:sz w:val="28"/>
            <w:szCs w:val="28"/>
            <w:lang w:val="de-AT"/>
          </w:rPr>
          <m:t>(</m:t>
        </m:r>
        <m:r>
          <m:rPr>
            <m:sty m:val="p"/>
          </m:rPr>
          <w:rPr>
            <w:rFonts w:ascii="Cambria Math" w:eastAsia="Aptos" w:hAnsi="Cambria Math" w:cs="Times New Roman"/>
            <w:spacing w:val="-6"/>
            <w:sz w:val="28"/>
            <w:szCs w:val="28"/>
            <w:lang w:val="de-AT"/>
          </w:rPr>
          <m:t xml:space="preserve">E[Y </m:t>
        </m:r>
      </m:oMath>
      <w:r w:rsidR="00277AC4" w:rsidRPr="00277AC4">
        <w:rPr>
          <w:rFonts w:ascii="Times New Roman" w:eastAsia="Aptos" w:hAnsi="Times New Roman" w:cs="Times New Roman"/>
          <w:spacing w:val="-6"/>
          <w:sz w:val="28"/>
          <w:szCs w:val="28"/>
          <w:vertAlign w:val="subscript"/>
          <w:lang w:val="de-AT"/>
        </w:rPr>
        <w:t>t</w:t>
      </w:r>
      <w:r w:rsidR="00277AC4" w:rsidRPr="00277AC4">
        <w:rPr>
          <w:rFonts w:ascii="Times New Roman" w:eastAsia="Aptos" w:hAnsi="Times New Roman" w:cs="Times New Roman"/>
          <w:spacing w:val="-6"/>
          <w:sz w:val="28"/>
          <w:szCs w:val="28"/>
          <w:lang w:val="de-AT"/>
        </w:rPr>
        <w:t xml:space="preserve">, </w:t>
      </w:r>
      <w:r w:rsidR="00277AC4" w:rsidRPr="00277AC4">
        <w:rPr>
          <w:rFonts w:ascii="Times New Roman" w:eastAsia="Aptos" w:hAnsi="Times New Roman" w:cs="Times New Roman"/>
          <w:spacing w:val="-6"/>
          <w:sz w:val="28"/>
          <w:szCs w:val="28"/>
          <w:vertAlign w:val="subscript"/>
          <w:lang w:val="de-AT"/>
        </w:rPr>
        <w:t>Di=0</w:t>
      </w:r>
      <m:oMath>
        <m:r>
          <m:rPr>
            <m:sty m:val="p"/>
          </m:rPr>
          <w:rPr>
            <w:rFonts w:ascii="Cambria Math" w:eastAsia="Aptos" w:hAnsi="Cambria Math" w:cs="Times New Roman"/>
            <w:spacing w:val="-6"/>
            <w:lang w:val="de-AT"/>
          </w:rPr>
          <m:t>]-</m:t>
        </m:r>
        <m:r>
          <m:rPr>
            <m:sty m:val="p"/>
          </m:rPr>
          <w:rPr>
            <w:rFonts w:ascii="Cambria Math" w:eastAsia="Aptos" w:hAnsi="Cambria Math" w:cs="Times New Roman"/>
            <w:spacing w:val="-6"/>
            <w:sz w:val="28"/>
            <w:szCs w:val="28"/>
            <w:lang w:val="de-AT"/>
          </w:rPr>
          <m:t xml:space="preserve">E[Y </m:t>
        </m:r>
      </m:oMath>
      <w:r w:rsidR="00277AC4" w:rsidRPr="00277AC4">
        <w:rPr>
          <w:rFonts w:ascii="Times New Roman" w:eastAsia="Aptos" w:hAnsi="Times New Roman" w:cs="Times New Roman"/>
          <w:spacing w:val="-6"/>
          <w:sz w:val="28"/>
          <w:szCs w:val="28"/>
          <w:vertAlign w:val="subscript"/>
          <w:lang w:val="de-AT"/>
        </w:rPr>
        <w:t>t-1</w:t>
      </w:r>
      <w:r w:rsidR="00277AC4" w:rsidRPr="00277AC4">
        <w:rPr>
          <w:rFonts w:ascii="Times New Roman" w:eastAsia="Aptos" w:hAnsi="Times New Roman" w:cs="Times New Roman"/>
          <w:spacing w:val="-6"/>
          <w:sz w:val="28"/>
          <w:szCs w:val="28"/>
          <w:lang w:val="de-AT"/>
        </w:rPr>
        <w:t xml:space="preserve">, </w:t>
      </w:r>
      <w:r w:rsidR="00277AC4" w:rsidRPr="00277AC4">
        <w:rPr>
          <w:rFonts w:ascii="Times New Roman" w:eastAsia="Aptos" w:hAnsi="Times New Roman" w:cs="Times New Roman"/>
          <w:spacing w:val="-6"/>
          <w:sz w:val="28"/>
          <w:szCs w:val="28"/>
          <w:vertAlign w:val="subscript"/>
          <w:lang w:val="de-AT"/>
        </w:rPr>
        <w:t>Di=0</w:t>
      </w:r>
      <m:oMath>
        <m:r>
          <m:rPr>
            <m:sty m:val="p"/>
          </m:rPr>
          <w:rPr>
            <w:rFonts w:ascii="Cambria Math" w:eastAsia="Aptos" w:hAnsi="Cambria Math" w:cs="Times New Roman"/>
            <w:spacing w:val="-6"/>
            <w:lang w:val="de-AT"/>
          </w:rPr>
          <m:t>]</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P</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X</m:t>
            </m:r>
          </m:e>
          <m:sub>
            <m:r>
              <w:rPr>
                <w:rFonts w:ascii="Cambria Math" w:eastAsia="Aptos" w:hAnsi="Cambria Math" w:cs="Times New Roman"/>
                <w:spacing w:val="-8"/>
                <w:sz w:val="28"/>
                <w:szCs w:val="28"/>
                <w:lang w:val="en-GB"/>
              </w:rPr>
              <m:t>i</m:t>
            </m:r>
          </m:sub>
        </m:sSub>
        <m:r>
          <w:rPr>
            <w:rFonts w:ascii="Cambria Math" w:eastAsia="Aptos" w:hAnsi="Cambria Math" w:cs="Times New Roman"/>
            <w:spacing w:val="-6"/>
            <w:sz w:val="28"/>
            <w:szCs w:val="28"/>
            <w:lang w:val="de-AT"/>
          </w:rPr>
          <m:t>,</m:t>
        </m:r>
        <m:sSub>
          <m:sSubPr>
            <m:ctrlPr>
              <w:rPr>
                <w:rFonts w:ascii="Cambria Math" w:eastAsia="Aptos" w:hAnsi="Cambria Math" w:cs="Times New Roman"/>
                <w:i/>
                <w:spacing w:val="-8"/>
                <w:sz w:val="28"/>
                <w:szCs w:val="28"/>
                <w:lang w:val="en-GB"/>
              </w:rPr>
            </m:ctrlPr>
          </m:sSubPr>
          <m:e>
            <m:r>
              <w:rPr>
                <w:rFonts w:ascii="Cambria Math" w:eastAsia="Aptos" w:hAnsi="Cambria Math" w:cs="Times New Roman"/>
                <w:spacing w:val="-8"/>
                <w:sz w:val="28"/>
                <w:szCs w:val="28"/>
                <w:lang w:val="en-GB"/>
              </w:rPr>
              <m:t>D</m:t>
            </m:r>
          </m:e>
          <m:sub>
            <m:r>
              <w:rPr>
                <w:rFonts w:ascii="Cambria Math" w:eastAsia="Aptos" w:hAnsi="Cambria Math" w:cs="Times New Roman"/>
                <w:spacing w:val="-8"/>
                <w:sz w:val="28"/>
                <w:szCs w:val="28"/>
                <w:lang w:val="en-GB"/>
              </w:rPr>
              <m:t>s</m:t>
            </m:r>
          </m:sub>
        </m:sSub>
        <m:r>
          <w:rPr>
            <w:rFonts w:ascii="Cambria Math" w:eastAsia="Aptos" w:hAnsi="Cambria Math" w:cs="Times New Roman"/>
            <w:spacing w:val="-6"/>
            <w:sz w:val="28"/>
            <w:szCs w:val="28"/>
            <w:lang w:val="de-AT"/>
          </w:rPr>
          <m:t xml:space="preserve">=0, </m:t>
        </m:r>
        <m:r>
          <w:rPr>
            <w:rFonts w:ascii="Cambria Math" w:eastAsia="Aptos" w:hAnsi="Cambria Math" w:cs="Times New Roman"/>
            <w:spacing w:val="-6"/>
            <w:sz w:val="28"/>
            <w:szCs w:val="28"/>
            <w:lang w:val="en-GB"/>
          </w:rPr>
          <m:t>G</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g</m:t>
        </m:r>
      </m:oMath>
      <w:r w:rsidR="00277AC4" w:rsidRPr="00277AC4">
        <w:rPr>
          <w:rFonts w:ascii="Times New Roman" w:eastAsia="Aptos" w:hAnsi="Times New Roman" w:cs="Times New Roman"/>
          <w:spacing w:val="-6"/>
          <w:sz w:val="28"/>
          <w:szCs w:val="28"/>
          <w:lang w:val="de-AT"/>
        </w:rPr>
        <w:t>|) +</w:t>
      </w:r>
      <m:oMath>
        <m:sSub>
          <m:sSubPr>
            <m:ctrlPr>
              <w:rPr>
                <w:rFonts w:ascii="Cambria Math" w:eastAsia="Aptos" w:hAnsi="Cambria Math" w:cs="Times New Roman"/>
                <w:i/>
                <w:spacing w:val="-6"/>
                <w:sz w:val="28"/>
                <w:szCs w:val="28"/>
                <w:lang w:val="en-GB"/>
              </w:rPr>
            </m:ctrlPr>
          </m:sSubPr>
          <m:e>
            <m:r>
              <w:rPr>
                <w:rFonts w:ascii="Cambria Math" w:eastAsia="Aptos" w:hAnsi="Cambria Math" w:cs="Times New Roman"/>
                <w:spacing w:val="-6"/>
                <w:sz w:val="28"/>
                <w:szCs w:val="28"/>
                <w:lang w:val="en-GB"/>
              </w:rPr>
              <m:t>u</m:t>
            </m:r>
          </m:e>
          <m:sub>
            <m:r>
              <w:rPr>
                <w:rFonts w:ascii="Cambria Math" w:eastAsia="Aptos" w:hAnsi="Cambria Math" w:cs="Times New Roman"/>
                <w:spacing w:val="-6"/>
                <w:sz w:val="28"/>
                <w:szCs w:val="28"/>
                <w:lang w:val="en-GB"/>
              </w:rPr>
              <m:t>i</m:t>
            </m:r>
            <m:r>
              <w:rPr>
                <w:rFonts w:ascii="Cambria Math" w:eastAsia="Aptos" w:hAnsi="Cambria Math" w:cs="Times New Roman"/>
                <w:spacing w:val="-6"/>
                <w:sz w:val="28"/>
                <w:szCs w:val="28"/>
                <w:lang w:val="de-AT"/>
              </w:rPr>
              <m:t>,</m:t>
            </m:r>
            <m:r>
              <w:rPr>
                <w:rFonts w:ascii="Cambria Math" w:eastAsia="Aptos" w:hAnsi="Cambria Math" w:cs="Times New Roman"/>
                <w:spacing w:val="-6"/>
                <w:sz w:val="28"/>
                <w:szCs w:val="28"/>
                <w:lang w:val="en-GB"/>
              </w:rPr>
              <m:t>t</m:t>
            </m:r>
          </m:sub>
        </m:sSub>
      </m:oMath>
      <w:r w:rsidR="003D6647" w:rsidRPr="003D6647">
        <w:rPr>
          <w:rFonts w:ascii="Times New Roman" w:eastAsia="Aptos" w:hAnsi="Times New Roman" w:cs="Times New Roman"/>
          <w:spacing w:val="-6"/>
          <w:sz w:val="28"/>
          <w:szCs w:val="28"/>
          <w:lang w:val="de-AT"/>
        </w:rPr>
        <w:t>,</w:t>
      </w:r>
    </w:p>
    <w:p w14:paraId="388761A4" w14:textId="6B622485" w:rsidR="00277AC4" w:rsidRPr="0001323E" w:rsidRDefault="00277AC4" w:rsidP="00277AC4">
      <w:pPr>
        <w:spacing w:after="0" w:line="264" w:lineRule="auto"/>
        <w:jc w:val="both"/>
        <w:rPr>
          <w:rFonts w:ascii="Times New Roman" w:eastAsia="Aptos" w:hAnsi="Times New Roman" w:cs="Times New Roman"/>
          <w:sz w:val="28"/>
          <w:szCs w:val="28"/>
        </w:rPr>
      </w:pPr>
      <w:r w:rsidRPr="0001323E">
        <w:rPr>
          <w:rFonts w:ascii="Times New Roman" w:eastAsia="Aptos" w:hAnsi="Times New Roman" w:cs="Times New Roman"/>
          <w:sz w:val="28"/>
          <w:szCs w:val="28"/>
        </w:rPr>
        <w:lastRenderedPageBreak/>
        <w:t xml:space="preserve">gdzie: </w:t>
      </w:r>
      <m:oMath>
        <m:sSubSup>
          <m:sSubSupPr>
            <m:ctrlPr>
              <w:rPr>
                <w:rFonts w:ascii="Cambria Math" w:eastAsia="Aptos" w:hAnsi="Cambria Math" w:cs="Times New Roman"/>
                <w:i/>
                <w:iCs/>
                <w:sz w:val="28"/>
                <w:szCs w:val="28"/>
              </w:rPr>
            </m:ctrlPr>
          </m:sSubSupPr>
          <m:e>
            <m:r>
              <w:rPr>
                <w:rFonts w:ascii="Cambria Math" w:eastAsia="Aptos" w:hAnsi="Cambria Math" w:cs="Times New Roman"/>
                <w:sz w:val="28"/>
                <w:szCs w:val="28"/>
              </w:rPr>
              <m:t>β</m:t>
            </m:r>
          </m:e>
          <m:sub>
            <m:r>
              <w:rPr>
                <w:rFonts w:ascii="Cambria Math" w:eastAsia="Aptos" w:hAnsi="Cambria Math" w:cs="Times New Roman"/>
                <w:sz w:val="28"/>
                <w:szCs w:val="28"/>
              </w:rPr>
              <m:t xml:space="preserve"> </m:t>
            </m:r>
          </m:sub>
          <m:sup>
            <m:r>
              <w:rPr>
                <w:rFonts w:ascii="Cambria Math" w:eastAsia="Aptos" w:hAnsi="Cambria Math" w:cs="Times New Roman"/>
                <w:sz w:val="28"/>
                <w:szCs w:val="28"/>
              </w:rPr>
              <m:t>DD</m:t>
            </m:r>
          </m:sup>
        </m:sSubSup>
      </m:oMath>
      <w:r w:rsidRPr="0001323E">
        <w:rPr>
          <w:rFonts w:ascii="Times New Roman" w:eastAsia="Aptos" w:hAnsi="Times New Roman" w:cs="Times New Roman"/>
          <w:sz w:val="28"/>
          <w:szCs w:val="28"/>
        </w:rPr>
        <w:t xml:space="preserve"> –  estymowany  efekt interwencji,  </w:t>
      </w:r>
      <w:bookmarkStart w:id="42" w:name="_Hlk182389483"/>
      <m:oMath>
        <m:sSub>
          <m:sSubPr>
            <m:ctrlPr>
              <w:rPr>
                <w:rFonts w:ascii="Cambria Math" w:eastAsia="Aptos" w:hAnsi="Cambria Math" w:cs="Times New Roman"/>
                <w:i/>
                <w:iCs/>
                <w:spacing w:val="-6"/>
                <w:sz w:val="28"/>
                <w:szCs w:val="28"/>
                <w:lang w:val="en-GB"/>
              </w:rPr>
            </m:ctrlPr>
          </m:sSubPr>
          <m:e>
            <m:r>
              <w:rPr>
                <w:rFonts w:ascii="Cambria Math" w:eastAsia="Aptos" w:hAnsi="Cambria Math" w:cs="Times New Roman"/>
                <w:spacing w:val="-6"/>
                <w:sz w:val="28"/>
                <w:szCs w:val="28"/>
              </w:rPr>
              <m:t>u</m:t>
            </m:r>
          </m:e>
          <m:sub>
            <m:r>
              <w:rPr>
                <w:rFonts w:ascii="Cambria Math" w:eastAsia="Aptos" w:hAnsi="Cambria Math" w:cs="Times New Roman"/>
                <w:spacing w:val="-6"/>
                <w:sz w:val="28"/>
                <w:szCs w:val="28"/>
              </w:rPr>
              <m:t>i,t</m:t>
            </m:r>
          </m:sub>
        </m:sSub>
      </m:oMath>
      <w:bookmarkEnd w:id="42"/>
      <w:r w:rsidRPr="0001323E">
        <w:rPr>
          <w:rFonts w:ascii="Times New Roman" w:eastAsia="Aptos" w:hAnsi="Times New Roman" w:cs="Times New Roman"/>
          <w:spacing w:val="-6"/>
          <w:sz w:val="28"/>
          <w:szCs w:val="28"/>
        </w:rPr>
        <w:t xml:space="preserve"> – </w:t>
      </w:r>
      <w:r w:rsidRPr="0001323E">
        <w:rPr>
          <w:rFonts w:ascii="Times New Roman" w:eastAsia="Aptos" w:hAnsi="Times New Roman" w:cs="Times New Roman"/>
          <w:sz w:val="28"/>
          <w:szCs w:val="28"/>
        </w:rPr>
        <w:t xml:space="preserve"> błąd systematyczny.</w:t>
      </w:r>
    </w:p>
    <w:p w14:paraId="3CB9930A" w14:textId="77777777" w:rsidR="00277AC4" w:rsidRPr="00277AC4" w:rsidRDefault="00277AC4" w:rsidP="00277AC4">
      <w:pPr>
        <w:spacing w:after="0" w:line="264" w:lineRule="auto"/>
        <w:jc w:val="both"/>
        <w:rPr>
          <w:rFonts w:ascii="Times New Roman" w:eastAsia="Aptos" w:hAnsi="Times New Roman" w:cs="Times New Roman"/>
          <w:i/>
          <w:iCs/>
          <w:sz w:val="26"/>
          <w:szCs w:val="26"/>
        </w:rPr>
      </w:pPr>
    </w:p>
    <w:p w14:paraId="364AC4E5" w14:textId="3BFE3317" w:rsidR="00277AC4" w:rsidRPr="00277AC4" w:rsidRDefault="00277AC4" w:rsidP="00277AC4">
      <w:pPr>
        <w:spacing w:after="0" w:line="264" w:lineRule="auto"/>
        <w:ind w:firstLine="709"/>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 xml:space="preserve">Podejście hybrydowe (wielowymiarowe dopasowanie z wykorzystanie PSM) pozwala z jednaj strony na potencjalne ograniczenie błędu selekcji </w:t>
      </w:r>
      <m:oMath>
        <m:r>
          <w:rPr>
            <w:rFonts w:ascii="Cambria Math" w:eastAsia="Aptos" w:hAnsi="Cambria Math" w:cs="Times New Roman"/>
            <w:sz w:val="28"/>
            <w:szCs w:val="28"/>
          </w:rPr>
          <m:t>(</m:t>
        </m:r>
        <m:sSub>
          <m:sSubPr>
            <m:ctrlPr>
              <w:rPr>
                <w:rFonts w:ascii="Cambria Math" w:eastAsia="Aptos" w:hAnsi="Cambria Math" w:cs="Times New Roman"/>
                <w:i/>
                <w:spacing w:val="-6"/>
                <w:sz w:val="28"/>
                <w:szCs w:val="28"/>
                <w:lang w:val="en-GB"/>
              </w:rPr>
            </m:ctrlPr>
          </m:sSubPr>
          <m:e>
            <m:r>
              <w:rPr>
                <w:rFonts w:ascii="Cambria Math" w:eastAsia="Aptos" w:hAnsi="Cambria Math" w:cs="Times New Roman"/>
                <w:spacing w:val="-6"/>
                <w:sz w:val="28"/>
                <w:szCs w:val="28"/>
                <w:lang w:val="en-GB"/>
              </w:rPr>
              <m:t>u</m:t>
            </m:r>
          </m:e>
          <m:sub>
            <m:r>
              <w:rPr>
                <w:rFonts w:ascii="Cambria Math" w:eastAsia="Aptos" w:hAnsi="Cambria Math" w:cs="Times New Roman"/>
                <w:spacing w:val="-6"/>
                <w:sz w:val="28"/>
                <w:szCs w:val="28"/>
                <w:lang w:val="en-GB"/>
              </w:rPr>
              <m:t>i</m:t>
            </m:r>
            <m:r>
              <w:rPr>
                <w:rFonts w:ascii="Cambria Math" w:eastAsia="Aptos" w:hAnsi="Cambria Math" w:cs="Times New Roman"/>
                <w:spacing w:val="-6"/>
                <w:sz w:val="28"/>
                <w:szCs w:val="28"/>
              </w:rPr>
              <m:t>,</m:t>
            </m:r>
            <m:r>
              <w:rPr>
                <w:rFonts w:ascii="Cambria Math" w:eastAsia="Aptos" w:hAnsi="Cambria Math" w:cs="Times New Roman"/>
                <w:spacing w:val="-6"/>
                <w:sz w:val="28"/>
                <w:szCs w:val="28"/>
                <w:lang w:val="en-GB"/>
              </w:rPr>
              <m:t>t</m:t>
            </m:r>
          </m:sub>
        </m:sSub>
        <m:r>
          <w:rPr>
            <w:rFonts w:ascii="Cambria Math" w:eastAsia="Aptos" w:hAnsi="Cambria Math" w:cs="Times New Roman"/>
            <w:spacing w:val="-6"/>
            <w:sz w:val="28"/>
            <w:szCs w:val="28"/>
          </w:rPr>
          <m:t>)</m:t>
        </m:r>
      </m:oMath>
      <w:r w:rsidRPr="00277AC4">
        <w:rPr>
          <w:rFonts w:ascii="Times New Roman" w:eastAsia="Aptos" w:hAnsi="Times New Roman" w:cs="Times New Roman"/>
          <w:spacing w:val="-6"/>
          <w:sz w:val="28"/>
          <w:szCs w:val="28"/>
        </w:rPr>
        <w:t xml:space="preserve"> </w:t>
      </w:r>
      <w:r w:rsidRPr="00277AC4">
        <w:rPr>
          <w:rFonts w:ascii="Times New Roman" w:eastAsia="Aptos" w:hAnsi="Times New Roman" w:cs="Times New Roman"/>
          <w:sz w:val="28"/>
          <w:szCs w:val="28"/>
        </w:rPr>
        <w:t>występującego na pierwszym etapie związanego z niedostatecznym dopasowaniem zmiennych do grupy odniesienia. W przypadku zastosowania klasycznej metody PSM istnieje możliwość w większym stopniu występowania błędu obserwowanego, a dzięki zastosowaniu drugiego równania (w skrócie formuły DID) błąd ten jest uwzględniony po interwencji, a tym samym ograniczany. Natomiast pierwsze równanie zmniejsza wpływ zmiennych nieobserwowalnych</w:t>
      </w:r>
      <w:r w:rsidR="003D6647">
        <w:rPr>
          <w:rFonts w:ascii="Times New Roman" w:eastAsia="Aptos" w:hAnsi="Times New Roman" w:cs="Times New Roman"/>
          <w:sz w:val="28"/>
          <w:szCs w:val="28"/>
        </w:rPr>
        <w:t>,</w:t>
      </w:r>
      <w:r w:rsidRPr="00277AC4">
        <w:rPr>
          <w:rFonts w:ascii="Times New Roman" w:eastAsia="Aptos" w:hAnsi="Times New Roman" w:cs="Times New Roman"/>
          <w:sz w:val="28"/>
          <w:szCs w:val="28"/>
        </w:rPr>
        <w:t xml:space="preserve"> zakłócających pomiar efektów interwencji (brak równoległości trendów w metodzie DID) – wpływ błędu systematycznego (</w:t>
      </w:r>
      <m:oMath>
        <m:sSub>
          <m:sSubPr>
            <m:ctrlPr>
              <w:rPr>
                <w:rFonts w:ascii="Cambria Math" w:eastAsia="Aptos" w:hAnsi="Cambria Math" w:cs="Times New Roman"/>
                <w:i/>
                <w:spacing w:val="-6"/>
                <w:sz w:val="28"/>
                <w:szCs w:val="28"/>
                <w:lang w:val="en-GB"/>
              </w:rPr>
            </m:ctrlPr>
          </m:sSubPr>
          <m:e>
            <m:r>
              <w:rPr>
                <w:rFonts w:ascii="Cambria Math" w:eastAsia="Aptos" w:hAnsi="Cambria Math" w:cs="Times New Roman"/>
                <w:spacing w:val="-6"/>
                <w:sz w:val="28"/>
                <w:szCs w:val="28"/>
                <w:lang w:val="en-GB"/>
              </w:rPr>
              <m:t>e</m:t>
            </m:r>
          </m:e>
          <m:sub>
            <m:r>
              <w:rPr>
                <w:rFonts w:ascii="Cambria Math" w:eastAsia="Aptos" w:hAnsi="Cambria Math" w:cs="Times New Roman"/>
                <w:spacing w:val="-6"/>
                <w:sz w:val="28"/>
                <w:szCs w:val="28"/>
                <w:lang w:val="en-GB"/>
              </w:rPr>
              <m:t>i</m:t>
            </m:r>
            <m:r>
              <w:rPr>
                <w:rFonts w:ascii="Cambria Math" w:eastAsia="Aptos" w:hAnsi="Cambria Math" w:cs="Times New Roman"/>
                <w:spacing w:val="-6"/>
                <w:sz w:val="28"/>
                <w:szCs w:val="28"/>
              </w:rPr>
              <m:t>,</m:t>
            </m:r>
            <m:r>
              <w:rPr>
                <w:rFonts w:ascii="Cambria Math" w:eastAsia="Aptos" w:hAnsi="Cambria Math" w:cs="Times New Roman"/>
                <w:spacing w:val="-6"/>
                <w:sz w:val="28"/>
                <w:szCs w:val="28"/>
                <w:lang w:val="en-GB"/>
              </w:rPr>
              <m:t>t</m:t>
            </m:r>
          </m:sub>
        </m:sSub>
      </m:oMath>
      <w:r w:rsidRPr="00277AC4">
        <w:rPr>
          <w:rFonts w:ascii="Times New Roman" w:eastAsia="Aptos" w:hAnsi="Times New Roman" w:cs="Times New Roman"/>
          <w:spacing w:val="-6"/>
          <w:sz w:val="28"/>
          <w:szCs w:val="28"/>
        </w:rPr>
        <w:t>.)</w:t>
      </w:r>
      <w:r w:rsidRPr="00277AC4">
        <w:rPr>
          <w:rFonts w:ascii="Times New Roman" w:eastAsia="Aptos" w:hAnsi="Times New Roman" w:cs="Times New Roman"/>
          <w:sz w:val="28"/>
          <w:szCs w:val="28"/>
        </w:rPr>
        <w:t xml:space="preserve">. Upraszczając, podejście hybrydowe (łączące PSM i DID) pozwala ograniczyć popełniane błędy na poszczególnych etapach, a tym samym łączny błąd pomiaru i zwiększa możliwość uzyskania prawidłowego wyniku (Smith i Todd, 2005). Tak więc można stwierdzić, że mocne strony PSM (dopasowania – matchingu) równoważą słabości DID i odwrotnie mocne strony drugiej metody równoważą słabości pierwszej. </w:t>
      </w:r>
    </w:p>
    <w:p w14:paraId="6D704BFF" w14:textId="5A62C659" w:rsidR="00277AC4" w:rsidRPr="00277AC4" w:rsidRDefault="00277AC4" w:rsidP="00277AC4">
      <w:pPr>
        <w:spacing w:after="0" w:line="264" w:lineRule="auto"/>
        <w:ind w:firstLine="709"/>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 xml:space="preserve">Zastosowanie podejścia hybrydowego jest powszechnie wykorzystywane w badaniach zarówno poświęconych ewaluacji interwencji (Aerts i Schmidt 2008; Arata iSckokai, 2016; Zhang i in., 2022), </w:t>
      </w:r>
      <w:r w:rsidR="003D6647">
        <w:rPr>
          <w:rFonts w:ascii="Times New Roman" w:eastAsia="Aptos" w:hAnsi="Times New Roman" w:cs="Times New Roman"/>
          <w:sz w:val="28"/>
          <w:szCs w:val="28"/>
        </w:rPr>
        <w:t>jak i</w:t>
      </w:r>
      <w:r w:rsidRPr="00277AC4">
        <w:rPr>
          <w:rFonts w:ascii="Times New Roman" w:eastAsia="Aptos" w:hAnsi="Times New Roman" w:cs="Times New Roman"/>
          <w:sz w:val="28"/>
          <w:szCs w:val="28"/>
        </w:rPr>
        <w:t xml:space="preserve"> również produktywności (Fu i in., 2021; Mennig i Sauer, 2020; Zhui in., 2020). </w:t>
      </w:r>
    </w:p>
    <w:p w14:paraId="0820686E" w14:textId="77777777" w:rsidR="00277AC4" w:rsidRDefault="00277AC4" w:rsidP="00277AC4">
      <w:pPr>
        <w:spacing w:line="264" w:lineRule="auto"/>
        <w:ind w:firstLine="709"/>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Zarówno na etapie dopasowania (matchingu), jak również na drugim etapie – ostatecznej estymacji (DID) mogą być wykorzystywane różne techniki i podejścia. Z uwagi na poświęcenie tej problematyce rozdziału 5. i 6., w tej części badań nie będą one powtarzane.</w:t>
      </w:r>
    </w:p>
    <w:p w14:paraId="5E5301ED" w14:textId="77777777" w:rsidR="00277AC4" w:rsidRPr="00277AC4" w:rsidRDefault="00277AC4" w:rsidP="00277AC4">
      <w:pPr>
        <w:spacing w:line="259" w:lineRule="auto"/>
        <w:jc w:val="both"/>
        <w:rPr>
          <w:rFonts w:ascii="Times New Roman" w:eastAsia="Aptos" w:hAnsi="Times New Roman" w:cs="Times New Roman"/>
          <w:b/>
          <w:bCs/>
          <w:sz w:val="28"/>
          <w:szCs w:val="28"/>
        </w:rPr>
      </w:pPr>
      <w:r w:rsidRPr="00277AC4">
        <w:rPr>
          <w:rFonts w:ascii="Times New Roman" w:eastAsia="Aptos" w:hAnsi="Times New Roman" w:cs="Times New Roman"/>
          <w:b/>
          <w:bCs/>
          <w:sz w:val="28"/>
          <w:szCs w:val="28"/>
        </w:rPr>
        <w:t>7.2. Istota i używane procedury, mocne i słabe strony</w:t>
      </w:r>
    </w:p>
    <w:p w14:paraId="317DC341" w14:textId="1ABD893E" w:rsidR="00277AC4" w:rsidRDefault="00277AC4" w:rsidP="003D6647">
      <w:pPr>
        <w:spacing w:line="259" w:lineRule="auto"/>
        <w:ind w:firstLine="709"/>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 xml:space="preserve">Metoda PSM-DID zaliczana jest do grupy metod quasi-eksperymentalnych, podobnie zresztą jak PSM, jak i DID. W ramce </w:t>
      </w:r>
      <w:r w:rsidR="00C16343">
        <w:rPr>
          <w:rFonts w:ascii="Times New Roman" w:eastAsia="Aptos" w:hAnsi="Times New Roman" w:cs="Times New Roman"/>
          <w:sz w:val="28"/>
          <w:szCs w:val="28"/>
        </w:rPr>
        <w:t>7</w:t>
      </w:r>
      <w:r w:rsidRPr="00277AC4">
        <w:rPr>
          <w:rFonts w:ascii="Times New Roman" w:eastAsia="Aptos" w:hAnsi="Times New Roman" w:cs="Times New Roman"/>
          <w:sz w:val="28"/>
          <w:szCs w:val="28"/>
        </w:rPr>
        <w:t xml:space="preserve">  przedstawiono istotę tej metody.</w:t>
      </w:r>
    </w:p>
    <w:p w14:paraId="7E276D2C" w14:textId="5D2900D7" w:rsidR="00277AC4" w:rsidRPr="00277AC4" w:rsidRDefault="00277AC4" w:rsidP="00277AC4">
      <w:pPr>
        <w:spacing w:line="259" w:lineRule="auto"/>
        <w:jc w:val="both"/>
        <w:rPr>
          <w:rFonts w:ascii="Times New Roman" w:eastAsia="Aptos" w:hAnsi="Times New Roman" w:cs="Times New Roman"/>
        </w:rPr>
      </w:pPr>
      <w:r w:rsidRPr="00E226AA">
        <w:rPr>
          <w:rFonts w:ascii="Times New Roman" w:eastAsia="Aptos" w:hAnsi="Times New Roman" w:cs="Times New Roman"/>
          <w:b/>
          <w:bCs/>
        </w:rPr>
        <w:t xml:space="preserve">Ramka </w:t>
      </w:r>
      <w:r w:rsidR="00C16343">
        <w:rPr>
          <w:rFonts w:ascii="Times New Roman" w:eastAsia="Aptos" w:hAnsi="Times New Roman" w:cs="Times New Roman"/>
          <w:b/>
          <w:bCs/>
        </w:rPr>
        <w:t>7</w:t>
      </w:r>
      <w:r w:rsidRPr="00E226AA">
        <w:rPr>
          <w:rFonts w:ascii="Times New Roman" w:eastAsia="Aptos" w:hAnsi="Times New Roman" w:cs="Times New Roman"/>
          <w:b/>
          <w:bCs/>
        </w:rPr>
        <w:t>.</w:t>
      </w:r>
      <w:r w:rsidRPr="00277AC4">
        <w:rPr>
          <w:rFonts w:ascii="Times New Roman" w:eastAsia="Aptos" w:hAnsi="Times New Roman" w:cs="Times New Roman"/>
        </w:rPr>
        <w:t xml:space="preserve">   Istota metoda PSM-DID z perspektywy oceny polityk publicznych</w:t>
      </w:r>
    </w:p>
    <w:tbl>
      <w:tblPr>
        <w:tblStyle w:val="Tabela-Siatka"/>
        <w:tblW w:w="0" w:type="auto"/>
        <w:shd w:val="clear" w:color="auto" w:fill="F2F2F2"/>
        <w:tblLook w:val="04A0" w:firstRow="1" w:lastRow="0" w:firstColumn="1" w:lastColumn="0" w:noHBand="0" w:noVBand="1"/>
      </w:tblPr>
      <w:tblGrid>
        <w:gridCol w:w="9062"/>
      </w:tblGrid>
      <w:tr w:rsidR="00277AC4" w:rsidRPr="00277AC4" w14:paraId="0085078B" w14:textId="77777777" w:rsidTr="00277AC4">
        <w:tc>
          <w:tcPr>
            <w:tcW w:w="9062" w:type="dxa"/>
            <w:shd w:val="clear" w:color="auto" w:fill="F2F2F2"/>
          </w:tcPr>
          <w:p w14:paraId="499428CB" w14:textId="77777777" w:rsidR="00277AC4" w:rsidRPr="00277AC4" w:rsidRDefault="00277AC4" w:rsidP="00277AC4">
            <w:pPr>
              <w:numPr>
                <w:ilvl w:val="0"/>
                <w:numId w:val="56"/>
              </w:numPr>
              <w:contextualSpacing/>
              <w:jc w:val="both"/>
              <w:rPr>
                <w:rFonts w:ascii="Times New Roman" w:eastAsia="Aptos" w:hAnsi="Times New Roman" w:cs="Times New Roman"/>
              </w:rPr>
            </w:pPr>
            <w:r w:rsidRPr="00277AC4">
              <w:rPr>
                <w:rFonts w:ascii="Times New Roman" w:eastAsia="Aptos" w:hAnsi="Times New Roman" w:cs="Times New Roman"/>
              </w:rPr>
              <w:t xml:space="preserve">Metoda PSM-DID, znana również jako </w:t>
            </w:r>
            <w:r w:rsidRPr="00277AC4">
              <w:rPr>
                <w:rFonts w:ascii="Times New Roman" w:eastAsia="Aptos" w:hAnsi="Times New Roman" w:cs="Times New Roman"/>
                <w:u w:val="single"/>
              </w:rPr>
              <w:t xml:space="preserve">metoda warunkowa DiD, jest quasi-eksperymentalną metodyką  oceny interwencji  np. programów polityk publicznych. </w:t>
            </w:r>
            <w:r w:rsidRPr="00277AC4">
              <w:rPr>
                <w:rFonts w:ascii="Times New Roman" w:eastAsia="Aptos" w:hAnsi="Times New Roman" w:cs="Times New Roman"/>
              </w:rPr>
              <w:t>Technika ta jest szczególnie przydatna, gdy dane dotyczące wyników  zarówno uczestniczących, jak i niekorzystających z programu są dostępne zarówno przed, jak i po jego wdrożeniu.</w:t>
            </w:r>
          </w:p>
          <w:p w14:paraId="53EDDEAB" w14:textId="77777777" w:rsidR="00277AC4" w:rsidRPr="00277AC4" w:rsidRDefault="00277AC4" w:rsidP="00277AC4">
            <w:pPr>
              <w:numPr>
                <w:ilvl w:val="0"/>
                <w:numId w:val="56"/>
              </w:numPr>
              <w:contextualSpacing/>
              <w:jc w:val="both"/>
              <w:rPr>
                <w:rFonts w:ascii="Times New Roman" w:eastAsia="Aptos" w:hAnsi="Times New Roman" w:cs="Times New Roman"/>
              </w:rPr>
            </w:pPr>
            <w:r w:rsidRPr="00277AC4">
              <w:rPr>
                <w:rFonts w:ascii="Times New Roman" w:eastAsia="Aptos" w:hAnsi="Times New Roman" w:cs="Times New Roman"/>
              </w:rPr>
              <w:t xml:space="preserve">PSM-DID mierzy </w:t>
            </w:r>
            <w:r w:rsidRPr="00277AC4">
              <w:rPr>
                <w:rFonts w:ascii="Times New Roman" w:eastAsia="Aptos" w:hAnsi="Times New Roman" w:cs="Times New Roman"/>
                <w:u w:val="single"/>
              </w:rPr>
              <w:t>efekt wsparcia</w:t>
            </w:r>
            <w:r w:rsidRPr="00277AC4">
              <w:rPr>
                <w:rFonts w:ascii="Times New Roman" w:eastAsia="Aptos" w:hAnsi="Times New Roman" w:cs="Times New Roman"/>
              </w:rPr>
              <w:t xml:space="preserve">, wykorzystując różnice między porównywalnymi uczestnikami i nie korzystającymi z programu przed i po  jego uruchomieniu. W tej metodzie uczestnicy programu są najpierw dopasowywani do „porównywalnych  niekorzystających” przy użyciu techniki PSM. Następnie oblicza się </w:t>
            </w:r>
            <w:r w:rsidRPr="00277AC4">
              <w:rPr>
                <w:rFonts w:ascii="Times New Roman" w:eastAsia="Aptos" w:hAnsi="Times New Roman" w:cs="Times New Roman"/>
                <w:u w:val="single"/>
              </w:rPr>
              <w:t>efekt netto</w:t>
            </w:r>
            <w:r w:rsidRPr="00277AC4">
              <w:rPr>
                <w:rFonts w:ascii="Times New Roman" w:eastAsia="Aptos" w:hAnsi="Times New Roman" w:cs="Times New Roman"/>
              </w:rPr>
              <w:t xml:space="preserve"> wsparcia jako różnicę w średniej wartości wskaźnika (wskaźników) wpływu między uczestnikami i  niekorzystającymi przed i po wdrożeniu programu.</w:t>
            </w:r>
          </w:p>
          <w:p w14:paraId="678427AD" w14:textId="77777777" w:rsidR="00277AC4" w:rsidRPr="00277AC4" w:rsidRDefault="00277AC4" w:rsidP="00277AC4">
            <w:pPr>
              <w:numPr>
                <w:ilvl w:val="0"/>
                <w:numId w:val="56"/>
              </w:numPr>
              <w:contextualSpacing/>
              <w:jc w:val="both"/>
              <w:rPr>
                <w:rFonts w:ascii="Times New Roman" w:eastAsia="Aptos" w:hAnsi="Times New Roman" w:cs="Times New Roman"/>
              </w:rPr>
            </w:pPr>
            <w:r w:rsidRPr="00277AC4">
              <w:rPr>
                <w:rFonts w:ascii="Times New Roman" w:eastAsia="Aptos" w:hAnsi="Times New Roman" w:cs="Times New Roman"/>
              </w:rPr>
              <w:lastRenderedPageBreak/>
              <w:t xml:space="preserve">Zaletą estymatora PSM-DID w porównaniu z konwencjonalnym estymatorem DID i techniką PSM stosowaną oddzielnie jest to, że </w:t>
            </w:r>
            <w:r w:rsidRPr="00277AC4">
              <w:rPr>
                <w:rFonts w:ascii="Times New Roman" w:eastAsia="Aptos" w:hAnsi="Times New Roman" w:cs="Times New Roman"/>
                <w:u w:val="single"/>
              </w:rPr>
              <w:t>metoda ta pozwala na lepszą kontrolę błędu selekcji zarówno w zmiennych obserwowalnych (PSM), jak i nieobserwowalnych (DID).</w:t>
            </w:r>
            <w:r w:rsidRPr="00277AC4">
              <w:rPr>
                <w:rFonts w:ascii="Times New Roman" w:eastAsia="Aptos" w:hAnsi="Times New Roman" w:cs="Times New Roman"/>
              </w:rPr>
              <w:t xml:space="preserve"> Błąd selekcji występuje, gdy uczestnicy programu systematycznie różnią się od  tych nie korzystających.</w:t>
            </w:r>
          </w:p>
          <w:p w14:paraId="53F304B8" w14:textId="77777777" w:rsidR="00277AC4" w:rsidRPr="00277AC4" w:rsidRDefault="00277AC4" w:rsidP="00277AC4">
            <w:pPr>
              <w:numPr>
                <w:ilvl w:val="0"/>
                <w:numId w:val="56"/>
              </w:numPr>
              <w:contextualSpacing/>
              <w:jc w:val="both"/>
              <w:rPr>
                <w:rFonts w:ascii="Times New Roman" w:eastAsia="Aptos" w:hAnsi="Times New Roman" w:cs="Times New Roman"/>
              </w:rPr>
            </w:pPr>
            <w:r w:rsidRPr="00277AC4">
              <w:rPr>
                <w:rFonts w:ascii="Times New Roman" w:eastAsia="Aptos" w:hAnsi="Times New Roman" w:cs="Times New Roman"/>
                <w:u w:val="single"/>
              </w:rPr>
              <w:t>Różnice te mogą wynikać ze specyficznych cech uczestników i nie korzystających, które można zaobserwować za pomocą zmiennych dostępnych w odpowiednich źródłach danych (zmienne obserwowalne).</w:t>
            </w:r>
            <w:r w:rsidRPr="00277AC4">
              <w:rPr>
                <w:rFonts w:ascii="Times New Roman" w:eastAsia="Aptos" w:hAnsi="Times New Roman" w:cs="Times New Roman"/>
              </w:rPr>
              <w:t xml:space="preserve"> Na przykład gospodarstwa w niektórych sektorach lub o określonej wielkości ekonomicznej lub fizycznej mogą być bardziej zmotywowane do udziału w programie. Ten błąd można zminimalizować poprzez dopasowanie uczestników i nie korzystających na podstawie ich obserwowanych cech, przy użyciu techniki PSM.</w:t>
            </w:r>
          </w:p>
          <w:p w14:paraId="2D08DDC3" w14:textId="77777777" w:rsidR="00277AC4" w:rsidRPr="00277AC4" w:rsidRDefault="00277AC4" w:rsidP="00277AC4">
            <w:pPr>
              <w:numPr>
                <w:ilvl w:val="0"/>
                <w:numId w:val="56"/>
              </w:numPr>
              <w:contextualSpacing/>
              <w:jc w:val="both"/>
              <w:rPr>
                <w:rFonts w:ascii="Times New Roman" w:eastAsia="Aptos" w:hAnsi="Times New Roman" w:cs="Times New Roman"/>
              </w:rPr>
            </w:pPr>
            <w:r w:rsidRPr="00277AC4">
              <w:rPr>
                <w:rFonts w:ascii="Times New Roman" w:eastAsia="Aptos" w:hAnsi="Times New Roman" w:cs="Times New Roman"/>
                <w:u w:val="single"/>
              </w:rPr>
              <w:t>Różnice systemowe mogą również wynikać z cech, których nie można opisać za pomocą dostępnych danych (zmienne nieobserwowalne).</w:t>
            </w:r>
            <w:r w:rsidRPr="00277AC4">
              <w:rPr>
                <w:rFonts w:ascii="Times New Roman" w:eastAsia="Aptos" w:hAnsi="Times New Roman" w:cs="Times New Roman"/>
              </w:rPr>
              <w:t xml:space="preserve"> Na przykład bardzo podobni uczestnicy i nie korzystający mogą różnić się motywacją, której nie można bezpośrednio zaobserwować za pomocą żadnej zmiennej. Aby zminimalizować ten błąd, wpływ nieobserwowalnych cech jest usuwany poprzez odjęcie średniej wartości wskaźnika (wskaźników) wyniku niekorzystających z programu od odpowiedniej wartości uczestników, przed i po wprowadzeniu  interwencji polityki publicznej (DID).</w:t>
            </w:r>
          </w:p>
          <w:p w14:paraId="4830504A" w14:textId="77777777" w:rsidR="00277AC4" w:rsidRPr="00277AC4" w:rsidRDefault="00277AC4" w:rsidP="00277AC4">
            <w:pPr>
              <w:numPr>
                <w:ilvl w:val="0"/>
                <w:numId w:val="56"/>
              </w:numPr>
              <w:contextualSpacing/>
              <w:jc w:val="both"/>
              <w:rPr>
                <w:rFonts w:ascii="Times New Roman" w:eastAsia="Aptos" w:hAnsi="Times New Roman" w:cs="Times New Roman"/>
                <w:b/>
                <w:bCs/>
                <w:sz w:val="28"/>
                <w:szCs w:val="28"/>
              </w:rPr>
            </w:pPr>
            <w:r w:rsidRPr="00277AC4">
              <w:rPr>
                <w:rFonts w:ascii="Times New Roman" w:eastAsia="Aptos" w:hAnsi="Times New Roman" w:cs="Times New Roman"/>
              </w:rPr>
              <w:t>Zastosowanie estymatora warunkowego PSM-DID do pomiaru efektów programu może znacznie poprawić wyniki oceny, ponieważ minimalizuje on błąd selekcji poprzez konstruowanie i porównywanie grup, które są bliższe temu, co zostałoby skonstruowane, gdyby uczestnicy i nie korzystający zostali losowo przypisani.</w:t>
            </w:r>
          </w:p>
        </w:tc>
      </w:tr>
    </w:tbl>
    <w:p w14:paraId="0A7F1F1D" w14:textId="77777777" w:rsidR="00277AC4" w:rsidRPr="00E226AA" w:rsidRDefault="00277AC4" w:rsidP="00277AC4">
      <w:pPr>
        <w:spacing w:line="259" w:lineRule="auto"/>
        <w:jc w:val="both"/>
        <w:rPr>
          <w:rFonts w:ascii="Times New Roman" w:eastAsia="Aptos" w:hAnsi="Times New Roman" w:cs="Times New Roman"/>
          <w:i/>
          <w:iCs/>
        </w:rPr>
      </w:pPr>
      <w:r w:rsidRPr="00E226AA">
        <w:rPr>
          <w:rFonts w:ascii="Times New Roman" w:eastAsia="Aptos" w:hAnsi="Times New Roman" w:cs="Times New Roman"/>
          <w:i/>
          <w:iCs/>
        </w:rPr>
        <w:lastRenderedPageBreak/>
        <w:t>Źródło: opracowanie własne na podstawie EU CAP Network (2024).</w:t>
      </w:r>
    </w:p>
    <w:p w14:paraId="49D9572E" w14:textId="36761789" w:rsidR="00277AC4" w:rsidRPr="00277AC4" w:rsidRDefault="00277AC4" w:rsidP="00277AC4">
      <w:pPr>
        <w:spacing w:line="259" w:lineRule="auto"/>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 xml:space="preserve">W tabeli </w:t>
      </w:r>
      <w:r w:rsidR="00D94E90">
        <w:rPr>
          <w:rFonts w:ascii="Times New Roman" w:eastAsia="Aptos" w:hAnsi="Times New Roman" w:cs="Times New Roman"/>
          <w:sz w:val="28"/>
          <w:szCs w:val="28"/>
        </w:rPr>
        <w:t>11</w:t>
      </w:r>
      <w:r w:rsidRPr="00277AC4">
        <w:rPr>
          <w:rFonts w:ascii="Times New Roman" w:eastAsia="Aptos" w:hAnsi="Times New Roman" w:cs="Times New Roman"/>
          <w:sz w:val="28"/>
          <w:szCs w:val="28"/>
        </w:rPr>
        <w:t xml:space="preserve"> zestawiono wady i zalety metody PSM-DID. Warto zauważyć, że  mocną stroną, w porównaniu np. do pojedynczych metod  jest zdecydowana kontrola błędów selekcji.  Trudności związane z implementacją PSM-DID wiążą się z ograniczeniami </w:t>
      </w:r>
      <w:r w:rsidR="005F7EAF">
        <w:rPr>
          <w:rFonts w:ascii="Times New Roman" w:eastAsia="Aptos" w:hAnsi="Times New Roman" w:cs="Times New Roman"/>
          <w:sz w:val="28"/>
          <w:szCs w:val="28"/>
        </w:rPr>
        <w:t>wynikającymi</w:t>
      </w:r>
      <w:r w:rsidRPr="00277AC4">
        <w:rPr>
          <w:rFonts w:ascii="Times New Roman" w:eastAsia="Aptos" w:hAnsi="Times New Roman" w:cs="Times New Roman"/>
          <w:sz w:val="28"/>
          <w:szCs w:val="28"/>
        </w:rPr>
        <w:t xml:space="preserve"> z  uogólnianiem wniosków z próby na populację badawczą (tzw. walidacja zewnętrzna).</w:t>
      </w:r>
    </w:p>
    <w:p w14:paraId="31F2552B" w14:textId="1220AC01" w:rsidR="00277AC4" w:rsidRPr="00277AC4" w:rsidRDefault="00277AC4" w:rsidP="00277AC4">
      <w:pPr>
        <w:spacing w:after="0" w:line="264" w:lineRule="auto"/>
        <w:ind w:firstLine="709"/>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Z punktu widzenia statystycznego chociaż połączenie metody PSM z DID ma duże zalety przy braku spełnienia podstawowych założeń tych metod rozpatrywanych oddzielnie, to również niektórzy autorzy wskazują na jej wady. O’Neill i in. (2016) w swoich badaniach, wykorzystując dane medyczne za pomocą symulacji Monte Carlo, wykazali, że w sytuacji spełnienia warunku równoległości trendów dla wyników dla prób badanej i odniesienia w okresie poprzedzającym leczenie, najlepsze wyniki estymacji pozwala uzyskać metoda DID. Dopiero gdy pojawiły się problemy ze spełnieniem tego wymogu</w:t>
      </w:r>
      <w:r w:rsidR="0043259F">
        <w:rPr>
          <w:rFonts w:ascii="Times New Roman" w:eastAsia="Aptos" w:hAnsi="Times New Roman" w:cs="Times New Roman"/>
          <w:sz w:val="28"/>
          <w:szCs w:val="28"/>
        </w:rPr>
        <w:t>,</w:t>
      </w:r>
      <w:r w:rsidRPr="00277AC4">
        <w:rPr>
          <w:rFonts w:ascii="Times New Roman" w:eastAsia="Aptos" w:hAnsi="Times New Roman" w:cs="Times New Roman"/>
          <w:sz w:val="28"/>
          <w:szCs w:val="28"/>
        </w:rPr>
        <w:t xml:space="preserve"> estymatory uzyskane z wykorzystaniem alternatywnych podejść, w tym połączenie PSM i DID (metody dopasowania wielowymiarowego)</w:t>
      </w:r>
      <w:r w:rsidR="0043259F">
        <w:rPr>
          <w:rFonts w:ascii="Times New Roman" w:eastAsia="Aptos" w:hAnsi="Times New Roman" w:cs="Times New Roman"/>
          <w:sz w:val="28"/>
          <w:szCs w:val="28"/>
        </w:rPr>
        <w:t>,</w:t>
      </w:r>
      <w:r w:rsidRPr="00277AC4">
        <w:rPr>
          <w:rFonts w:ascii="Times New Roman" w:eastAsia="Aptos" w:hAnsi="Times New Roman" w:cs="Times New Roman"/>
          <w:sz w:val="28"/>
          <w:szCs w:val="28"/>
        </w:rPr>
        <w:t xml:space="preserve"> pozwalał</w:t>
      </w:r>
      <w:r w:rsidR="0043259F">
        <w:rPr>
          <w:rFonts w:ascii="Times New Roman" w:eastAsia="Aptos" w:hAnsi="Times New Roman" w:cs="Times New Roman"/>
          <w:sz w:val="28"/>
          <w:szCs w:val="28"/>
        </w:rPr>
        <w:t>y</w:t>
      </w:r>
      <w:r w:rsidRPr="00277AC4">
        <w:rPr>
          <w:rFonts w:ascii="Times New Roman" w:eastAsia="Aptos" w:hAnsi="Times New Roman" w:cs="Times New Roman"/>
          <w:sz w:val="28"/>
          <w:szCs w:val="28"/>
        </w:rPr>
        <w:t xml:space="preserve"> w większym stopniu na ograniczenie poziomu błędów estymacji. Potwierdzało to tym samym wyniki uzyskane przez Hirano i in. (2003) oraz</w:t>
      </w:r>
      <w:r w:rsidRPr="00277AC4">
        <w:rPr>
          <w:rFonts w:ascii="Aptos" w:eastAsia="Aptos" w:hAnsi="Aptos" w:cs="Times New Roman"/>
          <w:sz w:val="22"/>
          <w:szCs w:val="22"/>
        </w:rPr>
        <w:t xml:space="preserve"> </w:t>
      </w:r>
      <w:r w:rsidRPr="00277AC4">
        <w:rPr>
          <w:rFonts w:ascii="Times New Roman" w:eastAsia="Aptos" w:hAnsi="Times New Roman" w:cs="Times New Roman"/>
          <w:sz w:val="28"/>
          <w:szCs w:val="28"/>
        </w:rPr>
        <w:t>Chabé-Ferret (2015), którzy zwróci</w:t>
      </w:r>
      <w:r w:rsidR="0043259F">
        <w:rPr>
          <w:rFonts w:ascii="Times New Roman" w:eastAsia="Aptos" w:hAnsi="Times New Roman" w:cs="Times New Roman"/>
          <w:sz w:val="28"/>
          <w:szCs w:val="28"/>
        </w:rPr>
        <w:t>li</w:t>
      </w:r>
      <w:r w:rsidRPr="00277AC4">
        <w:rPr>
          <w:rFonts w:ascii="Times New Roman" w:eastAsia="Aptos" w:hAnsi="Times New Roman" w:cs="Times New Roman"/>
          <w:sz w:val="28"/>
          <w:szCs w:val="28"/>
        </w:rPr>
        <w:t xml:space="preserve"> uwagę nie tylko na efektywność estymatorów, ale również </w:t>
      </w:r>
      <w:r w:rsidR="0043259F">
        <w:rPr>
          <w:rFonts w:ascii="Times New Roman" w:eastAsia="Aptos" w:hAnsi="Times New Roman" w:cs="Times New Roman"/>
          <w:sz w:val="28"/>
          <w:szCs w:val="28"/>
        </w:rPr>
        <w:t xml:space="preserve">na </w:t>
      </w:r>
      <w:r w:rsidRPr="00277AC4">
        <w:rPr>
          <w:rFonts w:ascii="Times New Roman" w:eastAsia="Aptos" w:hAnsi="Times New Roman" w:cs="Times New Roman"/>
          <w:sz w:val="28"/>
          <w:szCs w:val="28"/>
        </w:rPr>
        <w:t xml:space="preserve">własności uzyskanych wyników. Wskazali oni, że zastosowanie dopasowania (matchingu) odgrywa istotna rolę w badaniu średnich efektów przyczynowych. </w:t>
      </w:r>
    </w:p>
    <w:p w14:paraId="38BA1F80" w14:textId="77777777" w:rsidR="00277AC4" w:rsidRPr="00277AC4" w:rsidRDefault="00277AC4" w:rsidP="00277AC4">
      <w:pPr>
        <w:spacing w:after="0" w:line="264" w:lineRule="auto"/>
        <w:jc w:val="both"/>
        <w:rPr>
          <w:rFonts w:ascii="Times New Roman" w:eastAsia="Aptos" w:hAnsi="Times New Roman" w:cs="Times New Roman"/>
          <w:sz w:val="28"/>
          <w:szCs w:val="28"/>
        </w:rPr>
      </w:pPr>
    </w:p>
    <w:p w14:paraId="0F82F79E" w14:textId="77777777" w:rsidR="000E5008" w:rsidRDefault="000E5008" w:rsidP="00277AC4">
      <w:pPr>
        <w:spacing w:line="259" w:lineRule="auto"/>
        <w:rPr>
          <w:rFonts w:ascii="Times New Roman" w:eastAsia="Aptos" w:hAnsi="Times New Roman" w:cs="Times New Roman"/>
          <w:sz w:val="28"/>
          <w:szCs w:val="28"/>
        </w:rPr>
      </w:pPr>
    </w:p>
    <w:p w14:paraId="575732E9" w14:textId="13BCB5A4" w:rsidR="00277AC4" w:rsidRPr="00277AC4" w:rsidRDefault="00277AC4" w:rsidP="00277AC4">
      <w:pPr>
        <w:spacing w:line="259" w:lineRule="auto"/>
        <w:rPr>
          <w:rFonts w:ascii="Times New Roman" w:eastAsia="Aptos" w:hAnsi="Times New Roman" w:cs="Times New Roman"/>
          <w:sz w:val="28"/>
          <w:szCs w:val="28"/>
        </w:rPr>
      </w:pPr>
      <w:r w:rsidRPr="00E226AA">
        <w:rPr>
          <w:rFonts w:ascii="Times New Roman" w:eastAsia="Aptos" w:hAnsi="Times New Roman" w:cs="Times New Roman"/>
          <w:b/>
          <w:bCs/>
          <w:sz w:val="28"/>
          <w:szCs w:val="28"/>
        </w:rPr>
        <w:lastRenderedPageBreak/>
        <w:t xml:space="preserve">Tabela </w:t>
      </w:r>
      <w:r w:rsidR="00D94E90">
        <w:rPr>
          <w:rFonts w:ascii="Times New Roman" w:eastAsia="Aptos" w:hAnsi="Times New Roman" w:cs="Times New Roman"/>
          <w:b/>
          <w:bCs/>
          <w:sz w:val="28"/>
          <w:szCs w:val="28"/>
        </w:rPr>
        <w:t>11</w:t>
      </w:r>
      <w:r w:rsidR="00674572" w:rsidRPr="00E226AA">
        <w:rPr>
          <w:rFonts w:ascii="Times New Roman" w:eastAsia="Aptos" w:hAnsi="Times New Roman" w:cs="Times New Roman"/>
          <w:b/>
          <w:bCs/>
          <w:sz w:val="28"/>
          <w:szCs w:val="28"/>
        </w:rPr>
        <w:t>.</w:t>
      </w:r>
      <w:r w:rsidRPr="00277AC4">
        <w:rPr>
          <w:rFonts w:ascii="Times New Roman" w:eastAsia="Aptos" w:hAnsi="Times New Roman" w:cs="Times New Roman"/>
          <w:sz w:val="28"/>
          <w:szCs w:val="28"/>
        </w:rPr>
        <w:t xml:space="preserve">  Zalety i wady metody PSM-DID</w:t>
      </w:r>
    </w:p>
    <w:tbl>
      <w:tblPr>
        <w:tblStyle w:val="Tabela-Siatka"/>
        <w:tblW w:w="0" w:type="auto"/>
        <w:tblLook w:val="04A0" w:firstRow="1" w:lastRow="0" w:firstColumn="1" w:lastColumn="0" w:noHBand="0" w:noVBand="1"/>
      </w:tblPr>
      <w:tblGrid>
        <w:gridCol w:w="4529"/>
        <w:gridCol w:w="4533"/>
      </w:tblGrid>
      <w:tr w:rsidR="00277AC4" w:rsidRPr="00277AC4" w14:paraId="37448A33" w14:textId="77777777" w:rsidTr="00277AC4">
        <w:tc>
          <w:tcPr>
            <w:tcW w:w="4606" w:type="dxa"/>
            <w:shd w:val="clear" w:color="auto" w:fill="F2F2F2"/>
          </w:tcPr>
          <w:p w14:paraId="47490470" w14:textId="77777777" w:rsidR="00277AC4" w:rsidRPr="00277AC4" w:rsidRDefault="00277AC4" w:rsidP="00277AC4">
            <w:pPr>
              <w:jc w:val="center"/>
              <w:rPr>
                <w:rFonts w:ascii="Times New Roman" w:eastAsia="Aptos" w:hAnsi="Times New Roman" w:cs="Times New Roman"/>
                <w:b/>
                <w:bCs/>
                <w:sz w:val="20"/>
                <w:szCs w:val="20"/>
              </w:rPr>
            </w:pPr>
            <w:r w:rsidRPr="00277AC4">
              <w:rPr>
                <w:rFonts w:ascii="Times New Roman" w:eastAsia="Aptos" w:hAnsi="Times New Roman" w:cs="Times New Roman"/>
                <w:b/>
                <w:bCs/>
                <w:sz w:val="20"/>
                <w:szCs w:val="20"/>
              </w:rPr>
              <w:t>Zalety</w:t>
            </w:r>
          </w:p>
        </w:tc>
        <w:tc>
          <w:tcPr>
            <w:tcW w:w="4606" w:type="dxa"/>
            <w:shd w:val="clear" w:color="auto" w:fill="F2F2F2"/>
          </w:tcPr>
          <w:p w14:paraId="573C16D3" w14:textId="77777777" w:rsidR="00277AC4" w:rsidRPr="00277AC4" w:rsidRDefault="00277AC4" w:rsidP="00277AC4">
            <w:pPr>
              <w:jc w:val="center"/>
              <w:rPr>
                <w:rFonts w:ascii="Times New Roman" w:eastAsia="Aptos" w:hAnsi="Times New Roman" w:cs="Times New Roman"/>
                <w:b/>
                <w:bCs/>
                <w:sz w:val="20"/>
                <w:szCs w:val="20"/>
              </w:rPr>
            </w:pPr>
            <w:r w:rsidRPr="00277AC4">
              <w:rPr>
                <w:rFonts w:ascii="Times New Roman" w:eastAsia="Aptos" w:hAnsi="Times New Roman" w:cs="Times New Roman"/>
                <w:b/>
                <w:bCs/>
                <w:sz w:val="20"/>
                <w:szCs w:val="20"/>
              </w:rPr>
              <w:t>Wady</w:t>
            </w:r>
          </w:p>
        </w:tc>
      </w:tr>
      <w:tr w:rsidR="00277AC4" w:rsidRPr="00277AC4" w14:paraId="09D6CD37" w14:textId="77777777" w:rsidTr="00E80DDA">
        <w:tc>
          <w:tcPr>
            <w:tcW w:w="4606" w:type="dxa"/>
          </w:tcPr>
          <w:p w14:paraId="5B768F6E" w14:textId="77777777" w:rsidR="00277AC4" w:rsidRPr="00277AC4" w:rsidRDefault="00277AC4" w:rsidP="00277AC4">
            <w:pPr>
              <w:numPr>
                <w:ilvl w:val="0"/>
                <w:numId w:val="56"/>
              </w:numPr>
              <w:contextualSpacing/>
              <w:jc w:val="both"/>
              <w:rPr>
                <w:rFonts w:ascii="Times New Roman" w:eastAsia="Aptos" w:hAnsi="Times New Roman" w:cs="Times New Roman"/>
                <w:sz w:val="20"/>
                <w:szCs w:val="20"/>
              </w:rPr>
            </w:pPr>
            <w:r w:rsidRPr="00277AC4">
              <w:rPr>
                <w:rFonts w:ascii="Times New Roman" w:eastAsia="Aptos" w:hAnsi="Times New Roman" w:cs="Times New Roman"/>
                <w:sz w:val="20"/>
                <w:szCs w:val="20"/>
              </w:rPr>
              <w:t xml:space="preserve">Lepsza kontrola  błędu selekcji, ang. </w:t>
            </w:r>
            <w:r w:rsidRPr="00277AC4">
              <w:rPr>
                <w:rFonts w:ascii="Times New Roman" w:eastAsia="Aptos" w:hAnsi="Times New Roman" w:cs="Times New Roman"/>
                <w:i/>
                <w:iCs/>
                <w:sz w:val="20"/>
                <w:szCs w:val="20"/>
              </w:rPr>
              <w:t>selection bias</w:t>
            </w:r>
            <w:r w:rsidRPr="00277AC4">
              <w:rPr>
                <w:rFonts w:ascii="Times New Roman" w:eastAsia="Aptos" w:hAnsi="Times New Roman" w:cs="Times New Roman"/>
                <w:sz w:val="20"/>
                <w:szCs w:val="20"/>
              </w:rPr>
              <w:t xml:space="preserve"> (dla obiektów obserwowalnych), ponieważ jednostki, które otrzymały wsparcie, są porównywane z bardzo podobnymi innymi jednostkami, które go nie otrzymały.</w:t>
            </w:r>
          </w:p>
          <w:p w14:paraId="6E69650C" w14:textId="77777777" w:rsidR="00277AC4" w:rsidRPr="00277AC4" w:rsidRDefault="00277AC4" w:rsidP="00277AC4">
            <w:pPr>
              <w:numPr>
                <w:ilvl w:val="0"/>
                <w:numId w:val="56"/>
              </w:numPr>
              <w:contextualSpacing/>
              <w:jc w:val="both"/>
              <w:rPr>
                <w:rFonts w:ascii="Times New Roman" w:eastAsia="Aptos" w:hAnsi="Times New Roman" w:cs="Times New Roman"/>
                <w:sz w:val="20"/>
                <w:szCs w:val="20"/>
              </w:rPr>
            </w:pPr>
            <w:r w:rsidRPr="00277AC4">
              <w:rPr>
                <w:rFonts w:ascii="Times New Roman" w:eastAsia="Aptos" w:hAnsi="Times New Roman" w:cs="Times New Roman"/>
                <w:sz w:val="20"/>
                <w:szCs w:val="20"/>
              </w:rPr>
              <w:t>Umożliwia znacznie lepszą kontrolę  błędu selekcji, ponieważ nieobserwowane nierówności między jednostkami, które otrzymały wsparcie, a tymi, które go nie otrzymały (które zakłada się, że są stałe w czasie), są różnicowane.</w:t>
            </w:r>
          </w:p>
        </w:tc>
        <w:tc>
          <w:tcPr>
            <w:tcW w:w="4606" w:type="dxa"/>
          </w:tcPr>
          <w:p w14:paraId="5C566163" w14:textId="77777777" w:rsidR="00277AC4" w:rsidRPr="00277AC4" w:rsidRDefault="00277AC4" w:rsidP="00277AC4">
            <w:pPr>
              <w:numPr>
                <w:ilvl w:val="0"/>
                <w:numId w:val="56"/>
              </w:numPr>
              <w:contextualSpacing/>
              <w:jc w:val="both"/>
              <w:rPr>
                <w:rFonts w:ascii="Times New Roman" w:eastAsia="Aptos" w:hAnsi="Times New Roman" w:cs="Times New Roman"/>
                <w:sz w:val="20"/>
                <w:szCs w:val="20"/>
              </w:rPr>
            </w:pPr>
            <w:r w:rsidRPr="00277AC4">
              <w:rPr>
                <w:rFonts w:ascii="Times New Roman" w:eastAsia="Aptos" w:hAnsi="Times New Roman" w:cs="Times New Roman"/>
                <w:sz w:val="20"/>
                <w:szCs w:val="20"/>
              </w:rPr>
              <w:t>PSM-DID może nie generować wiarygodnych wyników, jeśli ważne obserwowalne cechy wyjaśniające różnice między uczestnikami programu a dopasowanymi osobami nieuczestniczącymi nie są uwzględnione w modelu i jeśli wpływ elementów nieobserwowalnych nie jest stały w czasie.</w:t>
            </w:r>
          </w:p>
          <w:p w14:paraId="78E2FFAF" w14:textId="77777777" w:rsidR="00277AC4" w:rsidRPr="00277AC4" w:rsidRDefault="00277AC4" w:rsidP="00277AC4">
            <w:pPr>
              <w:numPr>
                <w:ilvl w:val="0"/>
                <w:numId w:val="56"/>
              </w:numPr>
              <w:contextualSpacing/>
              <w:jc w:val="both"/>
              <w:rPr>
                <w:rFonts w:ascii="Times New Roman" w:eastAsia="Aptos" w:hAnsi="Times New Roman" w:cs="Times New Roman"/>
                <w:sz w:val="20"/>
                <w:szCs w:val="20"/>
              </w:rPr>
            </w:pPr>
            <w:r w:rsidRPr="00277AC4">
              <w:rPr>
                <w:rFonts w:ascii="Times New Roman" w:eastAsia="Aptos" w:hAnsi="Times New Roman" w:cs="Times New Roman"/>
                <w:sz w:val="20"/>
                <w:szCs w:val="20"/>
              </w:rPr>
              <w:t>Ograniczona  możliwość sformułowania wniosków uogólnionych na populacje badawczą, jeśli obserwacje uczestników i osób nieuczestniczących nie są wystarczająco duże i zróżnicowane.</w:t>
            </w:r>
          </w:p>
          <w:p w14:paraId="3777CBEB" w14:textId="77777777" w:rsidR="00277AC4" w:rsidRPr="00277AC4" w:rsidRDefault="00277AC4" w:rsidP="00277AC4">
            <w:pPr>
              <w:numPr>
                <w:ilvl w:val="0"/>
                <w:numId w:val="56"/>
              </w:numPr>
              <w:contextualSpacing/>
              <w:jc w:val="both"/>
              <w:rPr>
                <w:rFonts w:ascii="Times New Roman" w:eastAsia="Aptos" w:hAnsi="Times New Roman" w:cs="Times New Roman"/>
                <w:sz w:val="20"/>
                <w:szCs w:val="20"/>
              </w:rPr>
            </w:pPr>
            <w:r w:rsidRPr="00277AC4">
              <w:rPr>
                <w:rFonts w:ascii="Times New Roman" w:eastAsia="Aptos" w:hAnsi="Times New Roman" w:cs="Times New Roman"/>
                <w:sz w:val="20"/>
                <w:szCs w:val="20"/>
              </w:rPr>
              <w:t>Zmniejszony wynik wiążący (</w:t>
            </w:r>
            <w:r w:rsidRPr="00277AC4">
              <w:rPr>
                <w:rFonts w:ascii="Times New Roman" w:eastAsia="Aptos" w:hAnsi="Times New Roman" w:cs="Times New Roman"/>
                <w:i/>
                <w:iCs/>
                <w:sz w:val="20"/>
                <w:szCs w:val="20"/>
              </w:rPr>
              <w:t>validity</w:t>
            </w:r>
            <w:r w:rsidRPr="00277AC4">
              <w:rPr>
                <w:rFonts w:ascii="Times New Roman" w:eastAsia="Aptos" w:hAnsi="Times New Roman" w:cs="Times New Roman"/>
                <w:sz w:val="20"/>
                <w:szCs w:val="20"/>
              </w:rPr>
              <w:t>)  w przypadku wzrostu liczby niedopasowanych jednostek.</w:t>
            </w:r>
          </w:p>
        </w:tc>
      </w:tr>
    </w:tbl>
    <w:p w14:paraId="108B7E77" w14:textId="77777777" w:rsidR="00277AC4" w:rsidRPr="00E226AA" w:rsidRDefault="00277AC4" w:rsidP="00277AC4">
      <w:pPr>
        <w:spacing w:line="259" w:lineRule="auto"/>
        <w:jc w:val="both"/>
        <w:rPr>
          <w:rFonts w:ascii="Times New Roman" w:eastAsia="Aptos" w:hAnsi="Times New Roman" w:cs="Times New Roman"/>
          <w:i/>
          <w:iCs/>
        </w:rPr>
      </w:pPr>
      <w:r w:rsidRPr="00E226AA">
        <w:rPr>
          <w:rFonts w:ascii="Times New Roman" w:eastAsia="Aptos" w:hAnsi="Times New Roman" w:cs="Times New Roman"/>
          <w:i/>
          <w:iCs/>
        </w:rPr>
        <w:t>Źródło: EU CAP Network (2024).</w:t>
      </w:r>
    </w:p>
    <w:p w14:paraId="527F59A5" w14:textId="77777777" w:rsidR="00277AC4" w:rsidRPr="00277AC4" w:rsidRDefault="00277AC4" w:rsidP="00277AC4">
      <w:pPr>
        <w:spacing w:after="0" w:line="264" w:lineRule="auto"/>
        <w:ind w:firstLine="709"/>
        <w:jc w:val="both"/>
        <w:rPr>
          <w:rFonts w:ascii="Times New Roman" w:eastAsia="Aptos" w:hAnsi="Times New Roman" w:cs="Times New Roman"/>
          <w:sz w:val="28"/>
          <w:szCs w:val="28"/>
        </w:rPr>
      </w:pPr>
    </w:p>
    <w:p w14:paraId="7A9EF48A" w14:textId="77777777" w:rsidR="00277AC4" w:rsidRPr="00277AC4" w:rsidRDefault="00277AC4" w:rsidP="0043259F">
      <w:pPr>
        <w:spacing w:line="259" w:lineRule="auto"/>
        <w:ind w:firstLine="709"/>
        <w:jc w:val="both"/>
        <w:rPr>
          <w:rFonts w:ascii="Times New Roman" w:eastAsia="Aptos" w:hAnsi="Times New Roman" w:cs="Times New Roman"/>
          <w:b/>
          <w:bCs/>
          <w:sz w:val="28"/>
          <w:szCs w:val="28"/>
        </w:rPr>
      </w:pPr>
      <w:r w:rsidRPr="00277AC4">
        <w:rPr>
          <w:rFonts w:ascii="Times New Roman" w:eastAsia="Aptos" w:hAnsi="Times New Roman" w:cs="Times New Roman"/>
          <w:sz w:val="28"/>
          <w:szCs w:val="28"/>
        </w:rPr>
        <w:t>Poniżej przedstawiono etapy  implementacji podejścia PSM-DID (por. Caliendo i Kopeinig, 2008; EU CAP Network 2024):</w:t>
      </w:r>
    </w:p>
    <w:p w14:paraId="3F185E06" w14:textId="77777777" w:rsidR="00277AC4" w:rsidRPr="00277AC4" w:rsidRDefault="00277AC4" w:rsidP="00277AC4">
      <w:pPr>
        <w:spacing w:line="259" w:lineRule="auto"/>
        <w:jc w:val="both"/>
        <w:rPr>
          <w:rFonts w:ascii="Times New Roman" w:eastAsia="Aptos" w:hAnsi="Times New Roman" w:cs="Times New Roman"/>
          <w:sz w:val="28"/>
          <w:szCs w:val="28"/>
          <w:u w:val="single"/>
        </w:rPr>
      </w:pPr>
      <w:r w:rsidRPr="00277AC4">
        <w:rPr>
          <w:rFonts w:ascii="Times New Roman" w:eastAsia="Aptos" w:hAnsi="Times New Roman" w:cs="Times New Roman"/>
          <w:sz w:val="28"/>
          <w:szCs w:val="28"/>
          <w:u w:val="single"/>
        </w:rPr>
        <w:t>Etap 1: Przygotowanie danych do analiz.</w:t>
      </w:r>
    </w:p>
    <w:p w14:paraId="24DBEAD1" w14:textId="77777777" w:rsidR="00277AC4" w:rsidRPr="00277AC4" w:rsidRDefault="00277AC4" w:rsidP="00E14A78">
      <w:pPr>
        <w:numPr>
          <w:ilvl w:val="0"/>
          <w:numId w:val="58"/>
        </w:numPr>
        <w:spacing w:line="259" w:lineRule="auto"/>
        <w:ind w:left="284" w:hanging="284"/>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Identyfikacja grup: badanej oraz potencjalnej kontrolnej.</w:t>
      </w:r>
    </w:p>
    <w:p w14:paraId="23CC1737" w14:textId="77777777" w:rsidR="00277AC4" w:rsidRPr="00277AC4" w:rsidRDefault="00277AC4" w:rsidP="00E14A78">
      <w:pPr>
        <w:numPr>
          <w:ilvl w:val="0"/>
          <w:numId w:val="58"/>
        </w:numPr>
        <w:spacing w:line="259" w:lineRule="auto"/>
        <w:ind w:left="284" w:hanging="284"/>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Wykluczenie niekwalifikujących się jednostek.</w:t>
      </w:r>
    </w:p>
    <w:p w14:paraId="67A350CD" w14:textId="77777777" w:rsidR="00277AC4" w:rsidRPr="00277AC4" w:rsidRDefault="00277AC4" w:rsidP="00E14A78">
      <w:pPr>
        <w:numPr>
          <w:ilvl w:val="0"/>
          <w:numId w:val="58"/>
        </w:numPr>
        <w:spacing w:line="259" w:lineRule="auto"/>
        <w:ind w:left="284" w:hanging="284"/>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Zbieranie danych.</w:t>
      </w:r>
    </w:p>
    <w:p w14:paraId="7F5FAEAC" w14:textId="77777777" w:rsidR="00277AC4" w:rsidRPr="00277AC4" w:rsidRDefault="00277AC4" w:rsidP="00277AC4">
      <w:pPr>
        <w:spacing w:line="259" w:lineRule="auto"/>
        <w:jc w:val="both"/>
        <w:rPr>
          <w:rFonts w:ascii="Times New Roman" w:eastAsia="Aptos" w:hAnsi="Times New Roman" w:cs="Times New Roman"/>
          <w:sz w:val="28"/>
          <w:szCs w:val="28"/>
          <w:u w:val="single"/>
        </w:rPr>
      </w:pPr>
      <w:r w:rsidRPr="00277AC4">
        <w:rPr>
          <w:rFonts w:ascii="Times New Roman" w:eastAsia="Aptos" w:hAnsi="Times New Roman" w:cs="Times New Roman"/>
          <w:sz w:val="28"/>
          <w:szCs w:val="28"/>
          <w:u w:val="single"/>
        </w:rPr>
        <w:t>Etap 2: Analiza PSM</w:t>
      </w:r>
    </w:p>
    <w:p w14:paraId="14BCF366" w14:textId="77777777" w:rsidR="00277AC4" w:rsidRPr="00277AC4" w:rsidRDefault="00277AC4" w:rsidP="00E14A78">
      <w:pPr>
        <w:numPr>
          <w:ilvl w:val="0"/>
          <w:numId w:val="58"/>
        </w:numPr>
        <w:spacing w:line="259" w:lineRule="auto"/>
        <w:ind w:left="284" w:hanging="284"/>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Przeprowadzenie dopasowania PSM.</w:t>
      </w:r>
    </w:p>
    <w:p w14:paraId="2FD24DB9" w14:textId="77777777" w:rsidR="00277AC4" w:rsidRPr="00277AC4" w:rsidRDefault="00277AC4" w:rsidP="00E14A78">
      <w:pPr>
        <w:numPr>
          <w:ilvl w:val="0"/>
          <w:numId w:val="58"/>
        </w:numPr>
        <w:spacing w:line="259" w:lineRule="auto"/>
        <w:ind w:left="284" w:hanging="284"/>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Utworzenie grupy kontrolnej.</w:t>
      </w:r>
    </w:p>
    <w:p w14:paraId="31FC787E" w14:textId="718FF672" w:rsidR="00277AC4" w:rsidRPr="00277AC4" w:rsidRDefault="00277AC4" w:rsidP="00E14A78">
      <w:pPr>
        <w:numPr>
          <w:ilvl w:val="0"/>
          <w:numId w:val="58"/>
        </w:numPr>
        <w:spacing w:line="259" w:lineRule="auto"/>
        <w:ind w:left="284" w:hanging="284"/>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Sprawdzenie podobieństwa grup.</w:t>
      </w:r>
    </w:p>
    <w:p w14:paraId="3DA73BC9" w14:textId="77777777" w:rsidR="00277AC4" w:rsidRPr="00277AC4" w:rsidRDefault="00277AC4" w:rsidP="00277AC4">
      <w:pPr>
        <w:spacing w:line="259" w:lineRule="auto"/>
        <w:jc w:val="both"/>
        <w:rPr>
          <w:rFonts w:ascii="Times New Roman" w:eastAsia="Aptos" w:hAnsi="Times New Roman" w:cs="Times New Roman"/>
          <w:sz w:val="28"/>
          <w:szCs w:val="28"/>
          <w:u w:val="single"/>
        </w:rPr>
      </w:pPr>
      <w:r w:rsidRPr="00277AC4">
        <w:rPr>
          <w:rFonts w:ascii="Times New Roman" w:eastAsia="Aptos" w:hAnsi="Times New Roman" w:cs="Times New Roman"/>
          <w:sz w:val="28"/>
          <w:szCs w:val="28"/>
          <w:u w:val="single"/>
        </w:rPr>
        <w:t>Etap 3: Analiza DID</w:t>
      </w:r>
    </w:p>
    <w:p w14:paraId="53AD68D5" w14:textId="77777777" w:rsidR="00277AC4" w:rsidRPr="00277AC4" w:rsidRDefault="00277AC4" w:rsidP="0043259F">
      <w:pPr>
        <w:numPr>
          <w:ilvl w:val="0"/>
          <w:numId w:val="58"/>
        </w:numPr>
        <w:spacing w:line="259" w:lineRule="auto"/>
        <w:ind w:left="284" w:hanging="284"/>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Obliczenie wartości średnich dla grupy beneficjentów i grupy kontrolnej przed udzieleniem wsparcia i w momencie przeprowadzenia oceny.</w:t>
      </w:r>
    </w:p>
    <w:p w14:paraId="3E9B92EA" w14:textId="77777777" w:rsidR="00277AC4" w:rsidRPr="00277AC4" w:rsidRDefault="00277AC4" w:rsidP="0043259F">
      <w:pPr>
        <w:numPr>
          <w:ilvl w:val="0"/>
          <w:numId w:val="58"/>
        </w:numPr>
        <w:spacing w:line="259" w:lineRule="auto"/>
        <w:ind w:left="284" w:hanging="284"/>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Obliczenie różnicy  w średniej wartości wskaźnika (wskaźników) wyniku dla grupy beneficjentów przed udzieleniem wsparcia i w momencie przeprowadzenia oceny (tzw. pierwsza różnica).</w:t>
      </w:r>
    </w:p>
    <w:p w14:paraId="715FE52F" w14:textId="77777777" w:rsidR="00277AC4" w:rsidRPr="00277AC4" w:rsidRDefault="00277AC4" w:rsidP="0043259F">
      <w:pPr>
        <w:numPr>
          <w:ilvl w:val="0"/>
          <w:numId w:val="58"/>
        </w:numPr>
        <w:spacing w:line="259" w:lineRule="auto"/>
        <w:ind w:left="284" w:hanging="284"/>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Obliczenie różnicy w średniej wartości wskaźnika (wskaźników) wyniku dla grupy niebeneficjentów przed udzieleniem wsparcia i w momencie przeprowadzenia oceny (tzw. druga różnica).</w:t>
      </w:r>
    </w:p>
    <w:p w14:paraId="06E83589" w14:textId="77777777" w:rsidR="00277AC4" w:rsidRPr="00277AC4" w:rsidRDefault="00277AC4" w:rsidP="0043259F">
      <w:pPr>
        <w:numPr>
          <w:ilvl w:val="0"/>
          <w:numId w:val="58"/>
        </w:numPr>
        <w:spacing w:line="259" w:lineRule="auto"/>
        <w:ind w:left="284" w:hanging="284"/>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Obliczenie efektu netto, np. interwencji WPR - jako wyniku odejmowania drugiej od pierwszej różnicy.</w:t>
      </w:r>
    </w:p>
    <w:p w14:paraId="155A8D2F" w14:textId="77777777" w:rsidR="00277AC4" w:rsidRPr="00277AC4" w:rsidRDefault="00277AC4" w:rsidP="00277AC4">
      <w:pPr>
        <w:spacing w:line="259" w:lineRule="auto"/>
        <w:jc w:val="both"/>
        <w:rPr>
          <w:rFonts w:ascii="Times New Roman" w:eastAsia="Aptos" w:hAnsi="Times New Roman" w:cs="Times New Roman"/>
          <w:sz w:val="28"/>
          <w:szCs w:val="28"/>
          <w:u w:val="single"/>
        </w:rPr>
      </w:pPr>
      <w:r w:rsidRPr="00277AC4">
        <w:rPr>
          <w:rFonts w:ascii="Times New Roman" w:eastAsia="Aptos" w:hAnsi="Times New Roman" w:cs="Times New Roman"/>
          <w:sz w:val="28"/>
          <w:szCs w:val="28"/>
          <w:u w:val="single"/>
        </w:rPr>
        <w:t>Etap 4: Weryfikacja i agregacja</w:t>
      </w:r>
    </w:p>
    <w:p w14:paraId="4DE6F155" w14:textId="77777777" w:rsidR="00277AC4" w:rsidRPr="00277AC4" w:rsidRDefault="00277AC4" w:rsidP="0043259F">
      <w:pPr>
        <w:numPr>
          <w:ilvl w:val="0"/>
          <w:numId w:val="58"/>
        </w:numPr>
        <w:spacing w:line="259" w:lineRule="auto"/>
        <w:ind w:left="284" w:hanging="284"/>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Analiza wrażliwości w celu oceny możliwego wpływu zmiennych nieobserwowalnych na uzyskane wyniki.</w:t>
      </w:r>
    </w:p>
    <w:p w14:paraId="2FC518A1" w14:textId="77777777" w:rsidR="00277AC4" w:rsidRPr="00277AC4" w:rsidRDefault="00277AC4" w:rsidP="0043259F">
      <w:pPr>
        <w:numPr>
          <w:ilvl w:val="0"/>
          <w:numId w:val="58"/>
        </w:numPr>
        <w:spacing w:line="259" w:lineRule="auto"/>
        <w:ind w:left="284" w:hanging="284"/>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lastRenderedPageBreak/>
        <w:t>Agregacja wyników i ich prezentacja.</w:t>
      </w:r>
    </w:p>
    <w:p w14:paraId="374EAEA8" w14:textId="77777777" w:rsidR="00277AC4" w:rsidRPr="00277AC4" w:rsidRDefault="00277AC4" w:rsidP="00277AC4">
      <w:pPr>
        <w:spacing w:line="259" w:lineRule="auto"/>
        <w:jc w:val="both"/>
        <w:rPr>
          <w:rFonts w:ascii="Times New Roman" w:eastAsia="Aptos" w:hAnsi="Times New Roman" w:cs="Times New Roman"/>
          <w:b/>
          <w:bCs/>
          <w:sz w:val="28"/>
          <w:szCs w:val="28"/>
        </w:rPr>
      </w:pPr>
    </w:p>
    <w:p w14:paraId="608F3886" w14:textId="77777777" w:rsidR="00277AC4" w:rsidRPr="00277AC4" w:rsidRDefault="00277AC4" w:rsidP="00277AC4">
      <w:pPr>
        <w:numPr>
          <w:ilvl w:val="1"/>
          <w:numId w:val="57"/>
        </w:numPr>
        <w:spacing w:line="259" w:lineRule="auto"/>
        <w:contextualSpacing/>
        <w:jc w:val="both"/>
        <w:rPr>
          <w:rFonts w:ascii="Times New Roman" w:eastAsia="Aptos" w:hAnsi="Times New Roman" w:cs="Times New Roman"/>
          <w:b/>
          <w:bCs/>
          <w:sz w:val="28"/>
          <w:szCs w:val="28"/>
        </w:rPr>
      </w:pPr>
      <w:r w:rsidRPr="00277AC4">
        <w:rPr>
          <w:rFonts w:ascii="Times New Roman" w:eastAsia="Aptos" w:hAnsi="Times New Roman" w:cs="Times New Roman"/>
          <w:b/>
          <w:bCs/>
          <w:sz w:val="28"/>
          <w:szCs w:val="28"/>
        </w:rPr>
        <w:t>Przykłady użycia PSM-DiD  w  badaniach dotyczących ubezpieczeń rolnych</w:t>
      </w:r>
    </w:p>
    <w:p w14:paraId="52FD1220" w14:textId="77777777" w:rsidR="00503D61" w:rsidRDefault="00503D61" w:rsidP="00327ABD">
      <w:pPr>
        <w:spacing w:after="0" w:line="240" w:lineRule="auto"/>
        <w:ind w:firstLine="709"/>
        <w:jc w:val="both"/>
        <w:rPr>
          <w:rFonts w:ascii="Times New Roman" w:eastAsia="Aptos" w:hAnsi="Times New Roman" w:cs="Times New Roman"/>
          <w:sz w:val="28"/>
          <w:szCs w:val="28"/>
        </w:rPr>
      </w:pPr>
    </w:p>
    <w:p w14:paraId="7178502F" w14:textId="29F21E95" w:rsidR="00277AC4" w:rsidRPr="00277AC4" w:rsidRDefault="00277AC4" w:rsidP="00277AC4">
      <w:pPr>
        <w:spacing w:line="259" w:lineRule="auto"/>
        <w:ind w:firstLine="709"/>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Analiza bibliometryczna wskazuje na rosnącą liczbę opracowań empirycznych, w których zintegrowane podejście PSM-DiD  stanowi jedno z  kluczowych, wręcz rekomendowanych narzędzi oceny polityk publicznych. Pewne zastosowani</w:t>
      </w:r>
      <w:r w:rsidR="003D5F2D">
        <w:rPr>
          <w:rFonts w:ascii="Times New Roman" w:eastAsia="Aptos" w:hAnsi="Times New Roman" w:cs="Times New Roman"/>
          <w:sz w:val="28"/>
          <w:szCs w:val="28"/>
        </w:rPr>
        <w:t>a</w:t>
      </w:r>
      <w:r w:rsidRPr="00277AC4">
        <w:rPr>
          <w:rFonts w:ascii="Times New Roman" w:eastAsia="Aptos" w:hAnsi="Times New Roman" w:cs="Times New Roman"/>
          <w:sz w:val="28"/>
          <w:szCs w:val="28"/>
        </w:rPr>
        <w:t xml:space="preserve"> można znaleźć w badaniach z zakresu ekonomiki rolnictwa. Większość studiów empirycznych dotyczy rolnictwa spoza UE, w krajach rozwijających się, m.in. Zhao i in. (2016), a także  Rhao i Zhang (2020). Wyjątkiem  jest  opracowanie empiryczne Enjlorasa i Auberta (2015),  analizujące rolnictwo francuskie (przedstawione już w rozdziale nt. PSM).</w:t>
      </w:r>
    </w:p>
    <w:p w14:paraId="2FA8FD4E" w14:textId="1D23B93D" w:rsidR="00277AC4" w:rsidRPr="00277AC4" w:rsidRDefault="00277AC4" w:rsidP="00277AC4">
      <w:pPr>
        <w:spacing w:line="259" w:lineRule="auto"/>
        <w:ind w:firstLine="709"/>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 xml:space="preserve">Artykuł autorstwa  zespołu Zhao in. (2016) dotyczył oceny empirycznej oddziaływania ubezpieczeń upraw na dochody rolników w regionie Mongolii Wewnętrznej w Chinach.  Badacze wykorzystali dane ankietowe od rolników z tego regionu i zastosowali typowe metody ekonometryczne, takie  jak PSM, DID, a także zintegrowane podejście PSM-DID. Głównym celem badania była ocena efektywności programu ubezpieczeń upraw. Wyniki analizy empirycznej wskazują, że ubezpieczenia </w:t>
      </w:r>
      <w:r w:rsidR="008200F1">
        <w:rPr>
          <w:rFonts w:ascii="Times New Roman" w:eastAsia="Aptos" w:hAnsi="Times New Roman" w:cs="Times New Roman"/>
          <w:sz w:val="28"/>
          <w:szCs w:val="28"/>
        </w:rPr>
        <w:t>te</w:t>
      </w:r>
      <w:r w:rsidRPr="00277AC4">
        <w:rPr>
          <w:rFonts w:ascii="Times New Roman" w:eastAsia="Aptos" w:hAnsi="Times New Roman" w:cs="Times New Roman"/>
          <w:sz w:val="28"/>
          <w:szCs w:val="28"/>
        </w:rPr>
        <w:t xml:space="preserve"> nie mają znaczącego wpływu na dochody rolników w ramach obecnej polityki rolnej. Autorzy wskazują na ograniczenie badania wynikające z analizy danych z tylko jednego regionu geograficznego, co może utrudniać generalizację wyników na inne obszary Chin. </w:t>
      </w:r>
    </w:p>
    <w:p w14:paraId="010A7846" w14:textId="77777777" w:rsidR="00277AC4" w:rsidRPr="00277AC4" w:rsidRDefault="00277AC4" w:rsidP="00277AC4">
      <w:pPr>
        <w:spacing w:line="259" w:lineRule="auto"/>
        <w:ind w:firstLine="709"/>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Artykuł Rhao i Zhanga (2020) odnosił się do ewaluacyjnego problemu oceny oddziaływania  rządowego programu ubezpieczeń na decyzje produkcyjne rolników – producentów trzody chlewnej w Chinach. Autorzy przeprowadzili dwuletni eksperyment terenowy w czterech jednostkach terytorialnych, aby ocenić wpływ programu ubezpieczeń dotowanego przez rząd na decyzje rolników i ich wyniki produkcyjne. W celu kontroli błędu selekcji  zastosowano procedurę PSM-DID. Główne wnioski z badań Rhao i Zhanga były następujące:</w:t>
      </w:r>
    </w:p>
    <w:p w14:paraId="09B4CE3B" w14:textId="77777777" w:rsidR="00277AC4" w:rsidRPr="00277AC4" w:rsidRDefault="00277AC4" w:rsidP="00E14A78">
      <w:pPr>
        <w:numPr>
          <w:ilvl w:val="0"/>
          <w:numId w:val="59"/>
        </w:numPr>
        <w:spacing w:line="259" w:lineRule="auto"/>
        <w:ind w:left="567" w:hanging="567"/>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 xml:space="preserve">Badanie dostarcza dowodów empirycznych na to, że program ubezpieczeń doprowadził do wzrostu wskaźników śmiertelności trzody chlewnej, co sugeruje występowanie zjawiska hazardu moralnego. Rolnicy, „czując wewnętrznie”, że zabezpieczyli stado trzody, nabywając polisy, mogli podejmować ryzykowne działania lub zaniedbywać  dobrostan zwierząt gospodarskich. </w:t>
      </w:r>
    </w:p>
    <w:p w14:paraId="785854C5" w14:textId="7E8621E9" w:rsidR="00277AC4" w:rsidRPr="00277AC4" w:rsidRDefault="00277AC4" w:rsidP="00E14A78">
      <w:pPr>
        <w:numPr>
          <w:ilvl w:val="0"/>
          <w:numId w:val="59"/>
        </w:numPr>
        <w:spacing w:line="259" w:lineRule="auto"/>
        <w:ind w:left="567" w:hanging="567"/>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 xml:space="preserve">Brak wpływu publicznych programów dotowanych ubezpieczeń na pogłowie trzody chlewnej; w przeciwieństwie do wcześniejszych badań, </w:t>
      </w:r>
      <w:r w:rsidRPr="00277AC4">
        <w:rPr>
          <w:rFonts w:ascii="Times New Roman" w:eastAsia="Aptos" w:hAnsi="Times New Roman" w:cs="Times New Roman"/>
          <w:sz w:val="28"/>
          <w:szCs w:val="28"/>
        </w:rPr>
        <w:lastRenderedPageBreak/>
        <w:t>analizowany program ubezpieczeń nie wpłynął na poziom pogłowia trzody chlewnej. Oznacza to, że rolnicy nie zwiększali produkcji, co może wskazywać na inne czynniki ograniczające, takie jak dostępność pasz lub infrastruktury.</w:t>
      </w:r>
    </w:p>
    <w:p w14:paraId="6FB8FCC4" w14:textId="7ACFF628" w:rsidR="00277AC4" w:rsidRPr="00277AC4" w:rsidRDefault="00277AC4" w:rsidP="00E14A78">
      <w:pPr>
        <w:numPr>
          <w:ilvl w:val="0"/>
          <w:numId w:val="59"/>
        </w:numPr>
        <w:spacing w:line="259" w:lineRule="auto"/>
        <w:ind w:left="567" w:hanging="567"/>
        <w:contextualSpacing/>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Wzrost zgłaszalności chorób zwierząt; ubezpieczenie zwiększył</w:t>
      </w:r>
      <w:r w:rsidR="008200F1">
        <w:rPr>
          <w:rFonts w:ascii="Times New Roman" w:eastAsia="Aptos" w:hAnsi="Times New Roman" w:cs="Times New Roman"/>
          <w:sz w:val="28"/>
          <w:szCs w:val="28"/>
        </w:rPr>
        <w:t>o</w:t>
      </w:r>
      <w:r w:rsidRPr="00277AC4">
        <w:rPr>
          <w:rFonts w:ascii="Times New Roman" w:eastAsia="Aptos" w:hAnsi="Times New Roman" w:cs="Times New Roman"/>
          <w:sz w:val="28"/>
          <w:szCs w:val="28"/>
        </w:rPr>
        <w:t xml:space="preserve"> skłonność rolników do zgłaszania chorób zwierząt  jednostkom administracji. To  niewątpliwie pozytywny efekt programu, który może ułatwić rządowe działania mające na celu zapobieganie i monitorowanie epidemii chorób zwierząt. </w:t>
      </w:r>
    </w:p>
    <w:p w14:paraId="26C5E2B7" w14:textId="77777777" w:rsidR="00277AC4" w:rsidRPr="00277AC4" w:rsidRDefault="00277AC4" w:rsidP="00277AC4">
      <w:pPr>
        <w:spacing w:line="259" w:lineRule="auto"/>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Badanie empiryczne Rhao i Zhanga (2020) wnosi istotny wkład w zrozumienie wpływu programów ubezpieczeń na decyzje produkcyjne rolników w  rozwijających się gospodarkach rolnych. Wyniki sugerują, że programy ubezpieczeniowe mogą prowadzić do hazardu moralnego, ale jednocześnie mogą przyczynić się do poprawy systemu monitorowania i kontroli chorób zwierząt gospodarskich. Autorzy podkreślają potrzebę dalszych badań nad projektowaniem programów ubezpieczeniowych, aby zminimalizować ryzyko hazardu moralnego i zwiększyć jego  pozytywne efekty.</w:t>
      </w:r>
    </w:p>
    <w:p w14:paraId="10975588" w14:textId="5995F76D" w:rsidR="00277AC4" w:rsidRPr="00277AC4" w:rsidRDefault="00277AC4" w:rsidP="00277AC4">
      <w:pPr>
        <w:spacing w:line="259" w:lineRule="auto"/>
        <w:ind w:firstLine="709"/>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 xml:space="preserve">W tabeli </w:t>
      </w:r>
      <w:r w:rsidR="002E35B7">
        <w:rPr>
          <w:rFonts w:ascii="Times New Roman" w:eastAsia="Aptos" w:hAnsi="Times New Roman" w:cs="Times New Roman"/>
          <w:sz w:val="28"/>
          <w:szCs w:val="28"/>
        </w:rPr>
        <w:t>1</w:t>
      </w:r>
      <w:r w:rsidRPr="00277AC4">
        <w:rPr>
          <w:rFonts w:ascii="Times New Roman" w:eastAsia="Aptos" w:hAnsi="Times New Roman" w:cs="Times New Roman"/>
          <w:sz w:val="28"/>
          <w:szCs w:val="28"/>
        </w:rPr>
        <w:t xml:space="preserve">2 zestawiono wyniki estymacji modelu PSM-DID  z badań francuskich,  autorstwa Enjolrasa i Aubert (2020), którzy  próbowali odpowiedzieć na pytanie,  w jaki sposób stosowanie ubezpieczeń upraw (o czym wskazuje  zapłacona składka polisy ubezpieczeniowej) wpływa na stosowanie pestycydów, przy czym obie decyzje mają istotne znaczenie dla zarządzania ryzykiem w skali gospodarstwa. Badacze, korzystając z danych pochodzących z sieci francuskiego FADN, skupili się na gospodarstwach polowych i wyspecjalizowanych w uprawie winorośli „wysokiej jakości”. </w:t>
      </w:r>
    </w:p>
    <w:p w14:paraId="18B90E16" w14:textId="7FDD352B" w:rsidR="00277AC4" w:rsidRPr="00277AC4" w:rsidRDefault="00277AC4" w:rsidP="00277AC4">
      <w:pPr>
        <w:spacing w:after="0" w:line="259" w:lineRule="auto"/>
        <w:ind w:firstLine="709"/>
        <w:jc w:val="both"/>
        <w:rPr>
          <w:rFonts w:ascii="Times New Roman" w:eastAsia="Aptos" w:hAnsi="Times New Roman" w:cs="Times New Roman"/>
          <w:sz w:val="28"/>
          <w:szCs w:val="28"/>
        </w:rPr>
      </w:pPr>
      <w:r w:rsidRPr="00277AC4">
        <w:rPr>
          <w:rFonts w:ascii="Times New Roman" w:eastAsia="Aptos" w:hAnsi="Times New Roman" w:cs="Times New Roman"/>
          <w:sz w:val="28"/>
          <w:szCs w:val="28"/>
        </w:rPr>
        <w:t>Zaletą modelu PSM-DID jest to, że uwzględnia on fakt, że grupy badane  i kontrolne charakteryzują się pewnymi indywidualnymi i strukturalnymi cechami.  Niezależnie od specjalizacji gospodarstwa, zaobserwowano wspólny trend, którym jest stabilizacja intensywności stosowania pestycydów. Obie  grupy wykazały w 2008 i 2012 roku taką samą intensywność stosowania pestycydów, niezależnie od tego, czy należ</w:t>
      </w:r>
      <w:r w:rsidR="008200F1">
        <w:rPr>
          <w:rFonts w:ascii="Times New Roman" w:eastAsia="Aptos" w:hAnsi="Times New Roman" w:cs="Times New Roman"/>
          <w:sz w:val="28"/>
          <w:szCs w:val="28"/>
        </w:rPr>
        <w:t>ały</w:t>
      </w:r>
      <w:r w:rsidRPr="00277AC4">
        <w:rPr>
          <w:rFonts w:ascii="Times New Roman" w:eastAsia="Aptos" w:hAnsi="Times New Roman" w:cs="Times New Roman"/>
          <w:sz w:val="28"/>
          <w:szCs w:val="28"/>
        </w:rPr>
        <w:t xml:space="preserve"> do grupy badanej czy kontrolnej (parametr </w:t>
      </w:r>
      <w:r w:rsidRPr="00277AC4">
        <w:rPr>
          <w:rFonts w:ascii="Times New Roman" w:eastAsia="Aptos" w:hAnsi="Times New Roman" w:cs="Times New Roman"/>
          <w:i/>
          <w:iCs/>
          <w:sz w:val="28"/>
          <w:szCs w:val="28"/>
        </w:rPr>
        <w:t>α</w:t>
      </w:r>
      <w:r w:rsidRPr="00277AC4">
        <w:rPr>
          <w:rFonts w:ascii="Times New Roman" w:eastAsia="Aptos" w:hAnsi="Times New Roman" w:cs="Times New Roman"/>
          <w:sz w:val="28"/>
          <w:szCs w:val="28"/>
        </w:rPr>
        <w:t xml:space="preserve"> nie jest istotny, co jest zgodne ze statystykami opisowymi). Wynik ten jest ważny zarówno dla standardowej metody DID, jak i PSM-DID, co potwierdza znaczenie (</w:t>
      </w:r>
      <w:r w:rsidRPr="00277AC4">
        <w:rPr>
          <w:rFonts w:ascii="Times New Roman" w:eastAsia="Aptos" w:hAnsi="Times New Roman" w:cs="Times New Roman"/>
          <w:i/>
          <w:iCs/>
          <w:sz w:val="28"/>
          <w:szCs w:val="28"/>
        </w:rPr>
        <w:t>soundness</w:t>
      </w:r>
      <w:r w:rsidRPr="00277AC4">
        <w:rPr>
          <w:rFonts w:ascii="Times New Roman" w:eastAsia="Aptos" w:hAnsi="Times New Roman" w:cs="Times New Roman"/>
          <w:sz w:val="28"/>
          <w:szCs w:val="28"/>
        </w:rPr>
        <w:t xml:space="preserve">) tego rezultatu.  Wyniki podkreślają zmniejszenie udziału powierzchni przeznaczonej na główną specjalizację (uprawy polowe lub uprawa winorośli wysokiej jakości). Rolnicy z ubezpieczonych gospodarstw dywersyfikowali swoje strategie produkcyjne, wprowadzając zmiany w  zarządzaniu powierzchnią areału upraw; rolnicy „polowi” stabilizowali całkowitą powierzchnię gospodarstwa, podczas gdy producenci winorośli ją zwiększają. Szczegółowe wyniki pokazują, że  kierujący gospodarstwami polowymi zmniejszali powierzchnię upraw </w:t>
      </w:r>
      <w:r w:rsidRPr="00277AC4">
        <w:rPr>
          <w:rFonts w:ascii="Times New Roman" w:eastAsia="Aptos" w:hAnsi="Times New Roman" w:cs="Times New Roman"/>
          <w:sz w:val="28"/>
          <w:szCs w:val="28"/>
        </w:rPr>
        <w:lastRenderedPageBreak/>
        <w:t xml:space="preserve">kukurydzy i słonecznika, podczas gdy  areał ugorowany wzrastał. W przypadku gospodarstw specjalizujących się w uprawie winorośli „wysokiej jakości” zmniejszenie powierzchni przeznaczonej pod </w:t>
      </w:r>
      <w:r w:rsidR="008200F1">
        <w:rPr>
          <w:rFonts w:ascii="Times New Roman" w:eastAsia="Aptos" w:hAnsi="Times New Roman" w:cs="Times New Roman"/>
          <w:sz w:val="28"/>
          <w:szCs w:val="28"/>
        </w:rPr>
        <w:t>nią</w:t>
      </w:r>
      <w:r w:rsidRPr="00277AC4">
        <w:rPr>
          <w:rFonts w:ascii="Times New Roman" w:eastAsia="Aptos" w:hAnsi="Times New Roman" w:cs="Times New Roman"/>
          <w:sz w:val="28"/>
          <w:szCs w:val="28"/>
        </w:rPr>
        <w:t xml:space="preserve"> jest równoważone przez wzrost areału gruntów zarówno nawadnianych, jak i ugorowanych. </w:t>
      </w:r>
    </w:p>
    <w:p w14:paraId="0E5E2701" w14:textId="77777777" w:rsidR="00277AC4" w:rsidRPr="00277AC4" w:rsidRDefault="00277AC4" w:rsidP="00277AC4">
      <w:pPr>
        <w:spacing w:after="0" w:line="259" w:lineRule="auto"/>
        <w:jc w:val="both"/>
        <w:rPr>
          <w:rFonts w:ascii="Times New Roman" w:eastAsia="Aptos" w:hAnsi="Times New Roman" w:cs="Times New Roman"/>
        </w:rPr>
      </w:pPr>
    </w:p>
    <w:p w14:paraId="4D0B1001" w14:textId="6941F9A5" w:rsidR="00277AC4" w:rsidRPr="00277AC4" w:rsidRDefault="00277AC4" w:rsidP="00277AC4">
      <w:pPr>
        <w:spacing w:after="0" w:line="259" w:lineRule="auto"/>
        <w:jc w:val="both"/>
        <w:rPr>
          <w:rFonts w:ascii="Times New Roman" w:eastAsia="Aptos" w:hAnsi="Times New Roman" w:cs="Times New Roman"/>
        </w:rPr>
      </w:pPr>
      <w:bookmarkStart w:id="43" w:name="_Hlk182822894"/>
      <w:r w:rsidRPr="00E226AA">
        <w:rPr>
          <w:rFonts w:ascii="Times New Roman" w:eastAsia="Aptos" w:hAnsi="Times New Roman" w:cs="Times New Roman"/>
          <w:b/>
          <w:bCs/>
        </w:rPr>
        <w:t xml:space="preserve">Tabela </w:t>
      </w:r>
      <w:r w:rsidR="002E35B7">
        <w:rPr>
          <w:rFonts w:ascii="Times New Roman" w:eastAsia="Aptos" w:hAnsi="Times New Roman" w:cs="Times New Roman"/>
          <w:b/>
          <w:bCs/>
        </w:rPr>
        <w:t>1</w:t>
      </w:r>
      <w:r w:rsidRPr="00E226AA">
        <w:rPr>
          <w:rFonts w:ascii="Times New Roman" w:eastAsia="Aptos" w:hAnsi="Times New Roman" w:cs="Times New Roman"/>
          <w:b/>
          <w:bCs/>
        </w:rPr>
        <w:t>2.</w:t>
      </w:r>
      <w:r w:rsidRPr="00277AC4">
        <w:rPr>
          <w:rFonts w:ascii="Times New Roman" w:eastAsia="Aptos" w:hAnsi="Times New Roman" w:cs="Times New Roman"/>
        </w:rPr>
        <w:t xml:space="preserve"> Wyniki estymacji modelu PSM-DID z badań Enjolrasa i Aubert</w:t>
      </w:r>
    </w:p>
    <w:tbl>
      <w:tblPr>
        <w:tblStyle w:val="Tabela-Siatka"/>
        <w:tblpPr w:leftFromText="142" w:rightFromText="142" w:vertAnchor="text" w:horzAnchor="page" w:tblpXSpec="center" w:tblpY="1"/>
        <w:tblW w:w="4999" w:type="pct"/>
        <w:tblLook w:val="04A0" w:firstRow="1" w:lastRow="0" w:firstColumn="1" w:lastColumn="0" w:noHBand="0" w:noVBand="1"/>
      </w:tblPr>
      <w:tblGrid>
        <w:gridCol w:w="3553"/>
        <w:gridCol w:w="783"/>
        <w:gridCol w:w="1120"/>
        <w:gridCol w:w="1364"/>
        <w:gridCol w:w="1011"/>
        <w:gridCol w:w="1229"/>
      </w:tblGrid>
      <w:tr w:rsidR="00277AC4" w:rsidRPr="00277AC4" w14:paraId="6FCBFA02" w14:textId="77777777" w:rsidTr="00277AC4">
        <w:tc>
          <w:tcPr>
            <w:tcW w:w="2393" w:type="pct"/>
            <w:gridSpan w:val="2"/>
            <w:vMerge w:val="restart"/>
            <w:shd w:val="clear" w:color="auto" w:fill="F2F2F2"/>
            <w:vAlign w:val="center"/>
          </w:tcPr>
          <w:p w14:paraId="3C71CA82" w14:textId="77777777" w:rsidR="00277AC4" w:rsidRPr="00277AC4" w:rsidRDefault="00277AC4" w:rsidP="00277AC4">
            <w:pPr>
              <w:jc w:val="center"/>
              <w:rPr>
                <w:rFonts w:ascii="Times New Roman" w:eastAsia="Aptos" w:hAnsi="Times New Roman" w:cs="Times New Roman"/>
                <w:b/>
                <w:bCs/>
                <w:sz w:val="16"/>
                <w:szCs w:val="16"/>
              </w:rPr>
            </w:pPr>
            <w:r w:rsidRPr="00277AC4">
              <w:rPr>
                <w:rFonts w:ascii="Times New Roman" w:eastAsia="Aptos" w:hAnsi="Times New Roman" w:cs="Times New Roman"/>
                <w:b/>
                <w:bCs/>
                <w:sz w:val="16"/>
                <w:szCs w:val="16"/>
              </w:rPr>
              <w:t>Wyszczególnienie</w:t>
            </w:r>
          </w:p>
        </w:tc>
        <w:tc>
          <w:tcPr>
            <w:tcW w:w="2607" w:type="pct"/>
            <w:gridSpan w:val="4"/>
            <w:shd w:val="clear" w:color="auto" w:fill="F2F2F2"/>
            <w:vAlign w:val="center"/>
          </w:tcPr>
          <w:p w14:paraId="7472B663" w14:textId="77777777" w:rsidR="00277AC4" w:rsidRPr="00277AC4" w:rsidRDefault="00277AC4" w:rsidP="00277AC4">
            <w:pPr>
              <w:jc w:val="center"/>
              <w:rPr>
                <w:rFonts w:ascii="Times New Roman" w:eastAsia="Aptos" w:hAnsi="Times New Roman" w:cs="Times New Roman"/>
                <w:b/>
                <w:bCs/>
                <w:sz w:val="16"/>
                <w:szCs w:val="16"/>
              </w:rPr>
            </w:pPr>
            <w:r w:rsidRPr="00277AC4">
              <w:rPr>
                <w:rFonts w:ascii="Times New Roman" w:eastAsia="Aptos" w:hAnsi="Times New Roman" w:cs="Times New Roman"/>
                <w:b/>
                <w:bCs/>
                <w:sz w:val="16"/>
                <w:szCs w:val="16"/>
              </w:rPr>
              <w:t>Typ produkcyjny</w:t>
            </w:r>
          </w:p>
        </w:tc>
      </w:tr>
      <w:tr w:rsidR="00277AC4" w:rsidRPr="00277AC4" w14:paraId="0E8B2B8D" w14:textId="77777777" w:rsidTr="00277AC4">
        <w:tc>
          <w:tcPr>
            <w:tcW w:w="2393" w:type="pct"/>
            <w:gridSpan w:val="2"/>
            <w:vMerge/>
            <w:shd w:val="clear" w:color="auto" w:fill="F2F2F2"/>
            <w:vAlign w:val="center"/>
          </w:tcPr>
          <w:p w14:paraId="7F431D47" w14:textId="77777777" w:rsidR="00277AC4" w:rsidRPr="00277AC4" w:rsidRDefault="00277AC4" w:rsidP="00277AC4">
            <w:pPr>
              <w:jc w:val="center"/>
              <w:rPr>
                <w:rFonts w:ascii="Times New Roman" w:eastAsia="Aptos" w:hAnsi="Times New Roman" w:cs="Times New Roman"/>
                <w:b/>
                <w:bCs/>
                <w:sz w:val="16"/>
                <w:szCs w:val="16"/>
              </w:rPr>
            </w:pPr>
          </w:p>
        </w:tc>
        <w:tc>
          <w:tcPr>
            <w:tcW w:w="1371" w:type="pct"/>
            <w:gridSpan w:val="2"/>
            <w:shd w:val="clear" w:color="auto" w:fill="F2F2F2"/>
            <w:vAlign w:val="center"/>
          </w:tcPr>
          <w:p w14:paraId="4CC7250D" w14:textId="77777777" w:rsidR="00277AC4" w:rsidRPr="00277AC4" w:rsidRDefault="00277AC4" w:rsidP="00277AC4">
            <w:pPr>
              <w:jc w:val="center"/>
              <w:rPr>
                <w:rFonts w:ascii="Times New Roman" w:eastAsia="Aptos" w:hAnsi="Times New Roman" w:cs="Times New Roman"/>
                <w:b/>
                <w:bCs/>
                <w:sz w:val="16"/>
                <w:szCs w:val="16"/>
              </w:rPr>
            </w:pPr>
            <w:r w:rsidRPr="00277AC4">
              <w:rPr>
                <w:rFonts w:ascii="Times New Roman" w:eastAsia="Aptos" w:hAnsi="Times New Roman" w:cs="Times New Roman"/>
                <w:b/>
                <w:bCs/>
                <w:sz w:val="16"/>
                <w:szCs w:val="16"/>
              </w:rPr>
              <w:t>Uprawy polowe</w:t>
            </w:r>
          </w:p>
        </w:tc>
        <w:tc>
          <w:tcPr>
            <w:tcW w:w="1236" w:type="pct"/>
            <w:gridSpan w:val="2"/>
            <w:shd w:val="clear" w:color="auto" w:fill="F2F2F2"/>
            <w:vAlign w:val="center"/>
          </w:tcPr>
          <w:p w14:paraId="0EE55218" w14:textId="77777777" w:rsidR="00277AC4" w:rsidRPr="00277AC4" w:rsidRDefault="00277AC4" w:rsidP="00277AC4">
            <w:pPr>
              <w:jc w:val="center"/>
              <w:rPr>
                <w:rFonts w:ascii="Times New Roman" w:eastAsia="Aptos" w:hAnsi="Times New Roman" w:cs="Times New Roman"/>
                <w:b/>
                <w:bCs/>
                <w:sz w:val="16"/>
                <w:szCs w:val="16"/>
              </w:rPr>
            </w:pPr>
            <w:r w:rsidRPr="00277AC4">
              <w:rPr>
                <w:rFonts w:ascii="Times New Roman" w:eastAsia="Aptos" w:hAnsi="Times New Roman" w:cs="Times New Roman"/>
                <w:b/>
                <w:bCs/>
                <w:sz w:val="16"/>
                <w:szCs w:val="16"/>
              </w:rPr>
              <w:t>Uprawy winorośli „wysokiej jakości”</w:t>
            </w:r>
          </w:p>
        </w:tc>
      </w:tr>
      <w:tr w:rsidR="00277AC4" w:rsidRPr="00277AC4" w14:paraId="7F84BF25" w14:textId="77777777" w:rsidTr="00277AC4">
        <w:tc>
          <w:tcPr>
            <w:tcW w:w="2393" w:type="pct"/>
            <w:gridSpan w:val="2"/>
            <w:vMerge/>
            <w:shd w:val="clear" w:color="auto" w:fill="F2F2F2"/>
            <w:vAlign w:val="center"/>
            <w:hideMark/>
          </w:tcPr>
          <w:p w14:paraId="0C1288FB" w14:textId="77777777" w:rsidR="00277AC4" w:rsidRPr="00277AC4" w:rsidRDefault="00277AC4" w:rsidP="00277AC4">
            <w:pPr>
              <w:jc w:val="center"/>
              <w:rPr>
                <w:rFonts w:ascii="Times New Roman" w:eastAsia="Aptos" w:hAnsi="Times New Roman" w:cs="Times New Roman"/>
                <w:b/>
                <w:bCs/>
                <w:sz w:val="16"/>
                <w:szCs w:val="16"/>
              </w:rPr>
            </w:pPr>
          </w:p>
        </w:tc>
        <w:tc>
          <w:tcPr>
            <w:tcW w:w="618" w:type="pct"/>
            <w:shd w:val="clear" w:color="auto" w:fill="F2F2F2"/>
            <w:vAlign w:val="center"/>
            <w:hideMark/>
          </w:tcPr>
          <w:p w14:paraId="3E1DC6F9" w14:textId="77777777" w:rsidR="00277AC4" w:rsidRPr="00277AC4" w:rsidRDefault="00277AC4" w:rsidP="00277AC4">
            <w:pPr>
              <w:jc w:val="center"/>
              <w:rPr>
                <w:rFonts w:ascii="Times New Roman" w:eastAsia="Aptos" w:hAnsi="Times New Roman" w:cs="Times New Roman"/>
                <w:b/>
                <w:bCs/>
                <w:sz w:val="16"/>
                <w:szCs w:val="16"/>
              </w:rPr>
            </w:pPr>
            <w:r w:rsidRPr="00277AC4">
              <w:rPr>
                <w:rFonts w:ascii="Times New Roman" w:eastAsia="Aptos" w:hAnsi="Times New Roman" w:cs="Times New Roman"/>
                <w:b/>
                <w:bCs/>
                <w:sz w:val="16"/>
                <w:szCs w:val="16"/>
              </w:rPr>
              <w:t>DID</w:t>
            </w:r>
          </w:p>
        </w:tc>
        <w:tc>
          <w:tcPr>
            <w:tcW w:w="753" w:type="pct"/>
            <w:shd w:val="clear" w:color="auto" w:fill="F2F2F2"/>
            <w:vAlign w:val="center"/>
            <w:hideMark/>
          </w:tcPr>
          <w:p w14:paraId="1767045E" w14:textId="77777777" w:rsidR="00277AC4" w:rsidRPr="00277AC4" w:rsidRDefault="00277AC4" w:rsidP="00277AC4">
            <w:pPr>
              <w:jc w:val="center"/>
              <w:rPr>
                <w:rFonts w:ascii="Times New Roman" w:eastAsia="Aptos" w:hAnsi="Times New Roman" w:cs="Times New Roman"/>
                <w:b/>
                <w:bCs/>
                <w:sz w:val="16"/>
                <w:szCs w:val="16"/>
              </w:rPr>
            </w:pPr>
            <w:r w:rsidRPr="00277AC4">
              <w:rPr>
                <w:rFonts w:ascii="Times New Roman" w:eastAsia="Aptos" w:hAnsi="Times New Roman" w:cs="Times New Roman"/>
                <w:b/>
                <w:bCs/>
                <w:sz w:val="16"/>
                <w:szCs w:val="16"/>
              </w:rPr>
              <w:t>PSM-DID</w:t>
            </w:r>
          </w:p>
        </w:tc>
        <w:tc>
          <w:tcPr>
            <w:tcW w:w="558" w:type="pct"/>
            <w:shd w:val="clear" w:color="auto" w:fill="F2F2F2"/>
            <w:vAlign w:val="center"/>
            <w:hideMark/>
          </w:tcPr>
          <w:p w14:paraId="661F4FAE" w14:textId="77777777" w:rsidR="00277AC4" w:rsidRPr="00277AC4" w:rsidRDefault="00277AC4" w:rsidP="00277AC4">
            <w:pPr>
              <w:jc w:val="center"/>
              <w:rPr>
                <w:rFonts w:ascii="Times New Roman" w:eastAsia="Aptos" w:hAnsi="Times New Roman" w:cs="Times New Roman"/>
                <w:b/>
                <w:bCs/>
                <w:sz w:val="16"/>
                <w:szCs w:val="16"/>
              </w:rPr>
            </w:pPr>
            <w:r w:rsidRPr="00277AC4">
              <w:rPr>
                <w:rFonts w:ascii="Times New Roman" w:eastAsia="Aptos" w:hAnsi="Times New Roman" w:cs="Times New Roman"/>
                <w:b/>
                <w:bCs/>
                <w:sz w:val="16"/>
                <w:szCs w:val="16"/>
              </w:rPr>
              <w:t>DID</w:t>
            </w:r>
          </w:p>
        </w:tc>
        <w:tc>
          <w:tcPr>
            <w:tcW w:w="678" w:type="pct"/>
            <w:shd w:val="clear" w:color="auto" w:fill="F2F2F2"/>
            <w:vAlign w:val="center"/>
            <w:hideMark/>
          </w:tcPr>
          <w:p w14:paraId="5A40B5A1" w14:textId="77777777" w:rsidR="00277AC4" w:rsidRPr="00277AC4" w:rsidRDefault="00277AC4" w:rsidP="00277AC4">
            <w:pPr>
              <w:jc w:val="center"/>
              <w:rPr>
                <w:rFonts w:ascii="Times New Roman" w:eastAsia="Aptos" w:hAnsi="Times New Roman" w:cs="Times New Roman"/>
                <w:b/>
                <w:bCs/>
                <w:sz w:val="16"/>
                <w:szCs w:val="16"/>
              </w:rPr>
            </w:pPr>
            <w:r w:rsidRPr="00277AC4">
              <w:rPr>
                <w:rFonts w:ascii="Times New Roman" w:eastAsia="Aptos" w:hAnsi="Times New Roman" w:cs="Times New Roman"/>
                <w:b/>
                <w:bCs/>
                <w:sz w:val="16"/>
                <w:szCs w:val="16"/>
              </w:rPr>
              <w:t>PSM-DID</w:t>
            </w:r>
          </w:p>
        </w:tc>
      </w:tr>
      <w:tr w:rsidR="00277AC4" w:rsidRPr="00277AC4" w14:paraId="20282D5C" w14:textId="77777777" w:rsidTr="00E80DDA">
        <w:tc>
          <w:tcPr>
            <w:tcW w:w="1961" w:type="pct"/>
            <w:vMerge w:val="restart"/>
            <w:hideMark/>
          </w:tcPr>
          <w:p w14:paraId="22A5F098"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Intensywność wykorzystania pestycydów (wydatki na nie, euro/ha)</w:t>
            </w:r>
          </w:p>
        </w:tc>
        <w:tc>
          <w:tcPr>
            <w:tcW w:w="432" w:type="pct"/>
            <w:hideMark/>
          </w:tcPr>
          <w:p w14:paraId="530BBE53"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04915E75"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− 0,003</w:t>
            </w:r>
          </w:p>
        </w:tc>
        <w:tc>
          <w:tcPr>
            <w:tcW w:w="753" w:type="pct"/>
            <w:hideMark/>
          </w:tcPr>
          <w:p w14:paraId="57E15BFC"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− 0,002</w:t>
            </w:r>
          </w:p>
        </w:tc>
        <w:tc>
          <w:tcPr>
            <w:tcW w:w="558" w:type="pct"/>
            <w:hideMark/>
          </w:tcPr>
          <w:p w14:paraId="7B92B63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0,003</w:t>
            </w:r>
          </w:p>
        </w:tc>
        <w:tc>
          <w:tcPr>
            <w:tcW w:w="678" w:type="pct"/>
            <w:hideMark/>
          </w:tcPr>
          <w:p w14:paraId="4664B2B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0,003</w:t>
            </w:r>
          </w:p>
        </w:tc>
      </w:tr>
      <w:tr w:rsidR="00277AC4" w:rsidRPr="00277AC4" w14:paraId="7D21984A" w14:textId="77777777" w:rsidTr="00E80DDA">
        <w:tc>
          <w:tcPr>
            <w:tcW w:w="1961" w:type="pct"/>
            <w:vMerge/>
            <w:hideMark/>
          </w:tcPr>
          <w:p w14:paraId="4060DBF8"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5EE37FC0"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58A8CD9A"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0,013</w:t>
            </w:r>
          </w:p>
        </w:tc>
        <w:tc>
          <w:tcPr>
            <w:tcW w:w="753" w:type="pct"/>
            <w:hideMark/>
          </w:tcPr>
          <w:p w14:paraId="5EE47984"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0,010</w:t>
            </w:r>
          </w:p>
        </w:tc>
        <w:tc>
          <w:tcPr>
            <w:tcW w:w="558" w:type="pct"/>
            <w:hideMark/>
          </w:tcPr>
          <w:p w14:paraId="7E169E5B"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− 0,007</w:t>
            </w:r>
          </w:p>
        </w:tc>
        <w:tc>
          <w:tcPr>
            <w:tcW w:w="678" w:type="pct"/>
            <w:hideMark/>
          </w:tcPr>
          <w:p w14:paraId="44C60E5B"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-0,003</w:t>
            </w:r>
          </w:p>
        </w:tc>
      </w:tr>
      <w:tr w:rsidR="00277AC4" w:rsidRPr="00277AC4" w14:paraId="76D3FD07" w14:textId="77777777" w:rsidTr="00E80DDA">
        <w:tc>
          <w:tcPr>
            <w:tcW w:w="1961" w:type="pct"/>
            <w:vMerge/>
            <w:hideMark/>
          </w:tcPr>
          <w:p w14:paraId="0CDC49EB"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7A0C79BC"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4BA7186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0,017</w:t>
            </w:r>
          </w:p>
        </w:tc>
        <w:tc>
          <w:tcPr>
            <w:tcW w:w="753" w:type="pct"/>
            <w:hideMark/>
          </w:tcPr>
          <w:p w14:paraId="64612CF8"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0,013</w:t>
            </w:r>
          </w:p>
        </w:tc>
        <w:tc>
          <w:tcPr>
            <w:tcW w:w="558" w:type="pct"/>
            <w:hideMark/>
          </w:tcPr>
          <w:p w14:paraId="7F070D5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− 0,010</w:t>
            </w:r>
          </w:p>
        </w:tc>
        <w:tc>
          <w:tcPr>
            <w:tcW w:w="678" w:type="pct"/>
            <w:hideMark/>
          </w:tcPr>
          <w:p w14:paraId="4C97CE5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− 0,006</w:t>
            </w:r>
          </w:p>
        </w:tc>
      </w:tr>
      <w:tr w:rsidR="00277AC4" w:rsidRPr="00277AC4" w14:paraId="6BA122A1" w14:textId="77777777" w:rsidTr="00E80DDA">
        <w:tc>
          <w:tcPr>
            <w:tcW w:w="1961" w:type="pct"/>
            <w:vMerge w:val="restart"/>
            <w:hideMark/>
          </w:tcPr>
          <w:p w14:paraId="3D9EE76F"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Powierzchnia uprawna [ha]</w:t>
            </w:r>
          </w:p>
          <w:p w14:paraId="14216AC3"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610981B8"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44C2699A"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7,828</w:t>
            </w:r>
          </w:p>
        </w:tc>
        <w:tc>
          <w:tcPr>
            <w:tcW w:w="753" w:type="pct"/>
            <w:hideMark/>
          </w:tcPr>
          <w:p w14:paraId="715A192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5,791</w:t>
            </w:r>
          </w:p>
        </w:tc>
        <w:tc>
          <w:tcPr>
            <w:tcW w:w="558" w:type="pct"/>
            <w:hideMark/>
          </w:tcPr>
          <w:p w14:paraId="2883CFB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2,190</w:t>
            </w:r>
          </w:p>
        </w:tc>
        <w:tc>
          <w:tcPr>
            <w:tcW w:w="678" w:type="pct"/>
            <w:hideMark/>
          </w:tcPr>
          <w:p w14:paraId="63C3DA78"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1,771</w:t>
            </w:r>
          </w:p>
        </w:tc>
      </w:tr>
      <w:tr w:rsidR="00277AC4" w:rsidRPr="00277AC4" w14:paraId="15918082" w14:textId="77777777" w:rsidTr="00E80DDA">
        <w:tc>
          <w:tcPr>
            <w:tcW w:w="1961" w:type="pct"/>
            <w:vMerge/>
            <w:hideMark/>
          </w:tcPr>
          <w:p w14:paraId="1FBA700E"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4E697C69"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3FD6B23E"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18,119</w:t>
            </w:r>
          </w:p>
        </w:tc>
        <w:tc>
          <w:tcPr>
            <w:tcW w:w="753" w:type="pct"/>
            <w:hideMark/>
          </w:tcPr>
          <w:p w14:paraId="2A80D628"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7,620</w:t>
            </w:r>
          </w:p>
        </w:tc>
        <w:tc>
          <w:tcPr>
            <w:tcW w:w="558" w:type="pct"/>
            <w:hideMark/>
          </w:tcPr>
          <w:p w14:paraId="2BA48A0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7,518*</w:t>
            </w:r>
          </w:p>
        </w:tc>
        <w:tc>
          <w:tcPr>
            <w:tcW w:w="678" w:type="pct"/>
            <w:hideMark/>
          </w:tcPr>
          <w:p w14:paraId="624F4185"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9,068***</w:t>
            </w:r>
          </w:p>
        </w:tc>
      </w:tr>
      <w:tr w:rsidR="00277AC4" w:rsidRPr="00277AC4" w14:paraId="7E6E5E9E" w14:textId="77777777" w:rsidTr="00E80DDA">
        <w:tc>
          <w:tcPr>
            <w:tcW w:w="1961" w:type="pct"/>
            <w:vMerge/>
            <w:hideMark/>
          </w:tcPr>
          <w:p w14:paraId="09FBB201"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17E87B60"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4CD1CF64"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10,291</w:t>
            </w:r>
          </w:p>
        </w:tc>
        <w:tc>
          <w:tcPr>
            <w:tcW w:w="753" w:type="pct"/>
            <w:hideMark/>
          </w:tcPr>
          <w:p w14:paraId="280E0E0A"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1,829</w:t>
            </w:r>
          </w:p>
        </w:tc>
        <w:tc>
          <w:tcPr>
            <w:tcW w:w="558" w:type="pct"/>
            <w:hideMark/>
          </w:tcPr>
          <w:p w14:paraId="3E3D5FE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5,328</w:t>
            </w:r>
          </w:p>
        </w:tc>
        <w:tc>
          <w:tcPr>
            <w:tcW w:w="678" w:type="pct"/>
            <w:hideMark/>
          </w:tcPr>
          <w:p w14:paraId="5394618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7,296**</w:t>
            </w:r>
          </w:p>
        </w:tc>
      </w:tr>
      <w:tr w:rsidR="00277AC4" w:rsidRPr="00277AC4" w14:paraId="464E2F30" w14:textId="77777777" w:rsidTr="00E80DDA">
        <w:tc>
          <w:tcPr>
            <w:tcW w:w="1961" w:type="pct"/>
            <w:vMerge w:val="restart"/>
            <w:hideMark/>
          </w:tcPr>
          <w:p w14:paraId="6B30C6C9"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Areał upraw roślinnych [ha]</w:t>
            </w:r>
          </w:p>
        </w:tc>
        <w:tc>
          <w:tcPr>
            <w:tcW w:w="432" w:type="pct"/>
            <w:hideMark/>
          </w:tcPr>
          <w:p w14:paraId="494702BB"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4440A78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6,637</w:t>
            </w:r>
          </w:p>
        </w:tc>
        <w:tc>
          <w:tcPr>
            <w:tcW w:w="753" w:type="pct"/>
            <w:hideMark/>
          </w:tcPr>
          <w:p w14:paraId="7F68FACD"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4,005</w:t>
            </w:r>
          </w:p>
        </w:tc>
        <w:tc>
          <w:tcPr>
            <w:tcW w:w="558" w:type="pct"/>
            <w:hideMark/>
          </w:tcPr>
          <w:p w14:paraId="796A933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0,708</w:t>
            </w:r>
          </w:p>
        </w:tc>
        <w:tc>
          <w:tcPr>
            <w:tcW w:w="678" w:type="pct"/>
            <w:hideMark/>
          </w:tcPr>
          <w:p w14:paraId="089E91DB"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5,000</w:t>
            </w:r>
          </w:p>
        </w:tc>
      </w:tr>
      <w:tr w:rsidR="00277AC4" w:rsidRPr="00277AC4" w14:paraId="7F3DCDF4" w14:textId="77777777" w:rsidTr="00E80DDA">
        <w:tc>
          <w:tcPr>
            <w:tcW w:w="1961" w:type="pct"/>
            <w:vMerge/>
            <w:hideMark/>
          </w:tcPr>
          <w:p w14:paraId="407519DB"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676DC318"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78E25611"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9,975</w:t>
            </w:r>
          </w:p>
        </w:tc>
        <w:tc>
          <w:tcPr>
            <w:tcW w:w="753" w:type="pct"/>
            <w:hideMark/>
          </w:tcPr>
          <w:p w14:paraId="1E0CCF0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− 0,755</w:t>
            </w:r>
          </w:p>
        </w:tc>
        <w:tc>
          <w:tcPr>
            <w:tcW w:w="558" w:type="pct"/>
            <w:hideMark/>
          </w:tcPr>
          <w:p w14:paraId="6C6EF4F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− 0,186</w:t>
            </w:r>
          </w:p>
        </w:tc>
        <w:tc>
          <w:tcPr>
            <w:tcW w:w="678" w:type="pct"/>
            <w:hideMark/>
          </w:tcPr>
          <w:p w14:paraId="77B8951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0,000</w:t>
            </w:r>
          </w:p>
        </w:tc>
      </w:tr>
      <w:tr w:rsidR="00277AC4" w:rsidRPr="00277AC4" w14:paraId="0F83807F" w14:textId="77777777" w:rsidTr="00E80DDA">
        <w:tc>
          <w:tcPr>
            <w:tcW w:w="1961" w:type="pct"/>
            <w:vMerge/>
            <w:hideMark/>
          </w:tcPr>
          <w:p w14:paraId="0113080C"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52287852"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759CB1F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3,338</w:t>
            </w:r>
          </w:p>
        </w:tc>
        <w:tc>
          <w:tcPr>
            <w:tcW w:w="753" w:type="pct"/>
            <w:hideMark/>
          </w:tcPr>
          <w:p w14:paraId="17641D4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− 4,760</w:t>
            </w:r>
          </w:p>
        </w:tc>
        <w:tc>
          <w:tcPr>
            <w:tcW w:w="558" w:type="pct"/>
            <w:hideMark/>
          </w:tcPr>
          <w:p w14:paraId="76C52BC0"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− 0,894</w:t>
            </w:r>
          </w:p>
        </w:tc>
        <w:tc>
          <w:tcPr>
            <w:tcW w:w="678" w:type="pct"/>
            <w:hideMark/>
          </w:tcPr>
          <w:p w14:paraId="052C4C9B"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− 5,000</w:t>
            </w:r>
          </w:p>
        </w:tc>
      </w:tr>
      <w:tr w:rsidR="00277AC4" w:rsidRPr="00277AC4" w14:paraId="7977688D" w14:textId="77777777" w:rsidTr="00E80DDA">
        <w:tc>
          <w:tcPr>
            <w:tcW w:w="1961" w:type="pct"/>
            <w:vMerge w:val="restart"/>
          </w:tcPr>
          <w:p w14:paraId="42E545BA"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Udział rozpatrywanego obszaru upraw [%]</w:t>
            </w:r>
          </w:p>
          <w:p w14:paraId="70B0D63F"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4B181B62"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76DF590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− 0,019</w:t>
            </w:r>
          </w:p>
        </w:tc>
        <w:tc>
          <w:tcPr>
            <w:tcW w:w="753" w:type="pct"/>
            <w:hideMark/>
          </w:tcPr>
          <w:p w14:paraId="7167B7A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− 0,032</w:t>
            </w:r>
          </w:p>
        </w:tc>
        <w:tc>
          <w:tcPr>
            <w:tcW w:w="558" w:type="pct"/>
            <w:hideMark/>
          </w:tcPr>
          <w:p w14:paraId="32FEB9D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− 0,036</w:t>
            </w:r>
          </w:p>
        </w:tc>
        <w:tc>
          <w:tcPr>
            <w:tcW w:w="678" w:type="pct"/>
            <w:hideMark/>
          </w:tcPr>
          <w:p w14:paraId="712D7F3E"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0,000</w:t>
            </w:r>
          </w:p>
        </w:tc>
      </w:tr>
      <w:tr w:rsidR="00277AC4" w:rsidRPr="00277AC4" w14:paraId="5C8F928D" w14:textId="77777777" w:rsidTr="00E80DDA">
        <w:tc>
          <w:tcPr>
            <w:tcW w:w="1961" w:type="pct"/>
            <w:vMerge/>
          </w:tcPr>
          <w:p w14:paraId="74F2F350"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276D3B46"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2487C5F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− 0,034</w:t>
            </w:r>
          </w:p>
        </w:tc>
        <w:tc>
          <w:tcPr>
            <w:tcW w:w="753" w:type="pct"/>
            <w:hideMark/>
          </w:tcPr>
          <w:p w14:paraId="07C2974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− 0,059**</w:t>
            </w:r>
          </w:p>
        </w:tc>
        <w:tc>
          <w:tcPr>
            <w:tcW w:w="558" w:type="pct"/>
            <w:hideMark/>
          </w:tcPr>
          <w:p w14:paraId="4F31827D"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− 0,097</w:t>
            </w:r>
          </w:p>
        </w:tc>
        <w:tc>
          <w:tcPr>
            <w:tcW w:w="678" w:type="pct"/>
            <w:hideMark/>
          </w:tcPr>
          <w:p w14:paraId="3967C22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− 0,200***</w:t>
            </w:r>
          </w:p>
        </w:tc>
      </w:tr>
      <w:tr w:rsidR="00277AC4" w:rsidRPr="00277AC4" w14:paraId="44F1050E" w14:textId="77777777" w:rsidTr="00E80DDA">
        <w:tc>
          <w:tcPr>
            <w:tcW w:w="1961" w:type="pct"/>
            <w:vMerge/>
          </w:tcPr>
          <w:p w14:paraId="0AF62343"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1FB3745E"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42840860"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− 0,015</w:t>
            </w:r>
          </w:p>
        </w:tc>
        <w:tc>
          <w:tcPr>
            <w:tcW w:w="753" w:type="pct"/>
            <w:hideMark/>
          </w:tcPr>
          <w:p w14:paraId="5E4216A0"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− 0,027</w:t>
            </w:r>
          </w:p>
        </w:tc>
        <w:tc>
          <w:tcPr>
            <w:tcW w:w="558" w:type="pct"/>
            <w:hideMark/>
          </w:tcPr>
          <w:p w14:paraId="286AEA78"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− 0,061</w:t>
            </w:r>
          </w:p>
        </w:tc>
        <w:tc>
          <w:tcPr>
            <w:tcW w:w="678" w:type="pct"/>
            <w:hideMark/>
          </w:tcPr>
          <w:p w14:paraId="28B1B81D"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− 0,200**</w:t>
            </w:r>
          </w:p>
        </w:tc>
      </w:tr>
      <w:tr w:rsidR="00277AC4" w:rsidRPr="00277AC4" w14:paraId="75C8CAF3" w14:textId="77777777" w:rsidTr="00E80DDA">
        <w:tc>
          <w:tcPr>
            <w:tcW w:w="1961" w:type="pct"/>
            <w:vMerge w:val="restart"/>
          </w:tcPr>
          <w:p w14:paraId="6D5BBFBA"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Uprawa pszenicy zwyczajnej [ha]</w:t>
            </w:r>
          </w:p>
        </w:tc>
        <w:tc>
          <w:tcPr>
            <w:tcW w:w="432" w:type="pct"/>
            <w:hideMark/>
          </w:tcPr>
          <w:p w14:paraId="73D73402"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21F3313B"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14,878**</w:t>
            </w:r>
          </w:p>
        </w:tc>
        <w:tc>
          <w:tcPr>
            <w:tcW w:w="753" w:type="pct"/>
            <w:hideMark/>
          </w:tcPr>
          <w:p w14:paraId="09B46BB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12,454*</w:t>
            </w:r>
          </w:p>
        </w:tc>
        <w:tc>
          <w:tcPr>
            <w:tcW w:w="1236" w:type="pct"/>
            <w:gridSpan w:val="2"/>
            <w:vMerge w:val="restart"/>
            <w:hideMark/>
          </w:tcPr>
          <w:p w14:paraId="6994352C"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 </w:t>
            </w:r>
          </w:p>
        </w:tc>
      </w:tr>
      <w:tr w:rsidR="00277AC4" w:rsidRPr="00277AC4" w14:paraId="1970A097" w14:textId="77777777" w:rsidTr="00E80DDA">
        <w:tc>
          <w:tcPr>
            <w:tcW w:w="1961" w:type="pct"/>
            <w:vMerge/>
          </w:tcPr>
          <w:p w14:paraId="331EB0AF"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3B6CEC56"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5CB3730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16,409**</w:t>
            </w:r>
          </w:p>
        </w:tc>
        <w:tc>
          <w:tcPr>
            <w:tcW w:w="753" w:type="pct"/>
            <w:hideMark/>
          </w:tcPr>
          <w:p w14:paraId="6B5016C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9,740</w:t>
            </w:r>
          </w:p>
        </w:tc>
        <w:tc>
          <w:tcPr>
            <w:tcW w:w="1236" w:type="pct"/>
            <w:gridSpan w:val="2"/>
            <w:vMerge/>
            <w:hideMark/>
          </w:tcPr>
          <w:p w14:paraId="7A869E37" w14:textId="77777777" w:rsidR="00277AC4" w:rsidRPr="00277AC4" w:rsidRDefault="00277AC4" w:rsidP="00277AC4">
            <w:pPr>
              <w:rPr>
                <w:rFonts w:ascii="Times New Roman" w:eastAsia="Aptos" w:hAnsi="Times New Roman" w:cs="Times New Roman"/>
                <w:sz w:val="18"/>
                <w:szCs w:val="18"/>
              </w:rPr>
            </w:pPr>
          </w:p>
        </w:tc>
      </w:tr>
      <w:tr w:rsidR="00277AC4" w:rsidRPr="00277AC4" w14:paraId="22267C55" w14:textId="77777777" w:rsidTr="00E80DDA">
        <w:tc>
          <w:tcPr>
            <w:tcW w:w="1961" w:type="pct"/>
            <w:vMerge/>
          </w:tcPr>
          <w:p w14:paraId="10CD7708"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355C2DE5"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2C5988AD"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1,531</w:t>
            </w:r>
          </w:p>
        </w:tc>
        <w:tc>
          <w:tcPr>
            <w:tcW w:w="753" w:type="pct"/>
            <w:hideMark/>
          </w:tcPr>
          <w:p w14:paraId="01DD3090"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− 2,714</w:t>
            </w:r>
          </w:p>
        </w:tc>
        <w:tc>
          <w:tcPr>
            <w:tcW w:w="1236" w:type="pct"/>
            <w:gridSpan w:val="2"/>
            <w:vMerge/>
            <w:hideMark/>
          </w:tcPr>
          <w:p w14:paraId="1D9CC461" w14:textId="77777777" w:rsidR="00277AC4" w:rsidRPr="00277AC4" w:rsidRDefault="00277AC4" w:rsidP="00277AC4">
            <w:pPr>
              <w:rPr>
                <w:rFonts w:ascii="Times New Roman" w:eastAsia="Aptos" w:hAnsi="Times New Roman" w:cs="Times New Roman"/>
                <w:sz w:val="18"/>
                <w:szCs w:val="18"/>
              </w:rPr>
            </w:pPr>
          </w:p>
        </w:tc>
      </w:tr>
      <w:tr w:rsidR="00277AC4" w:rsidRPr="00277AC4" w14:paraId="54FB221D" w14:textId="77777777" w:rsidTr="00E80DDA">
        <w:tc>
          <w:tcPr>
            <w:tcW w:w="1961" w:type="pct"/>
            <w:vMerge w:val="restart"/>
          </w:tcPr>
          <w:p w14:paraId="397C911C"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Udział powierzchni pszenicy zwyczajnej [%]</w:t>
            </w:r>
          </w:p>
        </w:tc>
        <w:tc>
          <w:tcPr>
            <w:tcW w:w="432" w:type="pct"/>
            <w:hideMark/>
          </w:tcPr>
          <w:p w14:paraId="7AD7BCE7"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4176F30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0,092***</w:t>
            </w:r>
          </w:p>
        </w:tc>
        <w:tc>
          <w:tcPr>
            <w:tcW w:w="753" w:type="pct"/>
            <w:hideMark/>
          </w:tcPr>
          <w:p w14:paraId="0B5689B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0,081**</w:t>
            </w:r>
          </w:p>
        </w:tc>
        <w:tc>
          <w:tcPr>
            <w:tcW w:w="1236" w:type="pct"/>
            <w:gridSpan w:val="2"/>
            <w:vMerge/>
            <w:hideMark/>
          </w:tcPr>
          <w:p w14:paraId="11ED3AF2" w14:textId="77777777" w:rsidR="00277AC4" w:rsidRPr="00277AC4" w:rsidRDefault="00277AC4" w:rsidP="00277AC4">
            <w:pPr>
              <w:rPr>
                <w:rFonts w:ascii="Times New Roman" w:eastAsia="Aptos" w:hAnsi="Times New Roman" w:cs="Times New Roman"/>
                <w:sz w:val="18"/>
                <w:szCs w:val="18"/>
              </w:rPr>
            </w:pPr>
          </w:p>
        </w:tc>
      </w:tr>
      <w:tr w:rsidR="00277AC4" w:rsidRPr="00277AC4" w14:paraId="2B63B232" w14:textId="77777777" w:rsidTr="00E80DDA">
        <w:tc>
          <w:tcPr>
            <w:tcW w:w="1961" w:type="pct"/>
            <w:vMerge/>
          </w:tcPr>
          <w:p w14:paraId="4158A853"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013E4050"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4C35ED7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0,088***</w:t>
            </w:r>
          </w:p>
        </w:tc>
        <w:tc>
          <w:tcPr>
            <w:tcW w:w="753" w:type="pct"/>
            <w:hideMark/>
          </w:tcPr>
          <w:p w14:paraId="4BE3D51C"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0,053</w:t>
            </w:r>
          </w:p>
        </w:tc>
        <w:tc>
          <w:tcPr>
            <w:tcW w:w="1236" w:type="pct"/>
            <w:gridSpan w:val="2"/>
            <w:vMerge/>
            <w:hideMark/>
          </w:tcPr>
          <w:p w14:paraId="7E73612B" w14:textId="77777777" w:rsidR="00277AC4" w:rsidRPr="00277AC4" w:rsidRDefault="00277AC4" w:rsidP="00277AC4">
            <w:pPr>
              <w:rPr>
                <w:rFonts w:ascii="Times New Roman" w:eastAsia="Aptos" w:hAnsi="Times New Roman" w:cs="Times New Roman"/>
                <w:sz w:val="18"/>
                <w:szCs w:val="18"/>
              </w:rPr>
            </w:pPr>
          </w:p>
        </w:tc>
      </w:tr>
      <w:tr w:rsidR="00277AC4" w:rsidRPr="00277AC4" w14:paraId="6F25BBB1" w14:textId="77777777" w:rsidTr="00E80DDA">
        <w:tc>
          <w:tcPr>
            <w:tcW w:w="1961" w:type="pct"/>
            <w:vMerge/>
          </w:tcPr>
          <w:p w14:paraId="2AB80082"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6FF8349E"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200796D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− 0,004</w:t>
            </w:r>
          </w:p>
        </w:tc>
        <w:tc>
          <w:tcPr>
            <w:tcW w:w="753" w:type="pct"/>
            <w:hideMark/>
          </w:tcPr>
          <w:p w14:paraId="5E32C9A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− 0,028</w:t>
            </w:r>
          </w:p>
        </w:tc>
        <w:tc>
          <w:tcPr>
            <w:tcW w:w="1236" w:type="pct"/>
            <w:gridSpan w:val="2"/>
            <w:vMerge/>
            <w:hideMark/>
          </w:tcPr>
          <w:p w14:paraId="5D6E6501" w14:textId="77777777" w:rsidR="00277AC4" w:rsidRPr="00277AC4" w:rsidRDefault="00277AC4" w:rsidP="00277AC4">
            <w:pPr>
              <w:rPr>
                <w:rFonts w:ascii="Times New Roman" w:eastAsia="Aptos" w:hAnsi="Times New Roman" w:cs="Times New Roman"/>
                <w:sz w:val="18"/>
                <w:szCs w:val="18"/>
              </w:rPr>
            </w:pPr>
          </w:p>
        </w:tc>
      </w:tr>
      <w:tr w:rsidR="00277AC4" w:rsidRPr="00277AC4" w14:paraId="2BAE7A20" w14:textId="77777777" w:rsidTr="00E80DDA">
        <w:tc>
          <w:tcPr>
            <w:tcW w:w="1961" w:type="pct"/>
            <w:vMerge w:val="restart"/>
          </w:tcPr>
          <w:p w14:paraId="159E5776"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Pszenica twarda/durum [ha]</w:t>
            </w:r>
          </w:p>
          <w:p w14:paraId="768DFB8B"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3FF7EDBF"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256881BE"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− 1,657</w:t>
            </w:r>
          </w:p>
        </w:tc>
        <w:tc>
          <w:tcPr>
            <w:tcW w:w="753" w:type="pct"/>
            <w:hideMark/>
          </w:tcPr>
          <w:p w14:paraId="3546293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0,029</w:t>
            </w:r>
          </w:p>
        </w:tc>
        <w:tc>
          <w:tcPr>
            <w:tcW w:w="1236" w:type="pct"/>
            <w:gridSpan w:val="2"/>
            <w:vMerge/>
            <w:hideMark/>
          </w:tcPr>
          <w:p w14:paraId="5FA72E77" w14:textId="77777777" w:rsidR="00277AC4" w:rsidRPr="00277AC4" w:rsidRDefault="00277AC4" w:rsidP="00277AC4">
            <w:pPr>
              <w:rPr>
                <w:rFonts w:ascii="Times New Roman" w:eastAsia="Aptos" w:hAnsi="Times New Roman" w:cs="Times New Roman"/>
                <w:sz w:val="18"/>
                <w:szCs w:val="18"/>
              </w:rPr>
            </w:pPr>
          </w:p>
        </w:tc>
      </w:tr>
      <w:tr w:rsidR="00277AC4" w:rsidRPr="00277AC4" w14:paraId="161A7269" w14:textId="77777777" w:rsidTr="00E80DDA">
        <w:tc>
          <w:tcPr>
            <w:tcW w:w="1961" w:type="pct"/>
            <w:vMerge/>
          </w:tcPr>
          <w:p w14:paraId="5F8FF0DE"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30186D49"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34254DEE"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− 3,050</w:t>
            </w:r>
          </w:p>
        </w:tc>
        <w:tc>
          <w:tcPr>
            <w:tcW w:w="753" w:type="pct"/>
            <w:hideMark/>
          </w:tcPr>
          <w:p w14:paraId="162B7715"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− 2,361</w:t>
            </w:r>
          </w:p>
        </w:tc>
        <w:tc>
          <w:tcPr>
            <w:tcW w:w="1236" w:type="pct"/>
            <w:gridSpan w:val="2"/>
            <w:vMerge/>
            <w:hideMark/>
          </w:tcPr>
          <w:p w14:paraId="1C842F62" w14:textId="77777777" w:rsidR="00277AC4" w:rsidRPr="00277AC4" w:rsidRDefault="00277AC4" w:rsidP="00277AC4">
            <w:pPr>
              <w:rPr>
                <w:rFonts w:ascii="Times New Roman" w:eastAsia="Aptos" w:hAnsi="Times New Roman" w:cs="Times New Roman"/>
                <w:sz w:val="18"/>
                <w:szCs w:val="18"/>
              </w:rPr>
            </w:pPr>
          </w:p>
        </w:tc>
      </w:tr>
      <w:tr w:rsidR="00277AC4" w:rsidRPr="00277AC4" w14:paraId="0DC408A2" w14:textId="77777777" w:rsidTr="00E80DDA">
        <w:tc>
          <w:tcPr>
            <w:tcW w:w="1961" w:type="pct"/>
            <w:vMerge/>
          </w:tcPr>
          <w:p w14:paraId="0FA3D547"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1B39C1F0"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11D1D00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− 1,393</w:t>
            </w:r>
          </w:p>
        </w:tc>
        <w:tc>
          <w:tcPr>
            <w:tcW w:w="753" w:type="pct"/>
            <w:hideMark/>
          </w:tcPr>
          <w:p w14:paraId="392787F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− 2,390</w:t>
            </w:r>
          </w:p>
        </w:tc>
        <w:tc>
          <w:tcPr>
            <w:tcW w:w="1236" w:type="pct"/>
            <w:gridSpan w:val="2"/>
            <w:vMerge/>
            <w:hideMark/>
          </w:tcPr>
          <w:p w14:paraId="3C97271B" w14:textId="77777777" w:rsidR="00277AC4" w:rsidRPr="00277AC4" w:rsidRDefault="00277AC4" w:rsidP="00277AC4">
            <w:pPr>
              <w:rPr>
                <w:rFonts w:ascii="Times New Roman" w:eastAsia="Aptos" w:hAnsi="Times New Roman" w:cs="Times New Roman"/>
                <w:sz w:val="18"/>
                <w:szCs w:val="18"/>
              </w:rPr>
            </w:pPr>
          </w:p>
        </w:tc>
      </w:tr>
      <w:tr w:rsidR="00277AC4" w:rsidRPr="00277AC4" w14:paraId="3C57A1D2" w14:textId="77777777" w:rsidTr="00E80DDA">
        <w:tc>
          <w:tcPr>
            <w:tcW w:w="1961" w:type="pct"/>
            <w:vMerge w:val="restart"/>
          </w:tcPr>
          <w:p w14:paraId="348BEFD1"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Udział powierzchni pszenicy twardej/durum [%]</w:t>
            </w:r>
          </w:p>
        </w:tc>
        <w:tc>
          <w:tcPr>
            <w:tcW w:w="432" w:type="pct"/>
            <w:hideMark/>
          </w:tcPr>
          <w:p w14:paraId="777BEAE8"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67EFB925"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− 0,019</w:t>
            </w:r>
          </w:p>
        </w:tc>
        <w:tc>
          <w:tcPr>
            <w:tcW w:w="753" w:type="pct"/>
            <w:hideMark/>
          </w:tcPr>
          <w:p w14:paraId="729EABD0"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− 0,007</w:t>
            </w:r>
          </w:p>
        </w:tc>
        <w:tc>
          <w:tcPr>
            <w:tcW w:w="1236" w:type="pct"/>
            <w:gridSpan w:val="2"/>
            <w:vMerge/>
            <w:hideMark/>
          </w:tcPr>
          <w:p w14:paraId="4C322F91" w14:textId="77777777" w:rsidR="00277AC4" w:rsidRPr="00277AC4" w:rsidRDefault="00277AC4" w:rsidP="00277AC4">
            <w:pPr>
              <w:rPr>
                <w:rFonts w:ascii="Times New Roman" w:eastAsia="Aptos" w:hAnsi="Times New Roman" w:cs="Times New Roman"/>
                <w:sz w:val="18"/>
                <w:szCs w:val="18"/>
              </w:rPr>
            </w:pPr>
          </w:p>
        </w:tc>
      </w:tr>
      <w:tr w:rsidR="00277AC4" w:rsidRPr="00277AC4" w14:paraId="75E89865" w14:textId="77777777" w:rsidTr="00E80DDA">
        <w:tc>
          <w:tcPr>
            <w:tcW w:w="1961" w:type="pct"/>
            <w:vMerge/>
          </w:tcPr>
          <w:p w14:paraId="08E7CE75"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3FE817D3"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45E6D1C5"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− 0,028</w:t>
            </w:r>
          </w:p>
        </w:tc>
        <w:tc>
          <w:tcPr>
            <w:tcW w:w="753" w:type="pct"/>
            <w:hideMark/>
          </w:tcPr>
          <w:p w14:paraId="430A3D6B"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− 0,013</w:t>
            </w:r>
          </w:p>
        </w:tc>
        <w:tc>
          <w:tcPr>
            <w:tcW w:w="1236" w:type="pct"/>
            <w:gridSpan w:val="2"/>
            <w:vMerge/>
            <w:hideMark/>
          </w:tcPr>
          <w:p w14:paraId="7AE31D51" w14:textId="77777777" w:rsidR="00277AC4" w:rsidRPr="00277AC4" w:rsidRDefault="00277AC4" w:rsidP="00277AC4">
            <w:pPr>
              <w:rPr>
                <w:rFonts w:ascii="Times New Roman" w:eastAsia="Aptos" w:hAnsi="Times New Roman" w:cs="Times New Roman"/>
                <w:sz w:val="18"/>
                <w:szCs w:val="18"/>
              </w:rPr>
            </w:pPr>
          </w:p>
        </w:tc>
      </w:tr>
      <w:tr w:rsidR="00277AC4" w:rsidRPr="00277AC4" w14:paraId="39E474D2" w14:textId="77777777" w:rsidTr="00E80DDA">
        <w:tc>
          <w:tcPr>
            <w:tcW w:w="1961" w:type="pct"/>
            <w:vMerge/>
          </w:tcPr>
          <w:p w14:paraId="772B5126"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53D525C0"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331615D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− 0,009</w:t>
            </w:r>
          </w:p>
        </w:tc>
        <w:tc>
          <w:tcPr>
            <w:tcW w:w="753" w:type="pct"/>
            <w:hideMark/>
          </w:tcPr>
          <w:p w14:paraId="7150797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− 0,006</w:t>
            </w:r>
          </w:p>
        </w:tc>
        <w:tc>
          <w:tcPr>
            <w:tcW w:w="1236" w:type="pct"/>
            <w:gridSpan w:val="2"/>
            <w:vMerge/>
            <w:hideMark/>
          </w:tcPr>
          <w:p w14:paraId="375102C8" w14:textId="77777777" w:rsidR="00277AC4" w:rsidRPr="00277AC4" w:rsidRDefault="00277AC4" w:rsidP="00277AC4">
            <w:pPr>
              <w:rPr>
                <w:rFonts w:ascii="Times New Roman" w:eastAsia="Aptos" w:hAnsi="Times New Roman" w:cs="Times New Roman"/>
                <w:sz w:val="18"/>
                <w:szCs w:val="18"/>
              </w:rPr>
            </w:pPr>
          </w:p>
        </w:tc>
      </w:tr>
      <w:tr w:rsidR="00277AC4" w:rsidRPr="00277AC4" w14:paraId="10317120" w14:textId="77777777" w:rsidTr="00E80DDA">
        <w:tc>
          <w:tcPr>
            <w:tcW w:w="1961" w:type="pct"/>
            <w:vMerge w:val="restart"/>
          </w:tcPr>
          <w:p w14:paraId="0C625EAE"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Kukurydza [ha]</w:t>
            </w:r>
          </w:p>
          <w:p w14:paraId="34D6EA24"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33E13202"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614842C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− 8,265*</w:t>
            </w:r>
          </w:p>
        </w:tc>
        <w:tc>
          <w:tcPr>
            <w:tcW w:w="753" w:type="pct"/>
            <w:hideMark/>
          </w:tcPr>
          <w:p w14:paraId="2C36B425"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− 9,182**</w:t>
            </w:r>
          </w:p>
        </w:tc>
        <w:tc>
          <w:tcPr>
            <w:tcW w:w="1236" w:type="pct"/>
            <w:gridSpan w:val="2"/>
            <w:vMerge/>
            <w:hideMark/>
          </w:tcPr>
          <w:p w14:paraId="49A9BFD7" w14:textId="77777777" w:rsidR="00277AC4" w:rsidRPr="00277AC4" w:rsidRDefault="00277AC4" w:rsidP="00277AC4">
            <w:pPr>
              <w:rPr>
                <w:rFonts w:ascii="Times New Roman" w:eastAsia="Aptos" w:hAnsi="Times New Roman" w:cs="Times New Roman"/>
                <w:sz w:val="18"/>
                <w:szCs w:val="18"/>
              </w:rPr>
            </w:pPr>
          </w:p>
        </w:tc>
      </w:tr>
      <w:tr w:rsidR="00277AC4" w:rsidRPr="00277AC4" w14:paraId="0443CC01" w14:textId="77777777" w:rsidTr="00E80DDA">
        <w:tc>
          <w:tcPr>
            <w:tcW w:w="1961" w:type="pct"/>
            <w:vMerge/>
          </w:tcPr>
          <w:p w14:paraId="53CDA02E"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1286F076"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5DC399FC"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− 6,381</w:t>
            </w:r>
          </w:p>
        </w:tc>
        <w:tc>
          <w:tcPr>
            <w:tcW w:w="753" w:type="pct"/>
            <w:hideMark/>
          </w:tcPr>
          <w:p w14:paraId="33F73E7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− 6,373</w:t>
            </w:r>
          </w:p>
        </w:tc>
        <w:tc>
          <w:tcPr>
            <w:tcW w:w="1236" w:type="pct"/>
            <w:gridSpan w:val="2"/>
            <w:vMerge/>
            <w:hideMark/>
          </w:tcPr>
          <w:p w14:paraId="2F239CD1" w14:textId="77777777" w:rsidR="00277AC4" w:rsidRPr="00277AC4" w:rsidRDefault="00277AC4" w:rsidP="00277AC4">
            <w:pPr>
              <w:rPr>
                <w:rFonts w:ascii="Times New Roman" w:eastAsia="Aptos" w:hAnsi="Times New Roman" w:cs="Times New Roman"/>
                <w:sz w:val="18"/>
                <w:szCs w:val="18"/>
              </w:rPr>
            </w:pPr>
          </w:p>
        </w:tc>
      </w:tr>
      <w:tr w:rsidR="00277AC4" w:rsidRPr="00277AC4" w14:paraId="7125CBE5" w14:textId="77777777" w:rsidTr="00E80DDA">
        <w:tc>
          <w:tcPr>
            <w:tcW w:w="1961" w:type="pct"/>
            <w:vMerge/>
          </w:tcPr>
          <w:p w14:paraId="37F6002E"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7371B8ED"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6CD0629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1,998</w:t>
            </w:r>
          </w:p>
        </w:tc>
        <w:tc>
          <w:tcPr>
            <w:tcW w:w="753" w:type="pct"/>
            <w:hideMark/>
          </w:tcPr>
          <w:p w14:paraId="11633CDC"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2,808</w:t>
            </w:r>
          </w:p>
        </w:tc>
        <w:tc>
          <w:tcPr>
            <w:tcW w:w="1236" w:type="pct"/>
            <w:gridSpan w:val="2"/>
            <w:vMerge/>
            <w:hideMark/>
          </w:tcPr>
          <w:p w14:paraId="27227D18" w14:textId="77777777" w:rsidR="00277AC4" w:rsidRPr="00277AC4" w:rsidRDefault="00277AC4" w:rsidP="00277AC4">
            <w:pPr>
              <w:rPr>
                <w:rFonts w:ascii="Times New Roman" w:eastAsia="Aptos" w:hAnsi="Times New Roman" w:cs="Times New Roman"/>
                <w:sz w:val="18"/>
                <w:szCs w:val="18"/>
              </w:rPr>
            </w:pPr>
          </w:p>
        </w:tc>
      </w:tr>
      <w:tr w:rsidR="00277AC4" w:rsidRPr="00277AC4" w14:paraId="7FE6671C" w14:textId="77777777" w:rsidTr="00E80DDA">
        <w:tc>
          <w:tcPr>
            <w:tcW w:w="1961" w:type="pct"/>
            <w:vMerge w:val="restart"/>
          </w:tcPr>
          <w:p w14:paraId="32DB1014"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Udział powierzchni kukurydzy [%]</w:t>
            </w:r>
          </w:p>
        </w:tc>
        <w:tc>
          <w:tcPr>
            <w:tcW w:w="432" w:type="pct"/>
            <w:hideMark/>
          </w:tcPr>
          <w:p w14:paraId="1904A2E3"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61E9AD36" w14:textId="77777777" w:rsidR="00277AC4" w:rsidRPr="00277AC4" w:rsidRDefault="00277AC4" w:rsidP="00277AC4">
            <w:pPr>
              <w:jc w:val="center"/>
              <w:rPr>
                <w:rFonts w:ascii="Times New Roman" w:eastAsia="Aptos" w:hAnsi="Times New Roman" w:cs="Times New Roman"/>
                <w:sz w:val="18"/>
                <w:szCs w:val="18"/>
              </w:rPr>
            </w:pPr>
            <w:r w:rsidRPr="00277AC4">
              <w:rPr>
                <w:rFonts w:ascii="Times New Roman" w:eastAsia="Aptos" w:hAnsi="Times New Roman" w:cs="Times New Roman"/>
                <w:sz w:val="18"/>
                <w:szCs w:val="18"/>
              </w:rPr>
              <w:t>− 0,099**</w:t>
            </w:r>
          </w:p>
        </w:tc>
        <w:tc>
          <w:tcPr>
            <w:tcW w:w="753" w:type="pct"/>
            <w:hideMark/>
          </w:tcPr>
          <w:p w14:paraId="5CA6ED26" w14:textId="77777777" w:rsidR="00277AC4" w:rsidRPr="00277AC4" w:rsidRDefault="00277AC4" w:rsidP="00277AC4">
            <w:pPr>
              <w:jc w:val="center"/>
              <w:rPr>
                <w:rFonts w:ascii="Times New Roman" w:eastAsia="Aptos" w:hAnsi="Times New Roman" w:cs="Times New Roman"/>
                <w:sz w:val="18"/>
                <w:szCs w:val="18"/>
              </w:rPr>
            </w:pPr>
            <w:r w:rsidRPr="00277AC4">
              <w:rPr>
                <w:rFonts w:ascii="Times New Roman" w:eastAsia="Aptos" w:hAnsi="Times New Roman" w:cs="Times New Roman"/>
                <w:sz w:val="18"/>
                <w:szCs w:val="18"/>
              </w:rPr>
              <w:t>− 0,111***</w:t>
            </w:r>
          </w:p>
        </w:tc>
        <w:tc>
          <w:tcPr>
            <w:tcW w:w="1236" w:type="pct"/>
            <w:gridSpan w:val="2"/>
            <w:vMerge w:val="restart"/>
            <w:hideMark/>
          </w:tcPr>
          <w:p w14:paraId="0AE4A04D" w14:textId="77777777" w:rsidR="00277AC4" w:rsidRPr="00277AC4" w:rsidRDefault="00277AC4" w:rsidP="00277AC4">
            <w:pPr>
              <w:jc w:val="center"/>
              <w:rPr>
                <w:rFonts w:ascii="Times New Roman" w:eastAsia="Aptos" w:hAnsi="Times New Roman" w:cs="Times New Roman"/>
                <w:sz w:val="18"/>
                <w:szCs w:val="18"/>
              </w:rPr>
            </w:pPr>
          </w:p>
        </w:tc>
      </w:tr>
      <w:tr w:rsidR="00277AC4" w:rsidRPr="00277AC4" w14:paraId="121443C6" w14:textId="77777777" w:rsidTr="00E80DDA">
        <w:tc>
          <w:tcPr>
            <w:tcW w:w="1961" w:type="pct"/>
            <w:vMerge/>
          </w:tcPr>
          <w:p w14:paraId="450EA5C4"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5DFA2F23"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61EF30D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− 0,095**</w:t>
            </w:r>
          </w:p>
        </w:tc>
        <w:tc>
          <w:tcPr>
            <w:tcW w:w="753" w:type="pct"/>
            <w:hideMark/>
          </w:tcPr>
          <w:p w14:paraId="3032CF14"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− 0,089**</w:t>
            </w:r>
          </w:p>
        </w:tc>
        <w:tc>
          <w:tcPr>
            <w:tcW w:w="1236" w:type="pct"/>
            <w:gridSpan w:val="2"/>
            <w:vMerge/>
            <w:hideMark/>
          </w:tcPr>
          <w:p w14:paraId="283EF39B"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1B557EA4" w14:textId="77777777" w:rsidTr="00E80DDA">
        <w:tc>
          <w:tcPr>
            <w:tcW w:w="1961" w:type="pct"/>
            <w:vMerge/>
          </w:tcPr>
          <w:p w14:paraId="2E78BAD4"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68A41DD2"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7B18F41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0,005</w:t>
            </w:r>
          </w:p>
        </w:tc>
        <w:tc>
          <w:tcPr>
            <w:tcW w:w="753" w:type="pct"/>
            <w:hideMark/>
          </w:tcPr>
          <w:p w14:paraId="0758879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0,022</w:t>
            </w:r>
          </w:p>
        </w:tc>
        <w:tc>
          <w:tcPr>
            <w:tcW w:w="1236" w:type="pct"/>
            <w:gridSpan w:val="2"/>
            <w:vMerge/>
            <w:hideMark/>
          </w:tcPr>
          <w:p w14:paraId="6A56B473"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3A952B37" w14:textId="77777777" w:rsidTr="00E80DDA">
        <w:tc>
          <w:tcPr>
            <w:tcW w:w="1961" w:type="pct"/>
            <w:vMerge w:val="restart"/>
          </w:tcPr>
          <w:p w14:paraId="39E80B68"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Jęczmień  [ha]</w:t>
            </w:r>
          </w:p>
          <w:p w14:paraId="160A669B"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280F0946"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63E3886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0,752</w:t>
            </w:r>
          </w:p>
        </w:tc>
        <w:tc>
          <w:tcPr>
            <w:tcW w:w="753" w:type="pct"/>
            <w:hideMark/>
          </w:tcPr>
          <w:p w14:paraId="2AF5170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− 0,796</w:t>
            </w:r>
          </w:p>
        </w:tc>
        <w:tc>
          <w:tcPr>
            <w:tcW w:w="1236" w:type="pct"/>
            <w:gridSpan w:val="2"/>
            <w:vMerge/>
            <w:hideMark/>
          </w:tcPr>
          <w:p w14:paraId="17809307"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423AF062" w14:textId="77777777" w:rsidTr="00E80DDA">
        <w:tc>
          <w:tcPr>
            <w:tcW w:w="1961" w:type="pct"/>
            <w:vMerge/>
          </w:tcPr>
          <w:p w14:paraId="07A7B540"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47E10AAD"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1F63720E"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1,777</w:t>
            </w:r>
          </w:p>
        </w:tc>
        <w:tc>
          <w:tcPr>
            <w:tcW w:w="753" w:type="pct"/>
            <w:hideMark/>
          </w:tcPr>
          <w:p w14:paraId="451B497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− 1,684</w:t>
            </w:r>
          </w:p>
        </w:tc>
        <w:tc>
          <w:tcPr>
            <w:tcW w:w="1236" w:type="pct"/>
            <w:gridSpan w:val="2"/>
            <w:vMerge/>
            <w:hideMark/>
          </w:tcPr>
          <w:p w14:paraId="42DD6365"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3DB3CA0A" w14:textId="77777777" w:rsidTr="00E80DDA">
        <w:tc>
          <w:tcPr>
            <w:tcW w:w="1961" w:type="pct"/>
            <w:vMerge/>
          </w:tcPr>
          <w:p w14:paraId="6A24BF82"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1ED3CB40"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3E2914BE"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1,025</w:t>
            </w:r>
          </w:p>
        </w:tc>
        <w:tc>
          <w:tcPr>
            <w:tcW w:w="753" w:type="pct"/>
            <w:hideMark/>
          </w:tcPr>
          <w:p w14:paraId="490D833B"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− 0,888</w:t>
            </w:r>
          </w:p>
        </w:tc>
        <w:tc>
          <w:tcPr>
            <w:tcW w:w="1236" w:type="pct"/>
            <w:gridSpan w:val="2"/>
            <w:vMerge/>
            <w:hideMark/>
          </w:tcPr>
          <w:p w14:paraId="26704FD8"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1DA2EE62" w14:textId="77777777" w:rsidTr="00E80DDA">
        <w:tc>
          <w:tcPr>
            <w:tcW w:w="1961" w:type="pct"/>
            <w:vMerge w:val="restart"/>
          </w:tcPr>
          <w:p w14:paraId="355AC0CB"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Udział powierzchni jęczmienia [%]</w:t>
            </w:r>
          </w:p>
        </w:tc>
        <w:tc>
          <w:tcPr>
            <w:tcW w:w="432" w:type="pct"/>
            <w:hideMark/>
          </w:tcPr>
          <w:p w14:paraId="75A2F972"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0848721E"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0,012</w:t>
            </w:r>
          </w:p>
        </w:tc>
        <w:tc>
          <w:tcPr>
            <w:tcW w:w="753" w:type="pct"/>
            <w:hideMark/>
          </w:tcPr>
          <w:p w14:paraId="5E4EAB5C"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0,005</w:t>
            </w:r>
          </w:p>
        </w:tc>
        <w:tc>
          <w:tcPr>
            <w:tcW w:w="1236" w:type="pct"/>
            <w:gridSpan w:val="2"/>
            <w:vMerge/>
            <w:hideMark/>
          </w:tcPr>
          <w:p w14:paraId="0B10C6AF"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175FA45E" w14:textId="77777777" w:rsidTr="00E80DDA">
        <w:tc>
          <w:tcPr>
            <w:tcW w:w="1961" w:type="pct"/>
            <w:vMerge/>
          </w:tcPr>
          <w:p w14:paraId="0E9FF208"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2914DAE0"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201D7F2C"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0,016</w:t>
            </w:r>
          </w:p>
        </w:tc>
        <w:tc>
          <w:tcPr>
            <w:tcW w:w="753" w:type="pct"/>
            <w:hideMark/>
          </w:tcPr>
          <w:p w14:paraId="26A46C84"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− 0,002</w:t>
            </w:r>
          </w:p>
        </w:tc>
        <w:tc>
          <w:tcPr>
            <w:tcW w:w="1236" w:type="pct"/>
            <w:gridSpan w:val="2"/>
            <w:vMerge/>
            <w:hideMark/>
          </w:tcPr>
          <w:p w14:paraId="0CE3B9E8"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303E760B" w14:textId="77777777" w:rsidTr="00E80DDA">
        <w:tc>
          <w:tcPr>
            <w:tcW w:w="1961" w:type="pct"/>
            <w:vMerge/>
          </w:tcPr>
          <w:p w14:paraId="4B316EA2"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426E1771"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148614A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0,004</w:t>
            </w:r>
          </w:p>
        </w:tc>
        <w:tc>
          <w:tcPr>
            <w:tcW w:w="753" w:type="pct"/>
            <w:hideMark/>
          </w:tcPr>
          <w:p w14:paraId="76D42DC0"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− 0,007</w:t>
            </w:r>
          </w:p>
        </w:tc>
        <w:tc>
          <w:tcPr>
            <w:tcW w:w="1236" w:type="pct"/>
            <w:gridSpan w:val="2"/>
            <w:vMerge/>
            <w:hideMark/>
          </w:tcPr>
          <w:p w14:paraId="44EC1716"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55CA7EB6" w14:textId="77777777" w:rsidTr="00E80DDA">
        <w:tc>
          <w:tcPr>
            <w:tcW w:w="1961" w:type="pct"/>
            <w:vMerge w:val="restart"/>
          </w:tcPr>
          <w:p w14:paraId="67434FAC"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Słonecznik [ha]</w:t>
            </w:r>
          </w:p>
          <w:p w14:paraId="1C5464DC"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6CAE0A8F"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6BD80A74"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− 2,228</w:t>
            </w:r>
          </w:p>
        </w:tc>
        <w:tc>
          <w:tcPr>
            <w:tcW w:w="753" w:type="pct"/>
            <w:hideMark/>
          </w:tcPr>
          <w:p w14:paraId="5A1603BE"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− 1,114</w:t>
            </w:r>
          </w:p>
        </w:tc>
        <w:tc>
          <w:tcPr>
            <w:tcW w:w="1236" w:type="pct"/>
            <w:gridSpan w:val="2"/>
            <w:vMerge/>
            <w:hideMark/>
          </w:tcPr>
          <w:p w14:paraId="199A76C1"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5C53FE0C" w14:textId="77777777" w:rsidTr="00E80DDA">
        <w:tc>
          <w:tcPr>
            <w:tcW w:w="1961" w:type="pct"/>
            <w:vMerge/>
          </w:tcPr>
          <w:p w14:paraId="546BF996"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4D52D7CB"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7E2D5A9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− 4,688**</w:t>
            </w:r>
          </w:p>
        </w:tc>
        <w:tc>
          <w:tcPr>
            <w:tcW w:w="753" w:type="pct"/>
            <w:hideMark/>
          </w:tcPr>
          <w:p w14:paraId="2CF9368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− 3,718*</w:t>
            </w:r>
          </w:p>
        </w:tc>
        <w:tc>
          <w:tcPr>
            <w:tcW w:w="1236" w:type="pct"/>
            <w:gridSpan w:val="2"/>
            <w:vMerge/>
            <w:hideMark/>
          </w:tcPr>
          <w:p w14:paraId="6FAD098B"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2ACD878C" w14:textId="77777777" w:rsidTr="00E80DDA">
        <w:tc>
          <w:tcPr>
            <w:tcW w:w="1961" w:type="pct"/>
            <w:vMerge/>
          </w:tcPr>
          <w:p w14:paraId="1D460993"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22E9FF81"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05FBCD10"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− 2,459</w:t>
            </w:r>
          </w:p>
        </w:tc>
        <w:tc>
          <w:tcPr>
            <w:tcW w:w="753" w:type="pct"/>
            <w:hideMark/>
          </w:tcPr>
          <w:p w14:paraId="27F68015"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− 2,604</w:t>
            </w:r>
          </w:p>
        </w:tc>
        <w:tc>
          <w:tcPr>
            <w:tcW w:w="1236" w:type="pct"/>
            <w:gridSpan w:val="2"/>
            <w:vMerge/>
            <w:hideMark/>
          </w:tcPr>
          <w:p w14:paraId="369C71FB"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4D1CD3D5" w14:textId="77777777" w:rsidTr="00E80DDA">
        <w:tc>
          <w:tcPr>
            <w:tcW w:w="1961" w:type="pct"/>
            <w:vMerge w:val="restart"/>
          </w:tcPr>
          <w:p w14:paraId="29D5C5C6"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Udział powierzchni uprawy słonecznika [%]</w:t>
            </w:r>
          </w:p>
        </w:tc>
        <w:tc>
          <w:tcPr>
            <w:tcW w:w="432" w:type="pct"/>
            <w:hideMark/>
          </w:tcPr>
          <w:p w14:paraId="09111473"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6F4A393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− 0,021</w:t>
            </w:r>
          </w:p>
        </w:tc>
        <w:tc>
          <w:tcPr>
            <w:tcW w:w="753" w:type="pct"/>
            <w:hideMark/>
          </w:tcPr>
          <w:p w14:paraId="0D830BF1"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− 0,013</w:t>
            </w:r>
          </w:p>
        </w:tc>
        <w:tc>
          <w:tcPr>
            <w:tcW w:w="1236" w:type="pct"/>
            <w:gridSpan w:val="2"/>
            <w:vMerge/>
            <w:hideMark/>
          </w:tcPr>
          <w:p w14:paraId="776DDF4F"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0CEEB92F" w14:textId="77777777" w:rsidTr="00E80DDA">
        <w:tc>
          <w:tcPr>
            <w:tcW w:w="1961" w:type="pct"/>
            <w:vMerge/>
          </w:tcPr>
          <w:p w14:paraId="65F76F37"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60726CD7"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20C6687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− 0,037**</w:t>
            </w:r>
          </w:p>
        </w:tc>
        <w:tc>
          <w:tcPr>
            <w:tcW w:w="753" w:type="pct"/>
            <w:hideMark/>
          </w:tcPr>
          <w:p w14:paraId="76A2A0CD"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− 0,025*</w:t>
            </w:r>
          </w:p>
        </w:tc>
        <w:tc>
          <w:tcPr>
            <w:tcW w:w="1236" w:type="pct"/>
            <w:gridSpan w:val="2"/>
            <w:vMerge/>
            <w:hideMark/>
          </w:tcPr>
          <w:p w14:paraId="57FFD72D"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2F25944A" w14:textId="77777777" w:rsidTr="00E80DDA">
        <w:tc>
          <w:tcPr>
            <w:tcW w:w="1961" w:type="pct"/>
            <w:vMerge/>
          </w:tcPr>
          <w:p w14:paraId="3D42FFC4"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4E5AC4D0"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0B3D4BC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− 0,016</w:t>
            </w:r>
          </w:p>
        </w:tc>
        <w:tc>
          <w:tcPr>
            <w:tcW w:w="753" w:type="pct"/>
            <w:hideMark/>
          </w:tcPr>
          <w:p w14:paraId="49903668"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− 0,012</w:t>
            </w:r>
          </w:p>
        </w:tc>
        <w:tc>
          <w:tcPr>
            <w:tcW w:w="1236" w:type="pct"/>
            <w:gridSpan w:val="2"/>
            <w:vMerge/>
            <w:hideMark/>
          </w:tcPr>
          <w:p w14:paraId="3C8400F5"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4A203472" w14:textId="77777777" w:rsidTr="00E80DDA">
        <w:tc>
          <w:tcPr>
            <w:tcW w:w="1961" w:type="pct"/>
            <w:vMerge w:val="restart"/>
          </w:tcPr>
          <w:p w14:paraId="4FB6BA31"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Rzepak [ha]</w:t>
            </w:r>
          </w:p>
        </w:tc>
        <w:tc>
          <w:tcPr>
            <w:tcW w:w="432" w:type="pct"/>
            <w:hideMark/>
          </w:tcPr>
          <w:p w14:paraId="3011C570"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34D0392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3,137</w:t>
            </w:r>
          </w:p>
        </w:tc>
        <w:tc>
          <w:tcPr>
            <w:tcW w:w="753" w:type="pct"/>
            <w:hideMark/>
          </w:tcPr>
          <w:p w14:paraId="332D2A04"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2,498</w:t>
            </w:r>
          </w:p>
        </w:tc>
        <w:tc>
          <w:tcPr>
            <w:tcW w:w="1236" w:type="pct"/>
            <w:gridSpan w:val="2"/>
            <w:vMerge/>
            <w:hideMark/>
          </w:tcPr>
          <w:p w14:paraId="66B1B2AB"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02D18D41" w14:textId="77777777" w:rsidTr="00E80DDA">
        <w:tc>
          <w:tcPr>
            <w:tcW w:w="1961" w:type="pct"/>
            <w:vMerge/>
          </w:tcPr>
          <w:p w14:paraId="5088C996"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2AAA66F8"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663D0C0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5,257</w:t>
            </w:r>
          </w:p>
        </w:tc>
        <w:tc>
          <w:tcPr>
            <w:tcW w:w="753" w:type="pct"/>
            <w:hideMark/>
          </w:tcPr>
          <w:p w14:paraId="4F02B9B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2,745</w:t>
            </w:r>
          </w:p>
        </w:tc>
        <w:tc>
          <w:tcPr>
            <w:tcW w:w="1236" w:type="pct"/>
            <w:gridSpan w:val="2"/>
            <w:vMerge/>
            <w:hideMark/>
          </w:tcPr>
          <w:p w14:paraId="369B672A"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2FCB1311" w14:textId="77777777" w:rsidTr="00E80DDA">
        <w:tc>
          <w:tcPr>
            <w:tcW w:w="1961" w:type="pct"/>
            <w:vMerge/>
          </w:tcPr>
          <w:p w14:paraId="3C24A5AB"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64F46DA8"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101FC364"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2,120</w:t>
            </w:r>
          </w:p>
        </w:tc>
        <w:tc>
          <w:tcPr>
            <w:tcW w:w="753" w:type="pct"/>
            <w:hideMark/>
          </w:tcPr>
          <w:p w14:paraId="2D97826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0,248</w:t>
            </w:r>
          </w:p>
        </w:tc>
        <w:tc>
          <w:tcPr>
            <w:tcW w:w="1236" w:type="pct"/>
            <w:gridSpan w:val="2"/>
            <w:vMerge/>
            <w:hideMark/>
          </w:tcPr>
          <w:p w14:paraId="2871C624"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264965E9" w14:textId="77777777" w:rsidTr="00E80DDA">
        <w:tc>
          <w:tcPr>
            <w:tcW w:w="1961" w:type="pct"/>
            <w:vMerge w:val="restart"/>
            <w:hideMark/>
          </w:tcPr>
          <w:p w14:paraId="1CA751AA"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Udział powierzchni uprawy rzepaku [%]</w:t>
            </w:r>
          </w:p>
        </w:tc>
        <w:tc>
          <w:tcPr>
            <w:tcW w:w="432" w:type="pct"/>
            <w:hideMark/>
          </w:tcPr>
          <w:p w14:paraId="59F49C1B"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18159E3D"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0,016</w:t>
            </w:r>
          </w:p>
        </w:tc>
        <w:tc>
          <w:tcPr>
            <w:tcW w:w="753" w:type="pct"/>
            <w:hideMark/>
          </w:tcPr>
          <w:p w14:paraId="10644941"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0,012</w:t>
            </w:r>
          </w:p>
        </w:tc>
        <w:tc>
          <w:tcPr>
            <w:tcW w:w="1236" w:type="pct"/>
            <w:gridSpan w:val="2"/>
            <w:vMerge/>
            <w:hideMark/>
          </w:tcPr>
          <w:p w14:paraId="725AF3D7"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3C01329A" w14:textId="77777777" w:rsidTr="00E80DDA">
        <w:tc>
          <w:tcPr>
            <w:tcW w:w="1961" w:type="pct"/>
            <w:vMerge/>
            <w:hideMark/>
          </w:tcPr>
          <w:p w14:paraId="68D75736"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28399BF8"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45213B68"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0,020</w:t>
            </w:r>
          </w:p>
        </w:tc>
        <w:tc>
          <w:tcPr>
            <w:tcW w:w="753" w:type="pct"/>
            <w:hideMark/>
          </w:tcPr>
          <w:p w14:paraId="26F0D51B"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0,013</w:t>
            </w:r>
          </w:p>
        </w:tc>
        <w:tc>
          <w:tcPr>
            <w:tcW w:w="1236" w:type="pct"/>
            <w:gridSpan w:val="2"/>
            <w:vMerge/>
            <w:hideMark/>
          </w:tcPr>
          <w:p w14:paraId="002C3BDD"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302F74F2" w14:textId="77777777" w:rsidTr="00E80DDA">
        <w:tc>
          <w:tcPr>
            <w:tcW w:w="1961" w:type="pct"/>
            <w:vMerge/>
            <w:hideMark/>
          </w:tcPr>
          <w:p w14:paraId="14FF02F5"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16213E08"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1455884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0,004</w:t>
            </w:r>
          </w:p>
        </w:tc>
        <w:tc>
          <w:tcPr>
            <w:tcW w:w="753" w:type="pct"/>
            <w:hideMark/>
          </w:tcPr>
          <w:p w14:paraId="30590D2A"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0,02</w:t>
            </w:r>
          </w:p>
        </w:tc>
        <w:tc>
          <w:tcPr>
            <w:tcW w:w="1236" w:type="pct"/>
            <w:gridSpan w:val="2"/>
            <w:vMerge/>
            <w:hideMark/>
          </w:tcPr>
          <w:p w14:paraId="635ADF25"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33499162" w14:textId="77777777" w:rsidTr="00E80DDA">
        <w:tc>
          <w:tcPr>
            <w:tcW w:w="1961" w:type="pct"/>
            <w:vMerge w:val="restart"/>
            <w:hideMark/>
          </w:tcPr>
          <w:p w14:paraId="27A62DF9"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Soja [%]</w:t>
            </w:r>
          </w:p>
        </w:tc>
        <w:tc>
          <w:tcPr>
            <w:tcW w:w="432" w:type="pct"/>
            <w:hideMark/>
          </w:tcPr>
          <w:p w14:paraId="2D3E7CEE"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514B774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0,020</w:t>
            </w:r>
          </w:p>
        </w:tc>
        <w:tc>
          <w:tcPr>
            <w:tcW w:w="753" w:type="pct"/>
            <w:hideMark/>
          </w:tcPr>
          <w:p w14:paraId="572B96D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0,115</w:t>
            </w:r>
          </w:p>
        </w:tc>
        <w:tc>
          <w:tcPr>
            <w:tcW w:w="1236" w:type="pct"/>
            <w:gridSpan w:val="2"/>
            <w:vMerge/>
            <w:hideMark/>
          </w:tcPr>
          <w:p w14:paraId="3E468ADA"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06FBBB7D" w14:textId="77777777" w:rsidTr="00E80DDA">
        <w:tc>
          <w:tcPr>
            <w:tcW w:w="1961" w:type="pct"/>
            <w:vMerge/>
            <w:hideMark/>
          </w:tcPr>
          <w:p w14:paraId="285B1B51"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4A33CD8A"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4060FC2D"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0,650</w:t>
            </w:r>
          </w:p>
        </w:tc>
        <w:tc>
          <w:tcPr>
            <w:tcW w:w="753" w:type="pct"/>
            <w:hideMark/>
          </w:tcPr>
          <w:p w14:paraId="63B72A6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0,896</w:t>
            </w:r>
          </w:p>
        </w:tc>
        <w:tc>
          <w:tcPr>
            <w:tcW w:w="1236" w:type="pct"/>
            <w:gridSpan w:val="2"/>
            <w:vMerge/>
            <w:hideMark/>
          </w:tcPr>
          <w:p w14:paraId="04E2AC61" w14:textId="77777777" w:rsidR="00277AC4" w:rsidRPr="00277AC4" w:rsidRDefault="00277AC4" w:rsidP="00277AC4">
            <w:pPr>
              <w:jc w:val="right"/>
              <w:rPr>
                <w:rFonts w:ascii="Times New Roman" w:eastAsia="Aptos" w:hAnsi="Times New Roman" w:cs="Times New Roman"/>
                <w:sz w:val="18"/>
                <w:szCs w:val="18"/>
              </w:rPr>
            </w:pPr>
          </w:p>
        </w:tc>
      </w:tr>
    </w:tbl>
    <w:p w14:paraId="2D06D241" w14:textId="77777777" w:rsidR="0000755E" w:rsidRDefault="0000755E"/>
    <w:p w14:paraId="59A7046A" w14:textId="75185FCC" w:rsidR="0000755E" w:rsidRPr="0000755E" w:rsidRDefault="0000755E">
      <w:pPr>
        <w:rPr>
          <w:rFonts w:ascii="Times New Roman" w:hAnsi="Times New Roman" w:cs="Times New Roman"/>
        </w:rPr>
      </w:pPr>
      <w:r w:rsidRPr="0000755E">
        <w:rPr>
          <w:rFonts w:ascii="Times New Roman" w:hAnsi="Times New Roman" w:cs="Times New Roman"/>
        </w:rPr>
        <w:lastRenderedPageBreak/>
        <w:t>c.d. tabeli</w:t>
      </w:r>
      <w:r w:rsidR="000238D9">
        <w:rPr>
          <w:rFonts w:ascii="Times New Roman" w:hAnsi="Times New Roman" w:cs="Times New Roman"/>
        </w:rPr>
        <w:t xml:space="preserve"> 12</w:t>
      </w:r>
    </w:p>
    <w:tbl>
      <w:tblPr>
        <w:tblStyle w:val="Tabela-Siatka"/>
        <w:tblpPr w:leftFromText="142" w:rightFromText="142" w:vertAnchor="text" w:horzAnchor="page" w:tblpXSpec="center" w:tblpY="1"/>
        <w:tblW w:w="4999" w:type="pct"/>
        <w:tblLook w:val="04A0" w:firstRow="1" w:lastRow="0" w:firstColumn="1" w:lastColumn="0" w:noHBand="0" w:noVBand="1"/>
      </w:tblPr>
      <w:tblGrid>
        <w:gridCol w:w="3553"/>
        <w:gridCol w:w="783"/>
        <w:gridCol w:w="1120"/>
        <w:gridCol w:w="1364"/>
        <w:gridCol w:w="1011"/>
        <w:gridCol w:w="1229"/>
      </w:tblGrid>
      <w:tr w:rsidR="00277AC4" w:rsidRPr="00277AC4" w14:paraId="34036423" w14:textId="77777777" w:rsidTr="00E80DDA">
        <w:tc>
          <w:tcPr>
            <w:tcW w:w="1961" w:type="pct"/>
            <w:hideMark/>
          </w:tcPr>
          <w:p w14:paraId="0254715F"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7C8DFD82"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6E4366AD"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0,631</w:t>
            </w:r>
          </w:p>
        </w:tc>
        <w:tc>
          <w:tcPr>
            <w:tcW w:w="753" w:type="pct"/>
            <w:hideMark/>
          </w:tcPr>
          <w:p w14:paraId="2AC6F4C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0,781</w:t>
            </w:r>
          </w:p>
        </w:tc>
        <w:tc>
          <w:tcPr>
            <w:tcW w:w="1236" w:type="pct"/>
            <w:gridSpan w:val="2"/>
            <w:vMerge w:val="restart"/>
            <w:hideMark/>
          </w:tcPr>
          <w:p w14:paraId="2DA87E56"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7F51F3C9" w14:textId="77777777" w:rsidTr="00E80DDA">
        <w:tc>
          <w:tcPr>
            <w:tcW w:w="1961" w:type="pct"/>
            <w:vMerge w:val="restart"/>
            <w:hideMark/>
          </w:tcPr>
          <w:p w14:paraId="012563B7"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Udział powierzchni upraw soi [%]</w:t>
            </w:r>
          </w:p>
        </w:tc>
        <w:tc>
          <w:tcPr>
            <w:tcW w:w="432" w:type="pct"/>
            <w:hideMark/>
          </w:tcPr>
          <w:p w14:paraId="126F2485"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4CD8CF45"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0,001</w:t>
            </w:r>
          </w:p>
        </w:tc>
        <w:tc>
          <w:tcPr>
            <w:tcW w:w="753" w:type="pct"/>
            <w:hideMark/>
          </w:tcPr>
          <w:p w14:paraId="34945DF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0,002</w:t>
            </w:r>
          </w:p>
        </w:tc>
        <w:tc>
          <w:tcPr>
            <w:tcW w:w="1236" w:type="pct"/>
            <w:gridSpan w:val="2"/>
            <w:vMerge/>
            <w:hideMark/>
          </w:tcPr>
          <w:p w14:paraId="3AE50733"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1E31D4AF" w14:textId="77777777" w:rsidTr="00E80DDA">
        <w:tc>
          <w:tcPr>
            <w:tcW w:w="1961" w:type="pct"/>
            <w:vMerge/>
            <w:hideMark/>
          </w:tcPr>
          <w:p w14:paraId="06025212"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22132D52"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54BE5FC8"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0,002</w:t>
            </w:r>
          </w:p>
        </w:tc>
        <w:tc>
          <w:tcPr>
            <w:tcW w:w="753" w:type="pct"/>
            <w:hideMark/>
          </w:tcPr>
          <w:p w14:paraId="266D4FF4"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0,004</w:t>
            </w:r>
          </w:p>
        </w:tc>
        <w:tc>
          <w:tcPr>
            <w:tcW w:w="1236" w:type="pct"/>
            <w:gridSpan w:val="2"/>
            <w:vMerge/>
            <w:hideMark/>
          </w:tcPr>
          <w:p w14:paraId="4AA10461"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6B899475" w14:textId="77777777" w:rsidTr="00E80DDA">
        <w:tc>
          <w:tcPr>
            <w:tcW w:w="1961" w:type="pct"/>
            <w:vMerge/>
            <w:hideMark/>
          </w:tcPr>
          <w:p w14:paraId="78B8F013"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69DEF313"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29200894"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0,001</w:t>
            </w:r>
          </w:p>
        </w:tc>
        <w:tc>
          <w:tcPr>
            <w:tcW w:w="753" w:type="pct"/>
            <w:hideMark/>
          </w:tcPr>
          <w:p w14:paraId="4CF5E61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0,002</w:t>
            </w:r>
          </w:p>
        </w:tc>
        <w:tc>
          <w:tcPr>
            <w:tcW w:w="1236" w:type="pct"/>
            <w:gridSpan w:val="2"/>
            <w:vMerge/>
            <w:hideMark/>
          </w:tcPr>
          <w:p w14:paraId="1088CF68" w14:textId="77777777" w:rsidR="00277AC4" w:rsidRPr="00277AC4" w:rsidRDefault="00277AC4" w:rsidP="00277AC4">
            <w:pPr>
              <w:jc w:val="right"/>
              <w:rPr>
                <w:rFonts w:ascii="Times New Roman" w:eastAsia="Aptos" w:hAnsi="Times New Roman" w:cs="Times New Roman"/>
                <w:sz w:val="18"/>
                <w:szCs w:val="18"/>
              </w:rPr>
            </w:pPr>
          </w:p>
        </w:tc>
      </w:tr>
      <w:tr w:rsidR="00277AC4" w:rsidRPr="00277AC4" w14:paraId="49BD2DF7" w14:textId="77777777" w:rsidTr="00E80DDA">
        <w:tc>
          <w:tcPr>
            <w:tcW w:w="1961" w:type="pct"/>
            <w:vMerge w:val="restart"/>
            <w:hideMark/>
          </w:tcPr>
          <w:p w14:paraId="181137E1"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Obszar nawadninany [ha]</w:t>
            </w:r>
          </w:p>
        </w:tc>
        <w:tc>
          <w:tcPr>
            <w:tcW w:w="432" w:type="pct"/>
            <w:hideMark/>
          </w:tcPr>
          <w:p w14:paraId="67997174"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04A24A4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2,761</w:t>
            </w:r>
          </w:p>
        </w:tc>
        <w:tc>
          <w:tcPr>
            <w:tcW w:w="753" w:type="pct"/>
            <w:hideMark/>
          </w:tcPr>
          <w:p w14:paraId="610774A8"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1,877</w:t>
            </w:r>
          </w:p>
        </w:tc>
        <w:tc>
          <w:tcPr>
            <w:tcW w:w="558" w:type="pct"/>
            <w:hideMark/>
          </w:tcPr>
          <w:p w14:paraId="7613311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0,604</w:t>
            </w:r>
          </w:p>
        </w:tc>
        <w:tc>
          <w:tcPr>
            <w:tcW w:w="678" w:type="pct"/>
            <w:hideMark/>
          </w:tcPr>
          <w:p w14:paraId="594F13F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0,990</w:t>
            </w:r>
          </w:p>
        </w:tc>
      </w:tr>
      <w:tr w:rsidR="00277AC4" w:rsidRPr="00277AC4" w14:paraId="2B444F19" w14:textId="77777777" w:rsidTr="00E80DDA">
        <w:tc>
          <w:tcPr>
            <w:tcW w:w="1961" w:type="pct"/>
            <w:vMerge/>
            <w:hideMark/>
          </w:tcPr>
          <w:p w14:paraId="79992AA7"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04064547"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7F9C6AF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2,531</w:t>
            </w:r>
          </w:p>
        </w:tc>
        <w:tc>
          <w:tcPr>
            <w:tcW w:w="753" w:type="pct"/>
            <w:hideMark/>
          </w:tcPr>
          <w:p w14:paraId="2EC06C15"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1,054</w:t>
            </w:r>
          </w:p>
        </w:tc>
        <w:tc>
          <w:tcPr>
            <w:tcW w:w="558" w:type="pct"/>
            <w:hideMark/>
          </w:tcPr>
          <w:p w14:paraId="26FF4044"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0,741</w:t>
            </w:r>
          </w:p>
        </w:tc>
        <w:tc>
          <w:tcPr>
            <w:tcW w:w="678" w:type="pct"/>
            <w:hideMark/>
          </w:tcPr>
          <w:p w14:paraId="295133FE"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1,807*</w:t>
            </w:r>
          </w:p>
        </w:tc>
      </w:tr>
      <w:tr w:rsidR="00277AC4" w:rsidRPr="00277AC4" w14:paraId="21C99411" w14:textId="77777777" w:rsidTr="00E80DDA">
        <w:tc>
          <w:tcPr>
            <w:tcW w:w="1961" w:type="pct"/>
            <w:vMerge/>
            <w:hideMark/>
          </w:tcPr>
          <w:p w14:paraId="769B31EB"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3AD6FB48"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6472DD2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− 0,230</w:t>
            </w:r>
          </w:p>
        </w:tc>
        <w:tc>
          <w:tcPr>
            <w:tcW w:w="753" w:type="pct"/>
            <w:hideMark/>
          </w:tcPr>
          <w:p w14:paraId="259C40B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− 0,823</w:t>
            </w:r>
          </w:p>
        </w:tc>
        <w:tc>
          <w:tcPr>
            <w:tcW w:w="558" w:type="pct"/>
            <w:hideMark/>
          </w:tcPr>
          <w:p w14:paraId="766BBB3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0,137</w:t>
            </w:r>
          </w:p>
        </w:tc>
        <w:tc>
          <w:tcPr>
            <w:tcW w:w="678" w:type="pct"/>
            <w:hideMark/>
          </w:tcPr>
          <w:p w14:paraId="1DFA2E2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0,817</w:t>
            </w:r>
          </w:p>
        </w:tc>
      </w:tr>
      <w:tr w:rsidR="00277AC4" w:rsidRPr="00277AC4" w14:paraId="018F825C" w14:textId="77777777" w:rsidTr="00E80DDA">
        <w:tc>
          <w:tcPr>
            <w:tcW w:w="1961" w:type="pct"/>
            <w:vMerge w:val="restart"/>
            <w:hideMark/>
          </w:tcPr>
          <w:p w14:paraId="4D421A5B"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Udział obszaru nawadninaego [%]</w:t>
            </w:r>
          </w:p>
        </w:tc>
        <w:tc>
          <w:tcPr>
            <w:tcW w:w="432" w:type="pct"/>
            <w:hideMark/>
          </w:tcPr>
          <w:p w14:paraId="7BF9E827"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3D4C0ADE"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− 0,024</w:t>
            </w:r>
          </w:p>
        </w:tc>
        <w:tc>
          <w:tcPr>
            <w:tcW w:w="753" w:type="pct"/>
            <w:hideMark/>
          </w:tcPr>
          <w:p w14:paraId="2949B34D"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− 0,030</w:t>
            </w:r>
          </w:p>
        </w:tc>
        <w:tc>
          <w:tcPr>
            <w:tcW w:w="558" w:type="pct"/>
            <w:hideMark/>
          </w:tcPr>
          <w:p w14:paraId="0B7063D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0,019</w:t>
            </w:r>
          </w:p>
        </w:tc>
        <w:tc>
          <w:tcPr>
            <w:tcW w:w="678" w:type="pct"/>
            <w:hideMark/>
          </w:tcPr>
          <w:p w14:paraId="71B32B4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0,025</w:t>
            </w:r>
          </w:p>
        </w:tc>
      </w:tr>
      <w:tr w:rsidR="00277AC4" w:rsidRPr="00277AC4" w14:paraId="7C4642D9" w14:textId="77777777" w:rsidTr="00E80DDA">
        <w:tc>
          <w:tcPr>
            <w:tcW w:w="1961" w:type="pct"/>
            <w:vMerge/>
            <w:hideMark/>
          </w:tcPr>
          <w:p w14:paraId="7988AECD"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0BA6F533"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1F1954C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− 0,017</w:t>
            </w:r>
          </w:p>
        </w:tc>
        <w:tc>
          <w:tcPr>
            <w:tcW w:w="753" w:type="pct"/>
            <w:hideMark/>
          </w:tcPr>
          <w:p w14:paraId="29D7544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− 0,026</w:t>
            </w:r>
          </w:p>
        </w:tc>
        <w:tc>
          <w:tcPr>
            <w:tcW w:w="558" w:type="pct"/>
            <w:hideMark/>
          </w:tcPr>
          <w:p w14:paraId="44C901C8"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− 0,003</w:t>
            </w:r>
          </w:p>
        </w:tc>
        <w:tc>
          <w:tcPr>
            <w:tcW w:w="678" w:type="pct"/>
            <w:hideMark/>
          </w:tcPr>
          <w:p w14:paraId="6E56354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0,017</w:t>
            </w:r>
          </w:p>
        </w:tc>
      </w:tr>
      <w:tr w:rsidR="00277AC4" w:rsidRPr="00277AC4" w14:paraId="05E4ECCB" w14:textId="77777777" w:rsidTr="00E80DDA">
        <w:tc>
          <w:tcPr>
            <w:tcW w:w="1961" w:type="pct"/>
            <w:vMerge/>
            <w:hideMark/>
          </w:tcPr>
          <w:p w14:paraId="2E7F743F"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6A9B60A3"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65D73F8E"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0,007</w:t>
            </w:r>
          </w:p>
        </w:tc>
        <w:tc>
          <w:tcPr>
            <w:tcW w:w="753" w:type="pct"/>
            <w:hideMark/>
          </w:tcPr>
          <w:p w14:paraId="0DAE0B7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0,004</w:t>
            </w:r>
          </w:p>
        </w:tc>
        <w:tc>
          <w:tcPr>
            <w:tcW w:w="558" w:type="pct"/>
            <w:hideMark/>
          </w:tcPr>
          <w:p w14:paraId="68FACF1C"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− 0,022</w:t>
            </w:r>
          </w:p>
        </w:tc>
        <w:tc>
          <w:tcPr>
            <w:tcW w:w="678" w:type="pct"/>
            <w:hideMark/>
          </w:tcPr>
          <w:p w14:paraId="78E8612D"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− 0,008</w:t>
            </w:r>
          </w:p>
        </w:tc>
      </w:tr>
      <w:tr w:rsidR="00277AC4" w:rsidRPr="00277AC4" w14:paraId="0DF5A14E" w14:textId="77777777" w:rsidTr="00E80DDA">
        <w:tc>
          <w:tcPr>
            <w:tcW w:w="1961" w:type="pct"/>
            <w:vMerge w:val="restart"/>
            <w:hideMark/>
          </w:tcPr>
          <w:p w14:paraId="3A5CDB86"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Uprawy paszowe [%]</w:t>
            </w:r>
          </w:p>
        </w:tc>
        <w:tc>
          <w:tcPr>
            <w:tcW w:w="432" w:type="pct"/>
            <w:hideMark/>
          </w:tcPr>
          <w:p w14:paraId="175E6ADD"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1C366931"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− 1,324</w:t>
            </w:r>
          </w:p>
        </w:tc>
        <w:tc>
          <w:tcPr>
            <w:tcW w:w="753" w:type="pct"/>
            <w:hideMark/>
          </w:tcPr>
          <w:p w14:paraId="6E6E4C8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− 1/328</w:t>
            </w:r>
          </w:p>
        </w:tc>
        <w:tc>
          <w:tcPr>
            <w:tcW w:w="558" w:type="pct"/>
            <w:hideMark/>
          </w:tcPr>
          <w:p w14:paraId="187A94B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0,257</w:t>
            </w:r>
          </w:p>
        </w:tc>
        <w:tc>
          <w:tcPr>
            <w:tcW w:w="678" w:type="pct"/>
            <w:hideMark/>
          </w:tcPr>
          <w:p w14:paraId="31A7D07A"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− 0,129</w:t>
            </w:r>
          </w:p>
        </w:tc>
      </w:tr>
      <w:tr w:rsidR="00277AC4" w:rsidRPr="00277AC4" w14:paraId="6F5E3029" w14:textId="77777777" w:rsidTr="00E80DDA">
        <w:tc>
          <w:tcPr>
            <w:tcW w:w="1961" w:type="pct"/>
            <w:vMerge/>
            <w:hideMark/>
          </w:tcPr>
          <w:p w14:paraId="2339DDAB"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7DF9A2AA"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6CE240C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− 0,145</w:t>
            </w:r>
          </w:p>
        </w:tc>
        <w:tc>
          <w:tcPr>
            <w:tcW w:w="753" w:type="pct"/>
            <w:hideMark/>
          </w:tcPr>
          <w:p w14:paraId="3EDBF73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2,094</w:t>
            </w:r>
          </w:p>
        </w:tc>
        <w:tc>
          <w:tcPr>
            <w:tcW w:w="558" w:type="pct"/>
            <w:hideMark/>
          </w:tcPr>
          <w:p w14:paraId="17A812F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0,448</w:t>
            </w:r>
          </w:p>
        </w:tc>
        <w:tc>
          <w:tcPr>
            <w:tcW w:w="678" w:type="pct"/>
            <w:hideMark/>
          </w:tcPr>
          <w:p w14:paraId="25EC254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0,128</w:t>
            </w:r>
          </w:p>
        </w:tc>
      </w:tr>
      <w:tr w:rsidR="00277AC4" w:rsidRPr="00277AC4" w14:paraId="35B6AC2B" w14:textId="77777777" w:rsidTr="00E80DDA">
        <w:tc>
          <w:tcPr>
            <w:tcW w:w="1961" w:type="pct"/>
            <w:vMerge/>
            <w:hideMark/>
          </w:tcPr>
          <w:p w14:paraId="0B6A9746"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133A0E02"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35381155"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1,179</w:t>
            </w:r>
          </w:p>
        </w:tc>
        <w:tc>
          <w:tcPr>
            <w:tcW w:w="753" w:type="pct"/>
            <w:hideMark/>
          </w:tcPr>
          <w:p w14:paraId="42FDC2F8"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3,422</w:t>
            </w:r>
          </w:p>
        </w:tc>
        <w:tc>
          <w:tcPr>
            <w:tcW w:w="558" w:type="pct"/>
            <w:hideMark/>
          </w:tcPr>
          <w:p w14:paraId="1C2D7CD0"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0,191</w:t>
            </w:r>
          </w:p>
        </w:tc>
        <w:tc>
          <w:tcPr>
            <w:tcW w:w="678" w:type="pct"/>
            <w:hideMark/>
          </w:tcPr>
          <w:p w14:paraId="1819ED70"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0,258</w:t>
            </w:r>
          </w:p>
        </w:tc>
      </w:tr>
      <w:tr w:rsidR="00277AC4" w:rsidRPr="00277AC4" w14:paraId="6CBEBF3E" w14:textId="77777777" w:rsidTr="00E80DDA">
        <w:tc>
          <w:tcPr>
            <w:tcW w:w="1961" w:type="pct"/>
            <w:vMerge w:val="restart"/>
            <w:hideMark/>
          </w:tcPr>
          <w:p w14:paraId="3BF7B63A"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Udział powierzchni upraw paszowych [%]</w:t>
            </w:r>
          </w:p>
        </w:tc>
        <w:tc>
          <w:tcPr>
            <w:tcW w:w="432" w:type="pct"/>
            <w:hideMark/>
          </w:tcPr>
          <w:p w14:paraId="2916A949"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656923AB"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− 0,017</w:t>
            </w:r>
          </w:p>
        </w:tc>
        <w:tc>
          <w:tcPr>
            <w:tcW w:w="753" w:type="pct"/>
            <w:hideMark/>
          </w:tcPr>
          <w:p w14:paraId="0D8A424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− 0,016</w:t>
            </w:r>
          </w:p>
        </w:tc>
        <w:tc>
          <w:tcPr>
            <w:tcW w:w="558" w:type="pct"/>
            <w:hideMark/>
          </w:tcPr>
          <w:p w14:paraId="0C1D212B"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0,018</w:t>
            </w:r>
          </w:p>
        </w:tc>
        <w:tc>
          <w:tcPr>
            <w:tcW w:w="678" w:type="pct"/>
            <w:hideMark/>
          </w:tcPr>
          <w:p w14:paraId="548E28C4"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0,008</w:t>
            </w:r>
          </w:p>
        </w:tc>
      </w:tr>
      <w:tr w:rsidR="00277AC4" w:rsidRPr="00277AC4" w14:paraId="7CE9DF89" w14:textId="77777777" w:rsidTr="00E80DDA">
        <w:tc>
          <w:tcPr>
            <w:tcW w:w="1961" w:type="pct"/>
            <w:vMerge/>
            <w:hideMark/>
          </w:tcPr>
          <w:p w14:paraId="6CBB97C5"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73BA5048"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4DA6D3C4"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− 0,010</w:t>
            </w:r>
          </w:p>
        </w:tc>
        <w:tc>
          <w:tcPr>
            <w:tcW w:w="753" w:type="pct"/>
            <w:hideMark/>
          </w:tcPr>
          <w:p w14:paraId="1416D88D"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0,013</w:t>
            </w:r>
          </w:p>
        </w:tc>
        <w:tc>
          <w:tcPr>
            <w:tcW w:w="558" w:type="pct"/>
            <w:hideMark/>
          </w:tcPr>
          <w:p w14:paraId="4B7E649A"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0,012</w:t>
            </w:r>
          </w:p>
        </w:tc>
        <w:tc>
          <w:tcPr>
            <w:tcW w:w="678" w:type="pct"/>
            <w:hideMark/>
          </w:tcPr>
          <w:p w14:paraId="4AE6377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0,002</w:t>
            </w:r>
          </w:p>
        </w:tc>
      </w:tr>
      <w:tr w:rsidR="00277AC4" w:rsidRPr="00277AC4" w14:paraId="2C8F1EA4" w14:textId="77777777" w:rsidTr="00E80DDA">
        <w:tc>
          <w:tcPr>
            <w:tcW w:w="1961" w:type="pct"/>
            <w:vMerge/>
            <w:hideMark/>
          </w:tcPr>
          <w:p w14:paraId="333183C8"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0D99509F"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4DB6A9B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0,008</w:t>
            </w:r>
          </w:p>
        </w:tc>
        <w:tc>
          <w:tcPr>
            <w:tcW w:w="753" w:type="pct"/>
            <w:hideMark/>
          </w:tcPr>
          <w:p w14:paraId="739AD0E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0,029</w:t>
            </w:r>
          </w:p>
        </w:tc>
        <w:tc>
          <w:tcPr>
            <w:tcW w:w="558" w:type="pct"/>
            <w:hideMark/>
          </w:tcPr>
          <w:p w14:paraId="154C7FC4"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− 0,005</w:t>
            </w:r>
          </w:p>
        </w:tc>
        <w:tc>
          <w:tcPr>
            <w:tcW w:w="678" w:type="pct"/>
            <w:hideMark/>
          </w:tcPr>
          <w:p w14:paraId="32CE39E0"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− 0,006</w:t>
            </w:r>
          </w:p>
        </w:tc>
      </w:tr>
      <w:tr w:rsidR="00277AC4" w:rsidRPr="00277AC4" w14:paraId="6ED59B88" w14:textId="77777777" w:rsidTr="00E80DDA">
        <w:tc>
          <w:tcPr>
            <w:tcW w:w="1961" w:type="pct"/>
            <w:vMerge w:val="restart"/>
            <w:hideMark/>
          </w:tcPr>
          <w:p w14:paraId="0997525F"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Grunty ugrowane [%]</w:t>
            </w:r>
          </w:p>
        </w:tc>
        <w:tc>
          <w:tcPr>
            <w:tcW w:w="432" w:type="pct"/>
            <w:hideMark/>
          </w:tcPr>
          <w:p w14:paraId="0D3FC35B"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6236406A"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4,391*</w:t>
            </w:r>
          </w:p>
        </w:tc>
        <w:tc>
          <w:tcPr>
            <w:tcW w:w="753" w:type="pct"/>
            <w:hideMark/>
          </w:tcPr>
          <w:p w14:paraId="565211DA"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5,231*</w:t>
            </w:r>
          </w:p>
        </w:tc>
        <w:tc>
          <w:tcPr>
            <w:tcW w:w="558" w:type="pct"/>
            <w:hideMark/>
          </w:tcPr>
          <w:p w14:paraId="2583AEE4"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− 0,544</w:t>
            </w:r>
          </w:p>
        </w:tc>
        <w:tc>
          <w:tcPr>
            <w:tcW w:w="678" w:type="pct"/>
            <w:hideMark/>
          </w:tcPr>
          <w:p w14:paraId="47D91A5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− 0,088</w:t>
            </w:r>
          </w:p>
        </w:tc>
      </w:tr>
      <w:tr w:rsidR="00277AC4" w:rsidRPr="00277AC4" w14:paraId="0E0194EB" w14:textId="77777777" w:rsidTr="00E80DDA">
        <w:tc>
          <w:tcPr>
            <w:tcW w:w="1961" w:type="pct"/>
            <w:vMerge/>
            <w:hideMark/>
          </w:tcPr>
          <w:p w14:paraId="13BC9543"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44B6F1B3"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3963290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3,605</w:t>
            </w:r>
          </w:p>
        </w:tc>
        <w:tc>
          <w:tcPr>
            <w:tcW w:w="753" w:type="pct"/>
            <w:hideMark/>
          </w:tcPr>
          <w:p w14:paraId="2C29086C"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2,920</w:t>
            </w:r>
          </w:p>
        </w:tc>
        <w:tc>
          <w:tcPr>
            <w:tcW w:w="558" w:type="pct"/>
            <w:hideMark/>
          </w:tcPr>
          <w:p w14:paraId="3D34D0C8"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0,912</w:t>
            </w:r>
          </w:p>
        </w:tc>
        <w:tc>
          <w:tcPr>
            <w:tcW w:w="678" w:type="pct"/>
            <w:hideMark/>
          </w:tcPr>
          <w:p w14:paraId="2E3A4F51"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1,633***</w:t>
            </w:r>
          </w:p>
        </w:tc>
      </w:tr>
      <w:tr w:rsidR="00277AC4" w:rsidRPr="00277AC4" w14:paraId="061F120E" w14:textId="77777777" w:rsidTr="00E80DDA">
        <w:tc>
          <w:tcPr>
            <w:tcW w:w="1961" w:type="pct"/>
            <w:vMerge/>
            <w:hideMark/>
          </w:tcPr>
          <w:p w14:paraId="6DBAC194"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30A12C2C"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322872EB"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− 0,786</w:t>
            </w:r>
          </w:p>
        </w:tc>
        <w:tc>
          <w:tcPr>
            <w:tcW w:w="753" w:type="pct"/>
            <w:hideMark/>
          </w:tcPr>
          <w:p w14:paraId="54CD808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− 2,311</w:t>
            </w:r>
          </w:p>
        </w:tc>
        <w:tc>
          <w:tcPr>
            <w:tcW w:w="558" w:type="pct"/>
            <w:hideMark/>
          </w:tcPr>
          <w:p w14:paraId="6AC8AF1B"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1,456</w:t>
            </w:r>
          </w:p>
        </w:tc>
        <w:tc>
          <w:tcPr>
            <w:tcW w:w="678" w:type="pct"/>
            <w:hideMark/>
          </w:tcPr>
          <w:p w14:paraId="2FF2868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1,721***</w:t>
            </w:r>
          </w:p>
        </w:tc>
      </w:tr>
      <w:tr w:rsidR="00277AC4" w:rsidRPr="00277AC4" w14:paraId="58CD9CCA" w14:textId="77777777" w:rsidTr="00E80DDA">
        <w:tc>
          <w:tcPr>
            <w:tcW w:w="1961" w:type="pct"/>
            <w:vMerge w:val="restart"/>
            <w:hideMark/>
          </w:tcPr>
          <w:p w14:paraId="71045AFB"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Udział gruntów ugorowanych [%]</w:t>
            </w:r>
          </w:p>
        </w:tc>
        <w:tc>
          <w:tcPr>
            <w:tcW w:w="432" w:type="pct"/>
            <w:hideMark/>
          </w:tcPr>
          <w:p w14:paraId="4F233C5B"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15CF3B90"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0,07</w:t>
            </w:r>
          </w:p>
        </w:tc>
        <w:tc>
          <w:tcPr>
            <w:tcW w:w="753" w:type="pct"/>
            <w:hideMark/>
          </w:tcPr>
          <w:p w14:paraId="4A2CC83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0,016*</w:t>
            </w:r>
          </w:p>
        </w:tc>
        <w:tc>
          <w:tcPr>
            <w:tcW w:w="558" w:type="pct"/>
            <w:hideMark/>
          </w:tcPr>
          <w:p w14:paraId="330AF6EC"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− 0,011</w:t>
            </w:r>
          </w:p>
        </w:tc>
        <w:tc>
          <w:tcPr>
            <w:tcW w:w="678" w:type="pct"/>
            <w:hideMark/>
          </w:tcPr>
          <w:p w14:paraId="46AF9400"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− 0,002</w:t>
            </w:r>
          </w:p>
        </w:tc>
      </w:tr>
      <w:tr w:rsidR="00277AC4" w:rsidRPr="00277AC4" w14:paraId="56280431" w14:textId="77777777" w:rsidTr="00E80DDA">
        <w:tc>
          <w:tcPr>
            <w:tcW w:w="1961" w:type="pct"/>
            <w:vMerge/>
            <w:hideMark/>
          </w:tcPr>
          <w:p w14:paraId="6304D496"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4B5C6B36"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3389E5F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0,000</w:t>
            </w:r>
          </w:p>
        </w:tc>
        <w:tc>
          <w:tcPr>
            <w:tcW w:w="753" w:type="pct"/>
            <w:hideMark/>
          </w:tcPr>
          <w:p w14:paraId="4C47E50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0,001</w:t>
            </w:r>
          </w:p>
        </w:tc>
        <w:tc>
          <w:tcPr>
            <w:tcW w:w="558" w:type="pct"/>
            <w:hideMark/>
          </w:tcPr>
          <w:p w14:paraId="7D2B505B"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0,010</w:t>
            </w:r>
          </w:p>
        </w:tc>
        <w:tc>
          <w:tcPr>
            <w:tcW w:w="678" w:type="pct"/>
            <w:hideMark/>
          </w:tcPr>
          <w:p w14:paraId="01B6A015"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0,030***</w:t>
            </w:r>
          </w:p>
        </w:tc>
      </w:tr>
      <w:tr w:rsidR="00277AC4" w:rsidRPr="00277AC4" w14:paraId="59492684" w14:textId="77777777" w:rsidTr="00E80DDA">
        <w:tc>
          <w:tcPr>
            <w:tcW w:w="1961" w:type="pct"/>
            <w:vMerge/>
            <w:hideMark/>
          </w:tcPr>
          <w:p w14:paraId="5835BF57"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20FA60E5"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4064076F"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− 0,007</w:t>
            </w:r>
          </w:p>
        </w:tc>
        <w:tc>
          <w:tcPr>
            <w:tcW w:w="753" w:type="pct"/>
            <w:hideMark/>
          </w:tcPr>
          <w:p w14:paraId="587E09C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− 0,015</w:t>
            </w:r>
          </w:p>
        </w:tc>
        <w:tc>
          <w:tcPr>
            <w:tcW w:w="558" w:type="pct"/>
            <w:hideMark/>
          </w:tcPr>
          <w:p w14:paraId="764A436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0,021</w:t>
            </w:r>
          </w:p>
        </w:tc>
        <w:tc>
          <w:tcPr>
            <w:tcW w:w="678" w:type="pct"/>
            <w:hideMark/>
          </w:tcPr>
          <w:p w14:paraId="1A08A90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0,032**</w:t>
            </w:r>
          </w:p>
        </w:tc>
      </w:tr>
      <w:tr w:rsidR="00277AC4" w:rsidRPr="00277AC4" w14:paraId="6C164447" w14:textId="77777777" w:rsidTr="00E80DDA">
        <w:tc>
          <w:tcPr>
            <w:tcW w:w="1961" w:type="pct"/>
            <w:vMerge w:val="restart"/>
            <w:hideMark/>
          </w:tcPr>
          <w:p w14:paraId="66577FE6"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Wskaźni Herfindahla [-]</w:t>
            </w:r>
          </w:p>
        </w:tc>
        <w:tc>
          <w:tcPr>
            <w:tcW w:w="432" w:type="pct"/>
            <w:hideMark/>
          </w:tcPr>
          <w:p w14:paraId="45D2949D"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p>
        </w:tc>
        <w:tc>
          <w:tcPr>
            <w:tcW w:w="618" w:type="pct"/>
            <w:hideMark/>
          </w:tcPr>
          <w:p w14:paraId="3A9C20C1"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0,030</w:t>
            </w:r>
          </w:p>
        </w:tc>
        <w:tc>
          <w:tcPr>
            <w:tcW w:w="753" w:type="pct"/>
            <w:hideMark/>
          </w:tcPr>
          <w:p w14:paraId="12A15E2A"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0,020</w:t>
            </w:r>
          </w:p>
        </w:tc>
        <w:tc>
          <w:tcPr>
            <w:tcW w:w="558" w:type="pct"/>
            <w:hideMark/>
          </w:tcPr>
          <w:p w14:paraId="53A620C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− 0,058</w:t>
            </w:r>
          </w:p>
        </w:tc>
        <w:tc>
          <w:tcPr>
            <w:tcW w:w="678" w:type="pct"/>
            <w:hideMark/>
          </w:tcPr>
          <w:p w14:paraId="2743B8D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− 0,000</w:t>
            </w:r>
          </w:p>
        </w:tc>
      </w:tr>
      <w:tr w:rsidR="00277AC4" w:rsidRPr="00277AC4" w14:paraId="0B9F72AB" w14:textId="77777777" w:rsidTr="00E80DDA">
        <w:tc>
          <w:tcPr>
            <w:tcW w:w="1961" w:type="pct"/>
            <w:vMerge/>
            <w:hideMark/>
          </w:tcPr>
          <w:p w14:paraId="2D463887"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79F359B2"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α</w:t>
            </w:r>
            <w:r w:rsidRPr="00277AC4">
              <w:rPr>
                <w:rFonts w:ascii="Times New Roman" w:eastAsia="Aptos" w:hAnsi="Times New Roman" w:cs="Times New Roman"/>
                <w:sz w:val="18"/>
                <w:szCs w:val="18"/>
              </w:rPr>
              <w:t> + </w:t>
            </w:r>
            <w:r w:rsidRPr="00277AC4">
              <w:rPr>
                <w:rFonts w:ascii="Times New Roman" w:eastAsia="Aptos" w:hAnsi="Times New Roman" w:cs="Times New Roman"/>
                <w:i/>
                <w:iCs/>
                <w:sz w:val="18"/>
                <w:szCs w:val="18"/>
              </w:rPr>
              <w:t>δ</w:t>
            </w:r>
          </w:p>
        </w:tc>
        <w:tc>
          <w:tcPr>
            <w:tcW w:w="618" w:type="pct"/>
            <w:hideMark/>
          </w:tcPr>
          <w:p w14:paraId="07C50CE2"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0,042</w:t>
            </w:r>
          </w:p>
        </w:tc>
        <w:tc>
          <w:tcPr>
            <w:tcW w:w="753" w:type="pct"/>
            <w:hideMark/>
          </w:tcPr>
          <w:p w14:paraId="2D8C007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0,028</w:t>
            </w:r>
          </w:p>
        </w:tc>
        <w:tc>
          <w:tcPr>
            <w:tcW w:w="558" w:type="pct"/>
            <w:hideMark/>
          </w:tcPr>
          <w:p w14:paraId="6EFA77D8"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− 0,092</w:t>
            </w:r>
          </w:p>
        </w:tc>
        <w:tc>
          <w:tcPr>
            <w:tcW w:w="678" w:type="pct"/>
            <w:hideMark/>
          </w:tcPr>
          <w:p w14:paraId="19D49687"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− 0,306***</w:t>
            </w:r>
          </w:p>
        </w:tc>
      </w:tr>
      <w:tr w:rsidR="00277AC4" w:rsidRPr="00277AC4" w14:paraId="21A75A62" w14:textId="77777777" w:rsidTr="00E80DDA">
        <w:trPr>
          <w:trHeight w:val="380"/>
        </w:trPr>
        <w:tc>
          <w:tcPr>
            <w:tcW w:w="1961" w:type="pct"/>
            <w:vMerge/>
            <w:hideMark/>
          </w:tcPr>
          <w:p w14:paraId="7EFEB161" w14:textId="77777777" w:rsidR="00277AC4" w:rsidRPr="00277AC4" w:rsidRDefault="00277AC4" w:rsidP="00277AC4">
            <w:pPr>
              <w:rPr>
                <w:rFonts w:ascii="Times New Roman" w:eastAsia="Aptos" w:hAnsi="Times New Roman" w:cs="Times New Roman"/>
                <w:sz w:val="18"/>
                <w:szCs w:val="18"/>
              </w:rPr>
            </w:pPr>
          </w:p>
        </w:tc>
        <w:tc>
          <w:tcPr>
            <w:tcW w:w="432" w:type="pct"/>
            <w:hideMark/>
          </w:tcPr>
          <w:p w14:paraId="0BE7DD56"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i/>
                <w:iCs/>
                <w:sz w:val="18"/>
                <w:szCs w:val="18"/>
              </w:rPr>
              <w:t>δ</w:t>
            </w:r>
          </w:p>
        </w:tc>
        <w:tc>
          <w:tcPr>
            <w:tcW w:w="618" w:type="pct"/>
            <w:hideMark/>
          </w:tcPr>
          <w:p w14:paraId="5922F2E6"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0,012</w:t>
            </w:r>
          </w:p>
        </w:tc>
        <w:tc>
          <w:tcPr>
            <w:tcW w:w="753" w:type="pct"/>
            <w:hideMark/>
          </w:tcPr>
          <w:p w14:paraId="2CCD4669"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0,008</w:t>
            </w:r>
          </w:p>
        </w:tc>
        <w:tc>
          <w:tcPr>
            <w:tcW w:w="558" w:type="pct"/>
            <w:hideMark/>
          </w:tcPr>
          <w:p w14:paraId="5A12F05A"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− 0,034</w:t>
            </w:r>
          </w:p>
        </w:tc>
        <w:tc>
          <w:tcPr>
            <w:tcW w:w="678" w:type="pct"/>
            <w:hideMark/>
          </w:tcPr>
          <w:p w14:paraId="239B8E1B"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− 0,306***</w:t>
            </w:r>
          </w:p>
        </w:tc>
      </w:tr>
      <w:tr w:rsidR="00277AC4" w:rsidRPr="00277AC4" w14:paraId="05A5A22B" w14:textId="77777777" w:rsidTr="00E80DDA">
        <w:tc>
          <w:tcPr>
            <w:tcW w:w="1961" w:type="pct"/>
          </w:tcPr>
          <w:p w14:paraId="2C431A66" w14:textId="77777777" w:rsidR="00277AC4" w:rsidRPr="00277AC4" w:rsidRDefault="00277AC4" w:rsidP="00277AC4">
            <w:pPr>
              <w:rPr>
                <w:rFonts w:ascii="Times New Roman" w:eastAsia="Aptos" w:hAnsi="Times New Roman" w:cs="Times New Roman"/>
                <w:sz w:val="18"/>
                <w:szCs w:val="18"/>
              </w:rPr>
            </w:pPr>
            <w:r w:rsidRPr="00277AC4">
              <w:rPr>
                <w:rFonts w:ascii="Times New Roman" w:eastAsia="Aptos" w:hAnsi="Times New Roman" w:cs="Times New Roman"/>
                <w:sz w:val="18"/>
                <w:szCs w:val="18"/>
              </w:rPr>
              <w:t>Liczba obserwacji [-]</w:t>
            </w:r>
          </w:p>
        </w:tc>
        <w:tc>
          <w:tcPr>
            <w:tcW w:w="432" w:type="pct"/>
          </w:tcPr>
          <w:p w14:paraId="255888C2" w14:textId="77777777" w:rsidR="00277AC4" w:rsidRPr="00277AC4" w:rsidRDefault="00277AC4" w:rsidP="00277AC4">
            <w:pPr>
              <w:rPr>
                <w:rFonts w:ascii="Times New Roman" w:eastAsia="Aptos" w:hAnsi="Times New Roman" w:cs="Times New Roman"/>
                <w:i/>
                <w:iCs/>
                <w:sz w:val="18"/>
                <w:szCs w:val="18"/>
              </w:rPr>
            </w:pPr>
          </w:p>
        </w:tc>
        <w:tc>
          <w:tcPr>
            <w:tcW w:w="618" w:type="pct"/>
          </w:tcPr>
          <w:p w14:paraId="50833BD0"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349</w:t>
            </w:r>
          </w:p>
        </w:tc>
        <w:tc>
          <w:tcPr>
            <w:tcW w:w="753" w:type="pct"/>
          </w:tcPr>
          <w:p w14:paraId="559A8363"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321</w:t>
            </w:r>
          </w:p>
        </w:tc>
        <w:tc>
          <w:tcPr>
            <w:tcW w:w="558" w:type="pct"/>
          </w:tcPr>
          <w:p w14:paraId="23AF4B3A"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686</w:t>
            </w:r>
          </w:p>
        </w:tc>
        <w:tc>
          <w:tcPr>
            <w:tcW w:w="678" w:type="pct"/>
          </w:tcPr>
          <w:p w14:paraId="16E5B6E1" w14:textId="77777777" w:rsidR="00277AC4" w:rsidRPr="00277AC4" w:rsidRDefault="00277AC4" w:rsidP="00277AC4">
            <w:pPr>
              <w:jc w:val="right"/>
              <w:rPr>
                <w:rFonts w:ascii="Times New Roman" w:eastAsia="Aptos" w:hAnsi="Times New Roman" w:cs="Times New Roman"/>
                <w:sz w:val="18"/>
                <w:szCs w:val="18"/>
              </w:rPr>
            </w:pPr>
            <w:r w:rsidRPr="00277AC4">
              <w:rPr>
                <w:rFonts w:ascii="Times New Roman" w:eastAsia="Aptos" w:hAnsi="Times New Roman" w:cs="Times New Roman"/>
                <w:sz w:val="18"/>
                <w:szCs w:val="18"/>
              </w:rPr>
              <w:t>645</w:t>
            </w:r>
          </w:p>
        </w:tc>
      </w:tr>
    </w:tbl>
    <w:p w14:paraId="3E4B0996" w14:textId="77777777" w:rsidR="00277AC4" w:rsidRPr="00277AC4" w:rsidRDefault="00277AC4" w:rsidP="00277AC4">
      <w:pPr>
        <w:spacing w:after="0" w:line="259" w:lineRule="auto"/>
        <w:jc w:val="both"/>
        <w:rPr>
          <w:rFonts w:ascii="Times New Roman" w:eastAsia="Aptos" w:hAnsi="Times New Roman" w:cs="Times New Roman"/>
          <w:sz w:val="22"/>
          <w:szCs w:val="22"/>
        </w:rPr>
      </w:pPr>
      <w:r w:rsidRPr="00277AC4">
        <w:rPr>
          <w:rFonts w:ascii="Times New Roman" w:eastAsia="Aptos" w:hAnsi="Times New Roman" w:cs="Times New Roman"/>
          <w:sz w:val="22"/>
          <w:szCs w:val="22"/>
        </w:rPr>
        <w:t>Objaśnienie: *, ** i *** oznaczają odpowiednio istotność na poziomie 10%, 5% i 1%;  α jest średnią różnicą zmiennej zależnej  w 2008 r. w grupie  badanej (TG) i grupie kontrolnej (CG), δ to  ATE, α + δ można interpretować jako średnią różnicę między średnią zmienną zależną w grupie badawczej i kontrolnej  w 2012 r.</w:t>
      </w:r>
    </w:p>
    <w:bookmarkEnd w:id="43"/>
    <w:p w14:paraId="5FBBA1A6" w14:textId="77777777" w:rsidR="00277AC4" w:rsidRPr="00E226AA" w:rsidRDefault="00277AC4" w:rsidP="00277AC4">
      <w:pPr>
        <w:spacing w:after="0" w:line="259" w:lineRule="auto"/>
        <w:jc w:val="both"/>
        <w:rPr>
          <w:rFonts w:ascii="Times New Roman" w:eastAsia="Aptos" w:hAnsi="Times New Roman" w:cs="Times New Roman"/>
          <w:i/>
          <w:iCs/>
        </w:rPr>
      </w:pPr>
      <w:r w:rsidRPr="00E226AA">
        <w:rPr>
          <w:rFonts w:ascii="Times New Roman" w:eastAsia="Aptos" w:hAnsi="Times New Roman" w:cs="Times New Roman"/>
          <w:i/>
          <w:iCs/>
        </w:rPr>
        <w:t>Źródło: Enjloras i Aubert (2020).</w:t>
      </w:r>
    </w:p>
    <w:p w14:paraId="3C353532" w14:textId="77777777" w:rsidR="00277AC4" w:rsidRPr="00277AC4" w:rsidRDefault="00277AC4" w:rsidP="00277AC4">
      <w:pPr>
        <w:spacing w:line="259" w:lineRule="auto"/>
        <w:rPr>
          <w:rFonts w:ascii="Times New Roman" w:eastAsia="Aptos" w:hAnsi="Times New Roman" w:cs="Times New Roman"/>
          <w:sz w:val="28"/>
          <w:szCs w:val="28"/>
        </w:rPr>
      </w:pPr>
      <w:r w:rsidRPr="00277AC4">
        <w:rPr>
          <w:rFonts w:ascii="Times New Roman" w:eastAsia="Aptos" w:hAnsi="Times New Roman" w:cs="Times New Roman"/>
          <w:sz w:val="28"/>
          <w:szCs w:val="28"/>
        </w:rPr>
        <w:br w:type="page"/>
      </w:r>
    </w:p>
    <w:p w14:paraId="60469B79" w14:textId="38309EA6" w:rsidR="00277AC4" w:rsidRPr="00277AC4" w:rsidRDefault="00277AC4" w:rsidP="00277AC4">
      <w:pPr>
        <w:pStyle w:val="Akapitzlist"/>
        <w:numPr>
          <w:ilvl w:val="1"/>
          <w:numId w:val="57"/>
        </w:numPr>
        <w:spacing w:line="259" w:lineRule="auto"/>
        <w:jc w:val="both"/>
        <w:rPr>
          <w:rFonts w:ascii="Times New Roman" w:eastAsia="Aptos" w:hAnsi="Times New Roman" w:cs="Times New Roman"/>
          <w:b/>
          <w:bCs/>
          <w:sz w:val="28"/>
          <w:szCs w:val="28"/>
        </w:rPr>
      </w:pPr>
      <w:r w:rsidRPr="00277AC4">
        <w:rPr>
          <w:rFonts w:ascii="Times New Roman" w:eastAsia="Aptos" w:hAnsi="Times New Roman" w:cs="Times New Roman"/>
          <w:b/>
          <w:bCs/>
          <w:sz w:val="28"/>
          <w:szCs w:val="28"/>
        </w:rPr>
        <w:lastRenderedPageBreak/>
        <w:t>Typowe wydruki estymacji</w:t>
      </w:r>
    </w:p>
    <w:p w14:paraId="0FC768C5" w14:textId="01E1E964" w:rsidR="00277AC4" w:rsidRPr="00277AC4" w:rsidRDefault="00277AC4" w:rsidP="00277AC4">
      <w:pPr>
        <w:spacing w:line="259" w:lineRule="auto"/>
        <w:jc w:val="both"/>
        <w:rPr>
          <w:rFonts w:ascii="Courier New" w:eastAsia="Aptos" w:hAnsi="Courier New" w:cs="Courier New"/>
          <w:sz w:val="28"/>
          <w:szCs w:val="28"/>
        </w:rPr>
      </w:pPr>
      <w:r w:rsidRPr="00277AC4">
        <w:rPr>
          <w:rFonts w:ascii="Times New Roman" w:eastAsia="Aptos" w:hAnsi="Times New Roman" w:cs="Times New Roman"/>
          <w:sz w:val="28"/>
          <w:szCs w:val="28"/>
        </w:rPr>
        <w:t xml:space="preserve">W ramkach </w:t>
      </w:r>
      <w:r w:rsidR="00FA5FDB">
        <w:rPr>
          <w:rFonts w:ascii="Times New Roman" w:eastAsia="Aptos" w:hAnsi="Times New Roman" w:cs="Times New Roman"/>
          <w:sz w:val="28"/>
          <w:szCs w:val="28"/>
        </w:rPr>
        <w:t>8</w:t>
      </w:r>
      <w:r w:rsidRPr="00277AC4">
        <w:rPr>
          <w:rFonts w:ascii="Times New Roman" w:eastAsia="Aptos" w:hAnsi="Times New Roman" w:cs="Times New Roman"/>
          <w:sz w:val="28"/>
          <w:szCs w:val="28"/>
        </w:rPr>
        <w:t>-</w:t>
      </w:r>
      <w:r w:rsidR="00FA5FDB">
        <w:rPr>
          <w:rFonts w:ascii="Times New Roman" w:eastAsia="Aptos" w:hAnsi="Times New Roman" w:cs="Times New Roman"/>
          <w:sz w:val="28"/>
          <w:szCs w:val="28"/>
        </w:rPr>
        <w:t>10</w:t>
      </w:r>
      <w:r w:rsidRPr="00277AC4">
        <w:rPr>
          <w:rFonts w:ascii="Times New Roman" w:eastAsia="Aptos" w:hAnsi="Times New Roman" w:cs="Times New Roman"/>
          <w:sz w:val="28"/>
          <w:szCs w:val="28"/>
        </w:rPr>
        <w:t xml:space="preserve"> przedstawiono procedury prowadzące do estymacji  PSM-DID odpowiednio w programie R, pakiecie STATA i języku Python. Należy zauważyć, że w R niezbędne jest wykorzystanie pakietów </w:t>
      </w:r>
      <w:r w:rsidRPr="00277AC4">
        <w:rPr>
          <w:rFonts w:ascii="Courier New" w:eastAsia="Aptos" w:hAnsi="Courier New" w:cs="Courier New"/>
          <w:sz w:val="28"/>
          <w:szCs w:val="28"/>
        </w:rPr>
        <w:t xml:space="preserve">dplyr </w:t>
      </w:r>
      <w:r w:rsidRPr="00277AC4">
        <w:rPr>
          <w:rFonts w:ascii="Times New Roman" w:eastAsia="Aptos" w:hAnsi="Times New Roman" w:cs="Times New Roman"/>
          <w:sz w:val="28"/>
          <w:szCs w:val="28"/>
        </w:rPr>
        <w:t xml:space="preserve">i </w:t>
      </w:r>
      <w:r w:rsidRPr="00277AC4">
        <w:rPr>
          <w:rFonts w:ascii="Courier New" w:eastAsia="Aptos" w:hAnsi="Courier New" w:cs="Courier New"/>
          <w:sz w:val="28"/>
          <w:szCs w:val="28"/>
        </w:rPr>
        <w:t>twang,</w:t>
      </w:r>
      <w:r w:rsidRPr="00277AC4">
        <w:rPr>
          <w:rFonts w:ascii="Times New Roman" w:eastAsia="Aptos" w:hAnsi="Times New Roman" w:cs="Times New Roman"/>
          <w:sz w:val="28"/>
          <w:szCs w:val="28"/>
        </w:rPr>
        <w:t xml:space="preserve"> w STATA – </w:t>
      </w:r>
      <w:r w:rsidRPr="00277AC4">
        <w:rPr>
          <w:rFonts w:ascii="Courier New" w:eastAsia="Aptos" w:hAnsi="Courier New" w:cs="Courier New"/>
          <w:sz w:val="28"/>
          <w:szCs w:val="28"/>
        </w:rPr>
        <w:t>psmatch2.</w:t>
      </w:r>
    </w:p>
    <w:p w14:paraId="700B120C" w14:textId="0DEBFF37" w:rsidR="00277AC4" w:rsidRPr="00277AC4" w:rsidRDefault="00277AC4" w:rsidP="00277AC4">
      <w:pPr>
        <w:spacing w:line="259" w:lineRule="auto"/>
        <w:jc w:val="both"/>
        <w:rPr>
          <w:rFonts w:ascii="Times New Roman" w:eastAsia="Aptos" w:hAnsi="Times New Roman" w:cs="Times New Roman"/>
        </w:rPr>
      </w:pPr>
      <w:r w:rsidRPr="00E226AA">
        <w:rPr>
          <w:rFonts w:ascii="Times New Roman" w:eastAsia="Aptos" w:hAnsi="Times New Roman" w:cs="Times New Roman"/>
          <w:b/>
          <w:bCs/>
        </w:rPr>
        <w:t xml:space="preserve">Ramka </w:t>
      </w:r>
      <w:r w:rsidR="00FA5FDB">
        <w:rPr>
          <w:rFonts w:ascii="Times New Roman" w:eastAsia="Aptos" w:hAnsi="Times New Roman" w:cs="Times New Roman"/>
          <w:b/>
          <w:bCs/>
        </w:rPr>
        <w:t>8</w:t>
      </w:r>
      <w:r w:rsidRPr="00E226AA">
        <w:rPr>
          <w:rFonts w:ascii="Times New Roman" w:eastAsia="Aptos" w:hAnsi="Times New Roman" w:cs="Times New Roman"/>
          <w:b/>
          <w:bCs/>
        </w:rPr>
        <w:t>.</w:t>
      </w:r>
      <w:r w:rsidRPr="00277AC4">
        <w:rPr>
          <w:rFonts w:ascii="Times New Roman" w:eastAsia="Aptos" w:hAnsi="Times New Roman" w:cs="Times New Roman"/>
        </w:rPr>
        <w:t xml:space="preserve">  Algorytm  prowadzący do estymacji PSM-DID – wydruk komend dla programu R</w:t>
      </w:r>
    </w:p>
    <w:tbl>
      <w:tblPr>
        <w:tblStyle w:val="Tabela-Siatka"/>
        <w:tblW w:w="0" w:type="auto"/>
        <w:shd w:val="clear" w:color="auto" w:fill="F2F2F2"/>
        <w:tblLook w:val="04A0" w:firstRow="1" w:lastRow="0" w:firstColumn="1" w:lastColumn="0" w:noHBand="0" w:noVBand="1"/>
      </w:tblPr>
      <w:tblGrid>
        <w:gridCol w:w="9062"/>
      </w:tblGrid>
      <w:tr w:rsidR="00277AC4" w:rsidRPr="007656FE" w14:paraId="53C66164" w14:textId="77777777" w:rsidTr="00277AC4">
        <w:tc>
          <w:tcPr>
            <w:tcW w:w="9062" w:type="dxa"/>
            <w:shd w:val="clear" w:color="auto" w:fill="F2F2F2"/>
          </w:tcPr>
          <w:p w14:paraId="73C0574F"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 Load necessary packages</w:t>
            </w:r>
          </w:p>
          <w:p w14:paraId="34E262C4"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library(dplyr)</w:t>
            </w:r>
          </w:p>
          <w:p w14:paraId="6BF3D6C9"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library(twang)</w:t>
            </w:r>
          </w:p>
          <w:p w14:paraId="0483D835" w14:textId="77777777" w:rsidR="00277AC4" w:rsidRPr="00277AC4" w:rsidRDefault="00277AC4" w:rsidP="00277AC4">
            <w:pPr>
              <w:rPr>
                <w:rFonts w:ascii="Courier New" w:eastAsia="Aptos" w:hAnsi="Courier New" w:cs="Courier New"/>
                <w:sz w:val="20"/>
                <w:szCs w:val="20"/>
                <w:lang w:val="en-GB"/>
              </w:rPr>
            </w:pPr>
          </w:p>
          <w:p w14:paraId="510A0E0B"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 Load data</w:t>
            </w:r>
          </w:p>
          <w:p w14:paraId="09C99CF5"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data &lt;- read.csv("your_data.csv")  # Replace with your actual data file</w:t>
            </w:r>
          </w:p>
          <w:p w14:paraId="16971822" w14:textId="77777777" w:rsidR="00277AC4" w:rsidRPr="00277AC4" w:rsidRDefault="00277AC4" w:rsidP="00277AC4">
            <w:pPr>
              <w:rPr>
                <w:rFonts w:ascii="Courier New" w:eastAsia="Aptos" w:hAnsi="Courier New" w:cs="Courier New"/>
                <w:sz w:val="20"/>
                <w:szCs w:val="20"/>
                <w:lang w:val="en-GB"/>
              </w:rPr>
            </w:pPr>
          </w:p>
          <w:p w14:paraId="3D857B83"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 Create treatment indicator</w:t>
            </w:r>
          </w:p>
          <w:p w14:paraId="44E01C0B"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data$treat &lt;- ifelse(data$treatment_variable == 1, 1, 0)</w:t>
            </w:r>
          </w:p>
          <w:p w14:paraId="64A0A876" w14:textId="77777777" w:rsidR="00277AC4" w:rsidRPr="00277AC4" w:rsidRDefault="00277AC4" w:rsidP="00277AC4">
            <w:pPr>
              <w:rPr>
                <w:rFonts w:ascii="Courier New" w:eastAsia="Aptos" w:hAnsi="Courier New" w:cs="Courier New"/>
                <w:sz w:val="20"/>
                <w:szCs w:val="20"/>
                <w:lang w:val="en-GB"/>
              </w:rPr>
            </w:pPr>
          </w:p>
          <w:p w14:paraId="026BA83D"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 Estimate propensity scores</w:t>
            </w:r>
          </w:p>
          <w:p w14:paraId="7721D8D0"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prop_model &lt;- glm(treat ~ confounding_var1 + confounding_var2, data = data, family = binomial)</w:t>
            </w:r>
          </w:p>
          <w:p w14:paraId="6887ADA8"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data$pscore &lt;- prop_model$fitted.values</w:t>
            </w:r>
          </w:p>
          <w:p w14:paraId="381DEDCF" w14:textId="77777777" w:rsidR="00277AC4" w:rsidRPr="00277AC4" w:rsidRDefault="00277AC4" w:rsidP="00277AC4">
            <w:pPr>
              <w:rPr>
                <w:rFonts w:ascii="Courier New" w:eastAsia="Aptos" w:hAnsi="Courier New" w:cs="Courier New"/>
                <w:sz w:val="20"/>
                <w:szCs w:val="20"/>
                <w:lang w:val="en-GB"/>
              </w:rPr>
            </w:pPr>
          </w:p>
          <w:p w14:paraId="6F38E7A0"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 Perform matching (using generalized boosted models)</w:t>
            </w:r>
          </w:p>
          <w:p w14:paraId="751AE5A0"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match_result &lt;- ps(treat ~ confounding_var1 + confounding_var2, data = data, n.trees = 5000)</w:t>
            </w:r>
          </w:p>
          <w:p w14:paraId="23E818BF"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data$weights &lt;- ifelse(data$treat == 1, 1 / match_result$weight, match_result$weight)</w:t>
            </w:r>
          </w:p>
          <w:p w14:paraId="1A0A2756" w14:textId="77777777" w:rsidR="00277AC4" w:rsidRPr="00277AC4" w:rsidRDefault="00277AC4" w:rsidP="00277AC4">
            <w:pPr>
              <w:rPr>
                <w:rFonts w:ascii="Courier New" w:eastAsia="Aptos" w:hAnsi="Courier New" w:cs="Courier New"/>
                <w:sz w:val="20"/>
                <w:szCs w:val="20"/>
                <w:lang w:val="en-GB"/>
              </w:rPr>
            </w:pPr>
          </w:p>
          <w:p w14:paraId="1293E0D1"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 Create post-treatment indicator</w:t>
            </w:r>
          </w:p>
          <w:p w14:paraId="4E246BD8"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data$post &lt;- ifelse(data$time_variable &gt; threshold_time, 1, 0)  # Set appropriate threshold_time</w:t>
            </w:r>
          </w:p>
          <w:p w14:paraId="664A26F7" w14:textId="77777777" w:rsidR="00277AC4" w:rsidRPr="00277AC4" w:rsidRDefault="00277AC4" w:rsidP="00277AC4">
            <w:pPr>
              <w:rPr>
                <w:rFonts w:ascii="Courier New" w:eastAsia="Aptos" w:hAnsi="Courier New" w:cs="Courier New"/>
                <w:sz w:val="20"/>
                <w:szCs w:val="20"/>
                <w:lang w:val="en-GB"/>
              </w:rPr>
            </w:pPr>
          </w:p>
          <w:p w14:paraId="45C5C858"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 Create interaction term</w:t>
            </w:r>
          </w:p>
          <w:p w14:paraId="4FA3A00D"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data$treat_post &lt;- data$treat * data$post</w:t>
            </w:r>
          </w:p>
          <w:p w14:paraId="533FE285" w14:textId="77777777" w:rsidR="00277AC4" w:rsidRPr="00277AC4" w:rsidRDefault="00277AC4" w:rsidP="00277AC4">
            <w:pPr>
              <w:rPr>
                <w:rFonts w:ascii="Courier New" w:eastAsia="Aptos" w:hAnsi="Courier New" w:cs="Courier New"/>
                <w:sz w:val="20"/>
                <w:szCs w:val="20"/>
                <w:lang w:val="en-GB"/>
              </w:rPr>
            </w:pPr>
          </w:p>
          <w:p w14:paraId="54E1F350"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 Run DID regression</w:t>
            </w:r>
          </w:p>
          <w:p w14:paraId="7B402C96"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did_model &lt;- lm(outcome_variable ~ treat + post + treat_post + confounding_var1 + confounding_var2, data = data, weights = data$weights)</w:t>
            </w:r>
          </w:p>
          <w:p w14:paraId="67FB5F3D" w14:textId="77777777" w:rsidR="00277AC4" w:rsidRPr="00277AC4" w:rsidRDefault="00277AC4" w:rsidP="00277AC4">
            <w:pPr>
              <w:rPr>
                <w:rFonts w:ascii="Courier New" w:eastAsia="Aptos" w:hAnsi="Courier New" w:cs="Courier New"/>
                <w:sz w:val="20"/>
                <w:szCs w:val="20"/>
                <w:lang w:val="en-GB"/>
              </w:rPr>
            </w:pPr>
          </w:p>
          <w:p w14:paraId="3181A4F7"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 Print results</w:t>
            </w:r>
          </w:p>
          <w:p w14:paraId="55A27098" w14:textId="77777777" w:rsidR="00277AC4" w:rsidRPr="00277AC4" w:rsidRDefault="00277AC4" w:rsidP="00277AC4">
            <w:pPr>
              <w:rPr>
                <w:rFonts w:ascii="Courier New" w:eastAsia="Aptos" w:hAnsi="Courier New" w:cs="Courier New"/>
                <w:sz w:val="20"/>
                <w:szCs w:val="20"/>
                <w:lang w:val="en-GB"/>
              </w:rPr>
            </w:pPr>
            <w:r w:rsidRPr="00277AC4">
              <w:rPr>
                <w:rFonts w:ascii="Courier New" w:eastAsia="Aptos" w:hAnsi="Courier New" w:cs="Courier New"/>
                <w:sz w:val="20"/>
                <w:szCs w:val="20"/>
                <w:lang w:val="en-GB"/>
              </w:rPr>
              <w:t>summary(did_model)</w:t>
            </w:r>
          </w:p>
        </w:tc>
      </w:tr>
    </w:tbl>
    <w:p w14:paraId="7C9321ED" w14:textId="77777777" w:rsidR="00277AC4" w:rsidRPr="00E226AA" w:rsidRDefault="00277AC4" w:rsidP="00277AC4">
      <w:pPr>
        <w:spacing w:line="259" w:lineRule="auto"/>
        <w:jc w:val="both"/>
        <w:rPr>
          <w:rFonts w:ascii="Times New Roman" w:eastAsia="Aptos" w:hAnsi="Times New Roman" w:cs="Times New Roman"/>
          <w:i/>
          <w:iCs/>
        </w:rPr>
      </w:pPr>
      <w:r w:rsidRPr="00E226AA">
        <w:rPr>
          <w:rFonts w:ascii="Times New Roman" w:eastAsia="Aptos" w:hAnsi="Times New Roman" w:cs="Times New Roman"/>
          <w:i/>
          <w:iCs/>
        </w:rPr>
        <w:t>Źródło: badania własne.</w:t>
      </w:r>
    </w:p>
    <w:p w14:paraId="338970D1" w14:textId="77777777" w:rsidR="00277AC4" w:rsidRPr="00277AC4" w:rsidRDefault="00277AC4" w:rsidP="00277AC4">
      <w:pPr>
        <w:spacing w:line="259" w:lineRule="auto"/>
        <w:rPr>
          <w:rFonts w:ascii="Times New Roman" w:eastAsia="Aptos" w:hAnsi="Times New Roman" w:cs="Times New Roman"/>
          <w:sz w:val="28"/>
          <w:szCs w:val="28"/>
        </w:rPr>
      </w:pPr>
      <w:r w:rsidRPr="00277AC4">
        <w:rPr>
          <w:rFonts w:ascii="Times New Roman" w:eastAsia="Aptos" w:hAnsi="Times New Roman" w:cs="Times New Roman"/>
          <w:sz w:val="28"/>
          <w:szCs w:val="28"/>
        </w:rPr>
        <w:br w:type="page"/>
      </w:r>
    </w:p>
    <w:p w14:paraId="3AB9D52C" w14:textId="765EF192" w:rsidR="00277AC4" w:rsidRPr="00277AC4" w:rsidRDefault="00277AC4" w:rsidP="00277AC4">
      <w:pPr>
        <w:spacing w:line="259" w:lineRule="auto"/>
        <w:jc w:val="both"/>
        <w:rPr>
          <w:rFonts w:ascii="Times New Roman" w:eastAsia="Aptos" w:hAnsi="Times New Roman" w:cs="Times New Roman"/>
          <w:b/>
          <w:bCs/>
        </w:rPr>
      </w:pPr>
      <w:r w:rsidRPr="00E226AA">
        <w:rPr>
          <w:rFonts w:ascii="Times New Roman" w:eastAsia="Aptos" w:hAnsi="Times New Roman" w:cs="Times New Roman"/>
          <w:b/>
          <w:bCs/>
        </w:rPr>
        <w:lastRenderedPageBreak/>
        <w:t xml:space="preserve">Ramka </w:t>
      </w:r>
      <w:r w:rsidR="00FA5FDB">
        <w:rPr>
          <w:rFonts w:ascii="Times New Roman" w:eastAsia="Aptos" w:hAnsi="Times New Roman" w:cs="Times New Roman"/>
          <w:b/>
          <w:bCs/>
        </w:rPr>
        <w:t>9</w:t>
      </w:r>
      <w:r w:rsidRPr="00E226AA">
        <w:rPr>
          <w:rFonts w:ascii="Times New Roman" w:eastAsia="Aptos" w:hAnsi="Times New Roman" w:cs="Times New Roman"/>
          <w:b/>
          <w:bCs/>
        </w:rPr>
        <w:t>.</w:t>
      </w:r>
      <w:r w:rsidRPr="00277AC4">
        <w:rPr>
          <w:rFonts w:ascii="Times New Roman" w:eastAsia="Aptos" w:hAnsi="Times New Roman" w:cs="Times New Roman"/>
        </w:rPr>
        <w:t xml:space="preserve"> Algorytm  prowadzący do estymacji PSM-DID – wydruk komend dla pakietu STATA</w:t>
      </w:r>
    </w:p>
    <w:tbl>
      <w:tblPr>
        <w:tblStyle w:val="Tabela-Siatka"/>
        <w:tblW w:w="0" w:type="auto"/>
        <w:shd w:val="clear" w:color="auto" w:fill="F2F2F2"/>
        <w:tblLook w:val="04A0" w:firstRow="1" w:lastRow="0" w:firstColumn="1" w:lastColumn="0" w:noHBand="0" w:noVBand="1"/>
      </w:tblPr>
      <w:tblGrid>
        <w:gridCol w:w="9062"/>
      </w:tblGrid>
      <w:tr w:rsidR="00277AC4" w:rsidRPr="007656FE" w14:paraId="39161817" w14:textId="77777777" w:rsidTr="00277AC4">
        <w:tc>
          <w:tcPr>
            <w:tcW w:w="9062" w:type="dxa"/>
            <w:shd w:val="clear" w:color="auto" w:fill="F2F2F2"/>
          </w:tcPr>
          <w:p w14:paraId="0633CB42"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use "your_data.dta", clear</w:t>
            </w:r>
          </w:p>
          <w:p w14:paraId="0C096764" w14:textId="77777777" w:rsidR="00277AC4" w:rsidRPr="00277AC4" w:rsidRDefault="00277AC4" w:rsidP="00277AC4">
            <w:pPr>
              <w:rPr>
                <w:rFonts w:ascii="Courier New" w:eastAsia="Aptos" w:hAnsi="Courier New" w:cs="Courier New"/>
                <w:sz w:val="18"/>
                <w:szCs w:val="18"/>
                <w:lang w:val="en-GB"/>
              </w:rPr>
            </w:pPr>
          </w:p>
          <w:p w14:paraId="5FD01495"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Create treatment indicator</w:t>
            </w:r>
          </w:p>
          <w:p w14:paraId="4CB28D3E"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gen treat = (treatment_variable == 1)</w:t>
            </w:r>
          </w:p>
          <w:p w14:paraId="78E159B0" w14:textId="77777777" w:rsidR="00277AC4" w:rsidRPr="00277AC4" w:rsidRDefault="00277AC4" w:rsidP="00277AC4">
            <w:pPr>
              <w:rPr>
                <w:rFonts w:ascii="Courier New" w:eastAsia="Aptos" w:hAnsi="Courier New" w:cs="Courier New"/>
                <w:sz w:val="18"/>
                <w:szCs w:val="18"/>
                <w:lang w:val="en-GB"/>
              </w:rPr>
            </w:pPr>
          </w:p>
          <w:p w14:paraId="783AB0CA"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Estimate propensity score</w:t>
            </w:r>
          </w:p>
          <w:p w14:paraId="7E9D3F53"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logit treat confounding_var1 confounding_var2</w:t>
            </w:r>
          </w:p>
          <w:p w14:paraId="71933C6D"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predict pscore, pr</w:t>
            </w:r>
          </w:p>
          <w:p w14:paraId="38820361" w14:textId="77777777" w:rsidR="00277AC4" w:rsidRPr="00277AC4" w:rsidRDefault="00277AC4" w:rsidP="00277AC4">
            <w:pPr>
              <w:rPr>
                <w:rFonts w:ascii="Courier New" w:eastAsia="Aptos" w:hAnsi="Courier New" w:cs="Courier New"/>
                <w:sz w:val="18"/>
                <w:szCs w:val="18"/>
                <w:lang w:val="en-GB"/>
              </w:rPr>
            </w:pPr>
          </w:p>
          <w:p w14:paraId="6EC87BB9"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Match treated to controls</w:t>
            </w:r>
          </w:p>
          <w:p w14:paraId="1C3F6018"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ssc install psmatch2, replace</w:t>
            </w:r>
          </w:p>
          <w:p w14:paraId="4656442C"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psmatch2 treat, out(matched) pscore(pscore) method(knn) neighbor(1)</w:t>
            </w:r>
          </w:p>
          <w:p w14:paraId="76822273" w14:textId="77777777" w:rsidR="00277AC4" w:rsidRPr="00277AC4" w:rsidRDefault="00277AC4" w:rsidP="00277AC4">
            <w:pPr>
              <w:rPr>
                <w:rFonts w:ascii="Courier New" w:eastAsia="Aptos" w:hAnsi="Courier New" w:cs="Courier New"/>
                <w:sz w:val="18"/>
                <w:szCs w:val="18"/>
                <w:lang w:val="en-GB"/>
              </w:rPr>
            </w:pPr>
          </w:p>
          <w:p w14:paraId="79708724"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Create post-treatment indicator</w:t>
            </w:r>
          </w:p>
          <w:p w14:paraId="6CFD6989"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gen post = (time_variable &gt; threshold_time)</w:t>
            </w:r>
          </w:p>
          <w:p w14:paraId="50C6978B" w14:textId="77777777" w:rsidR="00277AC4" w:rsidRPr="00277AC4" w:rsidRDefault="00277AC4" w:rsidP="00277AC4">
            <w:pPr>
              <w:rPr>
                <w:rFonts w:ascii="Courier New" w:eastAsia="Aptos" w:hAnsi="Courier New" w:cs="Courier New"/>
                <w:sz w:val="18"/>
                <w:szCs w:val="18"/>
                <w:lang w:val="en-GB"/>
              </w:rPr>
            </w:pPr>
          </w:p>
          <w:p w14:paraId="6DB08330"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Create interaction term</w:t>
            </w:r>
          </w:p>
          <w:p w14:paraId="27A5C485"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gen treat_post = treat * post</w:t>
            </w:r>
          </w:p>
          <w:p w14:paraId="1D70F45E" w14:textId="77777777" w:rsidR="00277AC4" w:rsidRPr="00277AC4" w:rsidRDefault="00277AC4" w:rsidP="00277AC4">
            <w:pPr>
              <w:rPr>
                <w:rFonts w:ascii="Courier New" w:eastAsia="Aptos" w:hAnsi="Courier New" w:cs="Courier New"/>
                <w:sz w:val="18"/>
                <w:szCs w:val="18"/>
                <w:lang w:val="en-GB"/>
              </w:rPr>
            </w:pPr>
          </w:p>
          <w:p w14:paraId="115B69A8"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Run DID regression</w:t>
            </w:r>
          </w:p>
          <w:p w14:paraId="7AF10BA6"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reg outcome_variable treat post treat_post control_var1 control_var2</w:t>
            </w:r>
          </w:p>
          <w:p w14:paraId="0C58D34C" w14:textId="77777777" w:rsidR="00277AC4" w:rsidRPr="00277AC4" w:rsidRDefault="00277AC4" w:rsidP="00277AC4">
            <w:pPr>
              <w:rPr>
                <w:rFonts w:ascii="Courier New" w:eastAsia="Aptos" w:hAnsi="Courier New" w:cs="Courier New"/>
                <w:sz w:val="18"/>
                <w:szCs w:val="18"/>
                <w:lang w:val="en-GB"/>
              </w:rPr>
            </w:pPr>
          </w:p>
          <w:p w14:paraId="46AEC4FA"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Display results</w:t>
            </w:r>
          </w:p>
          <w:p w14:paraId="39C797C4" w14:textId="77777777" w:rsidR="00277AC4" w:rsidRPr="00277AC4" w:rsidRDefault="00277AC4" w:rsidP="00277AC4">
            <w:pPr>
              <w:rPr>
                <w:rFonts w:ascii="Times New Roman" w:eastAsia="Aptos" w:hAnsi="Times New Roman" w:cs="Times New Roman"/>
                <w:b/>
                <w:bCs/>
                <w:sz w:val="28"/>
                <w:szCs w:val="28"/>
                <w:lang w:val="en-GB"/>
              </w:rPr>
            </w:pPr>
            <w:r w:rsidRPr="00277AC4">
              <w:rPr>
                <w:rFonts w:ascii="Courier New" w:eastAsia="Aptos" w:hAnsi="Courier New" w:cs="Courier New"/>
                <w:sz w:val="18"/>
                <w:szCs w:val="18"/>
                <w:lang w:val="en-GB"/>
              </w:rPr>
              <w:t>di "Estimated Treatment Effect:" _b[treat_post]</w:t>
            </w:r>
          </w:p>
        </w:tc>
      </w:tr>
    </w:tbl>
    <w:p w14:paraId="1FA6F4B0" w14:textId="77777777" w:rsidR="00277AC4" w:rsidRPr="0079156C" w:rsidRDefault="00277AC4" w:rsidP="00277AC4">
      <w:pPr>
        <w:spacing w:line="259" w:lineRule="auto"/>
        <w:jc w:val="both"/>
        <w:rPr>
          <w:rFonts w:ascii="Times New Roman" w:eastAsia="Aptos" w:hAnsi="Times New Roman" w:cs="Times New Roman"/>
          <w:i/>
          <w:iCs/>
        </w:rPr>
      </w:pPr>
      <w:r w:rsidRPr="0079156C">
        <w:rPr>
          <w:rFonts w:ascii="Times New Roman" w:eastAsia="Aptos" w:hAnsi="Times New Roman" w:cs="Times New Roman"/>
          <w:i/>
          <w:iCs/>
        </w:rPr>
        <w:t>Źródło: badania własne</w:t>
      </w:r>
    </w:p>
    <w:p w14:paraId="6305BE9B" w14:textId="2D3743BD" w:rsidR="00277AC4" w:rsidRPr="00277AC4" w:rsidRDefault="00277AC4" w:rsidP="00277AC4">
      <w:pPr>
        <w:spacing w:line="259" w:lineRule="auto"/>
        <w:jc w:val="both"/>
        <w:rPr>
          <w:rFonts w:ascii="Times New Roman" w:eastAsia="Aptos" w:hAnsi="Times New Roman" w:cs="Times New Roman"/>
          <w:b/>
          <w:bCs/>
        </w:rPr>
      </w:pPr>
      <w:r w:rsidRPr="0079156C">
        <w:rPr>
          <w:rFonts w:ascii="Times New Roman" w:eastAsia="Aptos" w:hAnsi="Times New Roman" w:cs="Times New Roman"/>
          <w:b/>
          <w:bCs/>
        </w:rPr>
        <w:t xml:space="preserve">Ramka </w:t>
      </w:r>
      <w:r w:rsidR="00FA5FDB">
        <w:rPr>
          <w:rFonts w:ascii="Times New Roman" w:eastAsia="Aptos" w:hAnsi="Times New Roman" w:cs="Times New Roman"/>
          <w:b/>
          <w:bCs/>
        </w:rPr>
        <w:t>10</w:t>
      </w:r>
      <w:r w:rsidRPr="0079156C">
        <w:rPr>
          <w:rFonts w:ascii="Times New Roman" w:eastAsia="Aptos" w:hAnsi="Times New Roman" w:cs="Times New Roman"/>
          <w:b/>
          <w:bCs/>
        </w:rPr>
        <w:t>.</w:t>
      </w:r>
      <w:r w:rsidRPr="00277AC4">
        <w:rPr>
          <w:rFonts w:ascii="Times New Roman" w:eastAsia="Aptos" w:hAnsi="Times New Roman" w:cs="Times New Roman"/>
        </w:rPr>
        <w:t xml:space="preserve"> Algorytm  prowadzący do estymacji PSM-DID – wydruk komend dla języka programowania Python</w:t>
      </w:r>
    </w:p>
    <w:tbl>
      <w:tblPr>
        <w:tblStyle w:val="Tabela-Siatka"/>
        <w:tblW w:w="0" w:type="auto"/>
        <w:tblLook w:val="04A0" w:firstRow="1" w:lastRow="0" w:firstColumn="1" w:lastColumn="0" w:noHBand="0" w:noVBand="1"/>
      </w:tblPr>
      <w:tblGrid>
        <w:gridCol w:w="9062"/>
      </w:tblGrid>
      <w:tr w:rsidR="00277AC4" w:rsidRPr="00277AC4" w14:paraId="57275423" w14:textId="77777777" w:rsidTr="00277AC4">
        <w:tc>
          <w:tcPr>
            <w:tcW w:w="9062" w:type="dxa"/>
            <w:shd w:val="clear" w:color="auto" w:fill="F2F2F2"/>
          </w:tcPr>
          <w:p w14:paraId="6E6E22C3"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Create treatment indicator</w:t>
            </w:r>
          </w:p>
          <w:p w14:paraId="1238869B"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data['treat'] = (data['treatment_variable'] == 1).astype(int)</w:t>
            </w:r>
          </w:p>
          <w:p w14:paraId="1D90B437" w14:textId="77777777" w:rsidR="00277AC4" w:rsidRPr="00277AC4" w:rsidRDefault="00277AC4" w:rsidP="00277AC4">
            <w:pPr>
              <w:rPr>
                <w:rFonts w:ascii="Courier New" w:eastAsia="Aptos" w:hAnsi="Courier New" w:cs="Courier New"/>
                <w:sz w:val="18"/>
                <w:szCs w:val="18"/>
                <w:lang w:val="en-GB"/>
              </w:rPr>
            </w:pPr>
          </w:p>
          <w:p w14:paraId="535E5588"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Estimate propensity scores</w:t>
            </w:r>
          </w:p>
          <w:p w14:paraId="65041B0B"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X = data[['confounding_var1', 'confounding_var2']]</w:t>
            </w:r>
          </w:p>
          <w:p w14:paraId="698E70A0"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X = sm.add_constant(X)  # Add constant</w:t>
            </w:r>
          </w:p>
          <w:p w14:paraId="18839F17"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y = data['treat']</w:t>
            </w:r>
          </w:p>
          <w:p w14:paraId="0C7AFD97" w14:textId="77777777" w:rsidR="00277AC4" w:rsidRPr="00277AC4" w:rsidRDefault="00277AC4" w:rsidP="00277AC4">
            <w:pPr>
              <w:rPr>
                <w:rFonts w:ascii="Courier New" w:eastAsia="Aptos" w:hAnsi="Courier New" w:cs="Courier New"/>
                <w:sz w:val="18"/>
                <w:szCs w:val="18"/>
                <w:lang w:val="fr-FR"/>
              </w:rPr>
            </w:pPr>
            <w:r w:rsidRPr="00277AC4">
              <w:rPr>
                <w:rFonts w:ascii="Courier New" w:eastAsia="Aptos" w:hAnsi="Courier New" w:cs="Courier New"/>
                <w:sz w:val="18"/>
                <w:szCs w:val="18"/>
                <w:lang w:val="fr-FR"/>
              </w:rPr>
              <w:t>logit_model = sm.Logit(y, X).fit()</w:t>
            </w:r>
          </w:p>
          <w:p w14:paraId="655F413A"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data['pscore'] = logit_model.predict(X)</w:t>
            </w:r>
          </w:p>
          <w:p w14:paraId="125630D4" w14:textId="77777777" w:rsidR="00277AC4" w:rsidRPr="00277AC4" w:rsidRDefault="00277AC4" w:rsidP="00277AC4">
            <w:pPr>
              <w:rPr>
                <w:rFonts w:ascii="Courier New" w:eastAsia="Aptos" w:hAnsi="Courier New" w:cs="Courier New"/>
                <w:sz w:val="18"/>
                <w:szCs w:val="18"/>
                <w:lang w:val="en-GB"/>
              </w:rPr>
            </w:pPr>
          </w:p>
          <w:p w14:paraId="0F9BF7EE"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Perform nearest neighbor matching</w:t>
            </w:r>
          </w:p>
          <w:p w14:paraId="6D8320CD"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treated = data[data['treat'] == 1]</w:t>
            </w:r>
          </w:p>
          <w:p w14:paraId="5A8E5347"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control = data[data['treat'] == 0]</w:t>
            </w:r>
          </w:p>
          <w:p w14:paraId="211DBFE8"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nn = NearestNeighbors(n_neighbors=1)</w:t>
            </w:r>
          </w:p>
          <w:p w14:paraId="0D57FD74"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nn.fit(control[['pscore']])</w:t>
            </w:r>
          </w:p>
          <w:p w14:paraId="03A2FA46"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distances, indices = nn.kneighbors(treated[['pscore']])</w:t>
            </w:r>
          </w:p>
          <w:p w14:paraId="1E680C93"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matched_control = control.iloc[indices.flatten()]</w:t>
            </w:r>
          </w:p>
          <w:p w14:paraId="18B71F46"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matched_data = pd.concat([treated, matched_control], ignore_index=True)</w:t>
            </w:r>
          </w:p>
          <w:p w14:paraId="443778ED" w14:textId="77777777" w:rsidR="00277AC4" w:rsidRPr="00277AC4" w:rsidRDefault="00277AC4" w:rsidP="00277AC4">
            <w:pPr>
              <w:rPr>
                <w:rFonts w:ascii="Courier New" w:eastAsia="Aptos" w:hAnsi="Courier New" w:cs="Courier New"/>
                <w:sz w:val="18"/>
                <w:szCs w:val="18"/>
                <w:lang w:val="en-GB"/>
              </w:rPr>
            </w:pPr>
          </w:p>
          <w:p w14:paraId="1F26F44A"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Create post-treatment indicator</w:t>
            </w:r>
          </w:p>
          <w:p w14:paraId="34768CB5"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matched_data['post'] = (matched_data['time_variable'] &gt; threshold_time).astype(int)  # Set appropriate threshold_time</w:t>
            </w:r>
          </w:p>
          <w:p w14:paraId="4300BCB8" w14:textId="77777777" w:rsidR="00277AC4" w:rsidRPr="00277AC4" w:rsidRDefault="00277AC4" w:rsidP="00277AC4">
            <w:pPr>
              <w:rPr>
                <w:rFonts w:ascii="Courier New" w:eastAsia="Aptos" w:hAnsi="Courier New" w:cs="Courier New"/>
                <w:sz w:val="18"/>
                <w:szCs w:val="18"/>
                <w:lang w:val="en-GB"/>
              </w:rPr>
            </w:pPr>
          </w:p>
          <w:p w14:paraId="0E54A4D5"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Create interaction term</w:t>
            </w:r>
          </w:p>
          <w:p w14:paraId="60442584"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matched_data['treat_post'] = matched_data['treat'] * matched_data['post']</w:t>
            </w:r>
          </w:p>
          <w:p w14:paraId="31602440" w14:textId="77777777" w:rsidR="00277AC4" w:rsidRPr="00277AC4" w:rsidRDefault="00277AC4" w:rsidP="00277AC4">
            <w:pPr>
              <w:rPr>
                <w:rFonts w:ascii="Courier New" w:eastAsia="Aptos" w:hAnsi="Courier New" w:cs="Courier New"/>
                <w:sz w:val="18"/>
                <w:szCs w:val="18"/>
                <w:lang w:val="en-GB"/>
              </w:rPr>
            </w:pPr>
          </w:p>
          <w:p w14:paraId="505B8949"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Run DID regression</w:t>
            </w:r>
          </w:p>
          <w:p w14:paraId="62AE8DC9"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xml:space="preserve">did_model = sm.OLS(matched_data['outcome_variable'], </w:t>
            </w:r>
          </w:p>
          <w:p w14:paraId="5D8230CF" w14:textId="77777777" w:rsidR="00277AC4" w:rsidRPr="00277AC4" w:rsidRDefault="00277AC4" w:rsidP="00277AC4">
            <w:pPr>
              <w:rPr>
                <w:rFonts w:ascii="Courier New" w:eastAsia="Aptos" w:hAnsi="Courier New" w:cs="Courier New"/>
                <w:sz w:val="18"/>
                <w:szCs w:val="18"/>
                <w:lang w:val="en-GB"/>
              </w:rPr>
            </w:pPr>
            <w:r w:rsidRPr="00277AC4">
              <w:rPr>
                <w:rFonts w:ascii="Courier New" w:eastAsia="Aptos" w:hAnsi="Courier New" w:cs="Courier New"/>
                <w:sz w:val="18"/>
                <w:szCs w:val="18"/>
                <w:lang w:val="en-GB"/>
              </w:rPr>
              <w:t xml:space="preserve">                    sm.add_constant(matched_data[['treat', 'post', 'treat_post']])).fit()</w:t>
            </w:r>
          </w:p>
          <w:p w14:paraId="66975867" w14:textId="77777777" w:rsidR="00277AC4" w:rsidRPr="00277AC4" w:rsidRDefault="00277AC4" w:rsidP="00277AC4">
            <w:pPr>
              <w:rPr>
                <w:rFonts w:ascii="Times New Roman" w:eastAsia="Aptos" w:hAnsi="Times New Roman" w:cs="Times New Roman"/>
                <w:b/>
                <w:bCs/>
                <w:sz w:val="28"/>
                <w:szCs w:val="28"/>
                <w:lang w:val="en-GB"/>
              </w:rPr>
            </w:pPr>
            <w:r w:rsidRPr="00277AC4">
              <w:rPr>
                <w:rFonts w:ascii="Courier New" w:eastAsia="Aptos" w:hAnsi="Courier New" w:cs="Courier New"/>
                <w:sz w:val="18"/>
                <w:szCs w:val="18"/>
                <w:lang w:val="en-GB"/>
              </w:rPr>
              <w:t>print(did_model.summary())</w:t>
            </w:r>
          </w:p>
        </w:tc>
      </w:tr>
    </w:tbl>
    <w:p w14:paraId="1AD3B210" w14:textId="77777777" w:rsidR="00277AC4" w:rsidRPr="00E226AA" w:rsidRDefault="00277AC4" w:rsidP="00277AC4">
      <w:pPr>
        <w:spacing w:line="259" w:lineRule="auto"/>
        <w:jc w:val="both"/>
        <w:rPr>
          <w:rFonts w:ascii="Times New Roman" w:eastAsia="Aptos" w:hAnsi="Times New Roman" w:cs="Times New Roman"/>
          <w:i/>
          <w:iCs/>
        </w:rPr>
      </w:pPr>
      <w:r w:rsidRPr="00E226AA">
        <w:rPr>
          <w:rFonts w:ascii="Times New Roman" w:eastAsia="Aptos" w:hAnsi="Times New Roman" w:cs="Times New Roman"/>
          <w:i/>
          <w:iCs/>
        </w:rPr>
        <w:t>Źródło: badania własne.</w:t>
      </w:r>
    </w:p>
    <w:p w14:paraId="4662C024" w14:textId="77777777" w:rsidR="00277AC4" w:rsidRPr="00277AC4" w:rsidRDefault="00277AC4" w:rsidP="00277AC4">
      <w:pPr>
        <w:spacing w:line="259" w:lineRule="auto"/>
        <w:jc w:val="both"/>
        <w:rPr>
          <w:rFonts w:ascii="Times New Roman" w:eastAsia="Aptos" w:hAnsi="Times New Roman" w:cs="Times New Roman"/>
        </w:rPr>
      </w:pPr>
    </w:p>
    <w:p w14:paraId="0EB0C7CC" w14:textId="6BA0FF7E" w:rsidR="005D430A" w:rsidRPr="001D0854" w:rsidRDefault="005D430A" w:rsidP="00277AC4">
      <w:pPr>
        <w:pStyle w:val="Akapitzlist"/>
        <w:numPr>
          <w:ilvl w:val="0"/>
          <w:numId w:val="57"/>
        </w:numPr>
        <w:ind w:left="709" w:hanging="709"/>
        <w:jc w:val="both"/>
        <w:rPr>
          <w:rFonts w:ascii="Times New Roman" w:hAnsi="Times New Roman" w:cs="Times New Roman"/>
          <w:b/>
          <w:bCs/>
          <w:sz w:val="28"/>
          <w:szCs w:val="28"/>
        </w:rPr>
      </w:pPr>
      <w:r w:rsidRPr="001D0854">
        <w:rPr>
          <w:rFonts w:ascii="Times New Roman" w:hAnsi="Times New Roman" w:cs="Times New Roman"/>
          <w:b/>
          <w:bCs/>
          <w:sz w:val="28"/>
          <w:szCs w:val="28"/>
        </w:rPr>
        <w:lastRenderedPageBreak/>
        <w:t>Konstrukcja zbioru</w:t>
      </w:r>
      <w:r w:rsidR="007656FE">
        <w:rPr>
          <w:rFonts w:ascii="Times New Roman" w:hAnsi="Times New Roman" w:cs="Times New Roman"/>
          <w:b/>
          <w:bCs/>
          <w:sz w:val="28"/>
          <w:szCs w:val="28"/>
        </w:rPr>
        <w:t xml:space="preserve"> zmiennych</w:t>
      </w:r>
      <w:r w:rsidRPr="001D0854">
        <w:rPr>
          <w:rFonts w:ascii="Times New Roman" w:hAnsi="Times New Roman" w:cs="Times New Roman"/>
          <w:b/>
          <w:bCs/>
          <w:sz w:val="28"/>
          <w:szCs w:val="28"/>
        </w:rPr>
        <w:t xml:space="preserve"> </w:t>
      </w:r>
      <w:r w:rsidR="009E7D35">
        <w:rPr>
          <w:rFonts w:ascii="Times New Roman" w:hAnsi="Times New Roman" w:cs="Times New Roman"/>
          <w:b/>
          <w:bCs/>
          <w:sz w:val="28"/>
          <w:szCs w:val="28"/>
        </w:rPr>
        <w:t>wynikow</w:t>
      </w:r>
      <w:r w:rsidR="007656FE">
        <w:rPr>
          <w:rFonts w:ascii="Times New Roman" w:hAnsi="Times New Roman" w:cs="Times New Roman"/>
          <w:b/>
          <w:bCs/>
          <w:sz w:val="28"/>
          <w:szCs w:val="28"/>
        </w:rPr>
        <w:t>ych</w:t>
      </w:r>
      <w:r w:rsidR="00BA0572">
        <w:rPr>
          <w:rFonts w:ascii="Times New Roman" w:hAnsi="Times New Roman" w:cs="Times New Roman"/>
          <w:b/>
          <w:bCs/>
          <w:sz w:val="28"/>
          <w:szCs w:val="28"/>
        </w:rPr>
        <w:t xml:space="preserve"> Y</w:t>
      </w:r>
    </w:p>
    <w:p w14:paraId="4B5EA05C" w14:textId="648AA890" w:rsidR="00BF0F17" w:rsidRDefault="00BF0F17" w:rsidP="00BF0F17">
      <w:pPr>
        <w:ind w:firstLine="708"/>
        <w:rPr>
          <w:rFonts w:ascii="Times New Roman" w:hAnsi="Times New Roman" w:cs="Times New Roman"/>
          <w:sz w:val="28"/>
          <w:szCs w:val="28"/>
        </w:rPr>
      </w:pPr>
      <w:r w:rsidRPr="00BF0F17">
        <w:rPr>
          <w:rFonts w:ascii="Times New Roman" w:hAnsi="Times New Roman" w:cs="Times New Roman"/>
          <w:sz w:val="28"/>
          <w:szCs w:val="28"/>
        </w:rPr>
        <w:t>Zdecydowa</w:t>
      </w:r>
      <w:r>
        <w:rPr>
          <w:rFonts w:ascii="Times New Roman" w:hAnsi="Times New Roman" w:cs="Times New Roman"/>
          <w:sz w:val="28"/>
          <w:szCs w:val="28"/>
        </w:rPr>
        <w:t>no się, że zbiór powyższy zorientowany będzie na wskaźniki ekonomiczno-finansowe, gdyż mają one charakter syntetyczny, opisujący całokształt dokonań gospodarstw rolniczych. Zbiór Y obejmował będzie zatem następujące wskaźniki:</w:t>
      </w:r>
    </w:p>
    <w:tbl>
      <w:tblPr>
        <w:tblStyle w:val="Siatkatabelijasn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306"/>
      </w:tblGrid>
      <w:tr w:rsidR="00BF0F17" w:rsidRPr="00BF0F17" w14:paraId="1DEF283C" w14:textId="77777777" w:rsidTr="00984200">
        <w:trPr>
          <w:trHeight w:hRule="exact" w:val="1191"/>
          <w:jc w:val="center"/>
        </w:trPr>
        <w:tc>
          <w:tcPr>
            <w:tcW w:w="4189" w:type="dxa"/>
          </w:tcPr>
          <w:p w14:paraId="2F24ABFA" w14:textId="77777777" w:rsidR="00BF0F17" w:rsidRPr="00BF0F17" w:rsidRDefault="00BF0F17" w:rsidP="001D0854">
            <w:pPr>
              <w:numPr>
                <w:ilvl w:val="0"/>
                <w:numId w:val="46"/>
              </w:numPr>
              <w:ind w:left="457" w:hanging="283"/>
              <w:contextualSpacing/>
              <w:rPr>
                <w:rFonts w:ascii="Times New Roman" w:eastAsia="Aptos" w:hAnsi="Times New Roman" w:cs="Times New Roman"/>
              </w:rPr>
            </w:pPr>
            <w:r w:rsidRPr="00BF0F17">
              <w:rPr>
                <w:rFonts w:ascii="Times New Roman" w:eastAsia="Aptos" w:hAnsi="Times New Roman" w:cs="Times New Roman"/>
              </w:rPr>
              <w:t xml:space="preserve">opłacalności ogółem:                  </w:t>
            </w:r>
          </w:p>
        </w:tc>
        <w:tc>
          <w:tcPr>
            <w:tcW w:w="4306" w:type="dxa"/>
          </w:tcPr>
          <w:p w14:paraId="2CE6664B" w14:textId="77777777" w:rsidR="00BF0F17" w:rsidRPr="00BF0F17" w:rsidRDefault="00000000" w:rsidP="00BF0F17">
            <w:pPr>
              <w:contextualSpacing/>
              <w:rPr>
                <w:rFonts w:ascii="Times New Roman" w:eastAsia="Aptos" w:hAnsi="Times New Roman" w:cs="Times New Roman"/>
              </w:rPr>
            </w:pPr>
            <m:oMathPara>
              <m:oMath>
                <m:f>
                  <m:fPr>
                    <m:ctrlPr>
                      <w:rPr>
                        <w:rFonts w:ascii="Cambria Math" w:eastAsia="Aptos" w:hAnsi="Cambria Math" w:cs="Times New Roman"/>
                        <w:iCs/>
                      </w:rPr>
                    </m:ctrlPr>
                  </m:fPr>
                  <m:num>
                    <m:r>
                      <m:rPr>
                        <m:sty m:val="p"/>
                      </m:rPr>
                      <w:rPr>
                        <w:rFonts w:ascii="Cambria Math" w:eastAsia="Aptos" w:hAnsi="Cambria Math" w:cs="Times New Roman"/>
                      </w:rPr>
                      <m:t>produkcja ogółem</m:t>
                    </m:r>
                  </m:num>
                  <m:den>
                    <m:r>
                      <m:rPr>
                        <m:sty m:val="p"/>
                      </m:rPr>
                      <w:rPr>
                        <w:rFonts w:ascii="Cambria Math" w:eastAsia="Aptos" w:hAnsi="Cambria Math" w:cs="Times New Roman"/>
                      </w:rPr>
                      <m:t>koszty ogółem</m:t>
                    </m:r>
                  </m:den>
                </m:f>
                <m:r>
                  <m:rPr>
                    <m:sty m:val="p"/>
                  </m:rPr>
                  <w:rPr>
                    <w:rFonts w:ascii="Cambria Math" w:eastAsia="Aptos" w:hAnsi="Cambria Math" w:cs="Times New Roman"/>
                  </w:rPr>
                  <m:t xml:space="preserve"> ×</m:t>
                </m:r>
                <m:r>
                  <w:rPr>
                    <w:rFonts w:ascii="Cambria Math" w:eastAsia="Aptos" w:hAnsi="Cambria Math" w:cs="Times New Roman"/>
                  </w:rPr>
                  <m:t>100</m:t>
                </m:r>
              </m:oMath>
            </m:oMathPara>
          </w:p>
        </w:tc>
      </w:tr>
      <w:tr w:rsidR="00BF0F17" w:rsidRPr="00BF0F17" w14:paraId="64794D9E" w14:textId="77777777" w:rsidTr="00984200">
        <w:trPr>
          <w:trHeight w:hRule="exact" w:val="1191"/>
          <w:jc w:val="center"/>
        </w:trPr>
        <w:tc>
          <w:tcPr>
            <w:tcW w:w="4189" w:type="dxa"/>
          </w:tcPr>
          <w:p w14:paraId="7AE7493B" w14:textId="77777777" w:rsidR="00BF0F17" w:rsidRPr="00BF0F17" w:rsidRDefault="00BF0F17" w:rsidP="001D0854">
            <w:pPr>
              <w:numPr>
                <w:ilvl w:val="0"/>
                <w:numId w:val="46"/>
              </w:numPr>
              <w:ind w:left="457" w:hanging="283"/>
              <w:contextualSpacing/>
              <w:rPr>
                <w:rFonts w:ascii="Times New Roman" w:eastAsia="Aptos" w:hAnsi="Times New Roman" w:cs="Times New Roman"/>
              </w:rPr>
            </w:pPr>
            <w:r w:rsidRPr="00BF0F17">
              <w:rPr>
                <w:rFonts w:ascii="Times New Roman" w:eastAsia="Aptos" w:hAnsi="Times New Roman" w:cs="Times New Roman"/>
              </w:rPr>
              <w:t xml:space="preserve">opłacalności sprzedaży:             </w:t>
            </w:r>
            <w:r w:rsidRPr="00BF0F17">
              <w:rPr>
                <w:rFonts w:ascii="Cambria Math" w:eastAsia="Aptos" w:hAnsi="Cambria Math" w:cs="Times New Roman"/>
                <w:iCs/>
              </w:rPr>
              <w:t xml:space="preserve"> </w:t>
            </w:r>
          </w:p>
        </w:tc>
        <w:tc>
          <w:tcPr>
            <w:tcW w:w="4306" w:type="dxa"/>
          </w:tcPr>
          <w:p w14:paraId="15F1488F" w14:textId="77777777" w:rsidR="00BF0F17" w:rsidRPr="00BF0F17" w:rsidRDefault="00000000" w:rsidP="00BF0F17">
            <w:pPr>
              <w:contextualSpacing/>
              <w:jc w:val="center"/>
              <w:rPr>
                <w:rFonts w:ascii="Times New Roman" w:eastAsia="Aptos" w:hAnsi="Times New Roman" w:cs="Times New Roman"/>
              </w:rPr>
            </w:pPr>
            <m:oMathPara>
              <m:oMath>
                <m:f>
                  <m:fPr>
                    <m:ctrlPr>
                      <w:rPr>
                        <w:rFonts w:ascii="Cambria Math" w:eastAsia="Aptos" w:hAnsi="Cambria Math" w:cs="Times New Roman"/>
                        <w:iCs/>
                      </w:rPr>
                    </m:ctrlPr>
                  </m:fPr>
                  <m:num>
                    <m:r>
                      <m:rPr>
                        <m:sty m:val="p"/>
                      </m:rPr>
                      <w:rPr>
                        <w:rFonts w:ascii="Cambria Math" w:eastAsia="Aptos" w:hAnsi="Cambria Math" w:cs="Times New Roman"/>
                      </w:rPr>
                      <m:t>sprzedaż ogółem</m:t>
                    </m:r>
                  </m:num>
                  <m:den>
                    <m:eqArr>
                      <m:eqArrPr>
                        <m:ctrlPr>
                          <w:rPr>
                            <w:rFonts w:ascii="Cambria Math" w:eastAsia="Aptos" w:hAnsi="Cambria Math" w:cs="Times New Roman"/>
                            <w:iCs/>
                          </w:rPr>
                        </m:ctrlPr>
                      </m:eqArrPr>
                      <m:e>
                        <m:r>
                          <m:rPr>
                            <m:sty m:val="p"/>
                          </m:rPr>
                          <w:rPr>
                            <w:rFonts w:ascii="Cambria Math" w:eastAsia="Aptos" w:hAnsi="Cambria Math" w:cs="Times New Roman"/>
                          </w:rPr>
                          <m:t xml:space="preserve">koszty ogółem-(koszty nasion </m:t>
                        </m:r>
                      </m:e>
                      <m:e>
                        <m:r>
                          <m:rPr>
                            <m:sty m:val="p"/>
                          </m:rPr>
                          <w:rPr>
                            <w:rFonts w:ascii="Cambria Math" w:eastAsia="Aptos" w:hAnsi="Cambria Math" w:cs="Times New Roman"/>
                          </w:rPr>
                          <m:t>i pasz własnych)</m:t>
                        </m:r>
                      </m:e>
                    </m:eqArr>
                  </m:den>
                </m:f>
                <m:r>
                  <m:rPr>
                    <m:sty m:val="p"/>
                  </m:rPr>
                  <w:rPr>
                    <w:rFonts w:ascii="Cambria Math" w:eastAsia="Aptos" w:hAnsi="Cambria Math" w:cs="Times New Roman"/>
                  </w:rPr>
                  <m:t xml:space="preserve"> ×</m:t>
                </m:r>
                <m:r>
                  <w:rPr>
                    <w:rFonts w:ascii="Cambria Math" w:eastAsia="Aptos" w:hAnsi="Cambria Math" w:cs="Times New Roman"/>
                  </w:rPr>
                  <m:t>100</m:t>
                </m:r>
              </m:oMath>
            </m:oMathPara>
          </w:p>
        </w:tc>
      </w:tr>
      <w:tr w:rsidR="00BF0F17" w:rsidRPr="00BF0F17" w14:paraId="67715E15" w14:textId="77777777" w:rsidTr="00984200">
        <w:trPr>
          <w:trHeight w:hRule="exact" w:val="1191"/>
          <w:jc w:val="center"/>
        </w:trPr>
        <w:tc>
          <w:tcPr>
            <w:tcW w:w="4189" w:type="dxa"/>
          </w:tcPr>
          <w:p w14:paraId="1CA3A508" w14:textId="77777777" w:rsidR="00BF0F17" w:rsidRPr="00BF0F17" w:rsidRDefault="00BF0F17" w:rsidP="001D0854">
            <w:pPr>
              <w:numPr>
                <w:ilvl w:val="0"/>
                <w:numId w:val="46"/>
              </w:numPr>
              <w:ind w:left="457" w:hanging="283"/>
              <w:contextualSpacing/>
              <w:rPr>
                <w:rFonts w:ascii="Times New Roman" w:eastAsia="Aptos" w:hAnsi="Times New Roman" w:cs="Times New Roman"/>
              </w:rPr>
            </w:pPr>
            <w:r w:rsidRPr="00BF0F17">
              <w:rPr>
                <w:rFonts w:ascii="Times New Roman" w:eastAsia="Aptos" w:hAnsi="Times New Roman" w:cs="Times New Roman"/>
              </w:rPr>
              <w:t xml:space="preserve">obrotu aktywami:                       </w:t>
            </w:r>
            <w:r w:rsidRPr="00BF0F17">
              <w:rPr>
                <w:rFonts w:ascii="Cambria Math" w:eastAsia="Aptos" w:hAnsi="Cambria Math" w:cs="Times New Roman"/>
                <w:iCs/>
              </w:rPr>
              <w:t xml:space="preserve"> </w:t>
            </w:r>
          </w:p>
        </w:tc>
        <w:tc>
          <w:tcPr>
            <w:tcW w:w="4306" w:type="dxa"/>
          </w:tcPr>
          <w:p w14:paraId="4CFED655" w14:textId="77777777" w:rsidR="00BF0F17" w:rsidRPr="00BF0F17" w:rsidRDefault="00000000" w:rsidP="00BF0F17">
            <w:pPr>
              <w:contextualSpacing/>
              <w:jc w:val="center"/>
              <w:rPr>
                <w:rFonts w:ascii="Times New Roman" w:eastAsia="Aptos" w:hAnsi="Times New Roman" w:cs="Times New Roman"/>
              </w:rPr>
            </w:pPr>
            <m:oMathPara>
              <m:oMath>
                <m:f>
                  <m:fPr>
                    <m:ctrlPr>
                      <w:rPr>
                        <w:rFonts w:ascii="Cambria Math" w:eastAsia="Aptos" w:hAnsi="Cambria Math" w:cs="Times New Roman"/>
                        <w:iCs/>
                      </w:rPr>
                    </m:ctrlPr>
                  </m:fPr>
                  <m:num>
                    <m:r>
                      <m:rPr>
                        <m:sty m:val="p"/>
                      </m:rPr>
                      <w:rPr>
                        <w:rFonts w:ascii="Cambria Math" w:eastAsia="Aptos" w:hAnsi="Cambria Math" w:cs="Times New Roman"/>
                      </w:rPr>
                      <m:t>produkcja ogółem</m:t>
                    </m:r>
                  </m:num>
                  <m:den>
                    <m:eqArr>
                      <m:eqArrPr>
                        <m:ctrlPr>
                          <w:rPr>
                            <w:rFonts w:ascii="Cambria Math" w:eastAsia="Aptos" w:hAnsi="Cambria Math" w:cs="Times New Roman"/>
                            <w:iCs/>
                          </w:rPr>
                        </m:ctrlPr>
                      </m:eqArrPr>
                      <m:e>
                        <m:r>
                          <m:rPr>
                            <m:sty m:val="p"/>
                          </m:rPr>
                          <w:rPr>
                            <w:rFonts w:ascii="Cambria Math" w:eastAsia="Aptos" w:hAnsi="Cambria Math" w:cs="Times New Roman"/>
                          </w:rPr>
                          <m:t xml:space="preserve">aktywa ogółem </m:t>
                        </m:r>
                      </m:e>
                      <m:e>
                        <m:r>
                          <m:rPr>
                            <m:sty m:val="p"/>
                          </m:rPr>
                          <w:rPr>
                            <w:rFonts w:ascii="Cambria Math" w:eastAsia="Aptos" w:hAnsi="Cambria Math" w:cs="Times New Roman"/>
                          </w:rPr>
                          <m:t>bez ziemi własnej</m:t>
                        </m:r>
                      </m:e>
                    </m:eqArr>
                  </m:den>
                </m:f>
                <m:r>
                  <m:rPr>
                    <m:sty m:val="p"/>
                  </m:rPr>
                  <w:rPr>
                    <w:rFonts w:ascii="Cambria Math" w:eastAsia="Aptos" w:hAnsi="Cambria Math" w:cs="Times New Roman"/>
                  </w:rPr>
                  <m:t xml:space="preserve"> ×</m:t>
                </m:r>
                <m:r>
                  <w:rPr>
                    <w:rFonts w:ascii="Cambria Math" w:eastAsia="Aptos" w:hAnsi="Cambria Math" w:cs="Times New Roman"/>
                  </w:rPr>
                  <m:t>100</m:t>
                </m:r>
              </m:oMath>
            </m:oMathPara>
          </w:p>
        </w:tc>
      </w:tr>
      <w:tr w:rsidR="00BF0F17" w:rsidRPr="00BF0F17" w14:paraId="1C79C10C" w14:textId="77777777" w:rsidTr="00984200">
        <w:trPr>
          <w:trHeight w:hRule="exact" w:val="1191"/>
          <w:jc w:val="center"/>
        </w:trPr>
        <w:tc>
          <w:tcPr>
            <w:tcW w:w="4189" w:type="dxa"/>
          </w:tcPr>
          <w:p w14:paraId="0333385B" w14:textId="77777777" w:rsidR="00BF0F17" w:rsidRPr="00BF0F17" w:rsidRDefault="00BF0F17" w:rsidP="001D0854">
            <w:pPr>
              <w:numPr>
                <w:ilvl w:val="0"/>
                <w:numId w:val="46"/>
              </w:numPr>
              <w:ind w:left="457" w:hanging="283"/>
              <w:contextualSpacing/>
              <w:rPr>
                <w:rFonts w:ascii="Times New Roman" w:eastAsia="Aptos" w:hAnsi="Times New Roman" w:cs="Times New Roman"/>
              </w:rPr>
            </w:pPr>
            <w:r w:rsidRPr="00BF0F17">
              <w:rPr>
                <w:rFonts w:ascii="Times New Roman" w:eastAsia="Aptos" w:hAnsi="Times New Roman" w:cs="Times New Roman"/>
              </w:rPr>
              <w:t xml:space="preserve">wskaźnik unieruchomienia </w:t>
            </w:r>
          </w:p>
          <w:p w14:paraId="5F059DAD" w14:textId="77777777" w:rsidR="00BF0F17" w:rsidRPr="00BF0F17" w:rsidRDefault="00BF0F17" w:rsidP="00BF0F17">
            <w:pPr>
              <w:ind w:left="457"/>
              <w:contextualSpacing/>
              <w:rPr>
                <w:rFonts w:ascii="Times New Roman" w:eastAsia="Aptos" w:hAnsi="Times New Roman" w:cs="Times New Roman"/>
              </w:rPr>
            </w:pPr>
            <w:r w:rsidRPr="00BF0F17">
              <w:rPr>
                <w:rFonts w:ascii="Times New Roman" w:eastAsia="Aptos" w:hAnsi="Times New Roman" w:cs="Times New Roman"/>
              </w:rPr>
              <w:t xml:space="preserve">aktywów (struktury aktywów):  </w:t>
            </w:r>
            <w:r w:rsidRPr="00BF0F17">
              <w:rPr>
                <w:rFonts w:ascii="Cambria Math" w:eastAsia="Aptos" w:hAnsi="Cambria Math" w:cs="Times New Roman"/>
                <w:iCs/>
              </w:rPr>
              <w:t xml:space="preserve"> </w:t>
            </w:r>
          </w:p>
        </w:tc>
        <w:tc>
          <w:tcPr>
            <w:tcW w:w="4306" w:type="dxa"/>
          </w:tcPr>
          <w:p w14:paraId="757ECC8A" w14:textId="77777777" w:rsidR="00BF0F17" w:rsidRPr="00BF0F17" w:rsidRDefault="00000000" w:rsidP="00BF0F17">
            <w:pPr>
              <w:contextualSpacing/>
              <w:jc w:val="center"/>
              <w:rPr>
                <w:rFonts w:ascii="Times New Roman" w:eastAsia="Aptos" w:hAnsi="Times New Roman" w:cs="Times New Roman"/>
              </w:rPr>
            </w:pPr>
            <m:oMathPara>
              <m:oMath>
                <m:f>
                  <m:fPr>
                    <m:ctrlPr>
                      <w:rPr>
                        <w:rFonts w:ascii="Cambria Math" w:eastAsia="Aptos" w:hAnsi="Cambria Math" w:cs="Times New Roman"/>
                        <w:iCs/>
                      </w:rPr>
                    </m:ctrlPr>
                  </m:fPr>
                  <m:num>
                    <m:r>
                      <m:rPr>
                        <m:sty m:val="p"/>
                      </m:rPr>
                      <w:rPr>
                        <w:rFonts w:ascii="Cambria Math" w:eastAsia="Aptos" w:hAnsi="Cambria Math" w:cs="Times New Roman"/>
                      </w:rPr>
                      <m:t>aktywa trwałe bez ziemi</m:t>
                    </m:r>
                  </m:num>
                  <m:den>
                    <m:r>
                      <m:rPr>
                        <m:sty m:val="p"/>
                      </m:rPr>
                      <w:rPr>
                        <w:rFonts w:ascii="Cambria Math" w:eastAsia="Aptos" w:hAnsi="Cambria Math" w:cs="Times New Roman"/>
                      </w:rPr>
                      <m:t>aktywa obrotowe</m:t>
                    </m:r>
                  </m:den>
                </m:f>
              </m:oMath>
            </m:oMathPara>
          </w:p>
        </w:tc>
      </w:tr>
      <w:tr w:rsidR="00BF0F17" w:rsidRPr="00BF0F17" w14:paraId="2CD2F007" w14:textId="77777777" w:rsidTr="00984200">
        <w:trPr>
          <w:trHeight w:hRule="exact" w:val="1191"/>
          <w:jc w:val="center"/>
        </w:trPr>
        <w:tc>
          <w:tcPr>
            <w:tcW w:w="4189" w:type="dxa"/>
          </w:tcPr>
          <w:p w14:paraId="05EFA707" w14:textId="77777777" w:rsidR="00BF0F17" w:rsidRPr="00BF0F17" w:rsidRDefault="00BF0F17" w:rsidP="001D0854">
            <w:pPr>
              <w:numPr>
                <w:ilvl w:val="0"/>
                <w:numId w:val="46"/>
              </w:numPr>
              <w:ind w:left="457" w:hanging="283"/>
              <w:contextualSpacing/>
              <w:rPr>
                <w:rFonts w:ascii="Times New Roman" w:eastAsia="Aptos" w:hAnsi="Times New Roman" w:cs="Times New Roman"/>
              </w:rPr>
            </w:pPr>
            <w:r w:rsidRPr="00BF0F17">
              <w:rPr>
                <w:rFonts w:ascii="Times New Roman" w:eastAsia="Aptos" w:hAnsi="Times New Roman" w:cs="Times New Roman"/>
              </w:rPr>
              <w:t xml:space="preserve">płynności bieżącej:                      </w:t>
            </w:r>
            <w:r w:rsidRPr="00BF0F17">
              <w:rPr>
                <w:rFonts w:ascii="Cambria Math" w:eastAsia="Aptos" w:hAnsi="Cambria Math" w:cs="Times New Roman"/>
                <w:iCs/>
              </w:rPr>
              <w:t xml:space="preserve"> </w:t>
            </w:r>
          </w:p>
        </w:tc>
        <w:tc>
          <w:tcPr>
            <w:tcW w:w="4306" w:type="dxa"/>
          </w:tcPr>
          <w:p w14:paraId="55E77DD3" w14:textId="77777777" w:rsidR="00BF0F17" w:rsidRPr="00BF0F17" w:rsidRDefault="00000000" w:rsidP="00BF0F17">
            <w:pPr>
              <w:contextualSpacing/>
              <w:jc w:val="center"/>
              <w:rPr>
                <w:rFonts w:ascii="Times New Roman" w:eastAsia="Aptos" w:hAnsi="Times New Roman" w:cs="Times New Roman"/>
              </w:rPr>
            </w:pPr>
            <m:oMathPara>
              <m:oMath>
                <m:f>
                  <m:fPr>
                    <m:ctrlPr>
                      <w:rPr>
                        <w:rFonts w:ascii="Cambria Math" w:eastAsia="Aptos" w:hAnsi="Cambria Math" w:cs="Times New Roman"/>
                        <w:iCs/>
                      </w:rPr>
                    </m:ctrlPr>
                  </m:fPr>
                  <m:num>
                    <m:r>
                      <m:rPr>
                        <m:sty m:val="p"/>
                      </m:rPr>
                      <w:rPr>
                        <w:rFonts w:ascii="Cambria Math" w:eastAsia="Aptos" w:hAnsi="Cambria Math" w:cs="Times New Roman"/>
                      </w:rPr>
                      <m:t>aktywa bieżące</m:t>
                    </m:r>
                  </m:num>
                  <m:den>
                    <m:r>
                      <m:rPr>
                        <m:sty m:val="p"/>
                      </m:rPr>
                      <w:rPr>
                        <w:rFonts w:ascii="Cambria Math" w:eastAsia="Aptos" w:hAnsi="Cambria Math" w:cs="Times New Roman"/>
                      </w:rPr>
                      <m:t>pasywa bieżące</m:t>
                    </m:r>
                  </m:den>
                </m:f>
              </m:oMath>
            </m:oMathPara>
          </w:p>
        </w:tc>
      </w:tr>
      <w:tr w:rsidR="00BF0F17" w:rsidRPr="00BF0F17" w14:paraId="3924DA66" w14:textId="77777777" w:rsidTr="00984200">
        <w:trPr>
          <w:trHeight w:hRule="exact" w:val="1191"/>
          <w:jc w:val="center"/>
        </w:trPr>
        <w:tc>
          <w:tcPr>
            <w:tcW w:w="4189" w:type="dxa"/>
          </w:tcPr>
          <w:p w14:paraId="334F175B" w14:textId="77777777" w:rsidR="00BF0F17" w:rsidRPr="00BF0F17" w:rsidRDefault="00BF0F17" w:rsidP="001D0854">
            <w:pPr>
              <w:numPr>
                <w:ilvl w:val="0"/>
                <w:numId w:val="46"/>
              </w:numPr>
              <w:ind w:left="457" w:hanging="283"/>
              <w:contextualSpacing/>
              <w:rPr>
                <w:rFonts w:ascii="Times New Roman" w:eastAsia="Aptos" w:hAnsi="Times New Roman" w:cs="Times New Roman"/>
              </w:rPr>
            </w:pPr>
            <w:r w:rsidRPr="00BF0F17">
              <w:rPr>
                <w:rFonts w:ascii="Times New Roman" w:eastAsia="Aptos" w:hAnsi="Times New Roman" w:cs="Times New Roman"/>
              </w:rPr>
              <w:t xml:space="preserve">płynności szybkiej:                      </w:t>
            </w:r>
            <w:r w:rsidRPr="00BF0F17">
              <w:rPr>
                <w:rFonts w:ascii="Cambria Math" w:eastAsia="Aptos" w:hAnsi="Cambria Math" w:cs="Times New Roman"/>
                <w:iCs/>
              </w:rPr>
              <w:t xml:space="preserve"> </w:t>
            </w:r>
          </w:p>
        </w:tc>
        <w:tc>
          <w:tcPr>
            <w:tcW w:w="4306" w:type="dxa"/>
          </w:tcPr>
          <w:p w14:paraId="7C3FDD97" w14:textId="77777777" w:rsidR="00BF0F17" w:rsidRPr="00BF0F17" w:rsidRDefault="00000000" w:rsidP="00BF0F17">
            <w:pPr>
              <w:contextualSpacing/>
              <w:jc w:val="center"/>
              <w:rPr>
                <w:rFonts w:ascii="Times New Roman" w:eastAsia="Aptos" w:hAnsi="Times New Roman" w:cs="Times New Roman"/>
              </w:rPr>
            </w:pPr>
            <m:oMathPara>
              <m:oMath>
                <m:f>
                  <m:fPr>
                    <m:ctrlPr>
                      <w:rPr>
                        <w:rFonts w:ascii="Cambria Math" w:eastAsia="Aptos" w:hAnsi="Cambria Math" w:cs="Times New Roman"/>
                        <w:iCs/>
                      </w:rPr>
                    </m:ctrlPr>
                  </m:fPr>
                  <m:num>
                    <m:eqArr>
                      <m:eqArrPr>
                        <m:ctrlPr>
                          <w:rPr>
                            <w:rFonts w:ascii="Cambria Math" w:eastAsia="Aptos" w:hAnsi="Cambria Math" w:cs="Times New Roman"/>
                            <w:iCs/>
                          </w:rPr>
                        </m:ctrlPr>
                      </m:eqArrPr>
                      <m:e>
                        <m:r>
                          <m:rPr>
                            <m:sty m:val="p"/>
                          </m:rPr>
                          <w:rPr>
                            <w:rFonts w:ascii="Cambria Math" w:eastAsia="Aptos" w:hAnsi="Cambria Math" w:cs="Times New Roman"/>
                          </w:rPr>
                          <m:t>aktywa obrotowe-zapasy</m:t>
                        </m:r>
                      </m:e>
                      <m:e>
                        <m:r>
                          <m:rPr>
                            <m:sty m:val="p"/>
                          </m:rPr>
                          <w:rPr>
                            <w:rFonts w:ascii="Cambria Math" w:eastAsia="Aptos" w:hAnsi="Cambria Math" w:cs="Times New Roman"/>
                          </w:rPr>
                          <m:t>-stado obrotowe</m:t>
                        </m:r>
                      </m:e>
                    </m:eqArr>
                  </m:num>
                  <m:den>
                    <m:r>
                      <m:rPr>
                        <m:sty m:val="p"/>
                      </m:rPr>
                      <w:rPr>
                        <w:rFonts w:ascii="Cambria Math" w:eastAsia="Aptos" w:hAnsi="Cambria Math" w:cs="Times New Roman"/>
                      </w:rPr>
                      <m:t>pasywa bieżące</m:t>
                    </m:r>
                  </m:den>
                </m:f>
              </m:oMath>
            </m:oMathPara>
          </w:p>
        </w:tc>
      </w:tr>
      <w:tr w:rsidR="00BF0F17" w:rsidRPr="00BF0F17" w14:paraId="145DDF4D" w14:textId="77777777" w:rsidTr="00984200">
        <w:trPr>
          <w:trHeight w:hRule="exact" w:val="1191"/>
          <w:jc w:val="center"/>
        </w:trPr>
        <w:tc>
          <w:tcPr>
            <w:tcW w:w="4189" w:type="dxa"/>
          </w:tcPr>
          <w:p w14:paraId="55DB4E4D" w14:textId="77777777" w:rsidR="00BF0F17" w:rsidRPr="00BF0F17" w:rsidRDefault="00BF0F17" w:rsidP="001D0854">
            <w:pPr>
              <w:numPr>
                <w:ilvl w:val="0"/>
                <w:numId w:val="46"/>
              </w:numPr>
              <w:ind w:left="457" w:hanging="283"/>
              <w:contextualSpacing/>
              <w:rPr>
                <w:rFonts w:ascii="Times New Roman" w:eastAsia="Aptos" w:hAnsi="Times New Roman" w:cs="Times New Roman"/>
              </w:rPr>
            </w:pPr>
            <w:r w:rsidRPr="00BF0F17">
              <w:rPr>
                <w:rFonts w:ascii="Times New Roman" w:eastAsia="Aptos" w:hAnsi="Times New Roman" w:cs="Times New Roman"/>
              </w:rPr>
              <w:t>pokrycia kredytów ogółem i rat leasingu finansowego przepływami pieniężnymi (1)</w:t>
            </w:r>
            <w:r w:rsidRPr="00BF0F17">
              <w:rPr>
                <w:rFonts w:ascii="Times New Roman" w:eastAsia="Aptos" w:hAnsi="Times New Roman" w:cs="Times New Roman"/>
                <w:vertAlign w:val="superscript"/>
              </w:rPr>
              <w:t>1)</w:t>
            </w:r>
            <w:r w:rsidRPr="00BF0F17">
              <w:rPr>
                <w:rFonts w:ascii="Times New Roman" w:eastAsia="Aptos" w:hAnsi="Times New Roman" w:cs="Times New Roman"/>
              </w:rPr>
              <w:t xml:space="preserve">:   </w:t>
            </w:r>
            <w:r w:rsidRPr="00BF0F17">
              <w:rPr>
                <w:rFonts w:ascii="Cambria Math" w:eastAsia="Aptos" w:hAnsi="Cambria Math" w:cs="Times New Roman"/>
                <w:iCs/>
              </w:rPr>
              <w:t xml:space="preserve"> </w:t>
            </w:r>
          </w:p>
        </w:tc>
        <w:tc>
          <w:tcPr>
            <w:tcW w:w="4306" w:type="dxa"/>
          </w:tcPr>
          <w:p w14:paraId="5957B23E" w14:textId="77777777" w:rsidR="00BF0F17" w:rsidRPr="00BF0F17" w:rsidRDefault="00000000" w:rsidP="00BF0F17">
            <w:pPr>
              <w:contextualSpacing/>
              <w:jc w:val="center"/>
              <w:rPr>
                <w:rFonts w:ascii="Times New Roman" w:eastAsia="Aptos" w:hAnsi="Times New Roman" w:cs="Times New Roman"/>
              </w:rPr>
            </w:pPr>
            <m:oMathPara>
              <m:oMath>
                <m:f>
                  <m:fPr>
                    <m:ctrlPr>
                      <w:rPr>
                        <w:rFonts w:ascii="Cambria Math" w:eastAsia="Aptos" w:hAnsi="Cambria Math" w:cs="Times New Roman"/>
                        <w:iCs/>
                      </w:rPr>
                    </m:ctrlPr>
                  </m:fPr>
                  <m:num>
                    <m:r>
                      <m:rPr>
                        <m:sty m:val="p"/>
                      </m:rPr>
                      <w:rPr>
                        <w:rFonts w:ascii="Cambria Math" w:eastAsia="Aptos" w:hAnsi="Cambria Math" w:cs="Times New Roman"/>
                      </w:rPr>
                      <m:t>przepływy pieniężne (1)</m:t>
                    </m:r>
                  </m:num>
                  <m:den>
                    <m:r>
                      <m:rPr>
                        <m:sty m:val="p"/>
                      </m:rPr>
                      <w:rPr>
                        <w:rFonts w:ascii="Cambria Math" w:eastAsia="Aptos" w:hAnsi="Cambria Math" w:cs="Times New Roman"/>
                      </w:rPr>
                      <m:t>kredyty ogółem</m:t>
                    </m:r>
                  </m:den>
                </m:f>
              </m:oMath>
            </m:oMathPara>
          </w:p>
        </w:tc>
      </w:tr>
      <w:tr w:rsidR="00BF0F17" w:rsidRPr="00BF0F17" w14:paraId="6140B951" w14:textId="77777777" w:rsidTr="00984200">
        <w:trPr>
          <w:trHeight w:hRule="exact" w:val="1191"/>
          <w:jc w:val="center"/>
        </w:trPr>
        <w:tc>
          <w:tcPr>
            <w:tcW w:w="4189" w:type="dxa"/>
          </w:tcPr>
          <w:p w14:paraId="704C3A3A" w14:textId="77777777" w:rsidR="00BF0F17" w:rsidRPr="00BF0F17" w:rsidRDefault="00BF0F17" w:rsidP="001D0854">
            <w:pPr>
              <w:numPr>
                <w:ilvl w:val="0"/>
                <w:numId w:val="46"/>
              </w:numPr>
              <w:ind w:left="457" w:hanging="283"/>
              <w:contextualSpacing/>
              <w:rPr>
                <w:rFonts w:ascii="Times New Roman" w:eastAsia="Aptos" w:hAnsi="Times New Roman" w:cs="Times New Roman"/>
              </w:rPr>
            </w:pPr>
            <w:r w:rsidRPr="00BF0F17">
              <w:rPr>
                <w:rFonts w:ascii="Times New Roman" w:eastAsia="Aptos" w:hAnsi="Times New Roman" w:cs="Times New Roman"/>
              </w:rPr>
              <w:t>struktury kapitałowej/finansowej:</w:t>
            </w:r>
          </w:p>
        </w:tc>
        <w:tc>
          <w:tcPr>
            <w:tcW w:w="4306" w:type="dxa"/>
          </w:tcPr>
          <w:p w14:paraId="3762B82F" w14:textId="77777777" w:rsidR="00BF0F17" w:rsidRPr="00BF0F17" w:rsidRDefault="00000000" w:rsidP="00BF0F17">
            <w:pPr>
              <w:contextualSpacing/>
              <w:jc w:val="center"/>
              <w:rPr>
                <w:rFonts w:ascii="Times New Roman" w:eastAsia="Aptos" w:hAnsi="Times New Roman" w:cs="Times New Roman"/>
              </w:rPr>
            </w:pPr>
            <m:oMathPara>
              <m:oMath>
                <m:f>
                  <m:fPr>
                    <m:ctrlPr>
                      <w:rPr>
                        <w:rFonts w:ascii="Cambria Math" w:eastAsia="Aptos" w:hAnsi="Cambria Math" w:cs="Times New Roman"/>
                        <w:iCs/>
                      </w:rPr>
                    </m:ctrlPr>
                  </m:fPr>
                  <m:num>
                    <m:r>
                      <m:rPr>
                        <m:sty m:val="p"/>
                      </m:rPr>
                      <w:rPr>
                        <w:rFonts w:ascii="Cambria Math" w:eastAsia="Aptos" w:hAnsi="Cambria Math" w:cs="Times New Roman"/>
                      </w:rPr>
                      <m:t>pasywa ogółem</m:t>
                    </m:r>
                  </m:num>
                  <m:den>
                    <m:r>
                      <m:rPr>
                        <m:sty m:val="p"/>
                      </m:rPr>
                      <w:rPr>
                        <w:rFonts w:ascii="Cambria Math" w:eastAsia="Aptos" w:hAnsi="Cambria Math" w:cs="Times New Roman"/>
                      </w:rPr>
                      <m:t>kapitał własny</m:t>
                    </m:r>
                  </m:den>
                </m:f>
              </m:oMath>
            </m:oMathPara>
          </w:p>
        </w:tc>
      </w:tr>
      <w:tr w:rsidR="00BF0F17" w:rsidRPr="00BF0F17" w14:paraId="5E96B270" w14:textId="77777777" w:rsidTr="00984200">
        <w:trPr>
          <w:trHeight w:hRule="exact" w:val="1191"/>
          <w:jc w:val="center"/>
        </w:trPr>
        <w:tc>
          <w:tcPr>
            <w:tcW w:w="4189" w:type="dxa"/>
          </w:tcPr>
          <w:p w14:paraId="0B1234E4" w14:textId="77777777" w:rsidR="00BF0F17" w:rsidRPr="00BF0F17" w:rsidRDefault="00BF0F17" w:rsidP="001D0854">
            <w:pPr>
              <w:numPr>
                <w:ilvl w:val="0"/>
                <w:numId w:val="46"/>
              </w:numPr>
              <w:ind w:left="457" w:hanging="283"/>
              <w:contextualSpacing/>
              <w:rPr>
                <w:rFonts w:ascii="Times New Roman" w:eastAsia="Aptos" w:hAnsi="Times New Roman" w:cs="Times New Roman"/>
              </w:rPr>
            </w:pPr>
            <w:r w:rsidRPr="00BF0F17">
              <w:rPr>
                <w:rFonts w:ascii="Times New Roman" w:eastAsia="Aptos" w:hAnsi="Times New Roman" w:cs="Times New Roman"/>
              </w:rPr>
              <w:t xml:space="preserve">stopy inwestowania:                     </w:t>
            </w:r>
            <w:r w:rsidRPr="00BF0F17">
              <w:rPr>
                <w:rFonts w:ascii="Cambria Math" w:eastAsia="Aptos" w:hAnsi="Cambria Math" w:cs="Times New Roman"/>
                <w:iCs/>
              </w:rPr>
              <w:t xml:space="preserve"> </w:t>
            </w:r>
          </w:p>
        </w:tc>
        <w:tc>
          <w:tcPr>
            <w:tcW w:w="4306" w:type="dxa"/>
          </w:tcPr>
          <w:p w14:paraId="5483C7D9" w14:textId="77777777" w:rsidR="00BF0F17" w:rsidRPr="00BF0F17" w:rsidRDefault="00000000" w:rsidP="00BF0F17">
            <w:pPr>
              <w:contextualSpacing/>
              <w:jc w:val="center"/>
              <w:rPr>
                <w:rFonts w:ascii="Times New Roman" w:eastAsia="Aptos" w:hAnsi="Times New Roman" w:cs="Times New Roman"/>
              </w:rPr>
            </w:pPr>
            <m:oMathPara>
              <m:oMath>
                <m:f>
                  <m:fPr>
                    <m:ctrlPr>
                      <w:rPr>
                        <w:rFonts w:ascii="Cambria Math" w:eastAsia="Aptos" w:hAnsi="Cambria Math" w:cs="Times New Roman"/>
                        <w:iCs/>
                      </w:rPr>
                    </m:ctrlPr>
                  </m:fPr>
                  <m:num>
                    <m:r>
                      <m:rPr>
                        <m:sty m:val="p"/>
                      </m:rPr>
                      <w:rPr>
                        <w:rFonts w:ascii="Cambria Math" w:eastAsia="Aptos" w:hAnsi="Cambria Math" w:cs="Times New Roman"/>
                      </w:rPr>
                      <m:t>inwestycje brutto</m:t>
                    </m:r>
                  </m:num>
                  <m:den>
                    <m:r>
                      <m:rPr>
                        <m:sty m:val="p"/>
                      </m:rPr>
                      <w:rPr>
                        <w:rFonts w:ascii="Cambria Math" w:eastAsia="Aptos" w:hAnsi="Cambria Math" w:cs="Times New Roman"/>
                      </w:rPr>
                      <m:t>amortyzacja</m:t>
                    </m:r>
                  </m:den>
                </m:f>
              </m:oMath>
            </m:oMathPara>
          </w:p>
        </w:tc>
      </w:tr>
    </w:tbl>
    <w:p w14:paraId="2E466A46" w14:textId="77777777" w:rsidR="00BF0F17" w:rsidRPr="00BF0F17" w:rsidRDefault="00BF0F17" w:rsidP="001D0854">
      <w:pPr>
        <w:numPr>
          <w:ilvl w:val="0"/>
          <w:numId w:val="47"/>
        </w:numPr>
        <w:spacing w:line="259" w:lineRule="auto"/>
        <w:ind w:left="567" w:hanging="567"/>
        <w:contextualSpacing/>
        <w:jc w:val="both"/>
        <w:rPr>
          <w:rFonts w:ascii="Times New Roman" w:eastAsia="Aptos" w:hAnsi="Times New Roman" w:cs="Times New Roman"/>
          <w:sz w:val="28"/>
          <w:szCs w:val="28"/>
        </w:rPr>
      </w:pPr>
      <w:r w:rsidRPr="00BF0F17">
        <w:rPr>
          <w:rFonts w:ascii="Times New Roman" w:eastAsia="Aptos" w:hAnsi="Times New Roman" w:cs="Times New Roman"/>
          <w:sz w:val="28"/>
          <w:szCs w:val="28"/>
        </w:rPr>
        <w:t xml:space="preserve">przepływy pieniężne (1) oblicza się następująco: sprzedaż produktów + inne przychody + sprzedaż zwierząt – koszty ogółem – koszty zakupu zwierząt + </w:t>
      </w:r>
      <w:r w:rsidRPr="00BF0F17">
        <w:rPr>
          <w:rFonts w:ascii="Times New Roman" w:eastAsia="Aptos" w:hAnsi="Times New Roman" w:cs="Times New Roman"/>
          <w:sz w:val="28"/>
          <w:szCs w:val="28"/>
        </w:rPr>
        <w:lastRenderedPageBreak/>
        <w:t>saldo dopłat i podatków dotyczących działalności operacyjnej + saldo dopłat i podatków dotyczących inwestycji.</w:t>
      </w:r>
    </w:p>
    <w:p w14:paraId="2856CE0B" w14:textId="77777777" w:rsidR="00BF0F17" w:rsidRDefault="00BF0F17" w:rsidP="00BF0F17">
      <w:pPr>
        <w:ind w:firstLine="708"/>
        <w:rPr>
          <w:rFonts w:ascii="Times New Roman" w:hAnsi="Times New Roman" w:cs="Times New Roman"/>
          <w:sz w:val="28"/>
          <w:szCs w:val="28"/>
        </w:rPr>
      </w:pPr>
    </w:p>
    <w:p w14:paraId="0358DAC3" w14:textId="666E4F9C" w:rsidR="00EF1EE5" w:rsidRDefault="00EF1EE5" w:rsidP="00EF1EE5">
      <w:pPr>
        <w:pStyle w:val="Akapitzlist"/>
        <w:numPr>
          <w:ilvl w:val="0"/>
          <w:numId w:val="57"/>
        </w:numPr>
        <w:jc w:val="both"/>
        <w:rPr>
          <w:rFonts w:ascii="Times New Roman" w:hAnsi="Times New Roman" w:cs="Times New Roman"/>
          <w:b/>
          <w:bCs/>
          <w:sz w:val="28"/>
          <w:szCs w:val="28"/>
        </w:rPr>
      </w:pPr>
      <w:r w:rsidRPr="00EF1EE5">
        <w:rPr>
          <w:rFonts w:ascii="Times New Roman" w:hAnsi="Times New Roman" w:cs="Times New Roman"/>
          <w:b/>
          <w:bCs/>
          <w:sz w:val="28"/>
          <w:szCs w:val="28"/>
        </w:rPr>
        <w:t>Konstrukcja zbioru</w:t>
      </w:r>
      <w:r w:rsidR="00806371">
        <w:rPr>
          <w:rFonts w:ascii="Times New Roman" w:hAnsi="Times New Roman" w:cs="Times New Roman"/>
          <w:b/>
          <w:bCs/>
          <w:sz w:val="28"/>
          <w:szCs w:val="28"/>
        </w:rPr>
        <w:t xml:space="preserve"> kowariatów</w:t>
      </w:r>
      <w:r w:rsidRPr="00EF1EE5">
        <w:rPr>
          <w:rFonts w:ascii="Times New Roman" w:hAnsi="Times New Roman" w:cs="Times New Roman"/>
          <w:b/>
          <w:bCs/>
          <w:sz w:val="28"/>
          <w:szCs w:val="28"/>
        </w:rPr>
        <w:t xml:space="preserve"> X </w:t>
      </w:r>
    </w:p>
    <w:p w14:paraId="605F2D3B" w14:textId="2F0FADA1" w:rsidR="00052EE7" w:rsidRPr="00052EE7" w:rsidRDefault="00052EE7" w:rsidP="00052EE7">
      <w:pPr>
        <w:jc w:val="both"/>
        <w:rPr>
          <w:rFonts w:ascii="Times New Roman" w:hAnsi="Times New Roman" w:cs="Times New Roman"/>
          <w:b/>
          <w:bCs/>
          <w:sz w:val="28"/>
          <w:szCs w:val="28"/>
        </w:rPr>
      </w:pPr>
      <w:r w:rsidRPr="00052EE7">
        <w:rPr>
          <w:rFonts w:ascii="Times New Roman" w:hAnsi="Times New Roman" w:cs="Times New Roman"/>
          <w:b/>
          <w:bCs/>
          <w:sz w:val="28"/>
          <w:szCs w:val="28"/>
        </w:rPr>
        <w:t>9.1. Ogólne założenia</w:t>
      </w:r>
    </w:p>
    <w:p w14:paraId="2425FC80" w14:textId="4092F21E" w:rsidR="00D765AA" w:rsidRDefault="00D765AA" w:rsidP="00D765AA">
      <w:pPr>
        <w:ind w:firstLine="567"/>
        <w:jc w:val="both"/>
        <w:rPr>
          <w:rFonts w:ascii="Times New Roman" w:hAnsi="Times New Roman" w:cs="Times New Roman"/>
          <w:sz w:val="28"/>
          <w:szCs w:val="28"/>
        </w:rPr>
      </w:pPr>
      <w:r>
        <w:rPr>
          <w:rFonts w:ascii="Times New Roman" w:hAnsi="Times New Roman" w:cs="Times New Roman"/>
          <w:sz w:val="28"/>
          <w:szCs w:val="28"/>
        </w:rPr>
        <w:t>Badania popytu ubezpieczeniowego rolników bardzo często są niepewne i nieprecyzyjne z uwagi głównie na niezadowalające nieuporanie się ich autorów z problemem endogeniczności. Jeśli popyt ten jest zmienną zależną mierzoną np. zebraną składką, sumą ubezpieczeniową, chronionym areałem lub poziomem pokrycia ubezpieczeniowego, stopa składki ubezpieczeniowej (jako cena usługi) z zasady powinna być główną zmienną niezależną. Jednak, gdy stopa ta rośnie wraz ze wzrostem ilości nabywanej ochrony, bo tak powinno być na gruncie poprawności aktuarialnej ubezpieczenia, mamy do czynienia z podważaniem prawa popytu (Woodard i Yi, 2010). Zarazem oznacza to, że ilościowo ujęty popyt i stopa składki określane są równocześnie, niezależnie od tego, czy popyt jest zmienną zależną, czy niezależną w stosownym modelu. I ta właśnie okoliczność jest głównym źródłem endogeniczności, oczywiście poza opuszczonymi zmiennymi i pominięciem czynników nieobserwowalnych w modelach. Standardowym remedium na endogeniczność w ekonometrii jest posługiwanie się techniką zmiennych instrumentalnych (Connor i in., 2021). Kandydatką na taką zmienną jest taka, która będzie wykazywała silne skorelowania z kluczową dla popytu zmienną niezależną, ale nie ze zmienną zależną (popytem) oraz z błędem modelu. Stąd najlepszym rozwiązaniem na dzień dzisiejszy jest posługiwanie się parametrami aktuarialnymi kontraktu ubezpieczeniowego stosowanymi do jego wyceny, ale pod warunkiem odpowiedniego rozbudowania samego modelu ekonometrycznego (Tsiboe i Turner 2022).</w:t>
      </w:r>
    </w:p>
    <w:p w14:paraId="60549337" w14:textId="77777777" w:rsidR="00D765AA" w:rsidRDefault="00D765AA" w:rsidP="00D765AA">
      <w:pPr>
        <w:ind w:firstLine="567"/>
        <w:jc w:val="both"/>
        <w:rPr>
          <w:rFonts w:ascii="Times New Roman" w:hAnsi="Times New Roman" w:cs="Times New Roman"/>
          <w:sz w:val="28"/>
          <w:szCs w:val="28"/>
        </w:rPr>
      </w:pPr>
      <w:r>
        <w:rPr>
          <w:rFonts w:ascii="Times New Roman" w:hAnsi="Times New Roman" w:cs="Times New Roman"/>
          <w:sz w:val="28"/>
          <w:szCs w:val="28"/>
        </w:rPr>
        <w:t xml:space="preserve">Punktem wyjścia do poszukiwania dobrych zmiennych instrumentalnych są istotne zmiany legislacji dotyczących programów ubezpieczeniowych, a szczególnie te odnoszące się do poziomu stóp subsydiowania, oraz jednostek podziału terytorialnego kraju i zasady wyceny kontraktów ubezpieczeniowych przez asekuratorów (Tsiboe i Turner, 2021; Woodard i Yi, 2020). Ważne jest to, żeby nie mogły być one manipulowane przez rolników, tzn. powinny być one dla nich parametrami zadanymi, i odzwierciedlać powinny ww. równoczesność popytu ubezpieczeniowego i składki ubezpieczeniowej. Bardzo dobrym przykładem, jak można poprawnie zastosować zmienne instrumentalne, jest wobec powyższego praca Tsiboe i Turnera (2023). Recz jasna, rozważania tej dwójki </w:t>
      </w:r>
      <w:r>
        <w:rPr>
          <w:rFonts w:ascii="Times New Roman" w:hAnsi="Times New Roman" w:cs="Times New Roman"/>
          <w:sz w:val="28"/>
          <w:szCs w:val="28"/>
        </w:rPr>
        <w:lastRenderedPageBreak/>
        <w:t>agroekonomistów amerykańskich odnoszą się w pierwszym rzędzie do tamtejszych ubezpieczeń rolnych i każdorazowo powinny być odpowiednio dostosowane do warunków w konkretnym kraju.</w:t>
      </w:r>
    </w:p>
    <w:p w14:paraId="27A08138" w14:textId="77777777" w:rsidR="00D765AA" w:rsidRDefault="00D765AA" w:rsidP="00D765AA">
      <w:pPr>
        <w:ind w:firstLine="567"/>
        <w:jc w:val="both"/>
        <w:rPr>
          <w:rFonts w:ascii="Times New Roman" w:hAnsi="Times New Roman" w:cs="Times New Roman"/>
          <w:sz w:val="28"/>
          <w:szCs w:val="28"/>
        </w:rPr>
      </w:pPr>
      <w:r>
        <w:rPr>
          <w:rFonts w:ascii="Times New Roman" w:hAnsi="Times New Roman" w:cs="Times New Roman"/>
          <w:sz w:val="28"/>
          <w:szCs w:val="28"/>
        </w:rPr>
        <w:t>Przyjmujmy w ślad za Tsiboe i Turnerem, że kontrakt ubezpieczeniowy opisany jest za pomocą ośmiu parametrów: średniego plonu (</w:t>
      </w:r>
      <w:r w:rsidRPr="001D325F">
        <w:rPr>
          <w:rFonts w:ascii="Times New Roman" w:hAnsi="Times New Roman" w:cs="Times New Roman"/>
          <w:position w:val="-10"/>
          <w:sz w:val="28"/>
          <w:szCs w:val="28"/>
        </w:rPr>
        <w:object w:dxaOrig="220" w:dyaOrig="300" w14:anchorId="4B537D8F">
          <v:shape id="_x0000_i1149" type="#_x0000_t75" style="width:7.5pt;height:14.5pt" o:ole="">
            <v:imagedata r:id="rId301" o:title=""/>
          </v:shape>
          <o:OLEObject Type="Embed" ProgID="Equation.DSMT4" ShapeID="_x0000_i1149" DrawAspect="Content" ObjectID="_1799840720" r:id="rId302"/>
        </w:object>
      </w:r>
      <w:r>
        <w:rPr>
          <w:rFonts w:ascii="Times New Roman" w:hAnsi="Times New Roman" w:cs="Times New Roman"/>
          <w:sz w:val="28"/>
          <w:szCs w:val="28"/>
        </w:rPr>
        <w:t>); plonu akceptowanego przez RMA (Risk Management Agency), która szacuje składki ubezpieczeniowe dla każdego kontraktu; poziomu ochrony ubezpieczeniowej (</w:t>
      </w:r>
      <w:r w:rsidRPr="001D325F">
        <w:rPr>
          <w:rFonts w:ascii="Times New Roman" w:hAnsi="Times New Roman" w:cs="Times New Roman"/>
          <w:i/>
          <w:iCs/>
          <w:sz w:val="28"/>
          <w:szCs w:val="28"/>
        </w:rPr>
        <w:t>θ</w:t>
      </w:r>
      <w:r>
        <w:rPr>
          <w:rFonts w:ascii="Times New Roman" w:hAnsi="Times New Roman" w:cs="Times New Roman"/>
          <w:sz w:val="28"/>
          <w:szCs w:val="28"/>
        </w:rPr>
        <w:t>); odszkodowania (I(y)); stopy składki (τ); składki (P); subsydium (S(</w:t>
      </w:r>
      <w:r w:rsidRPr="001D325F">
        <w:rPr>
          <w:rFonts w:ascii="Times New Roman" w:hAnsi="Times New Roman" w:cs="Times New Roman"/>
          <w:i/>
          <w:iCs/>
          <w:sz w:val="28"/>
          <w:szCs w:val="28"/>
        </w:rPr>
        <w:t>θ</w:t>
      </w:r>
      <w:r>
        <w:rPr>
          <w:rFonts w:ascii="Times New Roman" w:hAnsi="Times New Roman" w:cs="Times New Roman"/>
          <w:i/>
          <w:iCs/>
          <w:sz w:val="28"/>
          <w:szCs w:val="28"/>
        </w:rPr>
        <w:t>,u))</w:t>
      </w:r>
      <w:r w:rsidRPr="001D325F">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 xml:space="preserve">u – rodzaju ubezpieczenia. RMA dąży do tego, żeby kontrakty były sprawiedliwe aktuarialnie. Oznacza to, że dla aktualnego plonu </w:t>
      </w:r>
      <w:r w:rsidRPr="00B83B71">
        <w:rPr>
          <w:rFonts w:ascii="Times New Roman" w:hAnsi="Times New Roman" w:cs="Times New Roman"/>
          <w:i/>
          <w:iCs/>
          <w:sz w:val="28"/>
          <w:szCs w:val="28"/>
        </w:rPr>
        <w:t>y</w:t>
      </w:r>
      <w:r>
        <w:rPr>
          <w:rFonts w:ascii="Times New Roman" w:hAnsi="Times New Roman" w:cs="Times New Roman"/>
          <w:sz w:val="28"/>
          <w:szCs w:val="28"/>
        </w:rPr>
        <w:t xml:space="preserve"> funkcja odszkodowania na 1 akr może być zapisana jako: </w:t>
      </w:r>
      <w:r w:rsidRPr="00720703">
        <w:rPr>
          <w:rFonts w:ascii="Times New Roman" w:hAnsi="Times New Roman" w:cs="Times New Roman"/>
          <w:position w:val="-14"/>
          <w:sz w:val="28"/>
          <w:szCs w:val="28"/>
        </w:rPr>
        <w:object w:dxaOrig="2200" w:dyaOrig="400" w14:anchorId="5D04B55B">
          <v:shape id="_x0000_i1150" type="#_x0000_t75" style="width:108.5pt;height:22pt" o:ole="">
            <v:imagedata r:id="rId303" o:title=""/>
          </v:shape>
          <o:OLEObject Type="Embed" ProgID="Equation.DSMT4" ShapeID="_x0000_i1150" DrawAspect="Content" ObjectID="_1799840721" r:id="rId304"/>
        </w:object>
      </w:r>
      <w:r>
        <w:rPr>
          <w:rFonts w:ascii="Times New Roman" w:hAnsi="Times New Roman" w:cs="Times New Roman"/>
          <w:sz w:val="28"/>
          <w:szCs w:val="28"/>
        </w:rPr>
        <w:t>. Od kilku już lat RMA stosuje jednak metodę ciągłej wyceny kontraktów ubezpieczeniowych. Skutkuje to m.in. dosyć złożoną formułą na wyliczanie odszkodowania na akr:</w:t>
      </w:r>
    </w:p>
    <w:p w14:paraId="71F46641" w14:textId="77777777" w:rsidR="00D765AA" w:rsidRDefault="00D765AA" w:rsidP="00D765AA">
      <w:pPr>
        <w:tabs>
          <w:tab w:val="left" w:pos="3721"/>
        </w:tabs>
        <w:jc w:val="center"/>
        <w:rPr>
          <w:rFonts w:ascii="Times New Roman" w:hAnsi="Times New Roman" w:cs="Times New Roman"/>
          <w:sz w:val="28"/>
          <w:szCs w:val="28"/>
        </w:rPr>
      </w:pPr>
      <w:r w:rsidRPr="003024B5">
        <w:rPr>
          <w:rFonts w:ascii="Times New Roman" w:hAnsi="Times New Roman" w:cs="Times New Roman"/>
          <w:position w:val="-28"/>
          <w:sz w:val="28"/>
          <w:szCs w:val="28"/>
        </w:rPr>
        <w:object w:dxaOrig="4180" w:dyaOrig="740" w14:anchorId="18AE5F2B">
          <v:shape id="_x0000_i1151" type="#_x0000_t75" style="width:208.5pt;height:36.5pt" o:ole="">
            <v:imagedata r:id="rId305" o:title=""/>
          </v:shape>
          <o:OLEObject Type="Embed" ProgID="Equation.DSMT4" ShapeID="_x0000_i1151" DrawAspect="Content" ObjectID="_1799840722" r:id="rId306"/>
        </w:object>
      </w:r>
      <w:r>
        <w:rPr>
          <w:rFonts w:ascii="Times New Roman" w:hAnsi="Times New Roman" w:cs="Times New Roman"/>
          <w:sz w:val="28"/>
          <w:szCs w:val="28"/>
        </w:rPr>
        <w:t>,</w:t>
      </w:r>
    </w:p>
    <w:p w14:paraId="4803CC31" w14:textId="77777777" w:rsidR="00D765AA" w:rsidRDefault="00D765AA" w:rsidP="00D765AA">
      <w:pPr>
        <w:tabs>
          <w:tab w:val="left" w:pos="956"/>
        </w:tabs>
        <w:jc w:val="both"/>
        <w:rPr>
          <w:rFonts w:ascii="Times New Roman" w:hAnsi="Times New Roman" w:cs="Times New Roman"/>
          <w:sz w:val="28"/>
          <w:szCs w:val="28"/>
        </w:rPr>
      </w:pPr>
      <w:r>
        <w:rPr>
          <w:rFonts w:ascii="Times New Roman" w:hAnsi="Times New Roman" w:cs="Times New Roman"/>
          <w:sz w:val="28"/>
          <w:szCs w:val="28"/>
        </w:rPr>
        <w:t xml:space="preserve">gdzie: f(y) – funkcja gęstości prawdopodobieństwa </w:t>
      </w:r>
      <w:r w:rsidRPr="00A45E64">
        <w:rPr>
          <w:rFonts w:ascii="Times New Roman" w:hAnsi="Times New Roman" w:cs="Times New Roman"/>
          <w:i/>
          <w:iCs/>
          <w:sz w:val="28"/>
          <w:szCs w:val="28"/>
        </w:rPr>
        <w:t>y</w:t>
      </w:r>
      <w:r>
        <w:rPr>
          <w:rFonts w:ascii="Times New Roman" w:hAnsi="Times New Roman" w:cs="Times New Roman"/>
          <w:sz w:val="28"/>
          <w:szCs w:val="28"/>
        </w:rPr>
        <w:t>; z uwagi na to, że odszkodowanie jest wielkością stochastyczną i nieznaną w momencie podpisywania umowy, przyjmuje się, iż f(y) będzie rozkładem warunkowym determinowanym przez mechanizm uwzględniający profil ryzyka rolnika chcącego się ubezpieczyć. RMA w istocie nie zna jednak tego profilu. Pośrednio natomiast wnioskuje o nim na podstawie produktywności danego rolnika w porównaniu do odpowiadającej mu grupy kontrolnej. W konsekwencji otrzymujemy następującą formułę na ciągłą metodę kalkulowania stawki ubezpieczeniowej:</w:t>
      </w:r>
    </w:p>
    <w:p w14:paraId="54BD41F3" w14:textId="77777777" w:rsidR="00D765AA" w:rsidRDefault="00D765AA" w:rsidP="00D765AA">
      <w:pPr>
        <w:tabs>
          <w:tab w:val="left" w:pos="3779"/>
        </w:tabs>
        <w:jc w:val="center"/>
        <w:rPr>
          <w:rFonts w:ascii="Times New Roman" w:hAnsi="Times New Roman" w:cs="Times New Roman"/>
          <w:sz w:val="28"/>
          <w:szCs w:val="28"/>
        </w:rPr>
      </w:pPr>
      <w:r w:rsidRPr="0009169F">
        <w:rPr>
          <w:rFonts w:ascii="Times New Roman" w:hAnsi="Times New Roman" w:cs="Times New Roman"/>
          <w:position w:val="-22"/>
          <w:sz w:val="28"/>
          <w:szCs w:val="28"/>
        </w:rPr>
        <w:object w:dxaOrig="3700" w:dyaOrig="560" w14:anchorId="7485B8CE">
          <v:shape id="_x0000_i1152" type="#_x0000_t75" style="width:187pt;height:29pt" o:ole="">
            <v:imagedata r:id="rId307" o:title=""/>
          </v:shape>
          <o:OLEObject Type="Embed" ProgID="Equation.DSMT4" ShapeID="_x0000_i1152" DrawAspect="Content" ObjectID="_1799840723" r:id="rId308"/>
        </w:object>
      </w:r>
      <w:r>
        <w:rPr>
          <w:rFonts w:ascii="Times New Roman" w:hAnsi="Times New Roman" w:cs="Times New Roman"/>
          <w:sz w:val="28"/>
          <w:szCs w:val="28"/>
        </w:rPr>
        <w:t>,</w:t>
      </w:r>
    </w:p>
    <w:p w14:paraId="0F3C0FB3" w14:textId="77777777" w:rsidR="00D765AA" w:rsidRDefault="00D765AA" w:rsidP="00D765AA">
      <w:pPr>
        <w:jc w:val="both"/>
        <w:rPr>
          <w:rFonts w:ascii="Times New Roman" w:hAnsi="Times New Roman" w:cs="Times New Roman"/>
          <w:sz w:val="28"/>
          <w:szCs w:val="28"/>
        </w:rPr>
      </w:pPr>
      <w:r>
        <w:rPr>
          <w:rFonts w:ascii="Times New Roman" w:hAnsi="Times New Roman" w:cs="Times New Roman"/>
          <w:sz w:val="28"/>
          <w:szCs w:val="28"/>
        </w:rPr>
        <w:t xml:space="preserve">gdzie: subskrypt ijt – rolnik i należący do puli ubezpieczeniowej </w:t>
      </w:r>
      <w:r w:rsidRPr="00A45E64">
        <w:rPr>
          <w:rFonts w:ascii="Times New Roman" w:hAnsi="Times New Roman" w:cs="Times New Roman"/>
          <w:i/>
          <w:iCs/>
          <w:sz w:val="28"/>
          <w:szCs w:val="28"/>
        </w:rPr>
        <w:t>j</w:t>
      </w:r>
      <w:r>
        <w:rPr>
          <w:rFonts w:ascii="Times New Roman" w:hAnsi="Times New Roman" w:cs="Times New Roman"/>
          <w:sz w:val="28"/>
          <w:szCs w:val="28"/>
        </w:rPr>
        <w:t xml:space="preserve"> w sezonie uprawowym t; α</w:t>
      </w:r>
      <w:r w:rsidRPr="00DC2CD6">
        <w:rPr>
          <w:rFonts w:ascii="Times New Roman" w:hAnsi="Times New Roman" w:cs="Times New Roman"/>
          <w:sz w:val="28"/>
          <w:szCs w:val="28"/>
          <w:vertAlign w:val="subscript"/>
        </w:rPr>
        <w:t>jt</w:t>
      </w:r>
      <w:r>
        <w:rPr>
          <w:rFonts w:ascii="Times New Roman" w:hAnsi="Times New Roman" w:cs="Times New Roman"/>
          <w:sz w:val="28"/>
          <w:szCs w:val="28"/>
        </w:rPr>
        <w:t xml:space="preserve"> – stopa referencyjna; narzut katastroficzny na poziom pokrycia równy 65%.; β</w:t>
      </w:r>
      <w:r w:rsidRPr="00DC2CD6">
        <w:rPr>
          <w:rFonts w:ascii="Times New Roman" w:hAnsi="Times New Roman" w:cs="Times New Roman"/>
          <w:sz w:val="28"/>
          <w:szCs w:val="28"/>
          <w:vertAlign w:val="subscript"/>
        </w:rPr>
        <w:t>jt</w:t>
      </w:r>
      <w:r>
        <w:rPr>
          <w:rFonts w:ascii="Times New Roman" w:hAnsi="Times New Roman" w:cs="Times New Roman"/>
          <w:sz w:val="28"/>
          <w:szCs w:val="28"/>
        </w:rPr>
        <w:t xml:space="preserve"> – wewnętrznie ustalony parametr przez RMA na podstawie danych historycznych.</w:t>
      </w:r>
    </w:p>
    <w:p w14:paraId="0E330040" w14:textId="77777777" w:rsidR="00D765AA" w:rsidRDefault="00D765AA" w:rsidP="00D765AA">
      <w:pPr>
        <w:ind w:firstLine="708"/>
        <w:jc w:val="both"/>
        <w:rPr>
          <w:rFonts w:ascii="Times New Roman" w:hAnsi="Times New Roman" w:cs="Times New Roman"/>
          <w:sz w:val="28"/>
          <w:szCs w:val="28"/>
        </w:rPr>
      </w:pPr>
      <w:r>
        <w:rPr>
          <w:rFonts w:ascii="Times New Roman" w:hAnsi="Times New Roman" w:cs="Times New Roman"/>
          <w:sz w:val="28"/>
          <w:szCs w:val="28"/>
        </w:rPr>
        <w:t xml:space="preserve">Z przedstawionych powyżej założeń i zależności wynika, że stopy składek ubezpieczeniowych naliczanych amerykańskim farmerom są złożoną konstrukcją. Zawierają one człon egzogeniczny dla nich </w:t>
      </w:r>
      <w:r w:rsidRPr="00F506F0">
        <w:rPr>
          <w:rFonts w:ascii="Times New Roman" w:hAnsi="Times New Roman" w:cs="Times New Roman"/>
          <w:position w:val="-14"/>
          <w:sz w:val="28"/>
          <w:szCs w:val="28"/>
        </w:rPr>
        <w:object w:dxaOrig="1420" w:dyaOrig="400" w14:anchorId="490F9BEA">
          <v:shape id="_x0000_i1153" type="#_x0000_t75" style="width:1in;height:22pt" o:ole="">
            <v:imagedata r:id="rId309" o:title=""/>
          </v:shape>
          <o:OLEObject Type="Embed" ProgID="Equation.DSMT4" ShapeID="_x0000_i1153" DrawAspect="Content" ObjectID="_1799840724" r:id="rId310"/>
        </w:object>
      </w:r>
      <w:r>
        <w:rPr>
          <w:rFonts w:ascii="Times New Roman" w:hAnsi="Times New Roman" w:cs="Times New Roman"/>
          <w:sz w:val="28"/>
          <w:szCs w:val="28"/>
        </w:rPr>
        <w:t xml:space="preserve">; przestrzeń </w:t>
      </w:r>
      <w:r>
        <w:rPr>
          <w:rFonts w:ascii="Times New Roman" w:hAnsi="Times New Roman" w:cs="Times New Roman"/>
          <w:sz w:val="28"/>
          <w:szCs w:val="28"/>
        </w:rPr>
        <w:lastRenderedPageBreak/>
        <w:t xml:space="preserve">parametrów politycznych </w:t>
      </w:r>
      <w:r w:rsidRPr="00F506F0">
        <w:rPr>
          <w:rFonts w:ascii="Times New Roman" w:hAnsi="Times New Roman" w:cs="Times New Roman"/>
          <w:position w:val="-14"/>
          <w:sz w:val="28"/>
          <w:szCs w:val="28"/>
        </w:rPr>
        <w:object w:dxaOrig="1620" w:dyaOrig="400" w14:anchorId="76DD3B31">
          <v:shape id="_x0000_i1154" type="#_x0000_t75" style="width:79.5pt;height:22pt" o:ole="">
            <v:imagedata r:id="rId311" o:title=""/>
          </v:shape>
          <o:OLEObject Type="Embed" ProgID="Equation.DSMT4" ShapeID="_x0000_i1154" DrawAspect="Content" ObjectID="_1799840725" r:id="rId312"/>
        </w:object>
      </w:r>
      <w:r>
        <w:rPr>
          <w:rFonts w:ascii="Times New Roman" w:hAnsi="Times New Roman" w:cs="Times New Roman"/>
          <w:sz w:val="28"/>
          <w:szCs w:val="28"/>
        </w:rPr>
        <w:t xml:space="preserve">; człon endogeniczny, tj. </w:t>
      </w:r>
      <w:r w:rsidRPr="00F506F0">
        <w:rPr>
          <w:rFonts w:ascii="Times New Roman" w:hAnsi="Times New Roman" w:cs="Times New Roman"/>
          <w:i/>
          <w:iCs/>
          <w:sz w:val="28"/>
          <w:szCs w:val="28"/>
        </w:rPr>
        <w:t>u</w:t>
      </w:r>
      <w:r>
        <w:rPr>
          <w:rFonts w:ascii="Times New Roman" w:hAnsi="Times New Roman" w:cs="Times New Roman"/>
          <w:sz w:val="28"/>
          <w:szCs w:val="28"/>
        </w:rPr>
        <w:t xml:space="preserve"> (typ ubezpieczenia); poziom pokrycia θ oraz plon historyczny </w:t>
      </w:r>
      <w:r w:rsidRPr="001D325F">
        <w:rPr>
          <w:rFonts w:ascii="Times New Roman" w:hAnsi="Times New Roman" w:cs="Times New Roman"/>
          <w:position w:val="-10"/>
          <w:sz w:val="28"/>
          <w:szCs w:val="28"/>
        </w:rPr>
        <w:object w:dxaOrig="220" w:dyaOrig="300" w14:anchorId="2034C92E">
          <v:shape id="_x0000_i1155" type="#_x0000_t75" style="width:14.5pt;height:22pt" o:ole="">
            <v:imagedata r:id="rId301" o:title=""/>
          </v:shape>
          <o:OLEObject Type="Embed" ProgID="Equation.DSMT4" ShapeID="_x0000_i1155" DrawAspect="Content" ObjectID="_1799840726" r:id="rId313"/>
        </w:object>
      </w:r>
      <w:r>
        <w:rPr>
          <w:rFonts w:ascii="Times New Roman" w:hAnsi="Times New Roman" w:cs="Times New Roman"/>
          <w:sz w:val="28"/>
          <w:szCs w:val="28"/>
        </w:rPr>
        <w:t>.</w:t>
      </w:r>
    </w:p>
    <w:p w14:paraId="559D4FE5" w14:textId="77777777" w:rsidR="00D765AA" w:rsidRDefault="00D765AA" w:rsidP="00D765AA">
      <w:pPr>
        <w:ind w:firstLine="708"/>
        <w:jc w:val="both"/>
        <w:rPr>
          <w:rFonts w:ascii="Times New Roman" w:hAnsi="Times New Roman" w:cs="Times New Roman"/>
          <w:sz w:val="28"/>
          <w:szCs w:val="28"/>
        </w:rPr>
      </w:pPr>
      <w:r>
        <w:rPr>
          <w:rFonts w:ascii="Times New Roman" w:hAnsi="Times New Roman" w:cs="Times New Roman"/>
          <w:sz w:val="28"/>
          <w:szCs w:val="28"/>
        </w:rPr>
        <w:t xml:space="preserve">W części empirycznej swojej analizy Tsiboe oraz Turner opracowali dwa modele: </w:t>
      </w:r>
    </w:p>
    <w:p w14:paraId="0F0EEA52" w14:textId="77777777" w:rsidR="00D765AA" w:rsidRDefault="00D765AA" w:rsidP="00D765AA">
      <w:pPr>
        <w:pStyle w:val="Akapitzlist"/>
        <w:numPr>
          <w:ilvl w:val="0"/>
          <w:numId w:val="69"/>
        </w:numPr>
        <w:ind w:left="567" w:hanging="425"/>
        <w:jc w:val="both"/>
        <w:rPr>
          <w:rFonts w:ascii="Times New Roman" w:hAnsi="Times New Roman" w:cs="Times New Roman"/>
          <w:sz w:val="28"/>
          <w:szCs w:val="28"/>
        </w:rPr>
      </w:pPr>
      <w:r>
        <w:rPr>
          <w:rFonts w:ascii="Times New Roman" w:hAnsi="Times New Roman" w:cs="Times New Roman"/>
          <w:sz w:val="28"/>
          <w:szCs w:val="28"/>
        </w:rPr>
        <w:t>Popytu ubezpieczeniowego w uprawie kukurydzy na ziarno w funkcji składki ubezpieczeniowej.</w:t>
      </w:r>
    </w:p>
    <w:p w14:paraId="4A40155E" w14:textId="77777777" w:rsidR="00D765AA" w:rsidRDefault="00D765AA" w:rsidP="00D765AA">
      <w:pPr>
        <w:pStyle w:val="Akapitzlist"/>
        <w:numPr>
          <w:ilvl w:val="0"/>
          <w:numId w:val="69"/>
        </w:numPr>
        <w:ind w:left="567" w:hanging="425"/>
        <w:jc w:val="both"/>
        <w:rPr>
          <w:rFonts w:ascii="Times New Roman" w:hAnsi="Times New Roman" w:cs="Times New Roman"/>
          <w:sz w:val="28"/>
          <w:szCs w:val="28"/>
        </w:rPr>
      </w:pPr>
      <w:r>
        <w:rPr>
          <w:rFonts w:ascii="Times New Roman" w:hAnsi="Times New Roman" w:cs="Times New Roman"/>
          <w:sz w:val="28"/>
          <w:szCs w:val="28"/>
        </w:rPr>
        <w:t>Wpływu nabycia ubezpieczenia na zadłużenie farm.</w:t>
      </w:r>
    </w:p>
    <w:p w14:paraId="17809F3A" w14:textId="77777777" w:rsidR="00D765AA" w:rsidRDefault="00D765AA" w:rsidP="00D765AA">
      <w:pPr>
        <w:jc w:val="both"/>
        <w:rPr>
          <w:rFonts w:ascii="Times New Roman" w:hAnsi="Times New Roman" w:cs="Times New Roman"/>
          <w:sz w:val="28"/>
          <w:szCs w:val="28"/>
        </w:rPr>
      </w:pPr>
      <w:r>
        <w:rPr>
          <w:rFonts w:ascii="Times New Roman" w:hAnsi="Times New Roman" w:cs="Times New Roman"/>
          <w:sz w:val="28"/>
          <w:szCs w:val="28"/>
        </w:rPr>
        <w:t>Informacje źródłowe pochodziły z RMA i dotyczyły lat 1975-2020.</w:t>
      </w:r>
    </w:p>
    <w:p w14:paraId="3C693303" w14:textId="77777777" w:rsidR="00D765AA" w:rsidRDefault="00D765AA" w:rsidP="00D765AA">
      <w:pPr>
        <w:ind w:firstLine="708"/>
        <w:jc w:val="both"/>
        <w:rPr>
          <w:rFonts w:ascii="Times New Roman" w:hAnsi="Times New Roman" w:cs="Times New Roman"/>
          <w:sz w:val="28"/>
          <w:szCs w:val="28"/>
        </w:rPr>
      </w:pPr>
      <w:r>
        <w:rPr>
          <w:rFonts w:ascii="Times New Roman" w:hAnsi="Times New Roman" w:cs="Times New Roman"/>
          <w:sz w:val="28"/>
          <w:szCs w:val="28"/>
        </w:rPr>
        <w:t xml:space="preserve">Przed samym zaprezentowaniem modelu pierwszego jeszcze raz nawiązano do wcześniejszych badań z tego obszaru, które wykorzystywały bardzo często podejście J.J. Heckmana, a więc czołowego przedstawiciela </w:t>
      </w:r>
      <w:r w:rsidRPr="0061775D">
        <w:rPr>
          <w:rFonts w:ascii="Times New Roman" w:hAnsi="Times New Roman" w:cs="Times New Roman"/>
          <w:i/>
          <w:iCs/>
          <w:sz w:val="28"/>
          <w:szCs w:val="28"/>
        </w:rPr>
        <w:t>an impact evaluation</w:t>
      </w:r>
      <w:r>
        <w:rPr>
          <w:rFonts w:ascii="Times New Roman" w:hAnsi="Times New Roman" w:cs="Times New Roman"/>
          <w:sz w:val="28"/>
          <w:szCs w:val="28"/>
        </w:rPr>
        <w:t>. Niestety, Heckman w zasadzie nie zajmował się problemem endogeniczności, podobnie jak agroekonomiści na nim wzorujący się. Prace te słabo by się współcześnie broniły, gdyby zastosowano wobec nich obecne kryteria wnioskowania przyczynowego, jeśli chodzi o szacowane elastyczności cenowe popytu.</w:t>
      </w:r>
    </w:p>
    <w:p w14:paraId="2AD6C3BF" w14:textId="77777777" w:rsidR="00D765AA" w:rsidRDefault="00D765AA" w:rsidP="00D765AA">
      <w:pPr>
        <w:ind w:firstLine="708"/>
        <w:jc w:val="both"/>
        <w:rPr>
          <w:rFonts w:ascii="Times New Roman" w:hAnsi="Times New Roman" w:cs="Times New Roman"/>
          <w:sz w:val="28"/>
          <w:szCs w:val="28"/>
        </w:rPr>
      </w:pPr>
      <w:r>
        <w:rPr>
          <w:rFonts w:ascii="Times New Roman" w:hAnsi="Times New Roman" w:cs="Times New Roman"/>
          <w:sz w:val="28"/>
          <w:szCs w:val="28"/>
        </w:rPr>
        <w:t>Model regresji panelowej popytu ubezpieczeniowego względem składki ma następującą postać:</w:t>
      </w:r>
    </w:p>
    <w:p w14:paraId="0C203F12" w14:textId="77777777" w:rsidR="00D765AA" w:rsidRDefault="00D765AA" w:rsidP="00D765AA">
      <w:pPr>
        <w:tabs>
          <w:tab w:val="left" w:pos="3149"/>
        </w:tabs>
        <w:rPr>
          <w:rFonts w:ascii="Times New Roman" w:hAnsi="Times New Roman" w:cs="Times New Roman"/>
          <w:sz w:val="28"/>
          <w:szCs w:val="28"/>
        </w:rPr>
      </w:pPr>
      <w:r>
        <w:rPr>
          <w:rFonts w:ascii="Times New Roman" w:hAnsi="Times New Roman" w:cs="Times New Roman"/>
          <w:sz w:val="28"/>
          <w:szCs w:val="28"/>
        </w:rPr>
        <w:tab/>
      </w:r>
      <w:r w:rsidRPr="000D5B5D">
        <w:rPr>
          <w:rFonts w:ascii="Times New Roman" w:hAnsi="Times New Roman" w:cs="Times New Roman"/>
          <w:position w:val="-12"/>
          <w:sz w:val="28"/>
          <w:szCs w:val="28"/>
        </w:rPr>
        <w:object w:dxaOrig="3960" w:dyaOrig="360" w14:anchorId="24169F49">
          <v:shape id="_x0000_i1156" type="#_x0000_t75" style="width:201.5pt;height:22pt" o:ole="">
            <v:imagedata r:id="rId314" o:title=""/>
          </v:shape>
          <o:OLEObject Type="Embed" ProgID="Equation.DSMT4" ShapeID="_x0000_i1156" DrawAspect="Content" ObjectID="_1799840727" r:id="rId315"/>
        </w:object>
      </w:r>
      <w:r>
        <w:rPr>
          <w:rFonts w:ascii="Times New Roman" w:hAnsi="Times New Roman" w:cs="Times New Roman"/>
          <w:sz w:val="28"/>
          <w:szCs w:val="28"/>
        </w:rPr>
        <w:t>,</w:t>
      </w:r>
    </w:p>
    <w:p w14:paraId="4C20505B" w14:textId="77777777" w:rsidR="00D765AA" w:rsidRDefault="00D765AA" w:rsidP="00D765AA">
      <w:pPr>
        <w:tabs>
          <w:tab w:val="left" w:pos="978"/>
        </w:tabs>
        <w:jc w:val="both"/>
        <w:rPr>
          <w:rFonts w:ascii="Times New Roman" w:hAnsi="Times New Roman" w:cs="Times New Roman"/>
          <w:sz w:val="28"/>
          <w:szCs w:val="28"/>
        </w:rPr>
      </w:pPr>
      <w:r>
        <w:rPr>
          <w:rFonts w:ascii="Times New Roman" w:hAnsi="Times New Roman" w:cs="Times New Roman"/>
          <w:sz w:val="28"/>
          <w:szCs w:val="28"/>
        </w:rPr>
        <w:t>gdzie: θ</w:t>
      </w:r>
      <w:r w:rsidRPr="00BC25BE">
        <w:rPr>
          <w:rFonts w:ascii="Times New Roman" w:hAnsi="Times New Roman" w:cs="Times New Roman"/>
          <w:sz w:val="28"/>
          <w:szCs w:val="28"/>
          <w:vertAlign w:val="subscript"/>
        </w:rPr>
        <w:t>it</w:t>
      </w:r>
      <w:r>
        <w:rPr>
          <w:rFonts w:ascii="Times New Roman" w:hAnsi="Times New Roman" w:cs="Times New Roman"/>
          <w:sz w:val="28"/>
          <w:szCs w:val="28"/>
        </w:rPr>
        <w:t xml:space="preserve"> – miara oddająca względną wielkość chronionego areału, czyli udział ubezpieczonych zasiewów kukurydzy w całkowitym areale zajętym pod tą uprawę (ujęcie wg tzw. marży ekstensywnej) lub poziomu ochrony ubezpieczeniowej (perspektywa tzw. marży intensywnej), tj. iloraz całkowitej sumy ubezpieczeniowej i sumy potencjalnej (farmerzy, którzy kupili ubezpieczenie w hrabstwie); w</w:t>
      </w:r>
      <w:r w:rsidRPr="00BC25BE">
        <w:rPr>
          <w:rFonts w:ascii="Times New Roman" w:hAnsi="Times New Roman" w:cs="Times New Roman"/>
          <w:sz w:val="28"/>
          <w:szCs w:val="28"/>
          <w:vertAlign w:val="subscript"/>
        </w:rPr>
        <w:t>it</w:t>
      </w:r>
      <w:r>
        <w:rPr>
          <w:rFonts w:ascii="Times New Roman" w:hAnsi="Times New Roman" w:cs="Times New Roman"/>
          <w:sz w:val="28"/>
          <w:szCs w:val="28"/>
        </w:rPr>
        <w:t xml:space="preserve"> – wektor oczekiwanej ceny, uprawianego areału, specyficzne dla poszczególnych stanów trendy czasowe; v</w:t>
      </w:r>
      <w:r w:rsidRPr="00BC25BE">
        <w:rPr>
          <w:rFonts w:ascii="Times New Roman" w:hAnsi="Times New Roman" w:cs="Times New Roman"/>
          <w:sz w:val="28"/>
          <w:szCs w:val="28"/>
          <w:vertAlign w:val="subscript"/>
        </w:rPr>
        <w:t>it</w:t>
      </w:r>
      <w:r>
        <w:rPr>
          <w:rFonts w:ascii="Times New Roman" w:hAnsi="Times New Roman" w:cs="Times New Roman"/>
          <w:sz w:val="28"/>
          <w:szCs w:val="28"/>
        </w:rPr>
        <w:t xml:space="preserve"> – stałe dla hrabstw efekty; ɛ</w:t>
      </w:r>
      <w:r w:rsidRPr="00BC25BE">
        <w:rPr>
          <w:rFonts w:ascii="Times New Roman" w:hAnsi="Times New Roman" w:cs="Times New Roman"/>
          <w:sz w:val="28"/>
          <w:szCs w:val="28"/>
          <w:vertAlign w:val="subscript"/>
        </w:rPr>
        <w:t>it</w:t>
      </w:r>
      <w:r>
        <w:rPr>
          <w:rFonts w:ascii="Times New Roman" w:hAnsi="Times New Roman" w:cs="Times New Roman"/>
          <w:sz w:val="28"/>
          <w:szCs w:val="28"/>
        </w:rPr>
        <w:t xml:space="preserve"> – błąd; r</w:t>
      </w:r>
      <w:r w:rsidRPr="00BC25BE">
        <w:rPr>
          <w:rFonts w:ascii="Times New Roman" w:hAnsi="Times New Roman" w:cs="Times New Roman"/>
          <w:sz w:val="28"/>
          <w:szCs w:val="28"/>
          <w:vertAlign w:val="subscript"/>
        </w:rPr>
        <w:t>it</w:t>
      </w:r>
      <w:r>
        <w:rPr>
          <w:rFonts w:ascii="Times New Roman" w:hAnsi="Times New Roman" w:cs="Times New Roman"/>
          <w:sz w:val="28"/>
          <w:szCs w:val="28"/>
        </w:rPr>
        <w:t xml:space="preserve"> – średnio ważona stopa składki na jednostkę sumy ubezpieczeniowej, s</w:t>
      </w:r>
      <w:r w:rsidRPr="00BC25BE">
        <w:rPr>
          <w:rFonts w:ascii="Times New Roman" w:hAnsi="Times New Roman" w:cs="Times New Roman"/>
          <w:sz w:val="28"/>
          <w:szCs w:val="28"/>
          <w:vertAlign w:val="subscript"/>
        </w:rPr>
        <w:t>it</w:t>
      </w:r>
      <w:r>
        <w:rPr>
          <w:rFonts w:ascii="Times New Roman" w:hAnsi="Times New Roman" w:cs="Times New Roman"/>
          <w:sz w:val="28"/>
          <w:szCs w:val="28"/>
        </w:rPr>
        <w:t xml:space="preserve"> – stopa subsydiowania składki.</w:t>
      </w:r>
    </w:p>
    <w:p w14:paraId="0EB7A374" w14:textId="77777777" w:rsidR="00D765AA" w:rsidRDefault="00D765AA" w:rsidP="00D765AA">
      <w:pPr>
        <w:tabs>
          <w:tab w:val="left" w:pos="978"/>
        </w:tabs>
        <w:ind w:firstLine="709"/>
        <w:jc w:val="both"/>
        <w:rPr>
          <w:rFonts w:ascii="Times New Roman" w:hAnsi="Times New Roman" w:cs="Times New Roman"/>
          <w:sz w:val="28"/>
          <w:szCs w:val="28"/>
        </w:rPr>
      </w:pPr>
      <w:r>
        <w:rPr>
          <w:rFonts w:ascii="Times New Roman" w:hAnsi="Times New Roman" w:cs="Times New Roman"/>
          <w:sz w:val="28"/>
          <w:szCs w:val="28"/>
        </w:rPr>
        <w:t xml:space="preserve">Obliczenia zostały wykonane z użyciem zwykłej metody najmniejszych kwadratów z efektami stałymi i bez nich, podwójnej metody najmniejszych kwadratów, także z efektami stałymi i bez nich. Z punktu widzenia ograniczenia endogeniczności jest rzeczą oczywistą, że preferowany był model z efektami stałymi. Dla obydwu typów marż uzyskano, że popyt ubezpieczeniowy był nieelastyczny względem stopy składki. W przypadku marży ekstensywnej </w:t>
      </w:r>
      <w:r>
        <w:rPr>
          <w:rFonts w:ascii="Times New Roman" w:hAnsi="Times New Roman" w:cs="Times New Roman"/>
          <w:sz w:val="28"/>
          <w:szCs w:val="28"/>
        </w:rPr>
        <w:lastRenderedPageBreak/>
        <w:t xml:space="preserve">współczynniki regresji dla tej zmiennej niezależnej były jednak dodatnie dla obydwu wersji podwójnej metody najmniejszych kwadratów (2SLS), ale ujemne dla dwóch wersji zwykłej metody najmniejszych kwadratów (OLS). Z kolei dla marży intensywnej współczynnik ten był dodatni tylko dla OLS. Zaskakiwać musi natomiast to, że subsydiowanie składek negatywnie było zawsze skorelowane z popytem (marża intensywna), ale ujemnie i dodatnio dla marży ekstensywnej. Generalny wniosek metodologiczny był ten, że proponowane zmienne instrumentalne dobrze redukowały zagrożenie endogenicznością. </w:t>
      </w:r>
    </w:p>
    <w:p w14:paraId="36065E4D" w14:textId="77777777" w:rsidR="00D765AA" w:rsidRDefault="00D765AA" w:rsidP="00D765AA">
      <w:pPr>
        <w:tabs>
          <w:tab w:val="left" w:pos="978"/>
        </w:tabs>
        <w:ind w:firstLine="709"/>
        <w:jc w:val="both"/>
        <w:rPr>
          <w:rFonts w:ascii="Times New Roman" w:hAnsi="Times New Roman" w:cs="Times New Roman"/>
          <w:sz w:val="28"/>
          <w:szCs w:val="28"/>
        </w:rPr>
      </w:pPr>
      <w:r>
        <w:rPr>
          <w:rFonts w:ascii="Times New Roman" w:hAnsi="Times New Roman" w:cs="Times New Roman"/>
          <w:sz w:val="28"/>
          <w:szCs w:val="28"/>
        </w:rPr>
        <w:t xml:space="preserve">Drugi model regresji, tj. dotyczący wpływu nabycia ubezpieczenia uprawy kukurydzy na ziarno na zadłużenie farm, nawiązuje wprost do pracy Ifft i in., (2015), którą przywołano już w tej metodyce. Przypomnijmy tylko, że Ifft i in. przyjęli aż 7 różnych miar zadłużania, przy czym 6 odnieśli do jednego akra, a ostatnią relację zaprezentowali w postaci wskaźnika (udziału zadłużenia krótkoterminowego w wydatkach operacyjnych). Tsiboe i Turner zastosowali jednak swoja własną wersję modelu ekonometrycznego: </w:t>
      </w:r>
    </w:p>
    <w:p w14:paraId="2D5C7C8D" w14:textId="77777777" w:rsidR="00D765AA" w:rsidRDefault="00D765AA" w:rsidP="00D765AA">
      <w:pPr>
        <w:jc w:val="center"/>
        <w:rPr>
          <w:rFonts w:ascii="Times New Roman" w:hAnsi="Times New Roman" w:cs="Times New Roman"/>
          <w:sz w:val="28"/>
          <w:szCs w:val="28"/>
        </w:rPr>
      </w:pPr>
      <w:r w:rsidRPr="002A3153">
        <w:rPr>
          <w:rFonts w:ascii="Times New Roman" w:hAnsi="Times New Roman" w:cs="Times New Roman"/>
          <w:position w:val="-12"/>
          <w:sz w:val="28"/>
          <w:szCs w:val="28"/>
        </w:rPr>
        <w:object w:dxaOrig="3600" w:dyaOrig="360" w14:anchorId="12E9887E">
          <v:shape id="_x0000_i1157" type="#_x0000_t75" style="width:180.5pt;height:22pt" o:ole="">
            <v:imagedata r:id="rId316" o:title=""/>
          </v:shape>
          <o:OLEObject Type="Embed" ProgID="Equation.DSMT4" ShapeID="_x0000_i1157" DrawAspect="Content" ObjectID="_1799840728" r:id="rId317"/>
        </w:object>
      </w:r>
      <w:r>
        <w:rPr>
          <w:rFonts w:ascii="Times New Roman" w:hAnsi="Times New Roman" w:cs="Times New Roman"/>
          <w:sz w:val="28"/>
          <w:szCs w:val="28"/>
        </w:rPr>
        <w:t>,</w:t>
      </w:r>
    </w:p>
    <w:p w14:paraId="5022F920" w14:textId="77777777" w:rsidR="00D765AA" w:rsidRDefault="00D765AA" w:rsidP="00D765AA">
      <w:pPr>
        <w:jc w:val="both"/>
        <w:rPr>
          <w:rFonts w:ascii="Times New Roman" w:hAnsi="Times New Roman" w:cs="Times New Roman"/>
          <w:sz w:val="28"/>
          <w:szCs w:val="28"/>
        </w:rPr>
      </w:pPr>
      <w:r>
        <w:rPr>
          <w:rFonts w:ascii="Times New Roman" w:hAnsi="Times New Roman" w:cs="Times New Roman"/>
          <w:sz w:val="28"/>
          <w:szCs w:val="28"/>
        </w:rPr>
        <w:t>gdzie: asinh – arcus sinus odwrotna hiperboliczna transformacja; D</w:t>
      </w:r>
      <w:r w:rsidRPr="002A3153">
        <w:rPr>
          <w:rFonts w:ascii="Times New Roman" w:hAnsi="Times New Roman" w:cs="Times New Roman"/>
          <w:sz w:val="28"/>
          <w:szCs w:val="28"/>
          <w:vertAlign w:val="subscript"/>
        </w:rPr>
        <w:t>i</w:t>
      </w:r>
      <w:r>
        <w:rPr>
          <w:rFonts w:ascii="Times New Roman" w:hAnsi="Times New Roman" w:cs="Times New Roman"/>
          <w:sz w:val="28"/>
          <w:szCs w:val="28"/>
        </w:rPr>
        <w:t xml:space="preserve"> – ww. miary zadłużenia; E</w:t>
      </w:r>
      <w:r w:rsidRPr="002A3153">
        <w:rPr>
          <w:rFonts w:ascii="Times New Roman" w:hAnsi="Times New Roman" w:cs="Times New Roman"/>
          <w:sz w:val="28"/>
          <w:szCs w:val="28"/>
          <w:vertAlign w:val="subscript"/>
        </w:rPr>
        <w:t>i</w:t>
      </w:r>
      <w:r>
        <w:rPr>
          <w:rFonts w:ascii="Times New Roman" w:hAnsi="Times New Roman" w:cs="Times New Roman"/>
          <w:sz w:val="28"/>
          <w:szCs w:val="28"/>
        </w:rPr>
        <w:t xml:space="preserve"> – składka całkowita na akr; Z</w:t>
      </w:r>
      <w:r w:rsidRPr="002A3153">
        <w:rPr>
          <w:rFonts w:ascii="Times New Roman" w:hAnsi="Times New Roman" w:cs="Times New Roman"/>
          <w:sz w:val="28"/>
          <w:szCs w:val="28"/>
          <w:vertAlign w:val="subscript"/>
        </w:rPr>
        <w:t>i</w:t>
      </w:r>
      <w:r>
        <w:rPr>
          <w:rFonts w:ascii="Times New Roman" w:hAnsi="Times New Roman" w:cs="Times New Roman"/>
          <w:sz w:val="28"/>
          <w:szCs w:val="28"/>
        </w:rPr>
        <w:t xml:space="preserve"> – zmienne kontrolne (wiek kierownika oraz jego wykształcenie; powierzchnia użytkowana; % upraw polowych; typ ubezpieczenia; klasa sprzedaży wg USDA i trend czasowy; μ</w:t>
      </w:r>
      <w:r w:rsidRPr="002A3153">
        <w:rPr>
          <w:rFonts w:ascii="Times New Roman" w:hAnsi="Times New Roman" w:cs="Times New Roman"/>
          <w:sz w:val="28"/>
          <w:szCs w:val="28"/>
          <w:vertAlign w:val="subscript"/>
        </w:rPr>
        <w:t>i</w:t>
      </w:r>
      <w:r>
        <w:rPr>
          <w:rFonts w:ascii="Times New Roman" w:hAnsi="Times New Roman" w:cs="Times New Roman"/>
          <w:sz w:val="28"/>
          <w:szCs w:val="28"/>
        </w:rPr>
        <w:t xml:space="preserve"> – błąd modelu. Transformację asinh zastosowano dlatego, bo niektóre farmy nie miały w ogóle pewnych rodzajów długu. </w:t>
      </w:r>
    </w:p>
    <w:p w14:paraId="68BC1A89" w14:textId="77777777" w:rsidR="00D765AA" w:rsidRDefault="00D765AA" w:rsidP="00D765AA">
      <w:pPr>
        <w:ind w:firstLine="709"/>
        <w:jc w:val="both"/>
        <w:rPr>
          <w:rFonts w:ascii="Times New Roman" w:hAnsi="Times New Roman" w:cs="Times New Roman"/>
          <w:sz w:val="28"/>
          <w:szCs w:val="28"/>
        </w:rPr>
      </w:pPr>
      <w:r>
        <w:rPr>
          <w:rFonts w:ascii="Times New Roman" w:hAnsi="Times New Roman" w:cs="Times New Roman"/>
          <w:sz w:val="28"/>
          <w:szCs w:val="28"/>
        </w:rPr>
        <w:t>Generalnie uzyskano, że nabycie ubezpieczenia prawie zawsze było skorelowane ze wzrostem zadłużenia, chociaż nie w każdej kombinacji były to zależności istotne statystycznie. Bardzo ogólnie potwierdziła się tu hipoteza a risk balancing, tzn, redukcja ryzyka biznesowego prowadziła do wzrostu ryzyka finansowego. Znów solidniejsze były oszacowania uzyskane z użyciem podwójnej metody najmniejszych kwadratów, a zastosowane zmienne instrumentalne dobrze kontrolowały endogeniczność.</w:t>
      </w:r>
    </w:p>
    <w:p w14:paraId="6CADA0DF" w14:textId="77777777" w:rsidR="00D765AA" w:rsidRDefault="00D765AA" w:rsidP="00D765AA">
      <w:pPr>
        <w:ind w:firstLine="708"/>
        <w:jc w:val="both"/>
        <w:rPr>
          <w:rFonts w:ascii="Times New Roman" w:hAnsi="Times New Roman" w:cs="Times New Roman"/>
          <w:sz w:val="28"/>
          <w:szCs w:val="28"/>
        </w:rPr>
      </w:pPr>
      <w:r>
        <w:rPr>
          <w:rFonts w:ascii="Times New Roman" w:hAnsi="Times New Roman" w:cs="Times New Roman"/>
          <w:sz w:val="28"/>
          <w:szCs w:val="28"/>
        </w:rPr>
        <w:t xml:space="preserve">Praktycznie w całym świecie poszukuje się od dziesięcioleci zrównoważonych, dostępnych cenowo dla rolników i efektywnych kosztowo dla asekuratorów oraz racjonalnie wykorzystujących środki budżetowe produktów ubezpieczeniowych (Carter i in., 2014). Niezmiennie chodzi przy tym o to, żeby dzięki nim zredukować podatność gospodarstw na rozmaite szoki, w tym obecnie związane  głównie z kryzysem klimatycznym i coraz częściej pojawiającymi się </w:t>
      </w:r>
      <w:r>
        <w:rPr>
          <w:rFonts w:ascii="Times New Roman" w:hAnsi="Times New Roman" w:cs="Times New Roman"/>
          <w:sz w:val="28"/>
          <w:szCs w:val="28"/>
        </w:rPr>
        <w:lastRenderedPageBreak/>
        <w:t>ekstremalnymi zdarzeniami pogodowymi, oraz narastającym ryzykiem geopolitycznym. Bez postępów na tym polu wielu rolników będzie miało coraz większe problemy z odtwarzaniem potencjału produkcyjnego, uzyskiwaniem zadowalających dochodów i poprawą poziomu życia. Oczywiście, zagrożenia te najsilniej będą się manifestować w krajach rozwijających się.</w:t>
      </w:r>
    </w:p>
    <w:p w14:paraId="5C0181EC" w14:textId="77777777" w:rsidR="00D765AA" w:rsidRDefault="00D765AA" w:rsidP="00D765AA">
      <w:pPr>
        <w:ind w:firstLine="708"/>
        <w:jc w:val="both"/>
        <w:rPr>
          <w:rFonts w:ascii="Times New Roman" w:hAnsi="Times New Roman" w:cs="Times New Roman"/>
          <w:sz w:val="28"/>
          <w:szCs w:val="28"/>
        </w:rPr>
      </w:pPr>
      <w:r>
        <w:rPr>
          <w:rFonts w:ascii="Times New Roman" w:hAnsi="Times New Roman" w:cs="Times New Roman"/>
          <w:sz w:val="28"/>
          <w:szCs w:val="28"/>
        </w:rPr>
        <w:t>Mimo powszechności angażowania znacznych funduszy budżetowych w programy ubezpieczeń rolnych zainteresowanie nimi w ujęciu globalnym jest niskie. Wynika to z wielu czynników o charakterze ekonomicznym, społecznym i behawioralnych, tak po stronie popytowej, jak i podażowej rynku ubezpieczeniowego (Platteau i in., 2017). W tym kontekście jedną z ważniejszych kwestii, chociaż najczęściej rzadko dostrzeganą, jest luka wiedzy między oferentami produktów ubezpieczeniowych a ich percepcją i nastawieniami do nich rolników (Ankraft i in., 2021). Szczególnym wyzwaniem jest tu problem ryzyka bazowego (Owusu-Sekyere i in., 2021). Pewne ustalenia empiryczne są jednak mimo wszystko dosyć już dobrze udokumentowane. Wymieńmy je w skrócie:</w:t>
      </w:r>
    </w:p>
    <w:p w14:paraId="40E21EC4" w14:textId="77777777" w:rsidR="00D765AA" w:rsidRDefault="00D765AA" w:rsidP="00D765AA">
      <w:pPr>
        <w:pStyle w:val="Akapitzlist"/>
        <w:numPr>
          <w:ilvl w:val="0"/>
          <w:numId w:val="70"/>
        </w:numPr>
        <w:ind w:left="567" w:hanging="567"/>
        <w:jc w:val="both"/>
        <w:rPr>
          <w:rFonts w:ascii="Times New Roman" w:hAnsi="Times New Roman" w:cs="Times New Roman"/>
          <w:sz w:val="28"/>
          <w:szCs w:val="28"/>
        </w:rPr>
      </w:pPr>
      <w:r>
        <w:rPr>
          <w:rFonts w:ascii="Times New Roman" w:hAnsi="Times New Roman" w:cs="Times New Roman"/>
          <w:sz w:val="28"/>
          <w:szCs w:val="28"/>
        </w:rPr>
        <w:t>rolnicy starsi ogólnie są mniej zainteresowani ubezpieczeniami, szczególnie innowacyjnymi. Podobnie zachowują się kobiety w porównaniu do mężczyzn. Edukacja praktycznie zawsze jest dodatnio skorelowana z zakupem ubezpieczeń. Najczęściej taki sam związek występuje, jeśli rolnicy wcześniej już z nich korzystali (Guiso, 2012).</w:t>
      </w:r>
    </w:p>
    <w:p w14:paraId="3DC30B7C" w14:textId="77777777" w:rsidR="00D765AA" w:rsidRDefault="00D765AA" w:rsidP="00D765AA">
      <w:pPr>
        <w:pStyle w:val="Akapitzlist"/>
        <w:numPr>
          <w:ilvl w:val="0"/>
          <w:numId w:val="70"/>
        </w:numPr>
        <w:ind w:left="567" w:hanging="567"/>
        <w:jc w:val="both"/>
        <w:rPr>
          <w:rFonts w:ascii="Times New Roman" w:hAnsi="Times New Roman" w:cs="Times New Roman"/>
          <w:sz w:val="28"/>
          <w:szCs w:val="28"/>
        </w:rPr>
      </w:pPr>
      <w:r>
        <w:rPr>
          <w:rFonts w:ascii="Times New Roman" w:hAnsi="Times New Roman" w:cs="Times New Roman"/>
          <w:sz w:val="28"/>
          <w:szCs w:val="28"/>
        </w:rPr>
        <w:t>fakt należenia do jakiejś organizacji rolniczej pozytywnie przekładał się na zakup polis (Owusu i in., 2021).</w:t>
      </w:r>
    </w:p>
    <w:p w14:paraId="7E9C7C6B" w14:textId="77777777" w:rsidR="00D765AA" w:rsidRDefault="00D765AA" w:rsidP="00D765AA">
      <w:pPr>
        <w:pStyle w:val="Akapitzlist"/>
        <w:numPr>
          <w:ilvl w:val="0"/>
          <w:numId w:val="70"/>
        </w:numPr>
        <w:ind w:left="567" w:hanging="567"/>
        <w:jc w:val="both"/>
        <w:rPr>
          <w:rFonts w:ascii="Times New Roman" w:hAnsi="Times New Roman" w:cs="Times New Roman"/>
          <w:sz w:val="28"/>
          <w:szCs w:val="28"/>
        </w:rPr>
      </w:pPr>
      <w:r>
        <w:rPr>
          <w:rFonts w:ascii="Times New Roman" w:hAnsi="Times New Roman" w:cs="Times New Roman"/>
          <w:sz w:val="28"/>
          <w:szCs w:val="28"/>
        </w:rPr>
        <w:t>korzystanie z kredytów często początkowo wręcz zmusza do zakupu ubezpieczeń. Jednak wielu rolników robi to już bez przymusu ze strony kredytodawców (Ankraft i in., 2021).</w:t>
      </w:r>
    </w:p>
    <w:p w14:paraId="545E160C" w14:textId="77777777" w:rsidR="00D765AA" w:rsidRDefault="00D765AA" w:rsidP="00D765AA">
      <w:pPr>
        <w:pStyle w:val="Akapitzlist"/>
        <w:numPr>
          <w:ilvl w:val="0"/>
          <w:numId w:val="70"/>
        </w:numPr>
        <w:ind w:left="567" w:hanging="567"/>
        <w:jc w:val="both"/>
        <w:rPr>
          <w:rFonts w:ascii="Times New Roman" w:hAnsi="Times New Roman" w:cs="Times New Roman"/>
          <w:sz w:val="28"/>
          <w:szCs w:val="28"/>
        </w:rPr>
      </w:pPr>
      <w:r>
        <w:rPr>
          <w:rFonts w:ascii="Times New Roman" w:hAnsi="Times New Roman" w:cs="Times New Roman"/>
          <w:sz w:val="28"/>
          <w:szCs w:val="28"/>
        </w:rPr>
        <w:t>gospodarstwa większe chętniej nabywają ubezpieczenia (Platteau i in., 2017).</w:t>
      </w:r>
    </w:p>
    <w:p w14:paraId="3880A9E5" w14:textId="77777777" w:rsidR="00D765AA" w:rsidRDefault="00D765AA" w:rsidP="00D765AA">
      <w:pPr>
        <w:pStyle w:val="Akapitzlist"/>
        <w:numPr>
          <w:ilvl w:val="0"/>
          <w:numId w:val="70"/>
        </w:numPr>
        <w:ind w:left="567" w:hanging="567"/>
        <w:jc w:val="both"/>
        <w:rPr>
          <w:rFonts w:ascii="Times New Roman" w:hAnsi="Times New Roman" w:cs="Times New Roman"/>
          <w:sz w:val="28"/>
          <w:szCs w:val="28"/>
        </w:rPr>
      </w:pPr>
      <w:r>
        <w:rPr>
          <w:rFonts w:ascii="Times New Roman" w:hAnsi="Times New Roman" w:cs="Times New Roman"/>
          <w:sz w:val="28"/>
          <w:szCs w:val="28"/>
        </w:rPr>
        <w:t>wśród drobnych rolników rośnie zainteresowanie ubezpieczeniami hybrydowymi, w których część częstszych, ale mało dotkliwych ryzyk zabezpiecza się ubezpieczeniem tradycyjnym, a ryzyka katastroficzne i systemowe chroni się indeksem (Chantarat i in., 2017).</w:t>
      </w:r>
    </w:p>
    <w:p w14:paraId="3B02805F" w14:textId="77777777" w:rsidR="00D765AA" w:rsidRDefault="00D765AA" w:rsidP="00D765AA">
      <w:pPr>
        <w:pStyle w:val="Akapitzlist"/>
        <w:numPr>
          <w:ilvl w:val="0"/>
          <w:numId w:val="70"/>
        </w:numPr>
        <w:ind w:left="567" w:hanging="567"/>
        <w:jc w:val="both"/>
        <w:rPr>
          <w:rFonts w:ascii="Times New Roman" w:hAnsi="Times New Roman" w:cs="Times New Roman"/>
          <w:sz w:val="28"/>
          <w:szCs w:val="28"/>
        </w:rPr>
      </w:pPr>
      <w:r>
        <w:rPr>
          <w:rFonts w:ascii="Times New Roman" w:hAnsi="Times New Roman" w:cs="Times New Roman"/>
          <w:sz w:val="28"/>
          <w:szCs w:val="28"/>
        </w:rPr>
        <w:t xml:space="preserve">bardzo zróżnicowane w przekroju ogólnoświatowym jest zainteresowanie rolników ubezpieczeniami od pojedynczych ryzyk i produktami zabezpieczającymi przed wieloma ryzykami (Owusu-Sekyere i in., 2021). </w:t>
      </w:r>
    </w:p>
    <w:p w14:paraId="6A038F9B" w14:textId="1DDEA427" w:rsidR="00D765AA" w:rsidRDefault="00D765AA" w:rsidP="00D765AA">
      <w:pPr>
        <w:pStyle w:val="Akapitzlist"/>
        <w:ind w:left="142" w:firstLine="709"/>
        <w:jc w:val="both"/>
        <w:rPr>
          <w:rFonts w:ascii="Times New Roman" w:hAnsi="Times New Roman" w:cs="Times New Roman"/>
          <w:sz w:val="28"/>
          <w:szCs w:val="28"/>
        </w:rPr>
      </w:pPr>
      <w:r>
        <w:rPr>
          <w:rFonts w:ascii="Times New Roman" w:hAnsi="Times New Roman" w:cs="Times New Roman"/>
          <w:sz w:val="28"/>
          <w:szCs w:val="28"/>
        </w:rPr>
        <w:t xml:space="preserve">W badaniach nad popytem ubezpieczeniowym stosunkowo rzadko uwzględnia się atrybuty produktów ochronnych, chociaż ich wpływ na decyzje </w:t>
      </w:r>
      <w:r>
        <w:rPr>
          <w:rFonts w:ascii="Times New Roman" w:hAnsi="Times New Roman" w:cs="Times New Roman"/>
          <w:sz w:val="28"/>
          <w:szCs w:val="28"/>
        </w:rPr>
        <w:lastRenderedPageBreak/>
        <w:t xml:space="preserve">zakupowe rolników jest kluczowy (Yu i in., 2021). Modelowanie występujących tu zależności jest trudne, a stosowane dotychczas narzędzia dotykane są najczęściej problemem endogeniczności, co skutkuje obciążeniem statystycznym uzyskiwanych oszacowań parametrów (Doherty i in., 2021). W tym kontekście bardzo ważna jest praca Mensaha i in. (2023), w której w jednym modelu zintegrowano charakterystyki socjologiczne i behawioralne rolników oraz ich gospodarstw z atrybutami produktów ubezpieczeniowych (typ produktu, odszkodowanie, składka, okres ubezpieczenia i chronione ryzyka, metody wyceny szkód), by w końcu móc oszacować gotowość do zapłaty za nie. Model składa się z dwóch części: identyfikacji zmiennych ukrytych, które ogólnie odzwierciedlają nastawienia i preferencje rolników względem ubezpieczeń, a które równocześnie nie są bezpośrednio obserwowane, oraz dokonania przez nich wyboru najlepszego produktu w oparciu o teorię losowej użyteczności. Istotę metody przedstawiono na rysunku </w:t>
      </w:r>
      <w:r w:rsidR="00F3595A">
        <w:rPr>
          <w:rFonts w:ascii="Times New Roman" w:hAnsi="Times New Roman" w:cs="Times New Roman"/>
          <w:sz w:val="28"/>
          <w:szCs w:val="28"/>
        </w:rPr>
        <w:t>15</w:t>
      </w:r>
      <w:r>
        <w:rPr>
          <w:rFonts w:ascii="Times New Roman" w:hAnsi="Times New Roman" w:cs="Times New Roman"/>
          <w:sz w:val="28"/>
          <w:szCs w:val="28"/>
        </w:rPr>
        <w:t xml:space="preserve">).  Całość eksperymentu  przeprowadzono wśród 383 rolników z Ghany, którzy specjalizowali się w uprawie nerkowca – drzewa z bardzo smacznymi jadalnymi owocami. Łącznie dysponowano 10341 obserwacjami. Po wykonaniu stosownych obliczeń okazało się, że rolnicy najbardziej zainteresowani byli ubezpieczeniami hybrydowymi. Spośród natomiast atrybutów produktów największą rolę odgrywały: wysokość składki, spodziewane odszkodowanie, chronione ryzyka i metody szacowania szkód. Trzy zmienne ukryte (konstrukty socjologiczno-behawioralne) determinowały preferencje względem oferowanych produktów ubezpieczeniowych i zaufanie do ubezpieczyciela: subiektywna wiedza nt. produktów i postrzegane korzyści z nabycia ochrony.       </w:t>
      </w:r>
    </w:p>
    <w:p w14:paraId="651683F7" w14:textId="77777777" w:rsidR="00D765AA" w:rsidRDefault="00D765AA" w:rsidP="00EF1EE5">
      <w:pPr>
        <w:ind w:firstLine="708"/>
        <w:sectPr w:rsidR="00D765AA" w:rsidSect="009C2CA7">
          <w:pgSz w:w="11906" w:h="16838"/>
          <w:pgMar w:top="1417" w:right="1417" w:bottom="1417" w:left="1417" w:header="708" w:footer="708" w:gutter="0"/>
          <w:cols w:space="708"/>
          <w:docGrid w:linePitch="360"/>
        </w:sectPr>
      </w:pPr>
    </w:p>
    <w:p w14:paraId="364C40CC" w14:textId="603370FF" w:rsidR="00D765AA" w:rsidRDefault="00000BFC" w:rsidP="00D765AA">
      <w:pPr>
        <w:pStyle w:val="Akapitzlist"/>
        <w:ind w:left="567"/>
        <w:jc w:val="center"/>
        <w:rPr>
          <w:rFonts w:ascii="Times New Roman" w:hAnsi="Times New Roman" w:cs="Times New Roman"/>
          <w:sz w:val="28"/>
          <w:szCs w:val="28"/>
        </w:rPr>
      </w:pPr>
      <w:r w:rsidRPr="00E226AA">
        <w:rPr>
          <w:rFonts w:ascii="Times New Roman" w:hAnsi="Times New Roman" w:cs="Times New Roman"/>
          <w:b/>
          <w:bCs/>
          <w:sz w:val="28"/>
          <w:szCs w:val="28"/>
        </w:rPr>
        <w:lastRenderedPageBreak/>
        <w:t xml:space="preserve">Rysunek </w:t>
      </w:r>
      <w:r w:rsidR="00F3595A">
        <w:rPr>
          <w:rFonts w:ascii="Times New Roman" w:hAnsi="Times New Roman" w:cs="Times New Roman"/>
          <w:b/>
          <w:bCs/>
          <w:sz w:val="28"/>
          <w:szCs w:val="28"/>
        </w:rPr>
        <w:t>15</w:t>
      </w:r>
      <w:r w:rsidRPr="00E226AA">
        <w:rPr>
          <w:rFonts w:ascii="Times New Roman" w:hAnsi="Times New Roman" w:cs="Times New Roman"/>
          <w:b/>
          <w:bCs/>
          <w:sz w:val="28"/>
          <w:szCs w:val="28"/>
        </w:rPr>
        <w:t>.</w:t>
      </w:r>
      <w:r>
        <w:rPr>
          <w:rFonts w:ascii="Times New Roman" w:hAnsi="Times New Roman" w:cs="Times New Roman"/>
          <w:sz w:val="28"/>
          <w:szCs w:val="28"/>
        </w:rPr>
        <w:t xml:space="preserve"> </w:t>
      </w:r>
      <w:r w:rsidR="00D765AA">
        <w:rPr>
          <w:rFonts w:ascii="Times New Roman" w:hAnsi="Times New Roman" w:cs="Times New Roman"/>
          <w:sz w:val="28"/>
          <w:szCs w:val="28"/>
        </w:rPr>
        <w:t>Koncepcja modelu wyboru w oparciu o ukryte nastawienia i preferencje rolników oraz losową użyteczność</w:t>
      </w:r>
    </w:p>
    <w:p w14:paraId="265E9FF6" w14:textId="77777777" w:rsidR="00D765AA" w:rsidRPr="00B379B3" w:rsidRDefault="00D765AA" w:rsidP="00D765AA">
      <w:r w:rsidRPr="00764B02">
        <w:rPr>
          <w:noProof/>
        </w:rPr>
        <w:drawing>
          <wp:inline distT="0" distB="0" distL="0" distR="0" wp14:anchorId="2626DA0C" wp14:editId="3B87C7F1">
            <wp:extent cx="8887460" cy="4460681"/>
            <wp:effectExtent l="0" t="0" r="0" b="0"/>
            <wp:docPr id="1602725201" name="Obraz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8">
                      <a:extLst>
                        <a:ext uri="{28A0092B-C50C-407E-A947-70E740481C1C}">
                          <a14:useLocalDpi xmlns:a14="http://schemas.microsoft.com/office/drawing/2010/main" val="0"/>
                        </a:ext>
                      </a:extLst>
                    </a:blip>
                    <a:srcRect t="13610"/>
                    <a:stretch/>
                  </pic:blipFill>
                  <pic:spPr bwMode="auto">
                    <a:xfrm>
                      <a:off x="0" y="0"/>
                      <a:ext cx="8904730" cy="4469349"/>
                    </a:xfrm>
                    <a:prstGeom prst="rect">
                      <a:avLst/>
                    </a:prstGeom>
                    <a:noFill/>
                    <a:ln>
                      <a:noFill/>
                    </a:ln>
                    <a:extLst>
                      <a:ext uri="{53640926-AAD7-44D8-BBD7-CCE9431645EC}">
                        <a14:shadowObscured xmlns:a14="http://schemas.microsoft.com/office/drawing/2010/main"/>
                      </a:ext>
                    </a:extLst>
                  </pic:spPr>
                </pic:pic>
              </a:graphicData>
            </a:graphic>
          </wp:inline>
        </w:drawing>
      </w:r>
    </w:p>
    <w:p w14:paraId="172B6FA5" w14:textId="77777777" w:rsidR="00D765AA" w:rsidRPr="00965F9B" w:rsidRDefault="00D765AA" w:rsidP="00D765AA">
      <w:pPr>
        <w:pStyle w:val="Akapitzlist"/>
        <w:tabs>
          <w:tab w:val="left" w:pos="1460"/>
        </w:tabs>
        <w:spacing w:line="264" w:lineRule="auto"/>
        <w:ind w:left="426"/>
        <w:jc w:val="both"/>
        <w:rPr>
          <w:rFonts w:ascii="Times New Roman" w:hAnsi="Times New Roman" w:cs="Times New Roman"/>
          <w:i/>
          <w:iCs/>
          <w:sz w:val="28"/>
          <w:szCs w:val="28"/>
          <w:lang w:val="en-US"/>
        </w:rPr>
      </w:pPr>
      <w:r w:rsidRPr="00F06ED9">
        <w:rPr>
          <w:rFonts w:ascii="Times New Roman" w:eastAsia="Times New Roman" w:hAnsi="Times New Roman" w:cs="Times New Roman"/>
          <w:i/>
          <w:iCs/>
          <w:spacing w:val="2"/>
          <w:kern w:val="0"/>
          <w:lang w:val="en-US" w:eastAsia="pl-PL"/>
          <w14:ligatures w14:val="none"/>
        </w:rPr>
        <w:t>Źródło: opracowanie własne na podstawie:</w:t>
      </w:r>
      <w:r w:rsidRPr="00F06ED9">
        <w:rPr>
          <w:rFonts w:ascii="Times New Roman" w:eastAsia="Times New Roman" w:hAnsi="Times New Roman" w:cs="Times New Roman"/>
          <w:spacing w:val="2"/>
          <w:kern w:val="0"/>
          <w:lang w:val="en-US" w:eastAsia="pl-PL"/>
          <w14:ligatures w14:val="none"/>
        </w:rPr>
        <w:t xml:space="preserve"> </w:t>
      </w:r>
      <w:r w:rsidRPr="00965F9B">
        <w:rPr>
          <w:rFonts w:ascii="Times New Roman" w:eastAsia="Times New Roman" w:hAnsi="Times New Roman" w:cs="Times New Roman"/>
          <w:i/>
          <w:iCs/>
          <w:spacing w:val="2"/>
          <w:kern w:val="0"/>
          <w:lang w:val="en-US" w:eastAsia="pl-PL"/>
          <w14:ligatures w14:val="none"/>
        </w:rPr>
        <w:t>Mensah O.N., Owusu-Sekyere E., Adjec C. (2023), Revisiting preferences for agricultural insurance policies: Insights from cashew crop insurance development in Ghana, Food Policy, 118</w:t>
      </w:r>
    </w:p>
    <w:p w14:paraId="7866C728" w14:textId="77777777" w:rsidR="00D765AA" w:rsidRPr="00F06ED9" w:rsidRDefault="00D765AA" w:rsidP="00D765AA">
      <w:pPr>
        <w:tabs>
          <w:tab w:val="left" w:pos="1928"/>
        </w:tabs>
        <w:rPr>
          <w:rFonts w:ascii="Times New Roman" w:eastAsia="Times New Roman" w:hAnsi="Times New Roman" w:cs="Times New Roman"/>
          <w:i/>
          <w:iCs/>
          <w:spacing w:val="2"/>
          <w:kern w:val="0"/>
          <w:lang w:val="en-US" w:eastAsia="pl-PL"/>
          <w14:ligatures w14:val="none"/>
        </w:rPr>
        <w:sectPr w:rsidR="00D765AA" w:rsidRPr="00F06ED9" w:rsidSect="00D765AA">
          <w:pgSz w:w="16838" w:h="11906" w:orient="landscape"/>
          <w:pgMar w:top="1417" w:right="1417" w:bottom="1417" w:left="1417" w:header="708" w:footer="708" w:gutter="0"/>
          <w:cols w:space="708"/>
          <w:docGrid w:linePitch="360"/>
        </w:sectPr>
      </w:pPr>
    </w:p>
    <w:p w14:paraId="60D160FA" w14:textId="5F49571F" w:rsidR="0068666F" w:rsidRPr="003E6CB7" w:rsidRDefault="003E6CB7" w:rsidP="003E6CB7">
      <w:pPr>
        <w:tabs>
          <w:tab w:val="left" w:pos="567"/>
          <w:tab w:val="left" w:pos="851"/>
        </w:tabs>
        <w:spacing w:after="200" w:line="276" w:lineRule="auto"/>
        <w:jc w:val="both"/>
        <w:rPr>
          <w:rFonts w:ascii="Times New Roman" w:eastAsia="Times New Roman" w:hAnsi="Times New Roman" w:cs="Times New Roman"/>
          <w:b/>
          <w:kern w:val="0"/>
          <w:sz w:val="28"/>
          <w:szCs w:val="28"/>
          <w:lang w:eastAsia="pl-PL"/>
          <w14:ligatures w14:val="none"/>
        </w:rPr>
      </w:pPr>
      <w:r w:rsidRPr="003E6CB7">
        <w:rPr>
          <w:rFonts w:ascii="Times New Roman" w:eastAsia="Times New Roman" w:hAnsi="Times New Roman" w:cs="Times New Roman"/>
          <w:b/>
          <w:kern w:val="0"/>
          <w:sz w:val="28"/>
          <w:szCs w:val="28"/>
          <w:lang w:eastAsia="pl-PL"/>
          <w14:ligatures w14:val="none"/>
        </w:rPr>
        <w:lastRenderedPageBreak/>
        <w:t xml:space="preserve">9.2. </w:t>
      </w:r>
      <w:r w:rsidR="0068666F" w:rsidRPr="003E6CB7">
        <w:rPr>
          <w:rFonts w:ascii="Times New Roman" w:eastAsia="Times New Roman" w:hAnsi="Times New Roman" w:cs="Times New Roman"/>
          <w:b/>
          <w:kern w:val="0"/>
          <w:sz w:val="28"/>
          <w:szCs w:val="28"/>
          <w:lang w:eastAsia="pl-PL"/>
          <w14:ligatures w14:val="none"/>
        </w:rPr>
        <w:t xml:space="preserve">Determinanty nabywania przez rolników ubezpieczeń </w:t>
      </w:r>
      <w:r w:rsidR="0068666F" w:rsidRPr="003E6CB7">
        <w:rPr>
          <w:rFonts w:ascii="Times New Roman" w:eastAsia="Times New Roman" w:hAnsi="Times New Roman" w:cs="Times New Roman"/>
          <w:b/>
          <w:kern w:val="0"/>
          <w:sz w:val="28"/>
          <w:szCs w:val="28"/>
          <w:lang w:eastAsia="pl-PL"/>
          <w14:ligatures w14:val="none"/>
        </w:rPr>
        <w:br/>
        <w:t xml:space="preserve">w rolnictwie </w:t>
      </w:r>
      <w:r>
        <w:rPr>
          <w:rFonts w:ascii="Times New Roman" w:eastAsia="Times New Roman" w:hAnsi="Times New Roman" w:cs="Times New Roman"/>
          <w:b/>
          <w:kern w:val="0"/>
          <w:sz w:val="28"/>
          <w:szCs w:val="28"/>
          <w:lang w:eastAsia="pl-PL"/>
          <w14:ligatures w14:val="none"/>
        </w:rPr>
        <w:t>– przegląd badań empirycznych</w:t>
      </w:r>
    </w:p>
    <w:p w14:paraId="5B824231" w14:textId="77777777" w:rsidR="0068666F" w:rsidRPr="0068666F" w:rsidRDefault="0068666F" w:rsidP="0068666F">
      <w:pPr>
        <w:spacing w:after="0" w:line="264" w:lineRule="auto"/>
        <w:ind w:firstLine="709"/>
        <w:jc w:val="both"/>
        <w:rPr>
          <w:rFonts w:ascii="Times New Roman" w:eastAsia="Times New Roman" w:hAnsi="Times New Roman" w:cs="Times New Roman"/>
          <w:kern w:val="0"/>
          <w:sz w:val="28"/>
          <w:lang w:eastAsia="pl-PL"/>
          <w14:ligatures w14:val="none"/>
        </w:rPr>
      </w:pPr>
    </w:p>
    <w:p w14:paraId="60C88659" w14:textId="14D06DDB" w:rsidR="0068666F" w:rsidRPr="0068666F" w:rsidRDefault="0068666F" w:rsidP="0068666F">
      <w:pPr>
        <w:spacing w:after="0" w:line="264" w:lineRule="auto"/>
        <w:ind w:firstLine="709"/>
        <w:jc w:val="both"/>
        <w:rPr>
          <w:rFonts w:ascii="Times New Roman" w:eastAsia="Times New Roman" w:hAnsi="Times New Roman" w:cs="Times New Roman"/>
          <w:kern w:val="0"/>
          <w:sz w:val="28"/>
          <w:szCs w:val="28"/>
          <w:lang w:eastAsia="pl-PL"/>
          <w14:ligatures w14:val="none"/>
        </w:rPr>
      </w:pPr>
      <w:r w:rsidRPr="0068666F">
        <w:rPr>
          <w:rFonts w:ascii="Times New Roman" w:eastAsia="Times New Roman" w:hAnsi="Times New Roman" w:cs="Times New Roman"/>
          <w:kern w:val="0"/>
          <w:sz w:val="28"/>
          <w:szCs w:val="28"/>
          <w:lang w:eastAsia="pl-PL"/>
          <w14:ligatures w14:val="none"/>
        </w:rPr>
        <w:t xml:space="preserve">Rolnictwo jest ważnym sektorem gospodarki narodowej zapewniając podstawowe źródło utrzymania znaczącej części społeczeństwa, jest bazą dla rozwoju przemysłu rolno-spożywczego, pełni także ważne role społeczne i kulturowe kształtując krajobraz kulturowy wsi. Rolnictwo jest podatne na ryzyko różnego pochodzenia. Największym ryzykiem w działalności rolniczej jest ryzyko produkcyjne, w tym ryzyko klimatyczne. W żadnym innym sektorze gospodarki zmiany pogody nie wpływają tak wyraźnie na ekonomię produkcji, a tym samym na bezpieczeństwo żywnościowe. Rolnicy muszą rodzić sobie z tym ryzykiem stosując odpowiednie strategie adaptacyjne, budując jednocześnie odporność tzn. zdolności do utrzymania pożądanej funkcji w niepewnym, ciągle zmieniającym się otoczeniu.  Narzędziem umożliwiającym ograniczenie skutków zrealizowania się ryzyka klimatycznego w rolnictwie są ubezpieczenia, które jednocześnie są elementem budowania odpornych na wstrząsy gospodarstw rolnych. Ubezpieczenia mogą odegrać fundamentalną rolę w optymalizacji decyzji produkcyjnych i inwestycyjnych w gospodarstwach rolnych. Ochrona ubezpieczeniowa może być ważnym motywatorem do zmian na bardziej ryzykowną i bardziej opłacalną produkcję, może być również bodźcem do wdrażania innowacyjnych technologii, aby zapewnić kompleksową ochronę, która zarówno obniża narażenie rolników na ryzyko, jak i pomaga im się zaadoptować do zmian oraz odbić po szoku. Jak zauważa Cha i in. (2024) ubezpieczenie służy jako forma gwarancji kredytowej dla rolników, łagodząc ich ograniczenia finansowe, co ułatwia im angażowanie się w alokację zasobów zapewniając poprawę efektywności produkcji rolnej i stabilność dochodów. Zapewnienie ochrony i transfer ryzyka na instytucję ubezpieczeniową w celu złagodzenia ryzyka zmian klimatycznych jest jednak rozwiązaniem kosztownym. Jednym z priorytetów politycznych, zarówno w celu zwiększenia produktywności i zysków rolników, jak i w celu przyczynienia się do stabilizacji dochodów i bezpieczeństwa żywnościowego, jest zapewnienie rolnikom szerokiego dostępu do różnych produktów ubezpieczenia (np. ubezpieczenie dochodów, ubezpieczenie w oparciu o indeks pogody, ubezpieczenie przychodów) i dzięki temu zwiększenie ich ochrony. </w:t>
      </w:r>
    </w:p>
    <w:p w14:paraId="07D6E405" w14:textId="340F43AC" w:rsidR="0068666F" w:rsidRPr="0068666F" w:rsidRDefault="0068666F" w:rsidP="0068666F">
      <w:pPr>
        <w:spacing w:after="0" w:line="264" w:lineRule="auto"/>
        <w:ind w:firstLine="709"/>
        <w:jc w:val="both"/>
        <w:rPr>
          <w:rFonts w:ascii="Times New Roman" w:eastAsia="Times New Roman" w:hAnsi="Times New Roman" w:cs="Times New Roman"/>
          <w:kern w:val="0"/>
          <w:sz w:val="28"/>
          <w:szCs w:val="28"/>
          <w:lang w:eastAsia="pl-PL"/>
          <w14:ligatures w14:val="none"/>
        </w:rPr>
      </w:pPr>
      <w:r w:rsidRPr="0068666F">
        <w:rPr>
          <w:rFonts w:ascii="Times New Roman" w:eastAsia="Times New Roman" w:hAnsi="Times New Roman" w:cs="Times New Roman"/>
          <w:kern w:val="0"/>
          <w:sz w:val="28"/>
          <w:szCs w:val="28"/>
          <w:lang w:eastAsia="pl-PL"/>
          <w14:ligatures w14:val="none"/>
        </w:rPr>
        <w:t xml:space="preserve">Ubezpieczenia rolnicze są dotowane w wielu krajach, a ich globalny koszt dla rządów wynosi ponad 20 miliardów dolarów rocznie. Istnieje kilka powodów udzielania tych dotacji, niektóre mają związek z niedoskonałościami rynku, które ograniczają rozwój prywatnych rynków ubezpieczeniowych, a  inne mają bardziej jawne cele polityczne i społeczne (Hazell, Varangis, 2020). Chociaż </w:t>
      </w:r>
      <w:r w:rsidRPr="0068666F">
        <w:rPr>
          <w:rFonts w:ascii="Times New Roman" w:eastAsia="Times New Roman" w:hAnsi="Times New Roman" w:cs="Times New Roman"/>
          <w:kern w:val="0"/>
          <w:sz w:val="28"/>
          <w:szCs w:val="28"/>
          <w:lang w:eastAsia="pl-PL"/>
          <w14:ligatures w14:val="none"/>
        </w:rPr>
        <w:lastRenderedPageBreak/>
        <w:t>subsydiowane ubezpieczenia istnieją od wielu lat, wskaźniki ich nabywania są w dużej mierze rozczarowujące. Dotychczas podejmowano wiele badań w zakresie oszacowania czynników, które wpływają na decyzje ubezpieczeniowe rolników oraz umożliwiają prognozowanie popytu na ubezpieczenia w różnych kontekstach, co jest istotne dla planowania</w:t>
      </w:r>
      <w:r>
        <w:rPr>
          <w:rFonts w:ascii="Times New Roman" w:eastAsia="Times New Roman" w:hAnsi="Times New Roman" w:cs="Times New Roman"/>
          <w:kern w:val="0"/>
          <w:sz w:val="28"/>
          <w:szCs w:val="28"/>
          <w:lang w:eastAsia="pl-PL"/>
          <w14:ligatures w14:val="none"/>
        </w:rPr>
        <w:t xml:space="preserve"> </w:t>
      </w:r>
      <w:r w:rsidRPr="0068666F">
        <w:rPr>
          <w:rFonts w:ascii="Times New Roman" w:eastAsia="Times New Roman" w:hAnsi="Times New Roman" w:cs="Times New Roman"/>
          <w:kern w:val="0"/>
          <w:sz w:val="28"/>
          <w:szCs w:val="28"/>
          <w:lang w:eastAsia="pl-PL"/>
          <w14:ligatures w14:val="none"/>
        </w:rPr>
        <w:t xml:space="preserve">i zarządzania programami ubezpieczeniowymi. W niniejszym opracowaniu priorytetowo potraktowano artykuły opublikowane w ostatnich latach, aby uwzględnić najnowsze trendy i badania w dziedzinie ubezpieczeń, a także żeby pokazać szeroki zakres uwzględnianych w badaniach czynników determinujących zakup ubezpieczenia oraz metod szacowania ich wpływu na posiadanie ochrony ubezpieczeniowej. Korzystano z elektronicznych baz danych takich, jak </w:t>
      </w:r>
      <w:r w:rsidRPr="0068666F">
        <w:rPr>
          <w:rFonts w:ascii="Times New Roman" w:eastAsia="Times New Roman" w:hAnsi="Times New Roman" w:cs="Times New Roman"/>
          <w:i/>
          <w:kern w:val="0"/>
          <w:sz w:val="28"/>
          <w:szCs w:val="28"/>
          <w:lang w:eastAsia="pl-PL"/>
          <w14:ligatures w14:val="none"/>
        </w:rPr>
        <w:t>Web of Science</w:t>
      </w:r>
      <w:r w:rsidRPr="0068666F">
        <w:rPr>
          <w:rFonts w:ascii="Times New Roman" w:eastAsia="Times New Roman" w:hAnsi="Times New Roman" w:cs="Times New Roman"/>
          <w:kern w:val="0"/>
          <w:sz w:val="28"/>
          <w:szCs w:val="28"/>
          <w:lang w:eastAsia="pl-PL"/>
          <w14:ligatures w14:val="none"/>
        </w:rPr>
        <w:t xml:space="preserve"> oraz </w:t>
      </w:r>
      <w:r w:rsidRPr="0068666F">
        <w:rPr>
          <w:rFonts w:ascii="Times New Roman" w:eastAsia="Times New Roman" w:hAnsi="Times New Roman" w:cs="Times New Roman"/>
          <w:i/>
          <w:kern w:val="0"/>
          <w:sz w:val="28"/>
          <w:szCs w:val="28"/>
          <w:lang w:eastAsia="pl-PL"/>
          <w14:ligatures w14:val="none"/>
        </w:rPr>
        <w:t>Scopus</w:t>
      </w:r>
      <w:r w:rsidRPr="0068666F">
        <w:rPr>
          <w:rFonts w:ascii="Times New Roman" w:eastAsia="Times New Roman" w:hAnsi="Times New Roman" w:cs="Times New Roman"/>
          <w:kern w:val="0"/>
          <w:sz w:val="28"/>
          <w:szCs w:val="28"/>
          <w:lang w:eastAsia="pl-PL"/>
          <w14:ligatures w14:val="none"/>
        </w:rPr>
        <w:t xml:space="preserve">, dobierając opracowania według słów kluczowych takich, jak: ubezpieczenie upraw, gotowość do płacenia za ubezpieczenie upraw, ubezpieczenia rolne, determinanty ubezpieczeń w gospodarstwach rolnych, metoda PSM (ang. </w:t>
      </w:r>
      <w:r w:rsidRPr="0068666F">
        <w:rPr>
          <w:rFonts w:ascii="Times New Roman" w:eastAsia="Times New Roman" w:hAnsi="Times New Roman" w:cs="Times New Roman"/>
          <w:bCs/>
          <w:i/>
          <w:kern w:val="0"/>
          <w:sz w:val="28"/>
          <w:szCs w:val="22"/>
          <w:lang w:eastAsia="pl-PL"/>
          <w14:ligatures w14:val="none"/>
        </w:rPr>
        <w:t>Propensity Score Matching</w:t>
      </w:r>
      <w:r w:rsidRPr="0068666F">
        <w:rPr>
          <w:rFonts w:ascii="Times New Roman" w:eastAsia="Times New Roman" w:hAnsi="Times New Roman" w:cs="Times New Roman"/>
          <w:bCs/>
          <w:kern w:val="0"/>
          <w:sz w:val="28"/>
          <w:szCs w:val="22"/>
          <w:lang w:eastAsia="pl-PL"/>
          <w14:ligatures w14:val="none"/>
        </w:rPr>
        <w:t xml:space="preserve">) </w:t>
      </w:r>
      <w:r w:rsidRPr="0068666F">
        <w:rPr>
          <w:rFonts w:ascii="Times New Roman" w:eastAsia="Times New Roman" w:hAnsi="Times New Roman" w:cs="Times New Roman"/>
          <w:kern w:val="0"/>
          <w:sz w:val="28"/>
          <w:szCs w:val="28"/>
          <w:lang w:eastAsia="pl-PL"/>
          <w14:ligatures w14:val="none"/>
        </w:rPr>
        <w:t>w analizie ubezpieczeń w rolnictwie. W przypadku opracowań dotyczących determinant nabywania przez rolników ubezpieczeń skupiono się na badaniach przeprowadzonych głównie wśród rolników z krajów europejskich. Z kolei ze względu na niewielką liczbę opracowań wykorzystujących metodę PSM w badaniach europejskich badaczy, do analizy wykorzystano również opracowania badaczy z innych krajów.</w:t>
      </w:r>
    </w:p>
    <w:p w14:paraId="59F64591" w14:textId="543D164A" w:rsidR="0068666F" w:rsidRPr="0068666F" w:rsidRDefault="0068666F" w:rsidP="0068666F">
      <w:pPr>
        <w:spacing w:after="0" w:line="264" w:lineRule="auto"/>
        <w:ind w:firstLine="709"/>
        <w:jc w:val="both"/>
        <w:rPr>
          <w:rFonts w:ascii="Times New Roman" w:eastAsia="Times New Roman" w:hAnsi="Times New Roman" w:cs="Times New Roman"/>
          <w:kern w:val="0"/>
          <w:sz w:val="28"/>
          <w:szCs w:val="28"/>
          <w:lang w:eastAsia="pl-PL"/>
          <w14:ligatures w14:val="none"/>
        </w:rPr>
      </w:pPr>
      <w:r w:rsidRPr="0068666F">
        <w:rPr>
          <w:rFonts w:ascii="Times New Roman" w:eastAsia="Times New Roman" w:hAnsi="Times New Roman" w:cs="Times New Roman"/>
          <w:kern w:val="0"/>
          <w:sz w:val="28"/>
          <w:szCs w:val="28"/>
          <w:lang w:eastAsia="pl-PL"/>
          <w14:ligatures w14:val="none"/>
        </w:rPr>
        <w:t xml:space="preserve">Najczęściej w literaturze wśród czynników determinujących decyzje zakupu ubezpieczenia przez rolników wymieniane są: czynniki społeczno-demograficzne, ze szczególnym uwzględnieniem wykształcenia, wieku, płci, stanu cywilnego oraz doświadczenia rolnika w prowadzeniu działalności rolniczej (Dragos, i in., 2023; Doherty, i in., 2021; Lefebver, i in., 2014; Gassler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Rehermann, 2022; Koenig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Brunette, 2023; Enjolras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Sentis, 2008;  </w:t>
      </w:r>
      <w:r w:rsidRPr="0068666F">
        <w:rPr>
          <w:rFonts w:ascii="Times New Roman" w:eastAsia="CIDFont+F4" w:hAnsi="Times New Roman" w:cs="Times New Roman"/>
          <w:kern w:val="0"/>
          <w:sz w:val="28"/>
          <w:szCs w:val="22"/>
          <w:lang w:eastAsia="pl-PL"/>
          <w14:ligatures w14:val="none"/>
        </w:rPr>
        <w:t xml:space="preserve">Kislingerová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Špička, 2022; Codrta, i in., 2022; Stojanović, i in. 2019; Wąs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Kobus, 2018; Santeramo, 2018; Sihem, 2019; Namiotko, i in., 2022; Bezat-Jarzębowska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Herda-Kopańska, 2021; Youngiune, i in., 2018; Ifft, i in., 2015; Bao, i in., 2022; Aditya, i in., 2018; </w:t>
      </w:r>
      <w:r w:rsidRPr="0068666F">
        <w:rPr>
          <w:rFonts w:ascii="Times New Roman" w:eastAsia="Times New Roman" w:hAnsi="Times New Roman" w:cs="Times New Roman"/>
          <w:kern w:val="0"/>
          <w:sz w:val="28"/>
          <w:szCs w:val="28"/>
          <w:lang w:eastAsia="pl-PL"/>
          <w14:ligatures w14:val="none"/>
        </w:rPr>
        <w:t xml:space="preserve">Malorgio, i in., 2021; </w:t>
      </w:r>
      <w:r w:rsidRPr="0068666F">
        <w:rPr>
          <w:rFonts w:ascii="Times New Roman" w:eastAsia="CIDFont+F4" w:hAnsi="Times New Roman" w:cs="Times New Roman"/>
          <w:kern w:val="0"/>
          <w:sz w:val="28"/>
          <w:szCs w:val="22"/>
          <w:lang w:eastAsia="pl-PL"/>
          <w14:ligatures w14:val="none"/>
        </w:rPr>
        <w:t xml:space="preserve">Silaban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Harmini, 2022; Yanuarti, i in., 2019; Shaibu, i in. 2016; Juan, i in., 2019), czynniki odnoszące się do cech gospodarstwa rolnego, w tym powierzchnia upraw, typu produkcji, lokalizacja gospodarstwa rolnego </w:t>
      </w:r>
      <w:r w:rsidRPr="0068666F">
        <w:rPr>
          <w:rFonts w:ascii="Times New Roman" w:eastAsia="Times New Roman" w:hAnsi="Times New Roman" w:cs="Times New Roman"/>
          <w:kern w:val="0"/>
          <w:sz w:val="28"/>
          <w:szCs w:val="28"/>
          <w:lang w:eastAsia="pl-PL"/>
          <w14:ligatures w14:val="none"/>
        </w:rPr>
        <w:t xml:space="preserve">(Dragos, i in., 2023; Doherty, i in., 2021; Timparano, i in., 2022; Santeramo, 2018; Malorgio, i in., 2021; Lefebver, i in., 2014; Gassler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Rehermann, 2022; Koenig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Brunette, 2023; Enjolras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Sentis, 2008; </w:t>
      </w:r>
      <w:r w:rsidRPr="0068666F">
        <w:rPr>
          <w:rFonts w:ascii="Times New Roman" w:eastAsia="CIDFont+F4" w:hAnsi="Times New Roman" w:cs="Times New Roman"/>
          <w:kern w:val="0"/>
          <w:sz w:val="28"/>
          <w:szCs w:val="22"/>
          <w:lang w:eastAsia="pl-PL"/>
          <w14:ligatures w14:val="none"/>
        </w:rPr>
        <w:t xml:space="preserve">Kislingerová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Špička, 2022; Codrta, i in., 2022; Stojanović, i in., 2019;  Wąs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Kobus, 2018; Kurdyś-Kujawska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Soliwoda, 2021; Sihem, 2019; Namiotko, i in., 2022; </w:t>
      </w:r>
      <w:r w:rsidRPr="0068666F">
        <w:rPr>
          <w:rFonts w:ascii="Times New Roman" w:eastAsia="Times New Roman" w:hAnsi="Times New Roman" w:cs="Times New Roman"/>
          <w:kern w:val="0"/>
          <w:sz w:val="28"/>
          <w:szCs w:val="28"/>
          <w:lang w:eastAsia="pl-PL"/>
          <w14:ligatures w14:val="none"/>
        </w:rPr>
        <w:t xml:space="preserve"> </w:t>
      </w:r>
      <w:r w:rsidRPr="0068666F">
        <w:rPr>
          <w:rFonts w:ascii="Times New Roman" w:eastAsia="CIDFont+F4" w:hAnsi="Times New Roman" w:cs="Times New Roman"/>
          <w:kern w:val="0"/>
          <w:sz w:val="28"/>
          <w:szCs w:val="22"/>
          <w:lang w:eastAsia="pl-PL"/>
          <w14:ligatures w14:val="none"/>
        </w:rPr>
        <w:t xml:space="preserve">Bezat-Jarzębowska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Herda-Kopańska, 2021;</w:t>
      </w:r>
      <w:r w:rsidRPr="0068666F">
        <w:rPr>
          <w:rFonts w:ascii="Times New Roman" w:eastAsia="Times New Roman" w:hAnsi="Times New Roman" w:cs="Times New Roman"/>
          <w:kern w:val="0"/>
          <w:sz w:val="28"/>
          <w:szCs w:val="28"/>
          <w:lang w:eastAsia="pl-PL"/>
          <w14:ligatures w14:val="none"/>
        </w:rPr>
        <w:t xml:space="preserve"> </w:t>
      </w:r>
      <w:r w:rsidRPr="0068666F">
        <w:rPr>
          <w:rFonts w:ascii="Times New Roman" w:eastAsia="CIDFont+F4" w:hAnsi="Times New Roman" w:cs="Times New Roman"/>
          <w:kern w:val="0"/>
          <w:sz w:val="28"/>
          <w:szCs w:val="22"/>
          <w:lang w:eastAsia="pl-PL"/>
          <w14:ligatures w14:val="none"/>
        </w:rPr>
        <w:t xml:space="preserve">Yanuarti, i in., 2019; </w:t>
      </w:r>
      <w:r w:rsidRPr="0068666F">
        <w:rPr>
          <w:rFonts w:ascii="Times New Roman" w:eastAsia="Times New Roman" w:hAnsi="Times New Roman" w:cs="Times New Roman"/>
          <w:kern w:val="0"/>
          <w:sz w:val="28"/>
          <w:szCs w:val="28"/>
          <w:lang w:eastAsia="pl-PL"/>
          <w14:ligatures w14:val="none"/>
        </w:rPr>
        <w:t xml:space="preserve"> </w:t>
      </w:r>
      <w:r w:rsidRPr="0068666F">
        <w:rPr>
          <w:rFonts w:ascii="Times New Roman" w:eastAsia="CIDFont+F4" w:hAnsi="Times New Roman" w:cs="Times New Roman"/>
          <w:kern w:val="0"/>
          <w:sz w:val="28"/>
          <w:szCs w:val="22"/>
          <w:lang w:eastAsia="pl-PL"/>
          <w14:ligatures w14:val="none"/>
        </w:rPr>
        <w:t xml:space="preserve">Ifft, i in., 2015; Bao, i in., 2022; Silaban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Harmini, 2022;  Yanuarti, i in., 2019; Shaibu, i in. 2016; Juan, i in., 2019) oraz powierzchnia </w:t>
      </w:r>
      <w:r w:rsidRPr="0068666F">
        <w:rPr>
          <w:rFonts w:ascii="Times New Roman" w:eastAsia="CIDFont+F4" w:hAnsi="Times New Roman" w:cs="Times New Roman"/>
          <w:kern w:val="0"/>
          <w:sz w:val="28"/>
          <w:szCs w:val="22"/>
          <w:lang w:eastAsia="pl-PL"/>
          <w14:ligatures w14:val="none"/>
        </w:rPr>
        <w:lastRenderedPageBreak/>
        <w:t>nawadniana (</w:t>
      </w:r>
      <w:r w:rsidRPr="0068666F">
        <w:rPr>
          <w:rFonts w:ascii="Times New Roman" w:eastAsia="Times New Roman" w:hAnsi="Times New Roman" w:cs="Times New Roman"/>
          <w:kern w:val="0"/>
          <w:sz w:val="28"/>
          <w:szCs w:val="28"/>
          <w:lang w:eastAsia="pl-PL"/>
          <w14:ligatures w14:val="none"/>
        </w:rPr>
        <w:t xml:space="preserve">Santeramo, 2018; Koenig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Brunette, 2023; Enjolras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Sentis, 2008; </w:t>
      </w:r>
      <w:r w:rsidRPr="0068666F">
        <w:rPr>
          <w:rFonts w:ascii="Times New Roman" w:eastAsia="CIDFont+F4" w:hAnsi="Times New Roman" w:cs="Times New Roman"/>
          <w:kern w:val="0"/>
          <w:sz w:val="28"/>
          <w:szCs w:val="22"/>
          <w:lang w:eastAsia="pl-PL"/>
          <w14:ligatures w14:val="none"/>
        </w:rPr>
        <w:t xml:space="preserve">Aditya, i in., 2018), czynniki ekonomiczne takie, jak: roczny dochód gospodarstwa rolnego, pozarolnicze źródła dochodu, wielkość produkcji </w:t>
      </w:r>
      <w:r w:rsidRPr="0068666F">
        <w:rPr>
          <w:rFonts w:ascii="Times New Roman" w:eastAsia="Times New Roman" w:hAnsi="Times New Roman" w:cs="Times New Roman"/>
          <w:kern w:val="0"/>
          <w:sz w:val="28"/>
          <w:szCs w:val="28"/>
          <w:lang w:eastAsia="pl-PL"/>
          <w14:ligatures w14:val="none"/>
        </w:rPr>
        <w:t>(Dragos, i in., 2023; Doherty, i in., 2021;</w:t>
      </w:r>
      <w:r w:rsidRPr="0068666F">
        <w:rPr>
          <w:rFonts w:ascii="Times New Roman" w:eastAsia="CIDFont+F4" w:hAnsi="Times New Roman" w:cs="Times New Roman"/>
          <w:kern w:val="0"/>
          <w:sz w:val="28"/>
          <w:szCs w:val="22"/>
          <w:lang w:eastAsia="pl-PL"/>
          <w14:ligatures w14:val="none"/>
        </w:rPr>
        <w:t xml:space="preserve"> Santeramo, 2018;</w:t>
      </w:r>
      <w:r w:rsidRPr="0068666F">
        <w:rPr>
          <w:rFonts w:ascii="Times New Roman" w:eastAsia="Times New Roman" w:hAnsi="Times New Roman" w:cs="Times New Roman"/>
          <w:kern w:val="0"/>
          <w:sz w:val="28"/>
          <w:szCs w:val="28"/>
          <w:lang w:eastAsia="pl-PL"/>
          <w14:ligatures w14:val="none"/>
        </w:rPr>
        <w:t xml:space="preserve"> Malorgio, i in., 2021; Koenig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Brunette, 2023;  </w:t>
      </w:r>
      <w:r w:rsidRPr="0068666F">
        <w:rPr>
          <w:rFonts w:ascii="Times New Roman" w:eastAsia="CIDFont+F4" w:hAnsi="Times New Roman" w:cs="Times New Roman"/>
          <w:kern w:val="0"/>
          <w:sz w:val="28"/>
          <w:szCs w:val="22"/>
          <w:lang w:eastAsia="pl-PL"/>
          <w14:ligatures w14:val="none"/>
        </w:rPr>
        <w:t xml:space="preserve">Codrta, i in., 2022; Stojanović, in. in., 2019; Rawa, 2023; Wąs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Kobus, 2018; Kurdyś-Kujawska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Soliwoda, 2021; Namiotko, i in., 2022; Bezat-Jarzębowska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Herda-Kopańska, 2021; Youngiune, i in., 2018; Ifft, i in., 2015;  Bao, i in., 2022; Aditya, i in., 2018; Silaban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Harmini, 2022;  Juan, i in., 2019; </w:t>
      </w:r>
      <w:r w:rsidRPr="0068666F">
        <w:rPr>
          <w:rFonts w:ascii="Times New Roman" w:eastAsia="Times New Roman" w:hAnsi="Times New Roman" w:cs="Times New Roman"/>
          <w:kern w:val="0"/>
          <w:sz w:val="28"/>
          <w:szCs w:val="28"/>
          <w:lang w:eastAsia="pl-PL"/>
          <w14:ligatures w14:val="none"/>
        </w:rPr>
        <w:t xml:space="preserve">Enjolras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Sentis, 2008</w:t>
      </w:r>
      <w:r w:rsidRPr="0068666F">
        <w:rPr>
          <w:rFonts w:ascii="Times New Roman" w:eastAsia="CIDFont+F4" w:hAnsi="Times New Roman" w:cs="Times New Roman"/>
          <w:kern w:val="0"/>
          <w:sz w:val="28"/>
          <w:szCs w:val="22"/>
          <w:lang w:eastAsia="pl-PL"/>
          <w14:ligatures w14:val="none"/>
        </w:rPr>
        <w:t>), zobowiązania kredytowe/dostęp do kredytów (</w:t>
      </w:r>
      <w:r w:rsidRPr="0068666F">
        <w:rPr>
          <w:rFonts w:ascii="Times New Roman" w:eastAsia="Times New Roman" w:hAnsi="Times New Roman" w:cs="Times New Roman"/>
          <w:kern w:val="0"/>
          <w:sz w:val="28"/>
          <w:szCs w:val="28"/>
          <w:lang w:eastAsia="pl-PL"/>
          <w14:ligatures w14:val="none"/>
        </w:rPr>
        <w:t xml:space="preserve">Lefebver, i in., 2014; Enjolras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Sentis, 2008;</w:t>
      </w:r>
      <w:r w:rsidRPr="0068666F">
        <w:rPr>
          <w:rFonts w:ascii="Times New Roman" w:eastAsia="CIDFont+F4" w:hAnsi="Times New Roman" w:cs="Times New Roman"/>
          <w:kern w:val="0"/>
          <w:sz w:val="28"/>
          <w:szCs w:val="22"/>
          <w:lang w:eastAsia="pl-PL"/>
          <w14:ligatures w14:val="none"/>
        </w:rPr>
        <w:t xml:space="preserve"> Rawa, 2023; Wąs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Kobus, 2018; Bezat-Jarzębowska &amp; Herda-Kopańska, 2021; Youngiune, i in., 2018; Shaibu, i in. 2016), korzystanie z dotacji (</w:t>
      </w:r>
      <w:r w:rsidRPr="0068666F">
        <w:rPr>
          <w:rFonts w:ascii="Times New Roman" w:eastAsia="Times New Roman" w:hAnsi="Times New Roman" w:cs="Times New Roman"/>
          <w:kern w:val="0"/>
          <w:sz w:val="28"/>
          <w:szCs w:val="28"/>
          <w:lang w:eastAsia="pl-PL"/>
          <w14:ligatures w14:val="none"/>
        </w:rPr>
        <w:t>Doherty, i in., 2021; Malorgio, i in., 2021;</w:t>
      </w:r>
      <w:r w:rsidRPr="0068666F">
        <w:rPr>
          <w:rFonts w:ascii="Times New Roman" w:eastAsia="CIDFont+F4" w:hAnsi="Times New Roman" w:cs="Times New Roman"/>
          <w:kern w:val="0"/>
          <w:sz w:val="28"/>
          <w:szCs w:val="22"/>
          <w:lang w:eastAsia="pl-PL"/>
          <w14:ligatures w14:val="none"/>
        </w:rPr>
        <w:t xml:space="preserve"> Sihem, 2019; Aditya, i in., 2018; Bezat-Jarzębowska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Herda-Kopańska, 2021; </w:t>
      </w:r>
      <w:r w:rsidRPr="0068666F">
        <w:rPr>
          <w:rFonts w:ascii="Times New Roman" w:eastAsia="Times New Roman" w:hAnsi="Times New Roman" w:cs="Times New Roman"/>
          <w:kern w:val="0"/>
          <w:sz w:val="28"/>
          <w:szCs w:val="28"/>
          <w:lang w:eastAsia="pl-PL"/>
          <w14:ligatures w14:val="none"/>
        </w:rPr>
        <w:t xml:space="preserve">Koenig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Brunette, 2023</w:t>
      </w:r>
      <w:r w:rsidRPr="0068666F">
        <w:rPr>
          <w:rFonts w:ascii="Times New Roman" w:eastAsia="CIDFont+F4" w:hAnsi="Times New Roman" w:cs="Times New Roman"/>
          <w:kern w:val="0"/>
          <w:sz w:val="28"/>
          <w:szCs w:val="22"/>
          <w:lang w:eastAsia="pl-PL"/>
          <w14:ligatures w14:val="none"/>
        </w:rPr>
        <w:t>)</w:t>
      </w:r>
      <w:r w:rsidRPr="0068666F">
        <w:rPr>
          <w:rFonts w:ascii="Times New Roman" w:eastAsia="Times New Roman" w:hAnsi="Times New Roman" w:cs="Times New Roman"/>
          <w:kern w:val="0"/>
          <w:sz w:val="28"/>
          <w:szCs w:val="28"/>
          <w:lang w:eastAsia="pl-PL"/>
          <w14:ligatures w14:val="none"/>
        </w:rPr>
        <w:t xml:space="preserve"> oraz odnotowanie strat w uprawach/doświadczenie negatywnych skutków ekstremalnych zdarzeń pogodowych (Dragos, i in., 2023; Doherty, i in., 2021;  Santeramo, i in., 2024; Koenig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Brunette, 2023; </w:t>
      </w:r>
      <w:r w:rsidRPr="0068666F">
        <w:rPr>
          <w:rFonts w:ascii="Times New Roman" w:eastAsia="CIDFont+F4" w:hAnsi="Times New Roman" w:cs="Times New Roman"/>
          <w:kern w:val="0"/>
          <w:sz w:val="28"/>
          <w:szCs w:val="22"/>
          <w:lang w:eastAsia="pl-PL"/>
          <w14:ligatures w14:val="none"/>
        </w:rPr>
        <w:t xml:space="preserve">Rawa, 2023; Wąs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Kobus, 2018; Aditya, i in., 2018; Yanuarti, i in., 2019), </w:t>
      </w:r>
      <w:r w:rsidRPr="0068666F">
        <w:rPr>
          <w:rFonts w:ascii="Times New Roman" w:eastAsia="Times New Roman" w:hAnsi="Times New Roman" w:cs="Times New Roman"/>
          <w:kern w:val="0"/>
          <w:sz w:val="28"/>
          <w:szCs w:val="28"/>
          <w:lang w:eastAsia="pl-PL"/>
          <w14:ligatures w14:val="none"/>
        </w:rPr>
        <w:t xml:space="preserve"> </w:t>
      </w:r>
      <w:r w:rsidRPr="0068666F">
        <w:rPr>
          <w:rFonts w:ascii="Times New Roman" w:eastAsia="CIDFont+F4" w:hAnsi="Times New Roman" w:cs="Times New Roman"/>
          <w:kern w:val="0"/>
          <w:sz w:val="28"/>
          <w:szCs w:val="22"/>
          <w:lang w:eastAsia="pl-PL"/>
          <w14:ligatures w14:val="none"/>
        </w:rPr>
        <w:t xml:space="preserve">czynniki behawioralne związane z oceną ryzyka i jego postrzeganiem przez rolnika </w:t>
      </w:r>
      <w:r w:rsidRPr="0068666F">
        <w:rPr>
          <w:rFonts w:ascii="Times New Roman" w:eastAsia="Times New Roman" w:hAnsi="Times New Roman" w:cs="Times New Roman"/>
          <w:kern w:val="0"/>
          <w:sz w:val="28"/>
          <w:szCs w:val="28"/>
          <w:lang w:eastAsia="pl-PL"/>
          <w14:ligatures w14:val="none"/>
        </w:rPr>
        <w:t xml:space="preserve">(Dragos, i in., 2023; Doherty, i in., 2021; Santeramo, 2018; Koenig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Brunette, 2023;</w:t>
      </w:r>
      <w:r w:rsidRPr="0068666F">
        <w:rPr>
          <w:rFonts w:ascii="Times New Roman" w:eastAsia="CIDFont+F4" w:hAnsi="Times New Roman" w:cs="Times New Roman"/>
          <w:kern w:val="0"/>
          <w:sz w:val="28"/>
          <w:szCs w:val="22"/>
          <w:lang w:eastAsia="pl-PL"/>
          <w14:ligatures w14:val="none"/>
        </w:rPr>
        <w:t xml:space="preserve"> Codrta, i in., 2022; Rawa, 2023; Sihem, 2019; Bao, i in., 2022; Silaban </w:t>
      </w:r>
      <w:r w:rsidR="00F631AE">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Harmini, 2022;  Yanuarti, i in., 2019; Juan, i in., 2019; Kislingerová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Špička, 2022; Stojanović, i in. 2019; </w:t>
      </w:r>
      <w:r w:rsidRPr="0068666F">
        <w:rPr>
          <w:rFonts w:ascii="Times New Roman" w:eastAsia="Times New Roman" w:hAnsi="Times New Roman" w:cs="Times New Roman"/>
          <w:kern w:val="0"/>
          <w:sz w:val="28"/>
          <w:szCs w:val="28"/>
          <w:lang w:eastAsia="pl-PL"/>
          <w14:ligatures w14:val="none"/>
        </w:rPr>
        <w:t xml:space="preserve">Timparano, i in., 2022) wiedzą ubezpieczeniową (Dragos, i in., 2023; Santeramo, 2018; </w:t>
      </w:r>
      <w:r w:rsidRPr="0068666F">
        <w:rPr>
          <w:rFonts w:ascii="Times New Roman" w:eastAsia="CIDFont+F4" w:hAnsi="Times New Roman" w:cs="Times New Roman"/>
          <w:kern w:val="0"/>
          <w:sz w:val="28"/>
          <w:szCs w:val="22"/>
          <w:lang w:eastAsia="pl-PL"/>
          <w14:ligatures w14:val="none"/>
        </w:rPr>
        <w:t xml:space="preserve">Codrta, i in., 2022), </w:t>
      </w:r>
      <w:r w:rsidRPr="0068666F">
        <w:rPr>
          <w:rFonts w:ascii="Times New Roman" w:eastAsia="Times New Roman" w:hAnsi="Times New Roman" w:cs="Times New Roman"/>
          <w:kern w:val="0"/>
          <w:sz w:val="28"/>
          <w:szCs w:val="28"/>
          <w:lang w:eastAsia="pl-PL"/>
          <w14:ligatures w14:val="none"/>
        </w:rPr>
        <w:t xml:space="preserve">percepcją ubezpieczeń (Dragos, i in., 2023; Timparano, i in., 2022; Santeramo, 2018; Malorgio, i in., 2021; Gassler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Rehermann, 2022; Koenig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Brunette, 2023;  </w:t>
      </w:r>
      <w:r w:rsidRPr="0068666F">
        <w:rPr>
          <w:rFonts w:ascii="Times New Roman" w:eastAsia="CIDFont+F4" w:hAnsi="Times New Roman" w:cs="Times New Roman"/>
          <w:kern w:val="0"/>
          <w:sz w:val="28"/>
          <w:szCs w:val="22"/>
          <w:lang w:eastAsia="pl-PL"/>
          <w14:ligatures w14:val="none"/>
        </w:rPr>
        <w:t xml:space="preserve">Kislingerová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Špička, 2022; Codrta, i in., 2022; Rawa, 2023; Kurdyś-Kujawska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Soliwoda, 2021; Garrido i Zilberman, 2008) oraz  stosowaniem innych metod ograniczania ryzyka (</w:t>
      </w:r>
      <w:r w:rsidRPr="0068666F">
        <w:rPr>
          <w:rFonts w:ascii="Times New Roman" w:eastAsia="Times New Roman" w:hAnsi="Times New Roman" w:cs="Times New Roman"/>
          <w:kern w:val="0"/>
          <w:sz w:val="28"/>
          <w:szCs w:val="28"/>
          <w:lang w:eastAsia="pl-PL"/>
          <w14:ligatures w14:val="none"/>
        </w:rPr>
        <w:t xml:space="preserve">Doherty, i in., 2021; Santeramo, 2018; Koenig </w:t>
      </w:r>
      <w:r w:rsidR="00CA5DB3">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Brunette, 2023;</w:t>
      </w:r>
      <w:r w:rsidRPr="0068666F">
        <w:rPr>
          <w:rFonts w:ascii="Times New Roman" w:eastAsia="CIDFont+F4" w:hAnsi="Times New Roman" w:cs="Times New Roman"/>
          <w:kern w:val="0"/>
          <w:sz w:val="28"/>
          <w:szCs w:val="22"/>
          <w:lang w:eastAsia="pl-PL"/>
          <w14:ligatures w14:val="none"/>
        </w:rPr>
        <w:t xml:space="preserve"> Kislingerová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Špička, 2022; Juan, i in., 2019; Stojanović, i in. 2019; Kurdyś-Kujawska </w:t>
      </w:r>
      <w:r w:rsidR="00CA5DB3">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Soliwoda, 2021; Bezat-Jarzębowska </w:t>
      </w:r>
      <w:r w:rsidR="008F2C4F">
        <w:rPr>
          <w:rFonts w:ascii="Times New Roman" w:eastAsia="CIDFont+F4" w:hAnsi="Times New Roman" w:cs="Times New Roman"/>
          <w:kern w:val="0"/>
          <w:sz w:val="28"/>
          <w:szCs w:val="22"/>
          <w:lang w:eastAsia="pl-PL"/>
          <w14:ligatures w14:val="none"/>
        </w:rPr>
        <w:t>i</w:t>
      </w:r>
      <w:r w:rsidRPr="0068666F">
        <w:rPr>
          <w:rFonts w:ascii="Times New Roman" w:eastAsia="CIDFont+F4" w:hAnsi="Times New Roman" w:cs="Times New Roman"/>
          <w:kern w:val="0"/>
          <w:sz w:val="28"/>
          <w:szCs w:val="22"/>
          <w:lang w:eastAsia="pl-PL"/>
          <w14:ligatures w14:val="none"/>
        </w:rPr>
        <w:t xml:space="preserve"> Herda-Kopańska, 2021), jak również czynniki klimatyczne (</w:t>
      </w:r>
      <w:r w:rsidRPr="0068666F">
        <w:rPr>
          <w:rFonts w:ascii="Times New Roman" w:eastAsia="Times New Roman" w:hAnsi="Times New Roman" w:cs="Times New Roman"/>
          <w:kern w:val="0"/>
          <w:sz w:val="28"/>
          <w:szCs w:val="28"/>
          <w:lang w:eastAsia="pl-PL"/>
          <w14:ligatures w14:val="none"/>
        </w:rPr>
        <w:t xml:space="preserve">Lefebver, i in., 2014; Koenig </w:t>
      </w:r>
      <w:r w:rsidR="008F2C4F">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Brunette, 2023; Enjolras </w:t>
      </w:r>
      <w:r w:rsidR="008F2C4F">
        <w:rPr>
          <w:rFonts w:ascii="Times New Roman" w:eastAsia="Times New Roman" w:hAnsi="Times New Roman" w:cs="Times New Roman"/>
          <w:kern w:val="0"/>
          <w:sz w:val="28"/>
          <w:szCs w:val="28"/>
          <w:lang w:eastAsia="pl-PL"/>
          <w14:ligatures w14:val="none"/>
        </w:rPr>
        <w:t>i</w:t>
      </w:r>
      <w:r w:rsidRPr="0068666F">
        <w:rPr>
          <w:rFonts w:ascii="Times New Roman" w:eastAsia="Times New Roman" w:hAnsi="Times New Roman" w:cs="Times New Roman"/>
          <w:kern w:val="0"/>
          <w:sz w:val="28"/>
          <w:szCs w:val="28"/>
          <w:lang w:eastAsia="pl-PL"/>
          <w14:ligatures w14:val="none"/>
        </w:rPr>
        <w:t xml:space="preserve"> Sentis, 2008).</w:t>
      </w:r>
    </w:p>
    <w:p w14:paraId="57D7BCE4" w14:textId="20E0CC01" w:rsidR="0068666F" w:rsidRPr="0068666F" w:rsidRDefault="0068666F" w:rsidP="0068666F">
      <w:pPr>
        <w:spacing w:after="0" w:line="264" w:lineRule="auto"/>
        <w:ind w:firstLine="709"/>
        <w:jc w:val="both"/>
        <w:rPr>
          <w:rFonts w:ascii="Times New Roman" w:eastAsia="Times New Roman" w:hAnsi="Times New Roman" w:cs="Times New Roman"/>
          <w:kern w:val="0"/>
          <w:sz w:val="28"/>
          <w:szCs w:val="28"/>
          <w:lang w:val="en-US" w:eastAsia="pl-PL"/>
          <w14:ligatures w14:val="none"/>
        </w:rPr>
      </w:pPr>
      <w:r w:rsidRPr="0068666F">
        <w:rPr>
          <w:rFonts w:ascii="Times New Roman" w:eastAsia="Times New Roman" w:hAnsi="Times New Roman" w:cs="Times New Roman"/>
          <w:kern w:val="0"/>
          <w:sz w:val="28"/>
          <w:lang w:eastAsia="pl-PL"/>
          <w14:ligatures w14:val="none"/>
        </w:rPr>
        <w:t xml:space="preserve">W </w:t>
      </w:r>
      <w:r w:rsidRPr="0068666F">
        <w:rPr>
          <w:rFonts w:ascii="Times New Roman" w:eastAsia="Times New Roman" w:hAnsi="Times New Roman" w:cs="Times New Roman"/>
          <w:kern w:val="0"/>
          <w:sz w:val="28"/>
          <w:szCs w:val="28"/>
          <w:lang w:eastAsia="pl-PL"/>
          <w14:ligatures w14:val="none"/>
        </w:rPr>
        <w:t>analizach tych wykorzystywano różne metody i modele ekonometryczne, w tym między innymi: modele regresji logitowej (</w:t>
      </w:r>
      <w:r w:rsidRPr="0068666F">
        <w:rPr>
          <w:rFonts w:ascii="Times New Roman" w:eastAsia="CIDFont+F4" w:hAnsi="Times New Roman" w:cs="Times New Roman"/>
          <w:kern w:val="0"/>
          <w:sz w:val="28"/>
          <w:szCs w:val="28"/>
          <w:lang w:eastAsia="pl-PL"/>
          <w14:ligatures w14:val="none"/>
        </w:rPr>
        <w:t xml:space="preserve">Doherty i in., 2021, Enjolras </w:t>
      </w:r>
      <w:r w:rsidR="008F2C4F">
        <w:rPr>
          <w:rFonts w:ascii="Times New Roman" w:eastAsia="CIDFont+F4" w:hAnsi="Times New Roman" w:cs="Times New Roman"/>
          <w:kern w:val="0"/>
          <w:sz w:val="28"/>
          <w:szCs w:val="28"/>
          <w:lang w:eastAsia="pl-PL"/>
          <w14:ligatures w14:val="none"/>
        </w:rPr>
        <w:t>i</w:t>
      </w:r>
      <w:r w:rsidRPr="0068666F">
        <w:rPr>
          <w:rFonts w:ascii="Times New Roman" w:eastAsia="CIDFont+F4" w:hAnsi="Times New Roman" w:cs="Times New Roman"/>
          <w:kern w:val="0"/>
          <w:sz w:val="28"/>
          <w:szCs w:val="28"/>
          <w:lang w:eastAsia="pl-PL"/>
          <w14:ligatures w14:val="none"/>
        </w:rPr>
        <w:t xml:space="preserve"> Sentis, 2008; Codrta i in., 2022; Stojanović i in., 2019; Wąs </w:t>
      </w:r>
      <w:r w:rsidR="008F2C4F">
        <w:rPr>
          <w:rFonts w:ascii="Times New Roman" w:eastAsia="CIDFont+F4" w:hAnsi="Times New Roman" w:cs="Times New Roman"/>
          <w:kern w:val="0"/>
          <w:sz w:val="28"/>
          <w:szCs w:val="28"/>
          <w:lang w:eastAsia="pl-PL"/>
          <w14:ligatures w14:val="none"/>
        </w:rPr>
        <w:t>i</w:t>
      </w:r>
      <w:r w:rsidRPr="0068666F">
        <w:rPr>
          <w:rFonts w:ascii="Times New Roman" w:eastAsia="CIDFont+F4" w:hAnsi="Times New Roman" w:cs="Times New Roman"/>
          <w:kern w:val="0"/>
          <w:sz w:val="28"/>
          <w:szCs w:val="28"/>
          <w:lang w:eastAsia="pl-PL"/>
          <w14:ligatures w14:val="none"/>
        </w:rPr>
        <w:t xml:space="preserve"> Kobus, 2018; Kurdyś-Kujawska </w:t>
      </w:r>
      <w:r w:rsidR="008F2C4F">
        <w:rPr>
          <w:rFonts w:ascii="Times New Roman" w:eastAsia="CIDFont+F4" w:hAnsi="Times New Roman" w:cs="Times New Roman"/>
          <w:kern w:val="0"/>
          <w:sz w:val="28"/>
          <w:szCs w:val="28"/>
          <w:lang w:eastAsia="pl-PL"/>
          <w14:ligatures w14:val="none"/>
        </w:rPr>
        <w:t>i</w:t>
      </w:r>
      <w:r w:rsidRPr="0068666F">
        <w:rPr>
          <w:rFonts w:ascii="Times New Roman" w:eastAsia="CIDFont+F4" w:hAnsi="Times New Roman" w:cs="Times New Roman"/>
          <w:kern w:val="0"/>
          <w:sz w:val="28"/>
          <w:szCs w:val="28"/>
          <w:lang w:eastAsia="pl-PL"/>
          <w14:ligatures w14:val="none"/>
        </w:rPr>
        <w:t xml:space="preserve"> Soliwoda, 2021; Sihem, 2019; </w:t>
      </w:r>
      <w:r w:rsidRPr="0068666F">
        <w:rPr>
          <w:rFonts w:ascii="Times New Roman" w:eastAsia="Times New Roman" w:hAnsi="Times New Roman" w:cs="Times New Roman"/>
          <w:bCs/>
          <w:kern w:val="0"/>
          <w:sz w:val="28"/>
          <w:szCs w:val="28"/>
          <w:lang w:eastAsia="pl-PL"/>
          <w14:ligatures w14:val="none"/>
        </w:rPr>
        <w:t xml:space="preserve">Namiotko i in., 2022; Bezat-Jarzębowska </w:t>
      </w:r>
      <w:r w:rsidR="008F2C4F">
        <w:rPr>
          <w:rFonts w:ascii="Times New Roman" w:eastAsia="Times New Roman" w:hAnsi="Times New Roman" w:cs="Times New Roman"/>
          <w:bCs/>
          <w:kern w:val="0"/>
          <w:sz w:val="28"/>
          <w:szCs w:val="28"/>
          <w:lang w:eastAsia="pl-PL"/>
          <w14:ligatures w14:val="none"/>
        </w:rPr>
        <w:t>i</w:t>
      </w:r>
      <w:r w:rsidRPr="0068666F">
        <w:rPr>
          <w:rFonts w:ascii="Times New Roman" w:eastAsia="Times New Roman" w:hAnsi="Times New Roman" w:cs="Times New Roman"/>
          <w:bCs/>
          <w:kern w:val="0"/>
          <w:sz w:val="28"/>
          <w:szCs w:val="28"/>
          <w:lang w:eastAsia="pl-PL"/>
          <w14:ligatures w14:val="none"/>
        </w:rPr>
        <w:t xml:space="preserve"> Herda-Kopańska, 2021; Ifft i in., 2015; Bao i in., 2022; Silaban </w:t>
      </w:r>
      <w:r w:rsidR="008F2C4F">
        <w:rPr>
          <w:rFonts w:ascii="Times New Roman" w:eastAsia="Times New Roman" w:hAnsi="Times New Roman" w:cs="Times New Roman"/>
          <w:bCs/>
          <w:kern w:val="0"/>
          <w:sz w:val="28"/>
          <w:szCs w:val="28"/>
          <w:lang w:eastAsia="pl-PL"/>
          <w14:ligatures w14:val="none"/>
        </w:rPr>
        <w:t>i</w:t>
      </w:r>
      <w:r w:rsidRPr="0068666F">
        <w:rPr>
          <w:rFonts w:ascii="Times New Roman" w:eastAsia="Times New Roman" w:hAnsi="Times New Roman" w:cs="Times New Roman"/>
          <w:bCs/>
          <w:kern w:val="0"/>
          <w:sz w:val="28"/>
          <w:szCs w:val="28"/>
          <w:lang w:eastAsia="pl-PL"/>
          <w14:ligatures w14:val="none"/>
        </w:rPr>
        <w:t xml:space="preserve"> Harmini, 2022; Yanuarti i in., 2019; Juan i in., 2019; </w:t>
      </w:r>
      <w:r w:rsidRPr="0068666F">
        <w:rPr>
          <w:rFonts w:ascii="Times New Roman" w:eastAsia="CIDFont+F4" w:hAnsi="Times New Roman" w:cs="Times New Roman"/>
          <w:kern w:val="0"/>
          <w:sz w:val="28"/>
          <w:szCs w:val="28"/>
          <w:lang w:eastAsia="pl-PL"/>
          <w14:ligatures w14:val="none"/>
        </w:rPr>
        <w:t xml:space="preserve">Kislingerová </w:t>
      </w:r>
      <w:r w:rsidR="008F2C4F">
        <w:rPr>
          <w:rFonts w:ascii="Times New Roman" w:eastAsia="CIDFont+F4" w:hAnsi="Times New Roman" w:cs="Times New Roman"/>
          <w:kern w:val="0"/>
          <w:sz w:val="28"/>
          <w:szCs w:val="28"/>
          <w:lang w:eastAsia="pl-PL"/>
          <w14:ligatures w14:val="none"/>
        </w:rPr>
        <w:t>i</w:t>
      </w:r>
      <w:r w:rsidRPr="0068666F">
        <w:rPr>
          <w:rFonts w:ascii="Times New Roman" w:eastAsia="CIDFont+F4" w:hAnsi="Times New Roman" w:cs="Times New Roman"/>
          <w:kern w:val="0"/>
          <w:sz w:val="28"/>
          <w:szCs w:val="28"/>
          <w:lang w:eastAsia="pl-PL"/>
          <w14:ligatures w14:val="none"/>
        </w:rPr>
        <w:t xml:space="preserve"> Špička, 2022</w:t>
      </w:r>
      <w:r w:rsidRPr="0068666F">
        <w:rPr>
          <w:rFonts w:ascii="Times New Roman" w:eastAsia="Times New Roman" w:hAnsi="Times New Roman" w:cs="Times New Roman"/>
          <w:bCs/>
          <w:kern w:val="0"/>
          <w:sz w:val="28"/>
          <w:szCs w:val="28"/>
          <w:lang w:eastAsia="pl-PL"/>
          <w14:ligatures w14:val="none"/>
        </w:rPr>
        <w:t>), modele probitowe (</w:t>
      </w:r>
      <w:r w:rsidRPr="0068666F">
        <w:rPr>
          <w:rFonts w:ascii="Times New Roman" w:eastAsia="CIDFont+F4" w:hAnsi="Times New Roman" w:cs="Times New Roman"/>
          <w:kern w:val="0"/>
          <w:sz w:val="28"/>
          <w:szCs w:val="28"/>
          <w:lang w:eastAsia="pl-PL"/>
          <w14:ligatures w14:val="none"/>
        </w:rPr>
        <w:t xml:space="preserve">Santeramo, 2018; Lefebvre i in., 2014; Koenig </w:t>
      </w:r>
      <w:r w:rsidR="008F2C4F">
        <w:rPr>
          <w:rFonts w:ascii="Times New Roman" w:eastAsia="CIDFont+F4" w:hAnsi="Times New Roman" w:cs="Times New Roman"/>
          <w:kern w:val="0"/>
          <w:sz w:val="28"/>
          <w:szCs w:val="28"/>
          <w:lang w:eastAsia="pl-PL"/>
          <w14:ligatures w14:val="none"/>
        </w:rPr>
        <w:t>i</w:t>
      </w:r>
      <w:r w:rsidRPr="0068666F">
        <w:rPr>
          <w:rFonts w:ascii="Times New Roman" w:eastAsia="CIDFont+F4" w:hAnsi="Times New Roman" w:cs="Times New Roman"/>
          <w:kern w:val="0"/>
          <w:sz w:val="28"/>
          <w:szCs w:val="28"/>
          <w:lang w:eastAsia="pl-PL"/>
          <w14:ligatures w14:val="none"/>
        </w:rPr>
        <w:t xml:space="preserve"> Brunette, 2023; Garrido </w:t>
      </w:r>
      <w:r w:rsidR="008F2C4F">
        <w:rPr>
          <w:rFonts w:ascii="Times New Roman" w:eastAsia="CIDFont+F4" w:hAnsi="Times New Roman" w:cs="Times New Roman"/>
          <w:kern w:val="0"/>
          <w:sz w:val="28"/>
          <w:szCs w:val="28"/>
          <w:lang w:eastAsia="pl-PL"/>
          <w14:ligatures w14:val="none"/>
        </w:rPr>
        <w:t>i</w:t>
      </w:r>
      <w:r w:rsidRPr="0068666F">
        <w:rPr>
          <w:rFonts w:ascii="Times New Roman" w:eastAsia="CIDFont+F4" w:hAnsi="Times New Roman" w:cs="Times New Roman"/>
          <w:kern w:val="0"/>
          <w:sz w:val="28"/>
          <w:szCs w:val="28"/>
          <w:lang w:eastAsia="pl-PL"/>
          <w14:ligatures w14:val="none"/>
        </w:rPr>
        <w:t xml:space="preserve">  Zilberman, 2008; </w:t>
      </w:r>
      <w:r w:rsidRPr="0068666F">
        <w:rPr>
          <w:rFonts w:ascii="Times New Roman" w:eastAsia="Times New Roman" w:hAnsi="Times New Roman" w:cs="Times New Roman"/>
          <w:kern w:val="0"/>
          <w:sz w:val="28"/>
          <w:szCs w:val="28"/>
          <w:lang w:eastAsia="pl-PL"/>
          <w14:ligatures w14:val="none"/>
        </w:rPr>
        <w:t xml:space="preserve">Aditya i in., 2018; </w:t>
      </w:r>
      <w:r w:rsidRPr="0068666F">
        <w:rPr>
          <w:rFonts w:ascii="Times New Roman" w:eastAsia="Times New Roman" w:hAnsi="Times New Roman" w:cs="Times New Roman"/>
          <w:bCs/>
          <w:kern w:val="0"/>
          <w:sz w:val="28"/>
          <w:szCs w:val="28"/>
          <w:lang w:eastAsia="pl-PL"/>
          <w14:ligatures w14:val="none"/>
        </w:rPr>
        <w:t xml:space="preserve">Shaibu i in., 2016), </w:t>
      </w:r>
      <w:r w:rsidRPr="0068666F">
        <w:rPr>
          <w:rFonts w:ascii="Times New Roman" w:eastAsia="Times New Roman" w:hAnsi="Times New Roman" w:cs="Times New Roman"/>
          <w:bCs/>
          <w:kern w:val="0"/>
          <w:sz w:val="28"/>
          <w:szCs w:val="28"/>
          <w:lang w:eastAsia="pl-PL"/>
          <w14:ligatures w14:val="none"/>
        </w:rPr>
        <w:lastRenderedPageBreak/>
        <w:t>modele regresji hierarchicznej (</w:t>
      </w:r>
      <w:r w:rsidRPr="0068666F">
        <w:rPr>
          <w:rFonts w:ascii="Times New Roman" w:eastAsia="CIDFont+F4" w:hAnsi="Times New Roman" w:cs="Times New Roman"/>
          <w:kern w:val="0"/>
          <w:sz w:val="28"/>
          <w:szCs w:val="28"/>
          <w:lang w:eastAsia="pl-PL"/>
          <w14:ligatures w14:val="none"/>
        </w:rPr>
        <w:t xml:space="preserve">Timparano i in., 2022), </w:t>
      </w:r>
      <w:r w:rsidRPr="0068666F">
        <w:rPr>
          <w:rFonts w:ascii="Times New Roman" w:eastAsia="Times New Roman" w:hAnsi="Times New Roman" w:cs="Times New Roman"/>
          <w:iCs/>
          <w:kern w:val="0"/>
          <w:sz w:val="28"/>
          <w:szCs w:val="28"/>
          <w:lang w:eastAsia="pl-PL"/>
          <w14:ligatures w14:val="none"/>
        </w:rPr>
        <w:t>model równań strukturalnych (Rawa, 2023),</w:t>
      </w:r>
      <w:r w:rsidRPr="0068666F">
        <w:rPr>
          <w:rFonts w:ascii="Times New Roman" w:eastAsia="Times New Roman" w:hAnsi="Times New Roman" w:cs="Times New Roman"/>
          <w:bCs/>
          <w:kern w:val="0"/>
          <w:sz w:val="28"/>
          <w:szCs w:val="28"/>
          <w:lang w:eastAsia="pl-PL"/>
          <w14:ligatures w14:val="none"/>
        </w:rPr>
        <w:t xml:space="preserve"> dynamiczny model panelowy, modele duration - model trwania, model nieparametryczny, krzywą przeżycia Kaplana-Meiera, model półparametryczny i model proporcjonalnego zagrożenia Coxa (Youngiune i in.</w:t>
      </w:r>
      <w:r w:rsidRPr="0068666F">
        <w:rPr>
          <w:rFonts w:ascii="Times New Roman" w:eastAsia="CIDFont+F4" w:hAnsi="Times New Roman" w:cs="Times New Roman"/>
          <w:kern w:val="0"/>
          <w:sz w:val="28"/>
          <w:szCs w:val="28"/>
          <w:lang w:eastAsia="pl-PL"/>
          <w14:ligatures w14:val="none"/>
        </w:rPr>
        <w:t xml:space="preserve">, 2018). Ponadto Codrta i in. (2022) do określenia czynników determinujących zakup ubezpieczenia przez rolników zastosowali modele uczenia maszynowego. Wśród metod służących do oszacowania zmiennych wpływających na decyzje ubezpieczeniowe rolników stosowane były również metody takie, jak: </w:t>
      </w:r>
      <w:r w:rsidRPr="0068666F">
        <w:rPr>
          <w:rFonts w:ascii="Times New Roman" w:eastAsia="Times New Roman" w:hAnsi="Times New Roman" w:cs="Times New Roman"/>
          <w:bCs/>
          <w:kern w:val="0"/>
          <w:sz w:val="28"/>
          <w:szCs w:val="28"/>
          <w:lang w:eastAsia="pl-PL"/>
          <w14:ligatures w14:val="none"/>
        </w:rPr>
        <w:t>metoda najmniejszych kwadratów (OLS) (</w:t>
      </w:r>
      <w:r w:rsidRPr="0068666F">
        <w:rPr>
          <w:rFonts w:ascii="Times New Roman" w:eastAsia="CIDFont+F4" w:hAnsi="Times New Roman" w:cs="Times New Roman"/>
          <w:kern w:val="0"/>
          <w:sz w:val="28"/>
          <w:szCs w:val="28"/>
          <w:lang w:eastAsia="pl-PL"/>
          <w14:ligatures w14:val="none"/>
        </w:rPr>
        <w:t xml:space="preserve">Santeramo i in., 2024), metoda </w:t>
      </w:r>
      <w:r w:rsidRPr="0068666F">
        <w:rPr>
          <w:rFonts w:ascii="Times New Roman" w:eastAsia="Times New Roman" w:hAnsi="Times New Roman" w:cs="Times New Roman"/>
          <w:kern w:val="0"/>
          <w:sz w:val="28"/>
          <w:szCs w:val="28"/>
          <w:lang w:eastAsia="pl-PL"/>
          <w14:ligatures w14:val="none"/>
        </w:rPr>
        <w:t>estymacji momentów (GMM) (</w:t>
      </w:r>
      <w:r w:rsidRPr="0068666F">
        <w:rPr>
          <w:rFonts w:ascii="Times New Roman" w:eastAsia="CIDFont+F4" w:hAnsi="Times New Roman" w:cs="Times New Roman"/>
          <w:kern w:val="0"/>
          <w:sz w:val="28"/>
          <w:szCs w:val="28"/>
          <w:lang w:eastAsia="pl-PL"/>
          <w14:ligatures w14:val="none"/>
        </w:rPr>
        <w:t xml:space="preserve">Fusco i in., 2021) oraz metoda </w:t>
      </w:r>
      <w:r w:rsidRPr="0068666F">
        <w:rPr>
          <w:rFonts w:ascii="Times New Roman" w:eastAsia="Times New Roman" w:hAnsi="Times New Roman" w:cs="Times New Roman"/>
          <w:bCs/>
          <w:kern w:val="0"/>
          <w:sz w:val="28"/>
          <w:szCs w:val="28"/>
          <w:lang w:eastAsia="pl-PL"/>
          <w14:ligatures w14:val="none"/>
        </w:rPr>
        <w:t>eksperymentu wyboru dyskretnego (DCE) (</w:t>
      </w:r>
      <w:r w:rsidRPr="0068666F">
        <w:rPr>
          <w:rFonts w:ascii="Times New Roman" w:eastAsia="CIDFont+F4" w:hAnsi="Times New Roman" w:cs="Times New Roman"/>
          <w:kern w:val="0"/>
          <w:sz w:val="28"/>
          <w:szCs w:val="28"/>
          <w:lang w:eastAsia="pl-PL"/>
          <w14:ligatures w14:val="none"/>
        </w:rPr>
        <w:t xml:space="preserve">Gassler i Rehermann, 2022). Dodatkowo empiryczną ocenę wpływu ubezpieczeń na decyzje produkcyjne i inwestycyjne, a także na dochody i wyniki ekonomiczne gospodarstw rolnych z wykorzystaniem metody PSM </w:t>
      </w:r>
      <w:r w:rsidR="003A5072" w:rsidRPr="0068666F">
        <w:rPr>
          <w:rFonts w:ascii="Times New Roman" w:eastAsia="CIDFont+F4" w:hAnsi="Times New Roman" w:cs="Times New Roman"/>
          <w:kern w:val="0"/>
          <w:sz w:val="28"/>
          <w:szCs w:val="28"/>
          <w:lang w:eastAsia="pl-PL"/>
          <w14:ligatures w14:val="none"/>
        </w:rPr>
        <w:t>zaprezentowano</w:t>
      </w:r>
      <w:r w:rsidRPr="0068666F">
        <w:rPr>
          <w:rFonts w:ascii="Times New Roman" w:eastAsia="CIDFont+F4" w:hAnsi="Times New Roman" w:cs="Times New Roman"/>
          <w:kern w:val="0"/>
          <w:sz w:val="28"/>
          <w:szCs w:val="28"/>
          <w:lang w:eastAsia="pl-PL"/>
          <w14:ligatures w14:val="none"/>
        </w:rPr>
        <w:t xml:space="preserve"> w badaniach </w:t>
      </w:r>
      <w:r w:rsidRPr="0068666F">
        <w:rPr>
          <w:rFonts w:ascii="Times New Roman" w:eastAsia="Times New Roman" w:hAnsi="Times New Roman" w:cs="Times New Roman"/>
          <w:bCs/>
          <w:kern w:val="0"/>
          <w:sz w:val="28"/>
          <w:szCs w:val="28"/>
          <w:lang w:eastAsia="pl-PL"/>
          <w14:ligatures w14:val="none"/>
        </w:rPr>
        <w:t xml:space="preserve">Namiotko i in. (2022), Bezat-Jarzębowska i Herda-Kopańska (2021), Youngiune i in. (2018), Ifft i in. </w:t>
      </w:r>
      <w:r w:rsidRPr="0068666F">
        <w:rPr>
          <w:rFonts w:ascii="Times New Roman" w:eastAsia="Times New Roman" w:hAnsi="Times New Roman" w:cs="Times New Roman"/>
          <w:bCs/>
          <w:kern w:val="0"/>
          <w:sz w:val="28"/>
          <w:szCs w:val="28"/>
          <w:lang w:val="en-US" w:eastAsia="pl-PL"/>
          <w14:ligatures w14:val="none"/>
        </w:rPr>
        <w:t xml:space="preserve">(2015), Bao i in. (2022), </w:t>
      </w:r>
      <w:r w:rsidRPr="0068666F">
        <w:rPr>
          <w:rFonts w:ascii="Times New Roman" w:eastAsia="Times New Roman" w:hAnsi="Times New Roman" w:cs="Times New Roman"/>
          <w:kern w:val="0"/>
          <w:sz w:val="28"/>
          <w:szCs w:val="28"/>
          <w:lang w:val="en-US" w:eastAsia="pl-PL"/>
          <w14:ligatures w14:val="none"/>
        </w:rPr>
        <w:t xml:space="preserve">Aditya i in. (2018), </w:t>
      </w:r>
      <w:r w:rsidRPr="0068666F">
        <w:rPr>
          <w:rFonts w:ascii="Times New Roman" w:eastAsia="Times New Roman" w:hAnsi="Times New Roman" w:cs="Times New Roman"/>
          <w:bCs/>
          <w:kern w:val="0"/>
          <w:sz w:val="28"/>
          <w:szCs w:val="28"/>
          <w:lang w:val="en-US" w:eastAsia="pl-PL"/>
          <w14:ligatures w14:val="none"/>
        </w:rPr>
        <w:t>Silaban i Harmini (2022), Yanuarti i in. (2019), Shaibu i in. (2016), Juan i in. (2019), Kumar i in. (2021) i  Enjolras i Aubert (2020).</w:t>
      </w:r>
    </w:p>
    <w:p w14:paraId="0A766247" w14:textId="7415CB71" w:rsidR="0068666F" w:rsidRPr="0068666F" w:rsidRDefault="0068666F" w:rsidP="0068666F">
      <w:pPr>
        <w:spacing w:after="0" w:line="264" w:lineRule="auto"/>
        <w:ind w:firstLine="709"/>
        <w:jc w:val="both"/>
        <w:rPr>
          <w:rFonts w:ascii="Times New Roman" w:eastAsia="Times New Roman" w:hAnsi="Times New Roman" w:cs="Times New Roman"/>
          <w:kern w:val="0"/>
          <w:sz w:val="28"/>
          <w:szCs w:val="28"/>
          <w:lang w:eastAsia="pl-PL"/>
          <w14:ligatures w14:val="none"/>
        </w:rPr>
      </w:pPr>
      <w:r w:rsidRPr="0068666F">
        <w:rPr>
          <w:rFonts w:ascii="Times New Roman" w:eastAsia="Times New Roman" w:hAnsi="Times New Roman" w:cs="Times New Roman"/>
          <w:kern w:val="0"/>
          <w:sz w:val="28"/>
          <w:szCs w:val="28"/>
          <w:lang w:eastAsia="pl-PL"/>
          <w14:ligatures w14:val="none"/>
        </w:rPr>
        <w:t xml:space="preserve">Dowiedziono, że istnieje szereg czynników ekonomicznych i pozaekonomicznych, które mają wpływ na decyzje rolników w zakresie zakupu ubezpieczeń. Większość badań koncentruje się na rynkach krajowych lub regionalnych. Czynniki, które determinują posiadanie ubezpieczenia w gospodarstwie rolnym są zbliżone, przy czym należy zauważyć, że poszczególne badania ujawniają znaczące różnice w ich wpływie na decyzje zakupowe rolników w zależności od regionu geograficznego (kraju). </w:t>
      </w:r>
    </w:p>
    <w:p w14:paraId="7AA50366" w14:textId="77777777" w:rsidR="0068666F" w:rsidRPr="0068666F" w:rsidRDefault="0068666F" w:rsidP="0068666F">
      <w:pPr>
        <w:spacing w:after="0" w:line="264" w:lineRule="auto"/>
        <w:ind w:firstLine="709"/>
        <w:jc w:val="both"/>
        <w:rPr>
          <w:rFonts w:ascii="Times New Roman" w:eastAsia="Times New Roman" w:hAnsi="Times New Roman" w:cs="Times New Roman"/>
          <w:kern w:val="0"/>
          <w:sz w:val="28"/>
          <w:szCs w:val="28"/>
          <w:lang w:eastAsia="pl-PL"/>
          <w14:ligatures w14:val="none"/>
        </w:rPr>
      </w:pPr>
    </w:p>
    <w:p w14:paraId="7BCF48B4" w14:textId="36366F3D"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8"/>
          <w:lang w:eastAsia="pl-PL"/>
          <w14:ligatures w14:val="none"/>
        </w:rPr>
      </w:pPr>
      <w:r w:rsidRPr="0068666F">
        <w:rPr>
          <w:rFonts w:ascii="Times New Roman" w:eastAsia="Times New Roman" w:hAnsi="Times New Roman" w:cs="Times New Roman"/>
          <w:kern w:val="0"/>
          <w:sz w:val="28"/>
          <w:szCs w:val="28"/>
          <w:lang w:eastAsia="pl-PL"/>
          <w14:ligatures w14:val="none"/>
        </w:rPr>
        <w:t>Dragos i in. (2023), korzystając z próby 721 rolników wybranych losowo z 8 regionów (NUTS2) Rumunii zarejestrowanych w bazie danych AFIR (Rumuńska Agencja Finansowania Inwestycji Wiejskich), którzy podpisali co najmniej jedną umowę finansowania ze środków UE po 2013 roku, stosując wielowymiarowy model logitowy (MNL) ocenili wpływ postrzegania ryzyka, podejmowania ryzyka i wiedzy specjalistycznej wraz z cechami gospodarstwa i zmiennymi postrzegania ubezpieczenia na decyzje rolników o zakupie lub niezakupie ubezpieczenia upraw, jak i wyboru między ubezpieczeniem standardowym a rozszerzonym. Wprowadzono wśród klasycznych czynników wpływu nowy czynnik determinujący popyt na ubezpieczenia upraw — wiedzę specjalistyczną. W modelu logitowym wielowymiarowym zdefiniowano zmienną zależną (</w:t>
      </w:r>
      <w:r w:rsidRPr="0068666F">
        <w:rPr>
          <w:rFonts w:ascii="Times New Roman" w:eastAsia="Times New Roman" w:hAnsi="Times New Roman" w:cs="Times New Roman"/>
          <w:i/>
          <w:kern w:val="0"/>
          <w:sz w:val="28"/>
          <w:szCs w:val="28"/>
          <w:lang w:eastAsia="pl-PL"/>
          <w14:ligatures w14:val="none"/>
        </w:rPr>
        <w:t>Y</w:t>
      </w:r>
      <w:r w:rsidRPr="0068666F">
        <w:rPr>
          <w:rFonts w:ascii="Times New Roman" w:eastAsia="Times New Roman" w:hAnsi="Times New Roman" w:cs="Times New Roman"/>
          <w:kern w:val="0"/>
          <w:sz w:val="28"/>
          <w:szCs w:val="28"/>
          <w:lang w:eastAsia="pl-PL"/>
          <w14:ligatures w14:val="none"/>
        </w:rPr>
        <w:t xml:space="preserve">) z następującymi trzema wynikami: 1 – rolnik nie ma ubezpieczenia upraw; 2 – rolnik ma standardową polisę ubezpieczeniową;  3 – rolnik ma rozszerzoną polisę obejmującą inne ryzyka oprócz tych ujętych w standardowej polisie. Model rozróżnia </w:t>
      </w:r>
      <w:r w:rsidRPr="0068666F">
        <w:rPr>
          <w:rFonts w:ascii="Times New Roman" w:eastAsia="Times New Roman" w:hAnsi="Times New Roman" w:cs="Times New Roman"/>
          <w:kern w:val="0"/>
          <w:sz w:val="28"/>
          <w:szCs w:val="28"/>
          <w:lang w:eastAsia="pl-PL"/>
          <w14:ligatures w14:val="none"/>
        </w:rPr>
        <w:lastRenderedPageBreak/>
        <w:t xml:space="preserve">różne zachowania między trzema sytuacjami, wyjaśniając preferencję dla określonego rodzaju pokrycia ryzyka w ramach umowy ubezpieczeniowej. Umożliwiło to analizę </w:t>
      </w:r>
      <w:r w:rsidRPr="0068666F">
        <w:rPr>
          <w:rFonts w:ascii="Times New Roman" w:eastAsia="Times New Roman" w:hAnsi="Times New Roman" w:cs="Times New Roman"/>
          <w:bCs/>
          <w:kern w:val="0"/>
          <w:sz w:val="28"/>
          <w:szCs w:val="28"/>
          <w:lang w:eastAsia="pl-PL"/>
          <w14:ligatures w14:val="none"/>
        </w:rPr>
        <w:t>dwóch odrębnych decyzji</w:t>
      </w:r>
      <w:r w:rsidRPr="0068666F">
        <w:rPr>
          <w:rFonts w:ascii="Times New Roman" w:eastAsia="Times New Roman" w:hAnsi="Times New Roman" w:cs="Times New Roman"/>
          <w:kern w:val="0"/>
          <w:sz w:val="28"/>
          <w:szCs w:val="28"/>
          <w:lang w:eastAsia="pl-PL"/>
          <w14:ligatures w14:val="none"/>
        </w:rPr>
        <w:t xml:space="preserve">: </w:t>
      </w:r>
      <w:r w:rsidRPr="0068666F">
        <w:rPr>
          <w:rFonts w:ascii="Times New Roman" w:eastAsia="Times New Roman" w:hAnsi="Times New Roman" w:cs="Times New Roman"/>
          <w:bCs/>
          <w:kern w:val="0"/>
          <w:sz w:val="28"/>
          <w:szCs w:val="28"/>
          <w:lang w:eastAsia="pl-PL"/>
          <w14:ligatures w14:val="none"/>
        </w:rPr>
        <w:t xml:space="preserve">Decyzja o zakupie jakiegokolwiek ubezpieczenia - </w:t>
      </w:r>
      <w:r w:rsidRPr="0068666F">
        <w:rPr>
          <w:rFonts w:ascii="Times New Roman" w:eastAsia="Times New Roman" w:hAnsi="Times New Roman" w:cs="Times New Roman"/>
          <w:kern w:val="0"/>
          <w:sz w:val="28"/>
          <w:szCs w:val="28"/>
          <w:lang w:eastAsia="pl-PL"/>
          <w14:ligatures w14:val="none"/>
        </w:rPr>
        <w:t xml:space="preserve">porównuje prawdopodobieństwo zakupu standardowej polisy (wartość 2) z prawdopodobieństwem braku ubezpieczenia (wartość 1) oraz </w:t>
      </w:r>
      <w:r w:rsidRPr="0068666F">
        <w:rPr>
          <w:rFonts w:ascii="Times New Roman" w:eastAsia="Times New Roman" w:hAnsi="Times New Roman" w:cs="Times New Roman"/>
          <w:bCs/>
          <w:kern w:val="0"/>
          <w:sz w:val="28"/>
          <w:szCs w:val="28"/>
          <w:lang w:eastAsia="pl-PL"/>
          <w14:ligatures w14:val="none"/>
        </w:rPr>
        <w:t>wybór między standardową a rozszerzoną polisą -</w:t>
      </w:r>
      <w:r w:rsidRPr="0068666F">
        <w:rPr>
          <w:rFonts w:ascii="Times New Roman" w:eastAsia="Times New Roman" w:hAnsi="Times New Roman" w:cs="Times New Roman"/>
          <w:kern w:val="0"/>
          <w:sz w:val="28"/>
          <w:szCs w:val="28"/>
          <w:lang w:eastAsia="pl-PL"/>
          <w14:ligatures w14:val="none"/>
        </w:rPr>
        <w:t xml:space="preserve"> porównuje prawdopodobieństwo zakupu rozszerzonej polisy (wartość 3) z prawdopodobieństwem zakupu standardowej polisy (wartość 2). Zmienne niezależne (</w:t>
      </w:r>
      <w:r w:rsidRPr="0068666F">
        <w:rPr>
          <w:rFonts w:ascii="Times New Roman" w:eastAsia="Times New Roman" w:hAnsi="Times New Roman" w:cs="Times New Roman"/>
          <w:i/>
          <w:kern w:val="0"/>
          <w:sz w:val="28"/>
          <w:szCs w:val="28"/>
          <w:lang w:eastAsia="pl-PL"/>
          <w14:ligatures w14:val="none"/>
        </w:rPr>
        <w:t>x</w:t>
      </w:r>
      <w:r w:rsidRPr="0068666F">
        <w:rPr>
          <w:rFonts w:ascii="Times New Roman" w:eastAsia="Times New Roman" w:hAnsi="Times New Roman" w:cs="Times New Roman"/>
          <w:kern w:val="0"/>
          <w:sz w:val="28"/>
          <w:szCs w:val="28"/>
          <w:lang w:eastAsia="pl-PL"/>
          <w14:ligatures w14:val="none"/>
        </w:rPr>
        <w:t xml:space="preserve">) przyjęte do modelu podzielono na czynniki odnoszące się do: a) charakterystyki gospodarstwa (uprawa warzyw, uprawa owoców i winorośli, uprawy polowe, powierzchnia uprawna w gospodarstwie, poprzednie szkody w uprawach, roczny przychód gospodarstwa z upraw rolnych); b) percepcji ubezpieczeń (zaufanie do firm ubezpieczeniowych, doświadczenie z ubezpieczeniem, percepcja dotycząca wysokości składki ubezpieczeniowej do objętego ubezpieczeniem ryzyka); c) oceny ryzyka (subiektywna ocena rolnika dotycząca strachu przed utratą działalności gospodarstwa, postrzeganie ryzyka, gotowość do podejmowania ryzyka); d) wiedzy z zakresu ubezpieczeń rolnych; e) zmiennych finansowych (dochód miesięczny netto, udział dochodów z gospodarstwa rolnego w całkowitym dochodzie rolnika); f) zmiennych społeczno-demograficznych (płeć, stan cywilny, wiek, wykształcenie). Główne wyniki dostarczają dowodów, że zmienne, takie jak: ocena ryzyka, wiedza na temat ubezpieczeń upraw i postrzeganie ubezpieczeń są kluczowymi czynnikami wpływającymi na prawdopodobieństwo zakupu ubezpieczenia upraw na rumuńskim rynku ubezpieczeniowym. </w:t>
      </w:r>
      <w:r w:rsidRPr="0068666F">
        <w:rPr>
          <w:rFonts w:ascii="Times New Roman" w:eastAsia="Times New Roman" w:hAnsi="Times New Roman" w:cs="Times New Roman"/>
          <w:bCs/>
          <w:kern w:val="0"/>
          <w:sz w:val="28"/>
          <w:szCs w:val="28"/>
          <w:lang w:eastAsia="pl-PL"/>
          <w14:ligatures w14:val="none"/>
        </w:rPr>
        <w:t xml:space="preserve">Im wyższe postrzeganie ryzyka przez rolnika, tym większe prawdopodobieństwo zakupu polisy, szczególnie o rozszerzonym zakresie. Rolnicy bardziej skłonni do podejmowania ryzyka są mniej chętni do zakupu standardowej polisy, ale ten czynnik nie ma wpływu na wybór polisy o rozszerzonym zakresie. Obawa przed utratą gospodarstwa z powodu nieprzewidzianych zdarzeń wpływa pozytywnie na decyzję o zakupie standardowej polisy, ale nie ma znaczenia dla wyboru polisy rozszerzonej. Rolnicy, którzy w przeszłości doświadczyli strat w uprawach z powodu klęsk, są bardziej skłonni do zakupu dowolnej polisy. Rolnicy, którzy nie rozumieją mechanizmów ubezpieczeniowych lub nie znają korzyści z posiadania polisy, są mniej skłonni do jej zakupu. Wyższy poziom wykształcenia rolnika zwiększa prawdopodobieństwo zakupu polisy o rozszerzonym zakresie. Zaufanie do ubezpieczycieli ma pozytywny wpływ na decyzję o zakupie standardowej polisy, ale nie ma znaczenia dla wyboru polisy rozszerzonej. Postrzeganie składki jako zawyżonej w stosunku do objętych ryzykiem negatywnie wpływa na wybór polisy rozszerzonej. Ponadto rolnicy uprawiający warzywa są bardziej skłonni do zakupu ubezpieczenia upraw, ponieważ ten rodzaj upraw jest bardziej wrażliwy na warunki pogodowe i </w:t>
      </w:r>
      <w:r w:rsidRPr="0068666F">
        <w:rPr>
          <w:rFonts w:ascii="Times New Roman" w:eastAsia="Times New Roman" w:hAnsi="Times New Roman" w:cs="Times New Roman"/>
          <w:bCs/>
          <w:kern w:val="0"/>
          <w:sz w:val="28"/>
          <w:szCs w:val="28"/>
          <w:lang w:eastAsia="pl-PL"/>
          <w14:ligatures w14:val="none"/>
        </w:rPr>
        <w:lastRenderedPageBreak/>
        <w:t>narażony na straty. Większy areał upraw, co oznacza wyższe ryzyko, zwiększa prawdopodobieństwo zakupu standardowej polisy, a wyższe dochody z upraw motywują do zakupu polisy rozszerzonej. Płeć rolnika ma wpływ na decyzję o ubezpieczeniu - mężczyźni rzadziej decydują się na zakup ubezpieczenia. Z kolei wiek, stan cywilny i udział dochodów z gospodarstwa w całkowitych dochodach rolnika nie mają znaczącego wpływu na decyzję o ubezpieczeniu.</w:t>
      </w:r>
    </w:p>
    <w:p w14:paraId="5A251993" w14:textId="10A2190D"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8"/>
          <w:lang w:eastAsia="pl-PL"/>
          <w14:ligatures w14:val="none"/>
        </w:rPr>
      </w:pPr>
      <w:r w:rsidRPr="0068666F">
        <w:rPr>
          <w:rFonts w:ascii="Times New Roman" w:eastAsia="Times New Roman" w:hAnsi="Times New Roman" w:cs="Times New Roman"/>
          <w:kern w:val="0"/>
          <w:sz w:val="28"/>
          <w:szCs w:val="28"/>
          <w:lang w:eastAsia="pl-PL"/>
          <w14:ligatures w14:val="none"/>
        </w:rPr>
        <w:t xml:space="preserve">Doherty i in. (2021), badając preferencje irlandzkich rolników w zakresie ubezpieczeń od ekstremalnych zjawisk pogodowych, zastosowali metodę eksperymentu z wyborem dyskretnym (DCE), która pozwala na analizę wyborów rolników między różnymi hipotetycznymi opcjami ubezpieczenia od ekstremalnych zdarzeń pogodowych. Rolnicy dokonywali wyboru między różnymi wariantami ubezpieczeń, które różniły się: czasem trwania umowy ubezpieczeniowej, metodą szacowania szkód oraz kosztem rocznym. Dane zebrane w ramach DCE zostały przeanalizowane przy użyciu modelu logitowego warunkowego. Model ten pozwala na oszacowanie chęci do płacenia (WTP) za poszczególne atrybuty ubezpieczenia, czyli ile rolnicy są gotowi zapłacić za preferowane poziomy atrybutów. </w:t>
      </w:r>
      <w:r w:rsidRPr="0068666F">
        <w:rPr>
          <w:rFonts w:ascii="Times New Roman" w:eastAsia="Times New Roman" w:hAnsi="Times New Roman" w:cs="Times New Roman"/>
          <w:bCs/>
          <w:kern w:val="0"/>
          <w:sz w:val="28"/>
          <w:szCs w:val="28"/>
          <w:lang w:eastAsia="pl-PL"/>
          <w14:ligatures w14:val="none"/>
        </w:rPr>
        <w:t xml:space="preserve">Aby uwzględnić potencjalną heterogeniczność preferencji rolników, autorzy zastosowali mieszany model logitowy, szacowany w przestrzeni chęci płacenia (WTP). </w:t>
      </w:r>
      <w:r w:rsidRPr="0068666F">
        <w:rPr>
          <w:rFonts w:ascii="Times New Roman" w:eastAsia="Times New Roman" w:hAnsi="Times New Roman" w:cs="Times New Roman"/>
          <w:kern w:val="0"/>
          <w:sz w:val="28"/>
          <w:szCs w:val="22"/>
          <w:lang w:eastAsia="pl-PL"/>
          <w14:ligatures w14:val="none"/>
        </w:rPr>
        <w:t>W modelu przestrzeni WTP stosunek współczynnika niekosztowego do kosztowego jest obliczany w modelu, co daje bezpośrednie szacunki WTP, w przeciwieństwie do tradycyjnego modelu przestrzeni preferencji, w którym współczynniki użyteczności są najpierw szacowane w modelu, a WTP jest następnie obliczane poza nim. Jako taki, model przestrzeni WTP reprezentuje ponowną parametryzację modelu przestrzeni preferencji poprzez podanie bezpośrednich szacunków WTP.</w:t>
      </w:r>
      <w:r w:rsidRPr="0068666F">
        <w:rPr>
          <w:rFonts w:ascii="Georgia" w:eastAsia="Times New Roman" w:hAnsi="Georgia" w:cs="Times New Roman"/>
          <w:kern w:val="0"/>
          <w:sz w:val="28"/>
          <w:szCs w:val="22"/>
          <w:lang w:eastAsia="pl-PL"/>
          <w14:ligatures w14:val="none"/>
        </w:rPr>
        <w:t xml:space="preserve"> </w:t>
      </w:r>
      <w:r w:rsidRPr="0068666F">
        <w:rPr>
          <w:rFonts w:ascii="Times New Roman" w:eastAsia="Times New Roman" w:hAnsi="Times New Roman" w:cs="Times New Roman"/>
          <w:bCs/>
          <w:kern w:val="0"/>
          <w:sz w:val="28"/>
          <w:szCs w:val="28"/>
          <w:lang w:eastAsia="pl-PL"/>
          <w14:ligatures w14:val="none"/>
        </w:rPr>
        <w:t>Badania przeprowadzono w oparciu o dane zebrane z reprezentatywnej próby 270 rolników w Irlandii,przy użyciu kwestionariusza ankiety w 2019 roku z zastosowaniem metody doboru kwotowego. Zmienną zależną (</w:t>
      </w:r>
      <w:r w:rsidRPr="0068666F">
        <w:rPr>
          <w:rFonts w:ascii="Times New Roman" w:eastAsia="Times New Roman" w:hAnsi="Times New Roman" w:cs="Times New Roman"/>
          <w:bCs/>
          <w:i/>
          <w:kern w:val="0"/>
          <w:sz w:val="28"/>
          <w:szCs w:val="28"/>
          <w:lang w:eastAsia="pl-PL"/>
          <w14:ligatures w14:val="none"/>
        </w:rPr>
        <w:t>Y</w:t>
      </w:r>
      <w:r w:rsidRPr="0068666F">
        <w:rPr>
          <w:rFonts w:ascii="Times New Roman" w:eastAsia="Times New Roman" w:hAnsi="Times New Roman" w:cs="Times New Roman"/>
          <w:bCs/>
          <w:kern w:val="0"/>
          <w:sz w:val="28"/>
          <w:szCs w:val="28"/>
          <w:lang w:eastAsia="pl-PL"/>
          <w14:ligatures w14:val="none"/>
        </w:rPr>
        <w:t>) w modelu  była decyzja rolnika o wyborze wariantu ubezpieczenia lub rezygnacji z niego. Autorzy w badaniu zastosowali szereg zmiennych niezależnych (</w:t>
      </w:r>
      <w:r w:rsidRPr="0068666F">
        <w:rPr>
          <w:rFonts w:ascii="Times New Roman" w:eastAsia="Times New Roman" w:hAnsi="Times New Roman" w:cs="Times New Roman"/>
          <w:bCs/>
          <w:i/>
          <w:kern w:val="0"/>
          <w:sz w:val="28"/>
          <w:szCs w:val="28"/>
          <w:lang w:eastAsia="pl-PL"/>
          <w14:ligatures w14:val="none"/>
        </w:rPr>
        <w:t>x</w:t>
      </w:r>
      <w:r w:rsidRPr="0068666F">
        <w:rPr>
          <w:rFonts w:ascii="Times New Roman" w:eastAsia="Times New Roman" w:hAnsi="Times New Roman" w:cs="Times New Roman"/>
          <w:bCs/>
          <w:kern w:val="0"/>
          <w:sz w:val="28"/>
          <w:szCs w:val="28"/>
          <w:lang w:eastAsia="pl-PL"/>
          <w14:ligatures w14:val="none"/>
        </w:rPr>
        <w:t xml:space="preserve">), które podzielono na trzy kategorie: a) opisujące atrybuty ubezpieczenia (czas trwania umowy, metoda szacowania szkód, koszt roczny ubezpieczenia); b) odzwierciedlające cechy rolników i gospodarstw (płeć, wiek, wykształcenie, posiadanie następcy w gospodarstwie, praca poza gospodarstwem, lata w rolnictwie, wielkość gospodarstwa, typ gospodarstwa, lokalizacja regionalna, posiadanie ubezpieczenia rolnego, postrzeganie ekstremalnych zdarzeń pogodowych, doświadczenie negatywnych skutków ekstremalnych zdarzeń pogodowych, gotowość do udziału w programie przeciwpowodziowym, udział w programie rolno-środowiskowym, różnorodność upraw pastewnych); c) interakcyjne, w tym czas trwania umowy ubezpieczeniowej a posiadanie ubezpieczenia rolnego, czas </w:t>
      </w:r>
      <w:r w:rsidRPr="0068666F">
        <w:rPr>
          <w:rFonts w:ascii="Times New Roman" w:eastAsia="Times New Roman" w:hAnsi="Times New Roman" w:cs="Times New Roman"/>
          <w:bCs/>
          <w:kern w:val="0"/>
          <w:sz w:val="28"/>
          <w:szCs w:val="28"/>
          <w:lang w:eastAsia="pl-PL"/>
          <w14:ligatures w14:val="none"/>
        </w:rPr>
        <w:lastRenderedPageBreak/>
        <w:t>trwania umowy ubezpieczeniowej a różnorodność upraw pastewnych, ubezpieczenie indeksowe a obawy związane z ekstremalnymi zdarzeniami pogodowymi oraz metoda szacowania szkód a zainteresowanie ekstremalnymi zdarzeniami pogodowymi. Model dostarcza informacji na temat preferencji rolników w zakresie ubezpieczeń od ekstremalnych zdarzeń pogodowych. Wskazuje na istotny wpływ takich czynników, jak posiadanie dotychczasowego ubezpieczenia rolnego, obawy związane z ekstremalnymi zdarzeniami pogodowymi oraz koszt roczny polisy. Ponadto dowiedziono, że cena ubezpieczenia jest najważniejszym czynnikiem wpływającym na decyzje rolników o zakupie ubezpieczenia. Istnieje także związek między gotowością do adaptacji a chęcią zakupu ubezpieczenia. Rolnicy, którzy są gotowi angażować się w działania adaptacyjne do zmian klimatu, są bardziej skłonni do zakupu ubezpieczenia. Rolnicy mniej skłonni do zakupu ubezpieczenia to osoby starsze, z brakiem dotychczasowego ubezpieczenia, którzy nie doświadczyli negatywnych skutków ekstremalnych zdarzeń pogodowych, oraz których gospodarstwa zlokalizowane były w południowych regionach Irlandii. Mieszany model logitowy w przestrzeni WTP w przeciwieństwie do modelu logitowego warunkowego, uwzględnia heterogeniczność preferencji respondentów, co czyni go bardziej elastycznym narzędziem analizy. Kluczowe wyniki modelu są następujące: rolnicy są skłonni zapłacić średnio 25,26 euro za każdy dodatkowy rok trwania umowy ubezpieczeniowej; świadczy to o silnej preferencji rolników do długoterminowych umów ubezpieczeniowych. Rolnicy wykazują znaczącą preferencję dla ubezpieczenia indeksowego w stosunku do tradycyjnej inspekcji w gospodarstwie, wyrażoną w postaci składki  w wysokości 141,61 euro rocznie. Rolnicy są gotowi ponieść koszt 222,82 euro rocznie, aby uniknąć sytuacji braku jakiegokolwiek ubezpieczenia od ekstremalnych zdarzeń pogodowych.</w:t>
      </w:r>
    </w:p>
    <w:p w14:paraId="5C5303BA" w14:textId="30EF27AB" w:rsidR="0068666F" w:rsidRPr="0068666F" w:rsidRDefault="0068666F" w:rsidP="0068666F">
      <w:pPr>
        <w:spacing w:after="0" w:line="264" w:lineRule="auto"/>
        <w:ind w:firstLine="709"/>
        <w:jc w:val="both"/>
        <w:rPr>
          <w:rFonts w:ascii="Times New Roman" w:eastAsia="Times New Roman" w:hAnsi="Times New Roman" w:cs="Times New Roman"/>
          <w:spacing w:val="4"/>
          <w:kern w:val="0"/>
          <w:sz w:val="36"/>
          <w:szCs w:val="30"/>
          <w:shd w:val="clear" w:color="auto" w:fill="F2F6FA"/>
          <w:lang w:eastAsia="pl-PL"/>
          <w14:ligatures w14:val="none"/>
        </w:rPr>
      </w:pPr>
      <w:r w:rsidRPr="0068666F">
        <w:rPr>
          <w:rFonts w:ascii="Times New Roman" w:eastAsia="Times New Roman" w:hAnsi="Times New Roman" w:cs="Times New Roman"/>
          <w:bCs/>
          <w:kern w:val="0"/>
          <w:sz w:val="28"/>
          <w:szCs w:val="28"/>
          <w:lang w:eastAsia="pl-PL"/>
          <w14:ligatures w14:val="none"/>
        </w:rPr>
        <w:t xml:space="preserve">Timparano i in. (2022) podjęli się analizy czynników wpływających na decyzje sycylijskich rolników o zakupie subsydiowanych ubezpieczeń rolnych. Badaniem objęto 100 gospodarstw rolnych. Dane zebrano przy wykorzystaniu kwestionariusza ankiety przeprowadzonej online w 2022 roku. </w:t>
      </w:r>
      <w:r w:rsidRPr="0068666F">
        <w:rPr>
          <w:rFonts w:ascii="Times New Roman" w:eastAsia="Times New Roman" w:hAnsi="Times New Roman" w:cs="Times New Roman"/>
          <w:bCs/>
          <w:kern w:val="0"/>
          <w:sz w:val="28"/>
          <w:szCs w:val="22"/>
          <w:lang w:eastAsia="pl-PL"/>
          <w14:ligatures w14:val="none"/>
        </w:rPr>
        <w:t>Do zbadania wpływu poszczególnych czynników na intencję zakupu ubezpieczenia wykorzystano analizę regresji hierarchicznej. Model regresji zastosowany w badan</w:t>
      </w:r>
      <w:r w:rsidR="000E3B67">
        <w:rPr>
          <w:rFonts w:ascii="Times New Roman" w:eastAsia="Times New Roman" w:hAnsi="Times New Roman" w:cs="Times New Roman"/>
          <w:bCs/>
          <w:kern w:val="0"/>
          <w:sz w:val="28"/>
          <w:szCs w:val="22"/>
          <w:lang w:eastAsia="pl-PL"/>
          <w14:ligatures w14:val="none"/>
        </w:rPr>
        <w:t>i</w:t>
      </w:r>
      <w:r w:rsidRPr="0068666F">
        <w:rPr>
          <w:rFonts w:ascii="Times New Roman" w:eastAsia="Times New Roman" w:hAnsi="Times New Roman" w:cs="Times New Roman"/>
          <w:bCs/>
          <w:kern w:val="0"/>
          <w:sz w:val="28"/>
          <w:szCs w:val="22"/>
          <w:lang w:eastAsia="pl-PL"/>
          <w14:ligatures w14:val="none"/>
        </w:rPr>
        <w:t>u uwzględniał następujące zmienne: zmienna zależna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kern w:val="0"/>
          <w:sz w:val="28"/>
          <w:szCs w:val="22"/>
          <w:lang w:eastAsia="pl-PL"/>
          <w14:ligatures w14:val="none"/>
        </w:rPr>
        <w:t>) intencja do zakupu ubezpieczenia; zmienne niezależne (</w:t>
      </w:r>
      <w:r w:rsidRPr="0068666F">
        <w:rPr>
          <w:rFonts w:ascii="Times New Roman" w:eastAsia="Times New Roman" w:hAnsi="Times New Roman" w:cs="Times New Roman"/>
          <w:bCs/>
          <w:i/>
          <w:kern w:val="0"/>
          <w:sz w:val="28"/>
          <w:szCs w:val="22"/>
          <w:lang w:eastAsia="pl-PL"/>
          <w14:ligatures w14:val="none"/>
        </w:rPr>
        <w:t>x</w:t>
      </w:r>
      <w:r w:rsidRPr="0068666F">
        <w:rPr>
          <w:rFonts w:ascii="Times New Roman" w:eastAsia="Times New Roman" w:hAnsi="Times New Roman" w:cs="Times New Roman"/>
          <w:bCs/>
          <w:kern w:val="0"/>
          <w:sz w:val="28"/>
          <w:szCs w:val="22"/>
          <w:lang w:eastAsia="pl-PL"/>
          <w14:ligatures w14:val="none"/>
        </w:rPr>
        <w:t>): postawa wobec ubezpieczeń, norma subiektywna (postrzegana presja społeczna wywierana na rolnika, aby zakupił lub nie zakupił ubezpieczenia), postrzegana kontrola behawioralna (w jakim stopniu rolnicy czują, że mają kontrolę nad decyzją o zakupie ubezpieczenia upraw, oraz czy postrzegają to jako łatwe, czy trudne zadanie), czynniki ryz</w:t>
      </w:r>
      <w:r w:rsidRPr="0068666F">
        <w:rPr>
          <w:rFonts w:ascii="Times New Roman" w:eastAsia="Times New Roman" w:hAnsi="Times New Roman" w:cs="Times New Roman"/>
          <w:bCs/>
          <w:kern w:val="0"/>
          <w:sz w:val="28"/>
          <w:szCs w:val="28"/>
          <w:lang w:eastAsia="pl-PL"/>
          <w14:ligatures w14:val="none"/>
        </w:rPr>
        <w:t>yka (np. zmiana klimatu, szkodniki, ceny rynkowe) oraz typ gospodarstwa</w:t>
      </w:r>
      <w:r w:rsidRPr="0068666F">
        <w:rPr>
          <w:rFonts w:ascii="Times New Roman" w:eastAsia="Times New Roman" w:hAnsi="Times New Roman" w:cs="Times New Roman"/>
          <w:bCs/>
          <w:kern w:val="0"/>
          <w:sz w:val="28"/>
          <w:szCs w:val="22"/>
          <w:lang w:eastAsia="pl-PL"/>
          <w14:ligatures w14:val="none"/>
        </w:rPr>
        <w:t xml:space="preserve">. Wyniki badania wskazują, że postawa i norma subiektywna okazały się najważniejszymi predyktorami intencji </w:t>
      </w:r>
      <w:r w:rsidRPr="0068666F">
        <w:rPr>
          <w:rFonts w:ascii="Times New Roman" w:eastAsia="Times New Roman" w:hAnsi="Times New Roman" w:cs="Times New Roman"/>
          <w:bCs/>
          <w:kern w:val="0"/>
          <w:sz w:val="28"/>
          <w:szCs w:val="22"/>
          <w:lang w:eastAsia="pl-PL"/>
          <w14:ligatures w14:val="none"/>
        </w:rPr>
        <w:lastRenderedPageBreak/>
        <w:t>do zakupu ubezpieczenia. Postrzegana kontrola behawioralna również miała istotny wpływ na decyzje w zakresie posiadania ubezpieczenia, przy czym wpływ ten były mniejszy niż dwa poprzednie konstrukty. Czynniki ryzyka oraz typ gospodarstwa nie były statystycznie istotne.</w:t>
      </w:r>
      <w:r w:rsidRPr="0068666F">
        <w:rPr>
          <w:rFonts w:ascii="Times New Roman" w:eastAsia="Times New Roman" w:hAnsi="Times New Roman" w:cs="Times New Roman"/>
          <w:spacing w:val="4"/>
          <w:kern w:val="0"/>
          <w:sz w:val="36"/>
          <w:szCs w:val="30"/>
          <w:shd w:val="clear" w:color="auto" w:fill="F2F6FA"/>
          <w:lang w:eastAsia="pl-PL"/>
          <w14:ligatures w14:val="none"/>
        </w:rPr>
        <w:t xml:space="preserve"> </w:t>
      </w:r>
    </w:p>
    <w:p w14:paraId="77C2E2EA" w14:textId="7D174089"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8"/>
          <w:lang w:eastAsia="pl-PL"/>
          <w14:ligatures w14:val="none"/>
        </w:rPr>
      </w:pPr>
      <w:r w:rsidRPr="0068666F">
        <w:rPr>
          <w:rFonts w:ascii="Times New Roman" w:eastAsia="Times New Roman" w:hAnsi="Times New Roman" w:cs="Times New Roman"/>
          <w:bCs/>
          <w:kern w:val="0"/>
          <w:sz w:val="28"/>
          <w:szCs w:val="22"/>
          <w:lang w:eastAsia="pl-PL"/>
          <w14:ligatures w14:val="none"/>
        </w:rPr>
        <w:t>Santeramo (2018) badał, w jaki sposób doświadczenie z posiadania ubezpieczenia, może wpływać na udział rolników we włoskim rynku ubezpieczeń dotowanych. Analiza oparta została na zestawie danych pochodzących z włoskiego FADN. Zestaw danych składał się z danych panelowych 18 382 obserwacji, reprezentujących 2626 włoskich gospodarstw rolnych, zlokalizowanych w dziewiętnastu różnych regionach Włoch, stale obserwowanych od 2004 do 2010 roku</w:t>
      </w:r>
      <w:r w:rsidRPr="0068666F">
        <w:rPr>
          <w:rFonts w:ascii="Times New Roman" w:eastAsia="Times New Roman" w:hAnsi="Times New Roman" w:cs="Times New Roman"/>
          <w:b/>
          <w:bCs/>
          <w:kern w:val="0"/>
          <w:sz w:val="22"/>
          <w:szCs w:val="22"/>
          <w:lang w:eastAsia="pl-PL"/>
          <w14:ligatures w14:val="none"/>
        </w:rPr>
        <w:t xml:space="preserve">. </w:t>
      </w:r>
      <w:r w:rsidRPr="0068666F">
        <w:rPr>
          <w:rFonts w:ascii="Times New Roman" w:eastAsia="Times New Roman" w:hAnsi="Times New Roman" w:cs="Times New Roman"/>
          <w:bCs/>
          <w:kern w:val="0"/>
          <w:sz w:val="28"/>
          <w:szCs w:val="22"/>
          <w:lang w:eastAsia="pl-PL"/>
          <w14:ligatures w14:val="none"/>
        </w:rPr>
        <w:t>Autor stosuje dynamiczny model probitowy do oszacowania prawdopodobieństwa wykupienia polisy ubezpieczeniowej przez rolnika.</w:t>
      </w:r>
      <w:r w:rsidRPr="0068666F">
        <w:rPr>
          <w:rFonts w:ascii="Times New Roman" w:eastAsia="Times New Roman" w:hAnsi="Times New Roman" w:cs="Times New Roman"/>
          <w:b/>
          <w:bCs/>
          <w:kern w:val="0"/>
          <w:sz w:val="22"/>
          <w:szCs w:val="22"/>
          <w:lang w:eastAsia="pl-PL"/>
          <w14:ligatures w14:val="none"/>
        </w:rPr>
        <w:t xml:space="preserve"> </w:t>
      </w:r>
      <w:r w:rsidRPr="0068666F">
        <w:rPr>
          <w:rFonts w:ascii="Times New Roman" w:eastAsia="Times New Roman" w:hAnsi="Times New Roman" w:cs="Times New Roman"/>
          <w:kern w:val="0"/>
          <w:sz w:val="28"/>
          <w:lang w:eastAsia="pl-PL"/>
          <w14:ligatures w14:val="none"/>
        </w:rPr>
        <w:t>Aby uwzględnić endogeniczność zmiennej "doświadczenie", autor stosuje model Heckmana. Model ten koryguje potencjalne błędy estymacji wynikające z korelacji między zmienną "doświadczenie" a niezauważalną heterogenicznością.</w:t>
      </w:r>
      <w:r w:rsidRPr="0068666F">
        <w:rPr>
          <w:rFonts w:ascii="Times New Roman" w:eastAsia="Times New Roman" w:hAnsi="Times New Roman" w:cs="Times New Roman"/>
          <w:b/>
          <w:bCs/>
          <w:kern w:val="0"/>
          <w:sz w:val="22"/>
          <w:szCs w:val="22"/>
          <w:lang w:eastAsia="pl-PL"/>
          <w14:ligatures w14:val="none"/>
        </w:rPr>
        <w:t xml:space="preserve"> </w:t>
      </w:r>
      <w:r w:rsidRPr="0068666F">
        <w:rPr>
          <w:rFonts w:ascii="Times New Roman" w:eastAsia="Times New Roman" w:hAnsi="Times New Roman" w:cs="Times New Roman"/>
          <w:bCs/>
          <w:kern w:val="0"/>
          <w:sz w:val="28"/>
          <w:szCs w:val="22"/>
          <w:lang w:eastAsia="pl-PL"/>
          <w14:ligatures w14:val="none"/>
        </w:rPr>
        <w:t>Zmienną zależną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kern w:val="0"/>
          <w:sz w:val="28"/>
          <w:szCs w:val="22"/>
          <w:lang w:eastAsia="pl-PL"/>
          <w14:ligatures w14:val="none"/>
        </w:rPr>
        <w:t>) w modelu było prawdopodobieństwo zawarcia przez rolnika umowy ubezpieczenia (niezależnie od rodzaju umowy, czy niezależnie od tego czy umowa będzie na jedno lub wiele ryzyk) . Zmienne niezależne (</w:t>
      </w:r>
      <w:r w:rsidRPr="0068666F">
        <w:rPr>
          <w:rFonts w:ascii="Times New Roman" w:eastAsia="Times New Roman" w:hAnsi="Times New Roman" w:cs="Times New Roman"/>
          <w:bCs/>
          <w:i/>
          <w:kern w:val="0"/>
          <w:sz w:val="28"/>
          <w:szCs w:val="22"/>
          <w:lang w:eastAsia="pl-PL"/>
          <w14:ligatures w14:val="none"/>
        </w:rPr>
        <w:t>x</w:t>
      </w:r>
      <w:r w:rsidRPr="0068666F">
        <w:rPr>
          <w:rFonts w:ascii="Times New Roman" w:eastAsia="Times New Roman" w:hAnsi="Times New Roman" w:cs="Times New Roman"/>
          <w:bCs/>
          <w:kern w:val="0"/>
          <w:sz w:val="28"/>
          <w:szCs w:val="22"/>
          <w:lang w:eastAsia="pl-PL"/>
          <w14:ligatures w14:val="none"/>
        </w:rPr>
        <w:t xml:space="preserve">) podzielić można na trzy kategorie: a) zmienna główna – doświadczenie (odzwierciedla wpływ przeszłych doświadczeń z ubezpieczeniami upraw na decyzję o zakupie ubezpieczenia). W badaniu uwzględniono dwa typy doświadczeń określając je jako doświadczenie przejściowe i doświadczenie trwałe; b) zmienne kontrolne (wielkość gospodarstwa, jego położenie , wiek rolnika, zmienność przychodów, dywersyfikacja upraw, nawadniania, oczekiwana składka na hektar); c) zmienna nieobserwowalna - heterogeniczność indywidualna – zmienna, która odzwierciedla indywidualne cechy rolników, które nie są bezpośrednio obserwowane w danych, ale mogą wpływać na ich decyzję o ubezpieczeniu, takie jak awersja do ryzyka, poziom wiedzy o ubezpieczeniach, zaufanie do instytucji ubezpieczeniowych. W badaniu najważniejszymi zmiennymi wpływającymi na decyzję o zakupie ubezpieczenia upraw okazały się: doświadczenie (przejściowe i trwałe), wielkość gospodarstwa rolnego, nawadnianie i wiek rolnika. Doświadczenie przejściowe okazało się statystycznie istotne, co oznacza, że fakt bycia ubezpieczonym w poprzednim roku zwiększa </w:t>
      </w:r>
      <w:r w:rsidRPr="0068666F">
        <w:rPr>
          <w:rFonts w:ascii="Times New Roman" w:eastAsia="Times New Roman" w:hAnsi="Times New Roman" w:cs="Times New Roman"/>
          <w:bCs/>
          <w:kern w:val="0"/>
          <w:sz w:val="28"/>
          <w:szCs w:val="28"/>
          <w:lang w:eastAsia="pl-PL"/>
          <w14:ligatures w14:val="none"/>
        </w:rPr>
        <w:t xml:space="preserve">prawdopodobieństwo zakupu ubezpieczenia w bieżącym roku. Doświadczenie trwałe również jest statystycznie istotne; wskazuje ono, że wcześniejsze doświadczenie z ubezpieczeniami, nawet jeśli nie w poprzednim roku, zwiększa prawdopodobieństwo zakupu polisy. Większe gospodarstwa oraz te korzystające z nawadniania są bardziej skłonne do zakupu ubezpieczenia. Wiek rolnika okazał się ujemnie skorelowany z prawdopodobieństwem zakupu </w:t>
      </w:r>
      <w:r w:rsidRPr="0068666F">
        <w:rPr>
          <w:rFonts w:ascii="Times New Roman" w:eastAsia="Times New Roman" w:hAnsi="Times New Roman" w:cs="Times New Roman"/>
          <w:bCs/>
          <w:kern w:val="0"/>
          <w:sz w:val="28"/>
          <w:szCs w:val="28"/>
          <w:lang w:eastAsia="pl-PL"/>
          <w14:ligatures w14:val="none"/>
        </w:rPr>
        <w:lastRenderedPageBreak/>
        <w:t>ubezpieczenia i był statystycznie istotny. Oznacza to, że starsi rolnicy są mniej skłonni do ubezpieczania swoich upraw.</w:t>
      </w:r>
    </w:p>
    <w:p w14:paraId="0A881DE0" w14:textId="07D11761"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8"/>
          <w:lang w:eastAsia="pl-PL"/>
          <w14:ligatures w14:val="none"/>
        </w:rPr>
        <w:t>Santeramo i in. (2024) analizowali współwystępowanie ekstremalnych zjawisk pogodowych i poziom dotowanego ubezpieczenia upraw. Celem było zbadanie, w jaki sposób występowanie powodzi, suszy i mrozów może korelować ze zmianami w udziale wartości produkcji objętych dotowanymi umowami ubezpieczeniowymi. Analiza uwzględnia wszystkie prowincje Włoch i jedenaście upraw objętych funduszem Agri-CAT (tj. migdały, jabłka, morele, kukurydza </w:t>
      </w:r>
      <w:hyperlink r:id="rId319" w:tooltip="Dowiedz się więcej o kukurydzy ze stron tematycznych ScienceDirect generowanych przez sztuczną inteligencję" w:history="1">
        <w:r w:rsidRPr="0068666F">
          <w:rPr>
            <w:rFonts w:ascii="Times New Roman" w:eastAsia="Times New Roman" w:hAnsi="Times New Roman" w:cs="Times New Roman"/>
            <w:bCs/>
            <w:kern w:val="0"/>
            <w:sz w:val="28"/>
            <w:szCs w:val="28"/>
            <w:lang w:eastAsia="pl-PL"/>
            <w14:ligatures w14:val="none"/>
          </w:rPr>
          <w:t>,</w:t>
        </w:r>
      </w:hyperlink>
      <w:r w:rsidRPr="0068666F">
        <w:rPr>
          <w:rFonts w:ascii="Times New Roman" w:eastAsia="Times New Roman" w:hAnsi="Times New Roman" w:cs="Times New Roman"/>
          <w:bCs/>
          <w:kern w:val="0"/>
          <w:sz w:val="28"/>
          <w:szCs w:val="28"/>
          <w:lang w:eastAsia="pl-PL"/>
          <w14:ligatures w14:val="none"/>
        </w:rPr>
        <w:t> pszenica durum, winorośl, kiwi, pomarańcze, brzoskwinie, gruszki i pomidory), obserwowanych w latach 2010-2020. Aby zrozumieć potencjalną korelację między występowaniem ekstremalnych zjawisk pogodowych a popytem na ubezpieczenia, zebrano roczne dane dotyczące wartości ubezpieczenia (w</w:t>
      </w:r>
      <w:r w:rsidRPr="0068666F">
        <w:rPr>
          <w:rFonts w:ascii="Times New Roman" w:eastAsia="Times New Roman" w:hAnsi="Times New Roman" w:cs="Times New Roman"/>
          <w:bCs/>
          <w:kern w:val="0"/>
          <w:sz w:val="32"/>
          <w:szCs w:val="22"/>
          <w:lang w:eastAsia="pl-PL"/>
          <w14:ligatures w14:val="none"/>
        </w:rPr>
        <w:t xml:space="preserve"> </w:t>
      </w:r>
      <w:r w:rsidRPr="0068666F">
        <w:rPr>
          <w:rFonts w:ascii="Times New Roman" w:eastAsia="Times New Roman" w:hAnsi="Times New Roman" w:cs="Times New Roman"/>
          <w:bCs/>
          <w:kern w:val="0"/>
          <w:sz w:val="28"/>
          <w:szCs w:val="22"/>
          <w:lang w:eastAsia="pl-PL"/>
          <w14:ligatures w14:val="none"/>
        </w:rPr>
        <w:t xml:space="preserve">EUR) i składki ubezpieczeniowej (w EUR) dla poszczególnych prowincji i upraw z </w:t>
      </w:r>
      <w:r w:rsidRPr="0068666F">
        <w:rPr>
          <w:rFonts w:ascii="Times New Roman" w:eastAsia="Times New Roman" w:hAnsi="Times New Roman" w:cs="Times New Roman"/>
          <w:bCs/>
          <w:i/>
          <w:kern w:val="0"/>
          <w:sz w:val="28"/>
          <w:szCs w:val="22"/>
          <w:lang w:eastAsia="pl-PL"/>
          <w14:ligatures w14:val="none"/>
        </w:rPr>
        <w:t>Istituto di Servizi per il Mercato Agricolo Alimentare</w:t>
      </w:r>
      <w:r w:rsidRPr="0068666F">
        <w:rPr>
          <w:rFonts w:ascii="Times New Roman" w:eastAsia="Times New Roman" w:hAnsi="Times New Roman" w:cs="Times New Roman"/>
          <w:bCs/>
          <w:kern w:val="0"/>
          <w:sz w:val="28"/>
          <w:szCs w:val="22"/>
          <w:lang w:eastAsia="pl-PL"/>
          <w14:ligatures w14:val="none"/>
        </w:rPr>
        <w:t xml:space="preserve"> (ISMEA). Z tego samego źródła zebrano roczne dane dotyczące cen upraw na poziomie krajowym. Informacje te, w połączeniu z danymi rocznymi dotyczącymi produkcji upraw (w tonach) dla poszczególnych prowincji leżących w poszczególnych regionach Włoch z </w:t>
      </w:r>
      <w:r w:rsidRPr="0068666F">
        <w:rPr>
          <w:rFonts w:ascii="Times New Roman" w:eastAsia="Times New Roman" w:hAnsi="Times New Roman" w:cs="Times New Roman"/>
          <w:bCs/>
          <w:i/>
          <w:kern w:val="0"/>
          <w:sz w:val="28"/>
          <w:szCs w:val="22"/>
          <w:lang w:eastAsia="pl-PL"/>
          <w14:ligatures w14:val="none"/>
        </w:rPr>
        <w:t>Istituto Nazionale di Statistica</w:t>
      </w:r>
      <w:r w:rsidRPr="0068666F">
        <w:rPr>
          <w:rFonts w:ascii="Times New Roman" w:eastAsia="Times New Roman" w:hAnsi="Times New Roman" w:cs="Times New Roman"/>
          <w:bCs/>
          <w:kern w:val="0"/>
          <w:sz w:val="28"/>
          <w:szCs w:val="22"/>
          <w:lang w:eastAsia="pl-PL"/>
          <w14:ligatures w14:val="none"/>
        </w:rPr>
        <w:t> (ISTAT), pozwoliły na zbudowanie wskaźnika zastępczego brutto produkcji nadającej się do sprzedaży. Porównując ubezpieczoną wartość i brutto produkcji nadającej się do sprzedaży, uzyskano udział wartości ubezpieczenia w wartości produkcji, czyli wskaźnik popytu na ubezpieczenia. Do analizy zależności między występowaniem ekstremalnych zjawisk pogodowych a popytem na subsydiowane ubezpieczenia upraw użyto model ekonometryczny. Model ten został oszacowany zwykłą metodą najmniejszych kwadratów (OLS). Kluczowe założenia modelu to: popyt na ubezpieczenia rośnie wraz ze wzrostem składki ubezpieczeniowej. Jest to zgodne z teorią selekcji negatywnej, która sugeruje, że na rynku ubezpieczeń dominują osoby o wyższym poziomie ryzyka; popyt na ubezpieczenia maleje wraz ze wzrostem plonów. Jest to intuicyjne, ponieważ rolnicy o wyższych plonach mają mniejszą potrzebę ubezpieczenia się od strat; wystąpienie ekstremalnych zjawisk pogodowych ma pozytywny wpływ na popyt na ubezpieczenia. Zmienną objaśnianą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kern w:val="0"/>
          <w:sz w:val="28"/>
          <w:szCs w:val="22"/>
          <w:lang w:eastAsia="pl-PL"/>
          <w14:ligatures w14:val="none"/>
        </w:rPr>
        <w:t>) w modelu jest logarytm naturalny udziału wartości ubezpieczonej w wartości produkcji. Zmienne objaśniające (</w:t>
      </w:r>
      <w:r w:rsidRPr="0068666F">
        <w:rPr>
          <w:rFonts w:ascii="Times New Roman" w:eastAsia="Times New Roman" w:hAnsi="Times New Roman" w:cs="Times New Roman"/>
          <w:bCs/>
          <w:i/>
          <w:kern w:val="0"/>
          <w:sz w:val="28"/>
          <w:szCs w:val="22"/>
          <w:lang w:eastAsia="pl-PL"/>
          <w14:ligatures w14:val="none"/>
        </w:rPr>
        <w:t>x</w:t>
      </w:r>
      <w:r w:rsidRPr="0068666F">
        <w:rPr>
          <w:rFonts w:ascii="Times New Roman" w:eastAsia="Times New Roman" w:hAnsi="Times New Roman" w:cs="Times New Roman"/>
          <w:bCs/>
          <w:kern w:val="0"/>
          <w:sz w:val="28"/>
          <w:szCs w:val="22"/>
          <w:lang w:eastAsia="pl-PL"/>
          <w14:ligatures w14:val="none"/>
        </w:rPr>
        <w:t xml:space="preserve">) są następujące: logarytm naturalny plonu danej uprawy w danym regionie w danym roku; logarytm naturalny składki ubezpieczeniowej dla danej uprawy w danym regionie w danym roku; wystąpienie powodzi w danym regionie w danym roku; wystąpienie suszy w danym regionie w danym roku; wystąpienie przymrozków w danym regionie w danym roku. Model potwierdza istnienie pozytywnej korelacji między występowaniem powodzi i przymrozków a udziałem wartości ubezpieczonej w wartości produkcji, co wskazuje na wzrost popytu na </w:t>
      </w:r>
      <w:r w:rsidRPr="0068666F">
        <w:rPr>
          <w:rFonts w:ascii="Times New Roman" w:eastAsia="Times New Roman" w:hAnsi="Times New Roman" w:cs="Times New Roman"/>
          <w:bCs/>
          <w:kern w:val="0"/>
          <w:sz w:val="28"/>
          <w:szCs w:val="22"/>
          <w:lang w:eastAsia="pl-PL"/>
          <w14:ligatures w14:val="none"/>
        </w:rPr>
        <w:lastRenderedPageBreak/>
        <w:t>ubezpieczenia w odpowiedzi na ekstremalne zdarzenia pogodowe. Ponadto popyt na ubezpieczenia rośnie wraz ze wzrostem składki i maleje wraz ze wzrostem plonu. Dodatkowo analiza heterogeniczności pokazuje, że południowe regiony Włoch, gdzie ubezpieczenia upraw są mniej powszechne, wykazują większą wrażliwość na występowanie ekstremalnych zjawisk pogodowych w porównaniu z północnymi regionami.</w:t>
      </w:r>
    </w:p>
    <w:p w14:paraId="22EEDF63" w14:textId="2AC48604"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2"/>
          <w:lang w:eastAsia="pl-PL"/>
          <w14:ligatures w14:val="none"/>
        </w:rPr>
        <w:t xml:space="preserve">Fusco i in. (2021) analizowali czynniki wpływające na decyzje włoskich rolników o zakupie ubezpieczenia, opierając się na danych panelowych dotyczących dziewiętnastu regionów tego kraju w latach 2010-2017, wykorzystując metodę estymacji momentów  GMM (ang. </w:t>
      </w:r>
      <w:r w:rsidRPr="0068666F">
        <w:rPr>
          <w:rFonts w:ascii="Times New Roman" w:eastAsia="Times New Roman" w:hAnsi="Times New Roman" w:cs="Times New Roman"/>
          <w:bCs/>
          <w:i/>
          <w:kern w:val="0"/>
          <w:sz w:val="28"/>
          <w:szCs w:val="22"/>
          <w:lang w:eastAsia="pl-PL"/>
          <w14:ligatures w14:val="none"/>
        </w:rPr>
        <w:t>Generalized Method of Moments</w:t>
      </w:r>
      <w:r w:rsidRPr="0068666F">
        <w:rPr>
          <w:rFonts w:ascii="Times New Roman" w:eastAsia="Times New Roman" w:hAnsi="Times New Roman" w:cs="Times New Roman"/>
          <w:bCs/>
          <w:kern w:val="0"/>
          <w:sz w:val="28"/>
          <w:szCs w:val="22"/>
          <w:lang w:eastAsia="pl-PL"/>
          <w14:ligatures w14:val="none"/>
        </w:rPr>
        <w:t>). Wybór metody uzasadniono tym, że pozwala ona na wyeliminowanie indywidualnych różnic między regionami, zachowując jednocześnie wspólne czynniki wpływające na decyzje o ubezpieczeniu. W obu modelach dodano opóźnioną zmienną zależną, aby uwzględnić dynamikę procesu decyzyjnego rolników. Do estymacji modeli wykorzystano estymator Arellano-Bonda, który jest powszechnie stosowany w przypadku dynamicznych danych panelowych. W analizie wykorzystano dwie różne zmienne zależne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kern w:val="0"/>
          <w:sz w:val="28"/>
          <w:szCs w:val="22"/>
          <w:lang w:eastAsia="pl-PL"/>
          <w14:ligatures w14:val="none"/>
        </w:rPr>
        <w:t>) wskazujące na zakres lub skalę, w jakiej rolnicy przekładają swoje potencjalne potrzeby na rzeczywiste zapotrzebowanie na ubezpieczenie. Pierwszą zmienną zależną był dochód z ubezpieczeń rolniczych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i/>
          <w:kern w:val="0"/>
          <w:sz w:val="28"/>
          <w:szCs w:val="22"/>
          <w:vertAlign w:val="subscript"/>
          <w:lang w:eastAsia="pl-PL"/>
          <w14:ligatures w14:val="none"/>
        </w:rPr>
        <w:t>1</w:t>
      </w:r>
      <w:r w:rsidRPr="0068666F">
        <w:rPr>
          <w:rFonts w:ascii="Times New Roman" w:eastAsia="Times New Roman" w:hAnsi="Times New Roman" w:cs="Times New Roman"/>
          <w:bCs/>
          <w:kern w:val="0"/>
          <w:sz w:val="28"/>
          <w:szCs w:val="22"/>
          <w:lang w:eastAsia="pl-PL"/>
          <w14:ligatures w14:val="none"/>
        </w:rPr>
        <w:t>) – przychody z ubezpieczeń rolniczych (zmienna ta wskazuje całkowitą kwotę zapłaconą przez ubezpieczonych rolników na podstawie ich umów ubezpieczeniowych). Drugą zmienną zależną są umowy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i/>
          <w:kern w:val="0"/>
          <w:sz w:val="28"/>
          <w:szCs w:val="22"/>
          <w:vertAlign w:val="subscript"/>
          <w:lang w:eastAsia="pl-PL"/>
          <w14:ligatures w14:val="none"/>
        </w:rPr>
        <w:t>2</w:t>
      </w:r>
      <w:r w:rsidRPr="0068666F">
        <w:rPr>
          <w:rFonts w:ascii="Times New Roman" w:eastAsia="Times New Roman" w:hAnsi="Times New Roman" w:cs="Times New Roman"/>
          <w:bCs/>
          <w:kern w:val="0"/>
          <w:sz w:val="28"/>
          <w:szCs w:val="22"/>
          <w:lang w:eastAsia="pl-PL"/>
          <w14:ligatures w14:val="none"/>
        </w:rPr>
        <w:t>)(zmienna ta wskazuje liczbę umów ubezpieczeniowych zawartych na wypadek zdarzeń niepożądanych). Zmienne niezależne (</w:t>
      </w:r>
      <w:r w:rsidRPr="0068666F">
        <w:rPr>
          <w:rFonts w:ascii="Times New Roman" w:eastAsia="Times New Roman" w:hAnsi="Times New Roman" w:cs="Times New Roman"/>
          <w:bCs/>
          <w:i/>
          <w:kern w:val="0"/>
          <w:sz w:val="28"/>
          <w:szCs w:val="22"/>
          <w:lang w:eastAsia="pl-PL"/>
          <w14:ligatures w14:val="none"/>
        </w:rPr>
        <w:t>x</w:t>
      </w:r>
      <w:r w:rsidRPr="0068666F">
        <w:rPr>
          <w:rFonts w:ascii="Times New Roman" w:eastAsia="Times New Roman" w:hAnsi="Times New Roman" w:cs="Times New Roman"/>
          <w:bCs/>
          <w:kern w:val="0"/>
          <w:sz w:val="28"/>
          <w:szCs w:val="22"/>
          <w:lang w:eastAsia="pl-PL"/>
          <w14:ligatures w14:val="none"/>
        </w:rPr>
        <w:t xml:space="preserve">) przyjęte do obu modeli to: powierzchnia całkowita (ha), całkowita kwota bieżących kosztów utrzymania sprzętu i budynków (euro), średnia wielkość gospodarstwa domowego, wartość otrzymanych dotacji (euro), odsetek rolników z wykształceniem wyższym w regionie, odsetek rolników z wykształceniem średnim lub niższym w ogólnej licznie rolników, wartość otrzymanego odszkodowania w przeszłości (euro), dochód netto rolników (euro) oraz wskaźnik cen producenta (euro). Dodatni istotny wpływ na zmienną niezależną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i/>
          <w:kern w:val="0"/>
          <w:sz w:val="28"/>
          <w:szCs w:val="22"/>
          <w:vertAlign w:val="subscript"/>
          <w:lang w:eastAsia="pl-PL"/>
          <w14:ligatures w14:val="none"/>
        </w:rPr>
        <w:t>1</w:t>
      </w:r>
      <w:r w:rsidRPr="0068666F">
        <w:rPr>
          <w:rFonts w:ascii="Times New Roman" w:eastAsia="Times New Roman" w:hAnsi="Times New Roman" w:cs="Times New Roman"/>
          <w:bCs/>
          <w:kern w:val="0"/>
          <w:sz w:val="28"/>
          <w:szCs w:val="22"/>
          <w:lang w:eastAsia="pl-PL"/>
          <w14:ligatures w14:val="none"/>
        </w:rPr>
        <w:t xml:space="preserve"> - całkowita kwota w euro zapłacona przez ubezpieczonych rolników na podstawie ich umów ubezpieczeniowych miały czynniki, takie jak: całkowita powierzchnia upraw, koszty utrzymania maszyn i budynków, wysokość otrzymanego odszkodowania z tytułu posiadania ubezpieczenia w przeszłości. Ujemny istotnie statystyczny wpływ miały czynniki związane z: wartością otrzymanych dotacji, wskaźnikiem cen producenta oraz dochodem netto gospodarstwa rolnego. Dodatni istotny wpływ na zmienną niezależną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i/>
          <w:kern w:val="0"/>
          <w:sz w:val="28"/>
          <w:szCs w:val="22"/>
          <w:vertAlign w:val="subscript"/>
          <w:lang w:eastAsia="pl-PL"/>
          <w14:ligatures w14:val="none"/>
        </w:rPr>
        <w:t>2</w:t>
      </w:r>
      <w:r w:rsidRPr="0068666F">
        <w:rPr>
          <w:rFonts w:ascii="Times New Roman" w:eastAsia="Times New Roman" w:hAnsi="Times New Roman" w:cs="Times New Roman"/>
          <w:bCs/>
          <w:kern w:val="0"/>
          <w:sz w:val="28"/>
          <w:szCs w:val="22"/>
          <w:lang w:eastAsia="pl-PL"/>
          <w14:ligatures w14:val="none"/>
        </w:rPr>
        <w:t xml:space="preserve"> - liczba umów ubezpieczeniowych zawartych na wypadek zdarzeń niepożądanych miały czynniki, takie jak: wysokość otrzymanego odszkodowania z tytułu posiadania ubezpieczenia w </w:t>
      </w:r>
      <w:r w:rsidRPr="0068666F">
        <w:rPr>
          <w:rFonts w:ascii="Times New Roman" w:eastAsia="Times New Roman" w:hAnsi="Times New Roman" w:cs="Times New Roman"/>
          <w:bCs/>
          <w:kern w:val="0"/>
          <w:sz w:val="28"/>
          <w:szCs w:val="22"/>
          <w:lang w:eastAsia="pl-PL"/>
          <w14:ligatures w14:val="none"/>
        </w:rPr>
        <w:lastRenderedPageBreak/>
        <w:t>przeszłości oraz dochód netto gospodarstwa rolnego. Ujemny istotnie statystyczny wpływ miały zmienne: wysokość otrzymanych dotacji, całkowita powierzchnia upraw, odsetek rolników z wykształceniem średnim lub niższym oraz wskaźnik cen producenta.</w:t>
      </w:r>
    </w:p>
    <w:p w14:paraId="40FC979B" w14:textId="215DA151"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2"/>
          <w:lang w:eastAsia="pl-PL"/>
          <w14:ligatures w14:val="none"/>
        </w:rPr>
        <w:t>Lefebvre i in. (2014) badali czynniki wpływające na decyzje ubezpieczeniowe rolników w Bułgarii oraz czy decyzje ubezpieczeniowe są powiązane z innymi decyzjami dotyczącymi zarządzania ryzykiem w gospodarstwie. Badania oparto o dane pozyskane w 2011 roku metodą sondażu bezpośredniego z wykorzystaniem kwestionariusza ankiety. Badaniem objęto 224 rolników. Próba została dobrana w sposób nieprobabilistyczny, oparty na proporcjonalnym doborze warstwowym uzupełnionym o ekspercką ocenę. Uwzględniono różne typy specjalizacji gospodarstw (produkcja roślinna, zwierzęca, wieloletnia i mieszana), a także regionalne zróżnicowanie Bułgarii (6 regionów NUTS2). Do analizy wykorzystano model probitowy wielowymiarowy (MVP).  Zmienna zależna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kern w:val="0"/>
          <w:sz w:val="28"/>
          <w:szCs w:val="22"/>
          <w:lang w:eastAsia="pl-PL"/>
          <w14:ligatures w14:val="none"/>
        </w:rPr>
        <w:t>) określona została jako decyzja o zakupie ubezpieczenia. Zmienne niezależne (</w:t>
      </w:r>
      <w:r w:rsidRPr="0068666F">
        <w:rPr>
          <w:rFonts w:ascii="Times New Roman" w:eastAsia="Times New Roman" w:hAnsi="Times New Roman" w:cs="Times New Roman"/>
          <w:bCs/>
          <w:i/>
          <w:kern w:val="0"/>
          <w:sz w:val="28"/>
          <w:szCs w:val="22"/>
          <w:lang w:eastAsia="pl-PL"/>
          <w14:ligatures w14:val="none"/>
        </w:rPr>
        <w:t>x</w:t>
      </w:r>
      <w:r w:rsidRPr="0068666F">
        <w:rPr>
          <w:rFonts w:ascii="Times New Roman" w:eastAsia="Times New Roman" w:hAnsi="Times New Roman" w:cs="Times New Roman"/>
          <w:bCs/>
          <w:kern w:val="0"/>
          <w:sz w:val="28"/>
          <w:szCs w:val="22"/>
          <w:lang w:eastAsia="pl-PL"/>
          <w14:ligatures w14:val="none"/>
        </w:rPr>
        <w:t>) podzielono na cztery grupy. Pierwsza dotyczyła struktury gospodarstwa rolnego i obejmowała: jego status prawny, typ produkcji (roślinna, zwierzęca, wieloletnie uprawy, mieszana), powierzchnia użytków rolnych w ha, powierzchnia gruntów dzierżawionych w ha, lokalizacji gospodarstwa rolnego – zmienne binarne wskazujące na region NUTS2, w którym znajduje się gospodarstwo. Druga grupa zmiennych dotyczyła narażenia na ryzyko i percepcji ryzyka. Do badania przyjęto zmienne ciągłe określające: średnią roczną liczbę dni ze śniegiem, opadami i burzami w latach 2007-2010, na poziomie regionu NUTS3, średnią liczbę zdarzeń losowych wpływających na gospodarstwo, deklarowanych przez rolnika w latach 2007-2010 oraz zmienną binarną wskazującą, czy rolnik ma dostęp do informacji na temat zarządzania ryzykiem. Trzecia grupa zmiennych dotyczyła cech opisujących rolnika, w tym poziom wykształcenia oraz wiek. Czwarta grupa obejmowała zmienną odnoszącą się do sytuacji finansowej gospodarstwa i była to zmienne binarna wskazująca, czy rolnik korzysta z kredytu oraz zmienna – wypłata odszkodowania ubezpieczeniowego. Na podstawie przeprowadzonej analizy wykazano, że istnieją istotne korelacje między decyzją o zakupie ubezpieczenia a stosowaniem różnych narzędzi zarządzania ryzykiem (np. kontraktów, nawadniania, czy dywersyfikacji). Kluczowe czynniki determinujące posiadanie ubezpieczania związane były z wielkością gospodarstwa rolnego, jego lokalizacją oraz wykształceniem rolnika i ekspozycją na ryzyko i jego postrzeganiem.</w:t>
      </w:r>
    </w:p>
    <w:p w14:paraId="3550E974" w14:textId="5E077AA1"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2"/>
          <w:lang w:eastAsia="pl-PL"/>
          <w14:ligatures w14:val="none"/>
        </w:rPr>
        <w:t xml:space="preserve">Gassler i Rehermann (2022) skupili się na ocenie wpływu preferencji dotyczących ryzyka oraz wysiłku związanego z zawarciem umów ubezpieczenia i wypełnianiem zobowiązań wynikających z dotacji do ubezpieczeń wśród  małych gospodarstw rolnych na Litwie. Dane zebrano w kwietniu 2019 roku wśród 143 </w:t>
      </w:r>
      <w:r w:rsidRPr="0068666F">
        <w:rPr>
          <w:rFonts w:ascii="Times New Roman" w:eastAsia="Times New Roman" w:hAnsi="Times New Roman" w:cs="Times New Roman"/>
          <w:bCs/>
          <w:kern w:val="0"/>
          <w:sz w:val="28"/>
          <w:szCs w:val="22"/>
          <w:lang w:eastAsia="pl-PL"/>
          <w14:ligatures w14:val="none"/>
        </w:rPr>
        <w:lastRenderedPageBreak/>
        <w:t>rolników i osób pracujących w gospodarstwie rolnym z wykorzystaniem kwestionariusza ankiety. W analizie zastosowano model ekonometryczny przy użyciu skończonego podejścia mieszanego opracowanego przez Boxalla i Adamowicza, które wykorzystuje klasy ukryte (LC) do uwzględnienia heterogeniczności preferencji. Model szacuje dwa główne elementy: 1. Funkcję użyteczności: opisuje użyteczność, jaką rolnik czerpie z wyboru konkretnej umowy ubezpieczenia. Funkcja ta jest liniowo addytywna i uwzględnia różne atrybuty umowy. 2. Funkcję przynależności do segmentu: określa prawdopodobieństwo, że rolnik należy do danego segmentu. Funkcja ta jest oparta na cechach rolnika i gospodarstwa. Model jest estymowany przy użyciu danych zebranych za pomocą eksperymentu z wyborem dyskretnym (ang. Discrete Choice Ex-periment, DCE), w którym respondenci wybierają jedną z dwóch hipotetycznych umów ubezpieczeniowych lub opcję rezygnacji.  Model zakłada, że decyzja o zakupie ubezpieczenia jest binarna - rolnik albo kupuje ubezpieczenie, albo nie. Funkcja użyteczności i funkcja przynależności do segmentu są używane do modelowania prawdopodobieństwa wyboru każdej z tych dwóch opcji. Do modelu przyjęto zbiór dwóch rodzajów zmiennych objaśniających (</w:t>
      </w:r>
      <w:r w:rsidRPr="0068666F">
        <w:rPr>
          <w:rFonts w:ascii="Times New Roman" w:eastAsia="Times New Roman" w:hAnsi="Times New Roman" w:cs="Times New Roman"/>
          <w:bCs/>
          <w:i/>
          <w:kern w:val="0"/>
          <w:sz w:val="28"/>
          <w:szCs w:val="22"/>
          <w:lang w:eastAsia="pl-PL"/>
          <w14:ligatures w14:val="none"/>
        </w:rPr>
        <w:t>x</w:t>
      </w:r>
      <w:r w:rsidRPr="0068666F">
        <w:rPr>
          <w:rFonts w:ascii="Times New Roman" w:eastAsia="Times New Roman" w:hAnsi="Times New Roman" w:cs="Times New Roman"/>
          <w:bCs/>
          <w:kern w:val="0"/>
          <w:sz w:val="28"/>
          <w:szCs w:val="22"/>
          <w:lang w:eastAsia="pl-PL"/>
          <w14:ligatures w14:val="none"/>
        </w:rPr>
        <w:t xml:space="preserve">). Pierwszy z nich obejmował zmienne opisujące cechy umowy ubezpieczenia, w tym czas trwania umowy, automatyczne przedłużenie, udział własny, sposób zawarcia umowy i kalkulacja składki, forma złożenia rejestru  upraw, forma płatności, korekta składki (bonus malus system)  oraz wysokość składki wraz z dotacją na każde 1000 euro oczekiwanej wartości zbiorów z ha. Drugi zbiór zmiennych objaśniających odnosił się do cech charakteryzujących rolnika i gospodarstwo, w tym: wiek, płeć, wykształcenie, wielkość gospodarstwa, posiadanie ubezpieczenia, znaczenie ryzyka pogodowego, zaufanie do firm ubezpieczeniowych, preferencje dotyczące ryzyka w rolnictwie oraz subiektywna skłonność do podejmowania ryzyka. Na podstawie przeprowadzonej analizy wskazano czynniki wpływające na decyzje ubezpieczeniowe rolników. Wśród nich wymienia się: ekspozycję na ryzyko i zaufanie do firm ubezpieczeniowych, wiek, preferencje dotyczące ryzyka oraz dochody z działalności pozarolniczej. Badanie umożliwiło zidentyfikowanie dwóch segmentów rolników o różnych preferencjach dotyczących ubezpieczeń.  Potencjalni mali nabywcy - głównie małe gospodarstwa, które czują się bardziej narażone na ryzyko pogodowe i mają większe zaufanie do instytucji ubezpieczeniowych. Są oni bardziej skłonni do zakupu ubezpieczenia, jeśli składka ubezpieczeniowa jest niższa, płatność składki jest odroczona do późniejszego terminu oraz otrzymują pomoc przy zawieraniu umowy i spełnianiu wymogów administracyjnych związanych z dopłatami. Mniej zainteresowani ubezpieczający - głównie rolnicy, którzy posiadają już ubezpieczenie, mają dochody pozarolnicze i postrzegają ryzyko pogodowe </w:t>
      </w:r>
      <w:r w:rsidRPr="0068666F">
        <w:rPr>
          <w:rFonts w:ascii="Times New Roman" w:eastAsia="Times New Roman" w:hAnsi="Times New Roman" w:cs="Times New Roman"/>
          <w:bCs/>
          <w:kern w:val="0"/>
          <w:sz w:val="28"/>
          <w:szCs w:val="22"/>
          <w:lang w:eastAsia="pl-PL"/>
          <w14:ligatures w14:val="none"/>
        </w:rPr>
        <w:lastRenderedPageBreak/>
        <w:t>jako mniejsze. Są oni mniej wrażliwi na zmiany atrybutów umowy i preferują tradycyjne metody zawierania umów i składania dokumentów.</w:t>
      </w:r>
    </w:p>
    <w:p w14:paraId="7C18E04D" w14:textId="5CAD8F16"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2"/>
          <w:lang w:eastAsia="pl-PL"/>
          <w14:ligatures w14:val="none"/>
        </w:rPr>
        <w:t xml:space="preserve">Koenig i Brunette (2023) przeprowadzili badania mające na celu zidentyfikowanie czynników i barier nabywania dotowanych ubezpieczeń upraw z punktu widzenia francuskich rolników. Do badań wykorzystano dane zebrane za pomocą kwestionariusza ankiety, która została przeprowadzona </w:t>
      </w:r>
      <w:r w:rsidRPr="0068666F">
        <w:rPr>
          <w:rFonts w:ascii="Times New Roman" w:eastAsia="Times New Roman" w:hAnsi="Times New Roman" w:cs="Times New Roman"/>
          <w:bCs/>
          <w:i/>
          <w:kern w:val="0"/>
          <w:sz w:val="28"/>
          <w:szCs w:val="22"/>
          <w:lang w:eastAsia="pl-PL"/>
          <w14:ligatures w14:val="none"/>
        </w:rPr>
        <w:t>online</w:t>
      </w:r>
      <w:r w:rsidRPr="0068666F">
        <w:rPr>
          <w:rFonts w:ascii="Times New Roman" w:eastAsia="Times New Roman" w:hAnsi="Times New Roman" w:cs="Times New Roman"/>
          <w:bCs/>
          <w:kern w:val="0"/>
          <w:sz w:val="28"/>
          <w:szCs w:val="22"/>
          <w:lang w:eastAsia="pl-PL"/>
          <w14:ligatures w14:val="none"/>
        </w:rPr>
        <w:t xml:space="preserve"> w 2021 roku. Zebrano łącznie 465 odpowiedzi, w tym 288 kompletnych. Do wyjaśnienia czynników determinujących zainteresowanie (przyjęcie lub nieprzyjęcie) ubezpieczeniem upraw zastosowano losowy model użyteczności (ang. </w:t>
      </w:r>
      <w:r w:rsidRPr="0068666F">
        <w:rPr>
          <w:rFonts w:ascii="Times New Roman" w:eastAsia="Times New Roman" w:hAnsi="Times New Roman" w:cs="Times New Roman"/>
          <w:bCs/>
          <w:i/>
          <w:kern w:val="0"/>
          <w:sz w:val="28"/>
          <w:szCs w:val="22"/>
          <w:lang w:eastAsia="pl-PL"/>
          <w14:ligatures w14:val="none"/>
        </w:rPr>
        <w:t>Random Utility Model</w:t>
      </w:r>
      <w:r w:rsidRPr="0068666F">
        <w:rPr>
          <w:rFonts w:ascii="Times New Roman" w:eastAsia="Times New Roman" w:hAnsi="Times New Roman" w:cs="Times New Roman"/>
          <w:bCs/>
          <w:kern w:val="0"/>
          <w:sz w:val="28"/>
          <w:szCs w:val="22"/>
          <w:lang w:eastAsia="pl-PL"/>
          <w14:ligatures w14:val="none"/>
        </w:rPr>
        <w:t xml:space="preserve">, RUM). Analiza obejmowała dwa etapy. W pierwszym etapie wykorzystano regresje probitowe przekrojowe (ang. </w:t>
      </w:r>
      <w:r w:rsidRPr="0068666F">
        <w:rPr>
          <w:rFonts w:ascii="Times New Roman" w:eastAsia="Times New Roman" w:hAnsi="Times New Roman" w:cs="Times New Roman"/>
          <w:bCs/>
          <w:i/>
          <w:kern w:val="0"/>
          <w:sz w:val="28"/>
          <w:szCs w:val="22"/>
          <w:lang w:eastAsia="pl-PL"/>
          <w14:ligatures w14:val="none"/>
        </w:rPr>
        <w:t>Cross-sectional probit regressions</w:t>
      </w:r>
      <w:r w:rsidRPr="0068666F">
        <w:rPr>
          <w:rFonts w:ascii="Times New Roman" w:eastAsia="Times New Roman" w:hAnsi="Times New Roman" w:cs="Times New Roman"/>
          <w:bCs/>
          <w:kern w:val="0"/>
          <w:sz w:val="28"/>
          <w:szCs w:val="22"/>
          <w:lang w:eastAsia="pl-PL"/>
          <w14:ligatures w14:val="none"/>
        </w:rPr>
        <w:t xml:space="preserve">) i dynamiczną regresję probitową (ang. </w:t>
      </w:r>
      <w:r w:rsidRPr="0068666F">
        <w:rPr>
          <w:rFonts w:ascii="Times New Roman" w:eastAsia="Times New Roman" w:hAnsi="Times New Roman" w:cs="Times New Roman"/>
          <w:bCs/>
          <w:i/>
          <w:kern w:val="0"/>
          <w:sz w:val="28"/>
          <w:szCs w:val="22"/>
          <w:lang w:eastAsia="pl-PL"/>
          <w14:ligatures w14:val="none"/>
        </w:rPr>
        <w:t>Dynamic probit regression</w:t>
      </w:r>
      <w:r w:rsidRPr="0068666F">
        <w:rPr>
          <w:rFonts w:ascii="Times New Roman" w:eastAsia="Times New Roman" w:hAnsi="Times New Roman" w:cs="Times New Roman"/>
          <w:bCs/>
          <w:kern w:val="0"/>
          <w:sz w:val="28"/>
          <w:szCs w:val="22"/>
          <w:lang w:eastAsia="pl-PL"/>
          <w14:ligatures w14:val="none"/>
        </w:rPr>
        <w:t xml:space="preserve">), gdzie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kern w:val="0"/>
          <w:sz w:val="28"/>
          <w:szCs w:val="22"/>
          <w:lang w:eastAsia="pl-PL"/>
          <w14:ligatures w14:val="none"/>
        </w:rPr>
        <w:t xml:space="preserve"> jest zmienną binarną dotyczącą barier nabycia ubezpieczenia upraw. Zmienne niezależne (</w:t>
      </w:r>
      <w:r w:rsidRPr="0068666F">
        <w:rPr>
          <w:rFonts w:ascii="Times New Roman" w:eastAsia="Times New Roman" w:hAnsi="Times New Roman" w:cs="Times New Roman"/>
          <w:bCs/>
          <w:i/>
          <w:kern w:val="0"/>
          <w:sz w:val="28"/>
          <w:szCs w:val="22"/>
          <w:lang w:eastAsia="pl-PL"/>
          <w14:ligatures w14:val="none"/>
        </w:rPr>
        <w:t>x</w:t>
      </w:r>
      <w:r w:rsidRPr="0068666F">
        <w:rPr>
          <w:rFonts w:ascii="Times New Roman" w:eastAsia="Times New Roman" w:hAnsi="Times New Roman" w:cs="Times New Roman"/>
          <w:bCs/>
          <w:kern w:val="0"/>
          <w:sz w:val="28"/>
          <w:szCs w:val="22"/>
          <w:lang w:eastAsia="pl-PL"/>
          <w14:ligatures w14:val="none"/>
        </w:rPr>
        <w:t>) przyjęte do modelu obejmowały: a) potencjalne bariery zakup ubezpieczenia i wdrożone narzędzia zapobiegawcze (zmienne przyjęte w badaniu: zbyt wysoka cena, zbyt wysoka franszyza, zbyt wysoki próg uruchomienia odszkodowania, opóźnienia w wypłacie odszkodowania, biurokracja, niezgodność proponowanych umów z potrzebami, niskie prawdopodobieństwo otrzymania odszkodowania, zbyt niskie pokrycie strat, podjęcie innych środków w celu zapobiegania zagrożeniom pogodowym, brak zaufania do firm ubezpieczeniowych, dywersyfikacja działalności, czas oczekiwania na odszkodowanie); b) zmienne odnoszące się do cech gospodarstwa rolnego i rolników (powierzchnia gospodarstwa, rodzaj prowadzonej działalności rolniczej, lokalizacja, status dzierżawy, posiadanie certyfikatu, wiek rolnika, płeć, wykształcenie, stan cywilny, wielkość gospodarstwa domowego, zatrudnienie współmałżonka, dochód całkowity, dochód z działalności pozarolniczej, wykorzystanie nawadniania, kontraktacja, członkostwo w spółdzielni rolniczej, członkostwo w związku zawodowym, doświadczenie w zarządzaniu gospodarstwem, rodzinny charakter gospodarstwa, stosowanie azotu w uprawach, otrzymanie płatności w ramach systemu klęsk żywiołowych, straty w uprawach w ostatnich dwóch latach); c) zmienne behawioralne (awersja do ryzyka, postrzeganie ryzyka, cierpliwość i impulsywność). Drugi etap analizy opierał się na dynamicznym modelu probitowym z wykorzystaniem danych panelowych. Dane te zostały skonstruowane poprzez połączenie odpowiedzi z ankiety dotyczących ubezpieczenia w bieżącym roku (T) oraz w dwóch poprzednich latach (T-1 i T-2). Zakłada się, że pewne cechy gospodarstwa i rolnika (np. powierzchnia, członkostwo w spółdzielni, sytuacja rodzinna, zmienne behawioralne) pozostają stałe w ciągu tych trzech lat. Dynamiczny model regresji probitowej,  umożliwił ocenę istotności statystycznej poszczególnych zmiennych i ich wpływu na prawdopodobieństwo zakupu ubezpieczenia upraw.</w:t>
      </w:r>
      <w:r w:rsidRPr="0068666F">
        <w:rPr>
          <w:rFonts w:ascii="Times New Roman" w:eastAsia="Times New Roman" w:hAnsi="Times New Roman" w:cs="Times New Roman"/>
          <w:bCs/>
          <w:kern w:val="0"/>
          <w:sz w:val="36"/>
          <w:szCs w:val="22"/>
          <w:lang w:eastAsia="pl-PL"/>
          <w14:ligatures w14:val="none"/>
        </w:rPr>
        <w:t xml:space="preserve"> </w:t>
      </w:r>
      <w:r w:rsidRPr="0068666F">
        <w:rPr>
          <w:rFonts w:ascii="Times New Roman" w:eastAsia="Times New Roman" w:hAnsi="Times New Roman" w:cs="Times New Roman"/>
          <w:bCs/>
          <w:kern w:val="0"/>
          <w:sz w:val="28"/>
          <w:szCs w:val="22"/>
          <w:lang w:eastAsia="pl-PL"/>
          <w14:ligatures w14:val="none"/>
        </w:rPr>
        <w:t xml:space="preserve">Zmienną zależną </w:t>
      </w:r>
      <w:r w:rsidRPr="0068666F">
        <w:rPr>
          <w:rFonts w:ascii="Times New Roman" w:eastAsia="Times New Roman" w:hAnsi="Times New Roman" w:cs="Times New Roman"/>
          <w:bCs/>
          <w:kern w:val="0"/>
          <w:sz w:val="28"/>
          <w:szCs w:val="22"/>
          <w:lang w:eastAsia="pl-PL"/>
          <w14:ligatures w14:val="none"/>
        </w:rPr>
        <w:lastRenderedPageBreak/>
        <w:t>(</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kern w:val="0"/>
          <w:sz w:val="28"/>
          <w:szCs w:val="22"/>
          <w:lang w:eastAsia="pl-PL"/>
          <w14:ligatures w14:val="none"/>
        </w:rPr>
        <w:t>) w modelu było prawdopodobieństwo nabycia ubezpieczenia upraw. Zmienne niezależne (</w:t>
      </w:r>
      <w:r w:rsidRPr="0068666F">
        <w:rPr>
          <w:rFonts w:ascii="Times New Roman" w:eastAsia="Times New Roman" w:hAnsi="Times New Roman" w:cs="Times New Roman"/>
          <w:bCs/>
          <w:i/>
          <w:kern w:val="0"/>
          <w:sz w:val="28"/>
          <w:szCs w:val="22"/>
          <w:lang w:eastAsia="pl-PL"/>
          <w14:ligatures w14:val="none"/>
        </w:rPr>
        <w:t>x</w:t>
      </w:r>
      <w:r w:rsidRPr="0068666F">
        <w:rPr>
          <w:rFonts w:ascii="Times New Roman" w:eastAsia="Times New Roman" w:hAnsi="Times New Roman" w:cs="Times New Roman"/>
          <w:bCs/>
          <w:kern w:val="0"/>
          <w:sz w:val="28"/>
          <w:szCs w:val="22"/>
          <w:lang w:eastAsia="pl-PL"/>
          <w14:ligatures w14:val="none"/>
        </w:rPr>
        <w:t xml:space="preserve">) przyjęte do analizy obejmowały cztery kategorie odnoszące się do: a) charakterystyki gospodarstwa (powierzchnia upraw, okres zarządzania gospodarstwem rolnym, stosowanie nawadniania, dywersyfikacja (upraw lub dochodów), wysokość strat plonów spowodowanych zjawiskami pogodowymi w ciągu ostatnich 2 lat, typ gospodarstwa rolnego, certyfikacja produkcji, stosowanie azotu, kontraktacja, </w:t>
      </w:r>
      <w:r w:rsidR="006E5A96" w:rsidRPr="0068666F">
        <w:rPr>
          <w:rFonts w:ascii="Times New Roman" w:eastAsia="Times New Roman" w:hAnsi="Times New Roman" w:cs="Times New Roman"/>
          <w:bCs/>
          <w:kern w:val="0"/>
          <w:sz w:val="28"/>
          <w:szCs w:val="22"/>
          <w:lang w:eastAsia="pl-PL"/>
          <w14:ligatures w14:val="none"/>
        </w:rPr>
        <w:t>członkostwo</w:t>
      </w:r>
      <w:r w:rsidRPr="0068666F">
        <w:rPr>
          <w:rFonts w:ascii="Times New Roman" w:eastAsia="Times New Roman" w:hAnsi="Times New Roman" w:cs="Times New Roman"/>
          <w:bCs/>
          <w:kern w:val="0"/>
          <w:sz w:val="28"/>
          <w:szCs w:val="22"/>
          <w:lang w:eastAsia="pl-PL"/>
          <w14:ligatures w14:val="none"/>
        </w:rPr>
        <w:t xml:space="preserve"> w spółdzielni rolniczej, członkostwo w związku zawodowym, gospodarstwo rodzinne – wcześniej zarządzane przez członka rodziny, siła robocza, otrzymanie płatności z tytułu klęski żywiołowej);</w:t>
      </w:r>
      <w:r w:rsidRPr="0068666F">
        <w:rPr>
          <w:rFonts w:ascii="Times New Roman" w:eastAsia="Times New Roman" w:hAnsi="Times New Roman" w:cs="Times New Roman"/>
          <w:bCs/>
          <w:kern w:val="0"/>
          <w:sz w:val="36"/>
          <w:szCs w:val="22"/>
          <w:lang w:eastAsia="pl-PL"/>
          <w14:ligatures w14:val="none"/>
        </w:rPr>
        <w:t xml:space="preserve"> </w:t>
      </w:r>
      <w:r w:rsidRPr="0068666F">
        <w:rPr>
          <w:rFonts w:ascii="Times New Roman" w:eastAsia="Times New Roman" w:hAnsi="Times New Roman" w:cs="Times New Roman"/>
          <w:bCs/>
          <w:kern w:val="0"/>
          <w:sz w:val="28"/>
          <w:szCs w:val="22"/>
          <w:lang w:eastAsia="pl-PL"/>
          <w14:ligatures w14:val="none"/>
        </w:rPr>
        <w:t>b) charakterystyki rolnika (wiek, płeć, wykształcenie, wielkość gospodarstwa domowego rolnika, zatrudnienie poza gospodarstwem rolnym, dochody ogółem, dochody z działalności rolniczej, region zamieszkania); c) doświadczenia z ubezpieczeniami upraw w przeszłości (posiadanie ubezpieczeń w przeszłości, otrzymanie odszkodowania w przeszłości); d) zmiennych behawioralnych (awersja do ryzyka, postrzeganie ryzyka, preferencja dla teraźniejszości, impulsywność w zakresie decyzji zakupu ubezpieczenia). Dodatkowo w modelowaniu wykorzystano zmienne instrumentalne - były to dane klimatyczne na poziomie departamentu za lata 2017-2019 (minimalna i maksymalna temperatura, suma rocznych opadów, nasłonecznienie, maksymalna prędkość wiatru w ciągu roku). Analiza wykazała, że wysoka cena ubezpieczenia, wysoka franszyza i niskie prawdopodobieństwo otrzymania odszkodowania to kluczowe bariery utrudniające rolnikom wykupienie ubezpieczenia. Rolnicy, którzy posiadali wcześniej ubezpieczenie, doświadczyli strat w uprawach z powodu zdarzeń pogodowych lub otrzymali odszkodowanie w przeszłości, byli bardziej skłonni do ubezpieczenia swoich upraw. Ponadto dodatni istotny statystycznie wpływ na decyzję o zakupie ubezpieczenia miały takie czynniki, jak: wielkość gospodarstwa, stan cywilny, posiadanie certyfikatu produkcji, bycie członkiem spółdzielni i siła robocza (praca z innymi w gospodarstwie). Natomiast spośród zmiennych instrumentalnych (dane klimatyczne) jedynie maksymalna roczna temperatura ma istotny statystycznie i pozytywny wpływ na decyzję o ubezpieczeniu.</w:t>
      </w:r>
    </w:p>
    <w:p w14:paraId="6161F005" w14:textId="336B5039"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2"/>
          <w:lang w:eastAsia="pl-PL"/>
          <w14:ligatures w14:val="none"/>
        </w:rPr>
        <w:t>Enjolras i Sentis (2008) analizowali czynniki wpływające na zakup ubezpieczenia upraw w rolnictwie francuskim. Badanie to opiera się na danych z lat 2002-2005, pochodzących z reprezentatywnej próby 4700 gospodarstw rolnych należących do francuskiej sieci rachunkowości gospodarstw rolnych (FADN-RICA). Łącząc próbki z lat 2002-2005, otrzymano bazę danych zawierającą 15820 obserwacji.  Do zidentyfikowania czynników determinujących decyzje rolników zastosowano regresję logistyczną. Zmienną binarną w tym przypadku była decyzja o ubezpieczeniu upraw (ubezpieczeni lub brak ubezpieczenia). Autorzy skupili się na wpływie czynników finansowych,  charakteryzujących</w:t>
      </w:r>
      <w:r w:rsidRPr="0068666F">
        <w:rPr>
          <w:rFonts w:ascii="Times New Roman" w:eastAsia="Times New Roman" w:hAnsi="Times New Roman" w:cs="Times New Roman"/>
          <w:bCs/>
          <w:kern w:val="0"/>
          <w:sz w:val="36"/>
          <w:szCs w:val="22"/>
          <w:lang w:eastAsia="pl-PL"/>
          <w14:ligatures w14:val="none"/>
        </w:rPr>
        <w:t xml:space="preserve"> </w:t>
      </w:r>
      <w:r w:rsidRPr="0068666F">
        <w:rPr>
          <w:rFonts w:ascii="Times New Roman" w:eastAsia="Times New Roman" w:hAnsi="Times New Roman" w:cs="Times New Roman"/>
          <w:bCs/>
          <w:kern w:val="0"/>
          <w:sz w:val="28"/>
          <w:szCs w:val="22"/>
          <w:lang w:eastAsia="pl-PL"/>
          <w14:ligatures w14:val="none"/>
        </w:rPr>
        <w:t xml:space="preserve">rolnika </w:t>
      </w:r>
      <w:r w:rsidRPr="0068666F">
        <w:rPr>
          <w:rFonts w:ascii="Times New Roman" w:eastAsia="Times New Roman" w:hAnsi="Times New Roman" w:cs="Times New Roman"/>
          <w:bCs/>
          <w:kern w:val="0"/>
          <w:sz w:val="28"/>
          <w:szCs w:val="22"/>
          <w:lang w:eastAsia="pl-PL"/>
          <w14:ligatures w14:val="none"/>
        </w:rPr>
        <w:lastRenderedPageBreak/>
        <w:t>(indywidualnych) i gospodarstwo rolne oraz meteorologicznych na decyzję o zakupie ubezpieczenia. Do czynników finansowych zaliczyli: roczne obroty w euro, zainwestowany kapitał w euro, dźwignia finansowa, sprzedaż gotówki, wskaźnik gotówki, zwrot z kapitału własnego, zwrot z zaangażowanego kapitału, oraz przychód na ha. W ramach czynników indywidualnych zastosowano zmienne takie, jak: wiek, płeć, wykształcenie rolnika. Do czynników charakteryzujących gospodarstwo rolne zaliczono: całkowitą powierzchnię upraw, powierzchnię nawadnianą, typ produkcji i jej techniczną specjalizację. Z kolei wśród czynników meteorologicznych wyodrębniono: średnią roczną temperaturę, roczne skumulowane opady i roczne skumulowane godziny nasłonecznienia. Na podstawie przeprowadzonej analizy dowiedziono, że czynniki, które miały największy istotny wpływ na decyzje o zakupie ubezpieczenia dotyczyły wielkości i struktury gospodarstwa rolnego, w tym: wielkość gospodarstwa, dywersyfikacja upraw, powierzchnia nawadniana. Wśród czynników, które miały dodatni i statystycznie istotny wpływ na decyzje o posiadaniu ochrony ubezpieczeniowej wymienia się również: doświadczenie z odszkodowaniem w przeszłości, doświadczenie z ekstremalnymi zdarzeniami pogodowymi w przeszłości, roczne skumulowane opady, wiek czy lokalizacja gospodarstwa.</w:t>
      </w:r>
    </w:p>
    <w:p w14:paraId="0541C803" w14:textId="676D17E7"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8"/>
          <w:lang w:eastAsia="pl-PL"/>
          <w14:ligatures w14:val="none"/>
        </w:rPr>
      </w:pPr>
      <w:r w:rsidRPr="0068666F">
        <w:rPr>
          <w:rFonts w:ascii="Times New Roman" w:eastAsia="Times New Roman" w:hAnsi="Times New Roman" w:cs="Times New Roman"/>
          <w:bCs/>
          <w:kern w:val="0"/>
          <w:sz w:val="28"/>
          <w:szCs w:val="28"/>
          <w:lang w:eastAsia="pl-PL"/>
          <w14:ligatures w14:val="none"/>
        </w:rPr>
        <w:t xml:space="preserve">Kislingerová i Špička (2022) </w:t>
      </w:r>
      <w:r w:rsidRPr="0068666F">
        <w:rPr>
          <w:rFonts w:ascii="Times New Roman" w:eastAsia="Times New Roman" w:hAnsi="Times New Roman" w:cs="Times New Roman"/>
          <w:kern w:val="0"/>
          <w:sz w:val="28"/>
          <w:szCs w:val="28"/>
          <w:shd w:val="clear" w:color="auto" w:fill="FFFFFF"/>
          <w:lang w:eastAsia="pl-PL"/>
          <w14:ligatures w14:val="none"/>
        </w:rPr>
        <w:t xml:space="preserve">badali główne czynniki wpływające na chęć rolników do wykupienia ubezpieczenia rolniczego i uczestnictwa w funduszu inwestycyjnym na nieubezpieczalne ryzyka w Republice Czeskiej. Głównym źródłem danych było badanie ankietowe wykorzystujące metodą </w:t>
      </w:r>
      <w:r w:rsidRPr="0068666F">
        <w:rPr>
          <w:rFonts w:ascii="Times New Roman" w:eastAsia="Times New Roman" w:hAnsi="Times New Roman" w:cs="Times New Roman"/>
          <w:i/>
          <w:kern w:val="0"/>
          <w:sz w:val="28"/>
          <w:szCs w:val="28"/>
          <w:shd w:val="clear" w:color="auto" w:fill="FFFFFF"/>
          <w:lang w:eastAsia="pl-PL"/>
          <w14:ligatures w14:val="none"/>
        </w:rPr>
        <w:t>online</w:t>
      </w:r>
      <w:r w:rsidRPr="0068666F">
        <w:rPr>
          <w:rFonts w:ascii="Times New Roman" w:eastAsia="Times New Roman" w:hAnsi="Times New Roman" w:cs="Times New Roman"/>
          <w:kern w:val="0"/>
          <w:sz w:val="28"/>
          <w:szCs w:val="28"/>
          <w:shd w:val="clear" w:color="auto" w:fill="FFFFFF"/>
          <w:lang w:eastAsia="pl-PL"/>
          <w14:ligatures w14:val="none"/>
        </w:rPr>
        <w:t xml:space="preserve">. Badania przeprowadzono w 2021 roku, uzyskując łącznie 214 obserwacji. Do zbadania czynników determinujących zainteresowanie ubezpieczeniem rolniczym zastosowano metodę binarnej regresji logistycznej. Zestaw predyktorów wchodzących do regresji logistycznej obejmował następujące zmienne: wiek (18-40 lat (kategoria referencyjna), 40-50 lat, 50-60 lat, 60+ lat), powierzchnia użytków rolnych – przedziały (&lt;73 ha (kategoria odniesienia), od 73 ha do &lt;312 ha, 312 ha i więcej), rodzaj działalności rolniczej (głównie produkcja roślinna (kategoria referencyjna), głównie produkcja zwierzęca, mieszana produkcja rolna), płeć, liczba lat na stanowisku kierowniczym (dyrektor zarządzający, członek zarządu, prezes zarządu itp.) (do 10 lat włącznie (kategoria odniesienia), 11-20 lat włącznie, powyżej 20 lat); wykształcenie, sadownicy (niezajmujący się produkcją owoców (kategoria referencyjna), zajmujący się produkcją owoców), nieufność do firm ubezpieczeniowych (zmienna liczbowa obliczona jako średnia pięciu pod-twierdzeń), określenie prawdopodobieństwa, że w skali całej działalności wystąpi strata równa lub większa niż 20% średniej rocznej produkcji, osoby aktywnie uczestniczące w zarządzaniu ryzykiem w gospodarstwie, wykorzystanie innych poza ubezpieczeniem narzędzi zarządzania ryzykiem (dywersyfikacja upraw, </w:t>
      </w:r>
      <w:r w:rsidRPr="0068666F">
        <w:rPr>
          <w:rFonts w:ascii="Times New Roman" w:eastAsia="Times New Roman" w:hAnsi="Times New Roman" w:cs="Times New Roman"/>
          <w:kern w:val="0"/>
          <w:sz w:val="28"/>
          <w:szCs w:val="28"/>
          <w:shd w:val="clear" w:color="auto" w:fill="FFFFFF"/>
          <w:lang w:eastAsia="pl-PL"/>
          <w14:ligatures w14:val="none"/>
        </w:rPr>
        <w:lastRenderedPageBreak/>
        <w:t xml:space="preserve">dywersyfikacja dochodów, </w:t>
      </w:r>
      <w:r w:rsidRPr="0068666F">
        <w:rPr>
          <w:rFonts w:ascii="Times New Roman" w:eastAsia="Times New Roman" w:hAnsi="Times New Roman" w:cs="Times New Roman"/>
          <w:kern w:val="0"/>
          <w:sz w:val="28"/>
          <w:szCs w:val="28"/>
          <w:lang w:eastAsia="pl-PL"/>
          <w14:ligatures w14:val="none"/>
        </w:rPr>
        <w:t xml:space="preserve">doraźne odszkodowania z budżetu państwa w przypadku wystąpienia sytuacji kryzysowej, wykorzystanie kredytu obrotowego, narzędzia prewencji technologicznej, siatki przeciwgradowe i inne zabezpieczenia mechaniczne przed zagrożeniami pogodowymi, zabezpieczanie cen za pomocą umów kontraktowych, zabezpieczanie cen poprzez kontrakty terminowe na giełdzie towarowej, sieć bezpieczeństwa grupy spółek lub spółki holdingowej, tworzenie własnych rezerw finansowych, program dotacji mający na celu wsparcie odnowy upraw polowych i specjalistycznych, usługi organizacji marketingowej, współpraca z innymi rolnikami spoza organizacji marketingowej, program dotacji Funduszu Chorób), subiektywna opinia rolników w zakresie zarządzania ryzykiem (zarządzanie ryzykiem w firmie odbywa się zgodnie z formalną strategią, aktywnie współpracujemy ze stowarzyszeniami rolniczymi/organizacjami pozarządowymi, koszt ubezpieczenia dla naszej firmy jest wysoki ze względu na potencjalne roszczenia ubezpieczeniowe, rolnicy muszą przewidywać i przygotowywać się na ryzyka, które trudno ubezpieczyć, fundusz na ryzyka nieubezpieczalne powinien gwarantować zwrot zainwestowanych środków w przypadku kryzysu, w przypadku wyższej średniej straty rekompensata ze strony funduszu inwestycyjnego jest sprawiedliwa, znaczne obniżenie odszkodowań dla nieubezpieczonych rolników jest słuszne), motywy zakupu ubezpieczenia - </w:t>
      </w:r>
      <w:r w:rsidRPr="0068666F">
        <w:rPr>
          <w:rFonts w:ascii="Times New Roman" w:eastAsia="Times New Roman" w:hAnsi="Times New Roman" w:cs="Times New Roman"/>
          <w:kern w:val="0"/>
          <w:sz w:val="28"/>
          <w:szCs w:val="28"/>
          <w:shd w:val="clear" w:color="auto" w:fill="FFFFFF"/>
          <w:lang w:eastAsia="pl-PL"/>
          <w14:ligatures w14:val="none"/>
        </w:rPr>
        <w:t>(</w:t>
      </w:r>
      <w:r w:rsidRPr="0068666F">
        <w:rPr>
          <w:rFonts w:ascii="Times New Roman" w:eastAsia="Times New Roman" w:hAnsi="Times New Roman" w:cs="Times New Roman"/>
          <w:kern w:val="0"/>
          <w:sz w:val="28"/>
          <w:szCs w:val="28"/>
          <w:lang w:eastAsia="pl-PL"/>
          <w14:ligatures w14:val="none"/>
        </w:rPr>
        <w:t>cena, średni współczynnik szkodowości firmy (stosunek odszkodowania do składek zapłaconych w okresie ubezpieczenia), szybkie wypłacenie odszkodowania od firmy ubezpieczeniowej, usługi doradztwa finansowego lub brokera ubezpieczeniowego, wysokość dofinansowania składek z ministerstwa rolnictwa, obciążenie administracyjne związane z dopłatami do składek przez ministerstwo rolnictwa, rekomendacje znajomych lub doświadczenia innych rolników, portfel pokrytych ryzyk, oferty konkurencji). Na podstawie wyników modelowania wysunięto następujące wnioski: prawdopodobieństwo zawarcia ubezpieczenia rolniczego (</w:t>
      </w:r>
      <w:r w:rsidRPr="0068666F">
        <w:rPr>
          <w:rFonts w:ascii="Times New Roman" w:eastAsia="Times New Roman" w:hAnsi="Times New Roman" w:cs="Times New Roman"/>
          <w:i/>
          <w:kern w:val="0"/>
          <w:sz w:val="28"/>
          <w:szCs w:val="28"/>
          <w:lang w:eastAsia="pl-PL"/>
          <w14:ligatures w14:val="none"/>
        </w:rPr>
        <w:t>ceteris paribus</w:t>
      </w:r>
      <w:r w:rsidRPr="0068666F">
        <w:rPr>
          <w:rFonts w:ascii="Times New Roman" w:eastAsia="Times New Roman" w:hAnsi="Times New Roman" w:cs="Times New Roman"/>
          <w:kern w:val="0"/>
          <w:sz w:val="28"/>
          <w:szCs w:val="28"/>
          <w:lang w:eastAsia="pl-PL"/>
          <w14:ligatures w14:val="none"/>
        </w:rPr>
        <w:t>) wzrasta wraz z wielkością gospodarstwa. Przy większym braku zaufania do towarzystw ubezpieczeniowych maleje prawdopodobieństwo wykupywania ubezpieczeń rolnych (</w:t>
      </w:r>
      <w:r w:rsidRPr="0068666F">
        <w:rPr>
          <w:rFonts w:ascii="Times New Roman" w:eastAsia="Times New Roman" w:hAnsi="Times New Roman" w:cs="Times New Roman"/>
          <w:i/>
          <w:kern w:val="0"/>
          <w:sz w:val="28"/>
          <w:szCs w:val="28"/>
          <w:lang w:eastAsia="pl-PL"/>
          <w14:ligatures w14:val="none"/>
        </w:rPr>
        <w:t>ceteris paribus</w:t>
      </w:r>
      <w:r w:rsidRPr="0068666F">
        <w:rPr>
          <w:rFonts w:ascii="Times New Roman" w:eastAsia="Times New Roman" w:hAnsi="Times New Roman" w:cs="Times New Roman"/>
          <w:kern w:val="0"/>
          <w:sz w:val="28"/>
          <w:szCs w:val="28"/>
          <w:lang w:eastAsia="pl-PL"/>
          <w14:ligatures w14:val="none"/>
        </w:rPr>
        <w:t>). Przy większym prawdopodobieństwie straty przekraczającej 20% produkcji wzrasta prawdopodobieństwo zakupu ubezpieczenia rolnego (</w:t>
      </w:r>
      <w:r w:rsidRPr="0068666F">
        <w:rPr>
          <w:rFonts w:ascii="Times New Roman" w:eastAsia="Times New Roman" w:hAnsi="Times New Roman" w:cs="Times New Roman"/>
          <w:i/>
          <w:kern w:val="0"/>
          <w:sz w:val="28"/>
          <w:szCs w:val="28"/>
          <w:lang w:eastAsia="pl-PL"/>
          <w14:ligatures w14:val="none"/>
        </w:rPr>
        <w:t>ceteris paribus</w:t>
      </w:r>
      <w:r w:rsidRPr="0068666F">
        <w:rPr>
          <w:rFonts w:ascii="Times New Roman" w:eastAsia="Times New Roman" w:hAnsi="Times New Roman" w:cs="Times New Roman"/>
          <w:kern w:val="0"/>
          <w:sz w:val="28"/>
          <w:szCs w:val="28"/>
          <w:lang w:eastAsia="pl-PL"/>
          <w14:ligatures w14:val="none"/>
        </w:rPr>
        <w:t>). Im wyższy poziom zgody ze stwierdzeniem, że decyzja o zawarciu ubezpieczenia rolnego jest uzależniona od ceny, tym mniejsze jest prawdopodobieństwo jego zawarcia (</w:t>
      </w:r>
      <w:r w:rsidRPr="0068666F">
        <w:rPr>
          <w:rFonts w:ascii="Times New Roman" w:eastAsia="Times New Roman" w:hAnsi="Times New Roman" w:cs="Times New Roman"/>
          <w:i/>
          <w:kern w:val="0"/>
          <w:sz w:val="28"/>
          <w:szCs w:val="28"/>
          <w:lang w:eastAsia="pl-PL"/>
          <w14:ligatures w14:val="none"/>
        </w:rPr>
        <w:t>ceteris paribus</w:t>
      </w:r>
      <w:r w:rsidRPr="0068666F">
        <w:rPr>
          <w:rFonts w:ascii="Times New Roman" w:eastAsia="Times New Roman" w:hAnsi="Times New Roman" w:cs="Times New Roman"/>
          <w:kern w:val="0"/>
          <w:sz w:val="28"/>
          <w:szCs w:val="28"/>
          <w:lang w:eastAsia="pl-PL"/>
          <w14:ligatures w14:val="none"/>
        </w:rPr>
        <w:t>). Im wyższy poziom zgody ze stwierdzeniem, że ryzyka w gospodarstwie rolnym są zarządzane zgodnie z opracowaną, formalną strategią, tym mniejsze jest prawdopodobieństwo wykupienia ubezpieczenia rolnego (</w:t>
      </w:r>
      <w:r w:rsidRPr="0068666F">
        <w:rPr>
          <w:rFonts w:ascii="Times New Roman" w:eastAsia="Times New Roman" w:hAnsi="Times New Roman" w:cs="Times New Roman"/>
          <w:i/>
          <w:kern w:val="0"/>
          <w:sz w:val="28"/>
          <w:szCs w:val="28"/>
          <w:lang w:eastAsia="pl-PL"/>
          <w14:ligatures w14:val="none"/>
        </w:rPr>
        <w:t>ceteris paribus</w:t>
      </w:r>
      <w:r w:rsidRPr="0068666F">
        <w:rPr>
          <w:rFonts w:ascii="Times New Roman" w:eastAsia="Times New Roman" w:hAnsi="Times New Roman" w:cs="Times New Roman"/>
          <w:kern w:val="0"/>
          <w:sz w:val="28"/>
          <w:szCs w:val="28"/>
          <w:lang w:eastAsia="pl-PL"/>
          <w14:ligatures w14:val="none"/>
        </w:rPr>
        <w:t>).</w:t>
      </w:r>
    </w:p>
    <w:p w14:paraId="47A2C68C" w14:textId="6F5806C6"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8"/>
          <w:lang w:eastAsia="pl-PL"/>
          <w14:ligatures w14:val="none"/>
        </w:rPr>
      </w:pPr>
      <w:r w:rsidRPr="0068666F">
        <w:rPr>
          <w:rFonts w:ascii="Times New Roman" w:eastAsia="Times New Roman" w:hAnsi="Times New Roman" w:cs="Times New Roman"/>
          <w:bCs/>
          <w:kern w:val="0"/>
          <w:sz w:val="28"/>
          <w:szCs w:val="28"/>
          <w:lang w:eastAsia="pl-PL"/>
          <w14:ligatures w14:val="none"/>
        </w:rPr>
        <w:t xml:space="preserve">Codrta i in. (2022) analizowali </w:t>
      </w:r>
      <w:r w:rsidRPr="0068666F">
        <w:rPr>
          <w:rFonts w:ascii="Times New Roman" w:eastAsia="Times New Roman" w:hAnsi="Times New Roman" w:cs="Times New Roman"/>
          <w:kern w:val="0"/>
          <w:sz w:val="28"/>
          <w:szCs w:val="28"/>
          <w:shd w:val="clear" w:color="auto" w:fill="FFFFFF"/>
          <w:lang w:eastAsia="pl-PL"/>
          <w14:ligatures w14:val="none"/>
        </w:rPr>
        <w:t xml:space="preserve">efektywność modeli uczenia maszynowego (ang. </w:t>
      </w:r>
      <w:r w:rsidRPr="0068666F">
        <w:rPr>
          <w:rFonts w:ascii="Times New Roman" w:eastAsia="Times New Roman" w:hAnsi="Times New Roman" w:cs="Times New Roman"/>
          <w:i/>
          <w:kern w:val="0"/>
          <w:sz w:val="28"/>
          <w:szCs w:val="28"/>
          <w:lang w:eastAsia="pl-PL"/>
          <w14:ligatures w14:val="none"/>
        </w:rPr>
        <w:t>machine learning</w:t>
      </w:r>
      <w:r w:rsidRPr="0068666F">
        <w:rPr>
          <w:rFonts w:ascii="Times New Roman" w:eastAsia="Times New Roman" w:hAnsi="Times New Roman" w:cs="Times New Roman"/>
          <w:kern w:val="0"/>
          <w:sz w:val="28"/>
          <w:szCs w:val="28"/>
          <w:lang w:eastAsia="pl-PL"/>
          <w14:ligatures w14:val="none"/>
        </w:rPr>
        <w:t xml:space="preserve">, </w:t>
      </w:r>
      <w:r w:rsidRPr="0068666F">
        <w:rPr>
          <w:rFonts w:ascii="Times New Roman" w:eastAsia="Times New Roman" w:hAnsi="Times New Roman" w:cs="Times New Roman"/>
          <w:kern w:val="0"/>
          <w:sz w:val="28"/>
          <w:szCs w:val="28"/>
          <w:shd w:val="clear" w:color="auto" w:fill="FFFFFF"/>
          <w:lang w:eastAsia="pl-PL"/>
          <w14:ligatures w14:val="none"/>
        </w:rPr>
        <w:t xml:space="preserve">ML) w przewidywaniu zakupu ubezpieczenia upraw </w:t>
      </w:r>
      <w:r w:rsidRPr="0068666F">
        <w:rPr>
          <w:rFonts w:ascii="Times New Roman" w:eastAsia="Times New Roman" w:hAnsi="Times New Roman" w:cs="Times New Roman"/>
          <w:kern w:val="0"/>
          <w:sz w:val="28"/>
          <w:szCs w:val="28"/>
          <w:shd w:val="clear" w:color="auto" w:fill="FFFFFF"/>
          <w:lang w:eastAsia="pl-PL"/>
          <w14:ligatures w14:val="none"/>
        </w:rPr>
        <w:lastRenderedPageBreak/>
        <w:t xml:space="preserve">przez rumuńskich rolników. Wykorzystano zestaw danych obejmujących 721 obserwacji. Dane pozyskano metodą sondażową zarówno za pomocą wywiadu telefonicznego wspomaganego komputerowo (CATI), jak i platformy internetowej. Narzędziem badawczym był kwestionariusz ankiety. Ankietę przeprowadzono we wrześniu 2021 roku. Do zestawu wstępnie przetworzonych danych zastosowano różne algorytmy modelowania: linię bazową, regresję logistyczną (LR), klasyfikator drzewa decyzyjnego (DT), klasyfikator lasu losowego (RFC), klasyfikator </w:t>
      </w:r>
      <w:r w:rsidRPr="0068666F">
        <w:rPr>
          <w:rFonts w:ascii="Times New Roman" w:eastAsia="Times New Roman" w:hAnsi="Times New Roman" w:cs="Times New Roman"/>
          <w:i/>
          <w:kern w:val="0"/>
          <w:sz w:val="28"/>
          <w:szCs w:val="28"/>
          <w:shd w:val="clear" w:color="auto" w:fill="FFFFFF"/>
          <w:lang w:eastAsia="pl-PL"/>
          <w14:ligatures w14:val="none"/>
        </w:rPr>
        <w:t>eXtreme Gradient Boosting</w:t>
      </w:r>
      <w:r w:rsidRPr="0068666F">
        <w:rPr>
          <w:rFonts w:ascii="Times New Roman" w:eastAsia="Times New Roman" w:hAnsi="Times New Roman" w:cs="Times New Roman"/>
          <w:kern w:val="0"/>
          <w:sz w:val="28"/>
          <w:szCs w:val="28"/>
          <w:shd w:val="clear" w:color="auto" w:fill="FFFFFF"/>
          <w:lang w:eastAsia="pl-PL"/>
          <w14:ligatures w14:val="none"/>
        </w:rPr>
        <w:t xml:space="preserve"> (XGB), klasyfikator liniowych wektorów nośnych (SVC) i klasyfikator perceptronu wielowarstwowego (MLP). Zmienną docelową (</w:t>
      </w:r>
      <w:r w:rsidRPr="0068666F">
        <w:rPr>
          <w:rFonts w:ascii="Times New Roman" w:eastAsia="Times New Roman" w:hAnsi="Times New Roman" w:cs="Times New Roman"/>
          <w:i/>
          <w:kern w:val="0"/>
          <w:sz w:val="28"/>
          <w:szCs w:val="28"/>
          <w:shd w:val="clear" w:color="auto" w:fill="FFFFFF"/>
          <w:lang w:eastAsia="pl-PL"/>
          <w14:ligatures w14:val="none"/>
        </w:rPr>
        <w:t>Y</w:t>
      </w:r>
      <w:r w:rsidRPr="0068666F">
        <w:rPr>
          <w:rFonts w:ascii="Times New Roman" w:eastAsia="Times New Roman" w:hAnsi="Times New Roman" w:cs="Times New Roman"/>
          <w:kern w:val="0"/>
          <w:sz w:val="28"/>
          <w:szCs w:val="28"/>
          <w:shd w:val="clear" w:color="auto" w:fill="FFFFFF"/>
          <w:lang w:eastAsia="pl-PL"/>
          <w14:ligatures w14:val="none"/>
        </w:rPr>
        <w:t xml:space="preserve">) rozważaną we wszystkich modelach była cecha binarna wskazująca, czy respondent posiadał, czy nie posiadał ubezpieczenie upraw. Predyktory wykorzystane w modelu podzielono na dwie kategorie: a) poziom upraw, w tym główny typ uprawy, region (8 różnych oficjalnych regionów Rumunii - poziom NUTS2), obszar uprawy, wcześniejsze doświadczenie ze szkodami wyrządzonymi przez klęski żywiołowe; oraz b) poziom rolnika, w tym cechy społeczno-demograficzne (wiek, miejsce zamieszkania, wykształcenie, stan cywilny, wysokość dochodów, udział dochodów z działalności rolniczej w dochodach ogółem), atrybuty ubezpieczeń specyficzne dla rolnika (doświadczenie i zaufanie do firm ubezpieczeniowych, wiedza na temat ubezpieczeń rolnych), atrybuty rolnika – awersja do ryzyka (postrzegane ryzyko utraty plonu, postrzeganie stosunku wartości całkowitej składki do wielkości ryzyka, na jakie narażone jest gospodarstwo, postrzegane ryzyko różnych działań, prawdopodobieństwo podejmowania ryzykownych zachowań). Wśród wszystkich opracowanych modeli najlepsze okazały się: wielowarstwowy klasyfikator perceptronowy (MLP) i liniowy klasyfikator wektorów nośnych (SVC). Aby zidentyfikować główne cechy składowe, zastosowano metody zespołowe oparte na drzewach, a mianowicie klasyfikator losowego lasu (RFC) i klasyfikator </w:t>
      </w:r>
      <w:r w:rsidRPr="0068666F">
        <w:rPr>
          <w:rFonts w:ascii="Times New Roman" w:eastAsia="Times New Roman" w:hAnsi="Times New Roman" w:cs="Times New Roman"/>
          <w:i/>
          <w:kern w:val="0"/>
          <w:sz w:val="28"/>
          <w:szCs w:val="28"/>
          <w:shd w:val="clear" w:color="auto" w:fill="FFFFFF"/>
          <w:lang w:eastAsia="pl-PL"/>
          <w14:ligatures w14:val="none"/>
        </w:rPr>
        <w:t>eXtreme Gradient Boosting</w:t>
      </w:r>
      <w:r w:rsidRPr="0068666F">
        <w:rPr>
          <w:rFonts w:ascii="Times New Roman" w:eastAsia="Times New Roman" w:hAnsi="Times New Roman" w:cs="Times New Roman"/>
          <w:kern w:val="0"/>
          <w:sz w:val="28"/>
          <w:szCs w:val="28"/>
          <w:shd w:val="clear" w:color="auto" w:fill="FFFFFF"/>
          <w:lang w:eastAsia="pl-PL"/>
          <w14:ligatures w14:val="none"/>
        </w:rPr>
        <w:t xml:space="preserve"> (XGB). W obu podejściach najważniejszymi cechami były ogólne postrzeganie ryzyka przez rolnika, jego prawdopodobieństwo podejmowania ryzykownych zachowań, a także jego poziom wiedzy na temat ubezpieczenia upraw.</w:t>
      </w:r>
    </w:p>
    <w:p w14:paraId="4AA7D02F" w14:textId="48D0A67A"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2"/>
          <w:lang w:eastAsia="pl-PL"/>
          <w14:ligatures w14:val="none"/>
        </w:rPr>
        <w:t xml:space="preserve">Stojanović i in. (2019) analizowali gotowość rolników do zakupu ubezpieczeń upraw w Serbii. W badaniu wykorzystano dane zebrane w ramach bezpośrednich wywiadów z rolnikami produkującymi pszenicę i maliny w regionach Wojwodiny, Szumadii i zachodniej Serbii. Ankiety przeprowadzono w grudniu 2017 roku i styczniu 2018 roku. Aby zapewnić reprezentatywność próby, zastosowano typologię według wielkości gospodarstwa oraz losowy dobór gospodarstw w każdej warstwie. Łącznie przebadano 271 rolników. Po weryfikacji zgromadzonego materiału do badań zakwalifikowano 255 obserwacji. W badaniu wykorzystano ramową analizę wyboru dyskretnego, stosując dwumianową </w:t>
      </w:r>
      <w:r w:rsidRPr="0068666F">
        <w:rPr>
          <w:rFonts w:ascii="Times New Roman" w:eastAsia="Times New Roman" w:hAnsi="Times New Roman" w:cs="Times New Roman"/>
          <w:bCs/>
          <w:kern w:val="0"/>
          <w:sz w:val="28"/>
          <w:szCs w:val="22"/>
          <w:lang w:eastAsia="pl-PL"/>
          <w14:ligatures w14:val="none"/>
        </w:rPr>
        <w:lastRenderedPageBreak/>
        <w:t xml:space="preserve">regresję logistyczną. Zmienna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kern w:val="0"/>
          <w:sz w:val="28"/>
          <w:szCs w:val="22"/>
          <w:lang w:eastAsia="pl-PL"/>
          <w14:ligatures w14:val="none"/>
        </w:rPr>
        <w:t xml:space="preserve"> jest kategoryzowana dwiema możliwymi odpowiedziami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i/>
          <w:kern w:val="0"/>
          <w:sz w:val="28"/>
          <w:szCs w:val="22"/>
          <w:vertAlign w:val="subscript"/>
          <w:lang w:eastAsia="pl-PL"/>
          <w14:ligatures w14:val="none"/>
        </w:rPr>
        <w:t>1</w:t>
      </w:r>
      <w:r w:rsidRPr="0068666F">
        <w:rPr>
          <w:rFonts w:ascii="Times New Roman" w:eastAsia="Times New Roman" w:hAnsi="Times New Roman" w:cs="Times New Roman"/>
          <w:bCs/>
          <w:kern w:val="0"/>
          <w:sz w:val="28"/>
          <w:szCs w:val="22"/>
          <w:lang w:eastAsia="pl-PL"/>
          <w14:ligatures w14:val="none"/>
        </w:rPr>
        <w:t xml:space="preserve"> - prawdopodobieństwo zakupu ubezpieczenia plonów w ciągu najbliższych 5 lat;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i/>
          <w:kern w:val="0"/>
          <w:sz w:val="28"/>
          <w:szCs w:val="22"/>
          <w:vertAlign w:val="subscript"/>
          <w:lang w:eastAsia="pl-PL"/>
          <w14:ligatures w14:val="none"/>
        </w:rPr>
        <w:t>2</w:t>
      </w:r>
      <w:r w:rsidRPr="0068666F">
        <w:rPr>
          <w:rFonts w:ascii="Times New Roman" w:eastAsia="Times New Roman" w:hAnsi="Times New Roman" w:cs="Times New Roman"/>
          <w:bCs/>
          <w:kern w:val="0"/>
          <w:sz w:val="28"/>
          <w:szCs w:val="22"/>
          <w:lang w:eastAsia="pl-PL"/>
          <w14:ligatures w14:val="none"/>
        </w:rPr>
        <w:t xml:space="preserve"> - prawdopodobieństwo zakupu ubezpieczenia dochodów w ciągu najbliższych 5 lat. W obu modelach sprawdzono liniowość ciągłych zmiennych niezależnych w odniesieniu do logitowej transformacji zmiennej zależnej, stosując metodę Boxa-Tidwella. Dwie ciągłe zmienne, które naruszały założenie liniowości (całkowita powierzchnia gruntów i dochód), zostały przekształcone logarytmicznie, aby osiągnąć liniową zależność między zmiennymi. Współliniowość oceniono poprzez zbadanie współczynników inflacji wariancji (VIF) uzyskanych w analizie regresji liniowej wielokrotnej z tymi samymi zmiennymi. Zmienne niezależne (</w:t>
      </w:r>
      <w:r w:rsidRPr="0068666F">
        <w:rPr>
          <w:rFonts w:ascii="Times New Roman" w:eastAsia="Times New Roman" w:hAnsi="Times New Roman" w:cs="Times New Roman"/>
          <w:bCs/>
          <w:i/>
          <w:kern w:val="0"/>
          <w:sz w:val="28"/>
          <w:szCs w:val="22"/>
          <w:lang w:eastAsia="pl-PL"/>
          <w14:ligatures w14:val="none"/>
        </w:rPr>
        <w:t>x</w:t>
      </w:r>
      <w:r w:rsidRPr="0068666F">
        <w:rPr>
          <w:rFonts w:ascii="Times New Roman" w:eastAsia="Times New Roman" w:hAnsi="Times New Roman" w:cs="Times New Roman"/>
          <w:bCs/>
          <w:kern w:val="0"/>
          <w:sz w:val="28"/>
          <w:szCs w:val="22"/>
          <w:lang w:eastAsia="pl-PL"/>
          <w14:ligatures w14:val="none"/>
        </w:rPr>
        <w:t>) przyjęte dla obu modeli to: wiek, płeć, wykształcenie, specjalne kwalifikacje rolnicze, planowanie dywersyfikacji w najbliższych 5-ciu latach, powierzchnia gruntów, dochód rolnika w ostatnim zakończonym roku, postrzeganie ryzyka plonów, postrzeganie ryzyka cen rynkowych. Badanie wykazało, że gotowość rolników do zakupu ubezpieczeń upraw jest istotnie statystycznie i jest związana z: wiekiem, wielkością gospodarstwa, dochodami oraz postrzeganym poziomem ryzyka. Czynniki wpływające na gotowość rolników do zakupu ubezpieczenia plonów i dochodów są takie same, z wyjątkiem postrzeganego ryzyka cen rynkowych, które jest istotne tylko dla decyzji o zakupie ubezpieczenia dochodów. Rolnicy powyżej 65 roku życia odznaczali się wyższym prawdopodobieństwem zakupu ubezpieczenia plonów i ubezpieczenia dochodów w porównaniu do najmłodszej grupy wiekowej rolników. Większa powierzchnia gospodarstwa zwiększała prawdopodobieństwo zakupu obu rodzajów ubezpieczeń, podobnie jak postrzeganie ryzyka plonów – im wyżej rolnik postrzegał to ryzyko, tym większe było prawdopodobieństwo zakupu ubezpieczeń. Z kolei wyższe dochody zmniejszały prawdopodobieństwo zakupu ubezpieczeń plonów i dochodów. Natomiast wyższe postrzegane ryzyko wahań cen rynkowych zwiększało prawdopodobieństwo zakupu ubezpieczenia dochodów.</w:t>
      </w:r>
    </w:p>
    <w:p w14:paraId="22EA876C" w14:textId="078F648D" w:rsidR="0068666F" w:rsidRPr="0068666F" w:rsidRDefault="0068666F" w:rsidP="0068666F">
      <w:pPr>
        <w:spacing w:after="0" w:line="264" w:lineRule="auto"/>
        <w:ind w:firstLine="709"/>
        <w:jc w:val="both"/>
        <w:rPr>
          <w:rFonts w:ascii="Times New Roman" w:eastAsia="Times New Roman" w:hAnsi="Times New Roman" w:cs="Times New Roman"/>
          <w:kern w:val="0"/>
          <w:sz w:val="28"/>
          <w:szCs w:val="28"/>
          <w:lang w:eastAsia="pl-PL"/>
          <w14:ligatures w14:val="none"/>
        </w:rPr>
      </w:pPr>
      <w:r w:rsidRPr="0068666F">
        <w:rPr>
          <w:rFonts w:ascii="Times New Roman" w:eastAsia="Times New Roman" w:hAnsi="Times New Roman" w:cs="Times New Roman"/>
          <w:bCs/>
          <w:kern w:val="0"/>
          <w:sz w:val="28"/>
          <w:szCs w:val="28"/>
          <w:lang w:eastAsia="pl-PL"/>
          <w14:ligatures w14:val="none"/>
        </w:rPr>
        <w:t xml:space="preserve">Rawa (2023) przeprowadził badania mające na celu identyfikację czynników wpływających na wykorzystanie ubezpieczeń przez polskich rolników. Do realizacji celu autor wykorzystał </w:t>
      </w:r>
      <w:r w:rsidRPr="0068666F">
        <w:rPr>
          <w:rFonts w:ascii="Times New Roman" w:eastAsia="Times New Roman" w:hAnsi="Times New Roman" w:cs="Times New Roman"/>
          <w:iCs/>
          <w:kern w:val="0"/>
          <w:sz w:val="28"/>
          <w:szCs w:val="28"/>
          <w:lang w:eastAsia="pl-PL"/>
          <w14:ligatures w14:val="none"/>
        </w:rPr>
        <w:t>model równań strukturalnych</w:t>
      </w:r>
      <w:r w:rsidRPr="0068666F">
        <w:rPr>
          <w:rFonts w:ascii="Times New Roman" w:eastAsia="Times New Roman" w:hAnsi="Times New Roman" w:cs="Times New Roman"/>
          <w:i/>
          <w:iCs/>
          <w:kern w:val="0"/>
          <w:sz w:val="28"/>
          <w:szCs w:val="28"/>
          <w:lang w:eastAsia="pl-PL"/>
          <w14:ligatures w14:val="none"/>
        </w:rPr>
        <w:t xml:space="preserve"> </w:t>
      </w:r>
      <w:r w:rsidRPr="0068666F">
        <w:rPr>
          <w:rFonts w:ascii="Times New Roman" w:eastAsia="Times New Roman" w:hAnsi="Times New Roman" w:cs="Times New Roman"/>
          <w:kern w:val="0"/>
          <w:sz w:val="28"/>
          <w:szCs w:val="28"/>
          <w:lang w:eastAsia="pl-PL"/>
          <w14:ligatures w14:val="none"/>
        </w:rPr>
        <w:t xml:space="preserve">(ang. </w:t>
      </w:r>
      <w:r w:rsidRPr="0068666F">
        <w:rPr>
          <w:rFonts w:ascii="Times New Roman" w:eastAsia="Times New Roman" w:hAnsi="Times New Roman" w:cs="Times New Roman"/>
          <w:i/>
          <w:iCs/>
          <w:kern w:val="0"/>
          <w:sz w:val="28"/>
          <w:szCs w:val="28"/>
          <w:lang w:eastAsia="pl-PL"/>
          <w14:ligatures w14:val="none"/>
        </w:rPr>
        <w:t>Structural Equation Model</w:t>
      </w:r>
      <w:r w:rsidRPr="0068666F">
        <w:rPr>
          <w:rFonts w:ascii="Times New Roman" w:eastAsia="Times New Roman" w:hAnsi="Times New Roman" w:cs="Times New Roman"/>
          <w:kern w:val="0"/>
          <w:sz w:val="28"/>
          <w:szCs w:val="28"/>
          <w:lang w:eastAsia="pl-PL"/>
          <w14:ligatures w14:val="none"/>
        </w:rPr>
        <w:t>, SEM). Me</w:t>
      </w:r>
      <w:r w:rsidRPr="0068666F">
        <w:rPr>
          <w:rFonts w:ascii="Times New Roman" w:eastAsia="Times New Roman" w:hAnsi="Times New Roman" w:cs="Times New Roman"/>
          <w:kern w:val="0"/>
          <w:sz w:val="28"/>
          <w:szCs w:val="28"/>
          <w:lang w:eastAsia="pl-PL"/>
          <w14:ligatures w14:val="none"/>
        </w:rPr>
        <w:softHyphen/>
        <w:t>toda ta opisywana jest często jako rozszerzenie regresji wielorakiej. Wybór metody podyktowany był moż</w:t>
      </w:r>
      <w:r w:rsidRPr="0068666F">
        <w:rPr>
          <w:rFonts w:ascii="Times New Roman" w:eastAsia="Times New Roman" w:hAnsi="Times New Roman" w:cs="Times New Roman"/>
          <w:kern w:val="0"/>
          <w:sz w:val="28"/>
          <w:szCs w:val="28"/>
          <w:lang w:eastAsia="pl-PL"/>
          <w14:ligatures w14:val="none"/>
        </w:rPr>
        <w:softHyphen/>
        <w:t>liwością ujęcia wielopoziomowych zależności przyczynowo-skutkowych oraz kowariancyjnych. Ponadto SEM, przy zastosowaniu zmiennych ob</w:t>
      </w:r>
      <w:r w:rsidRPr="0068666F">
        <w:rPr>
          <w:rFonts w:ascii="Times New Roman" w:eastAsia="Times New Roman" w:hAnsi="Times New Roman" w:cs="Times New Roman"/>
          <w:kern w:val="0"/>
          <w:sz w:val="28"/>
          <w:szCs w:val="28"/>
          <w:lang w:eastAsia="pl-PL"/>
          <w14:ligatures w14:val="none"/>
        </w:rPr>
        <w:softHyphen/>
        <w:t>serwowanych, pozwala opisywać zmienne nieob</w:t>
      </w:r>
      <w:r w:rsidRPr="0068666F">
        <w:rPr>
          <w:rFonts w:ascii="Times New Roman" w:eastAsia="Times New Roman" w:hAnsi="Times New Roman" w:cs="Times New Roman"/>
          <w:kern w:val="0"/>
          <w:sz w:val="28"/>
          <w:szCs w:val="28"/>
          <w:lang w:eastAsia="pl-PL"/>
          <w14:ligatures w14:val="none"/>
        </w:rPr>
        <w:softHyphen/>
        <w:t>serwowalne (latentne, ukryte). Na podstawie badań literaturowych zbudowa</w:t>
      </w:r>
      <w:r w:rsidRPr="0068666F">
        <w:rPr>
          <w:rFonts w:ascii="Times New Roman" w:eastAsia="Times New Roman" w:hAnsi="Times New Roman" w:cs="Times New Roman"/>
          <w:kern w:val="0"/>
          <w:sz w:val="28"/>
          <w:szCs w:val="28"/>
          <w:lang w:eastAsia="pl-PL"/>
          <w14:ligatures w14:val="none"/>
        </w:rPr>
        <w:softHyphen/>
        <w:t xml:space="preserve">no model opisujący skłonność (zmienna latentna - </w:t>
      </w:r>
      <w:r w:rsidRPr="0068666F">
        <w:rPr>
          <w:rFonts w:ascii="Times New Roman" w:eastAsia="Times New Roman" w:hAnsi="Times New Roman" w:cs="Times New Roman"/>
          <w:i/>
          <w:kern w:val="0"/>
          <w:sz w:val="28"/>
          <w:szCs w:val="28"/>
          <w:lang w:eastAsia="pl-PL"/>
          <w14:ligatures w14:val="none"/>
        </w:rPr>
        <w:t>Y</w:t>
      </w:r>
      <w:r w:rsidRPr="0068666F">
        <w:rPr>
          <w:rFonts w:ascii="Times New Roman" w:eastAsia="Times New Roman" w:hAnsi="Times New Roman" w:cs="Times New Roman"/>
          <w:kern w:val="0"/>
          <w:sz w:val="28"/>
          <w:szCs w:val="28"/>
          <w:lang w:eastAsia="pl-PL"/>
          <w14:ligatures w14:val="none"/>
        </w:rPr>
        <w:t>) rolnika do zakupu ubezpieczenia. Doboru zmiennych do modelu dokonano w sposób celowy, by odzwierciedlić zależności wykazywane przez do</w:t>
      </w:r>
      <w:r w:rsidRPr="0068666F">
        <w:rPr>
          <w:rFonts w:ascii="Times New Roman" w:eastAsia="Times New Roman" w:hAnsi="Times New Roman" w:cs="Times New Roman"/>
          <w:kern w:val="0"/>
          <w:sz w:val="28"/>
          <w:szCs w:val="28"/>
          <w:lang w:eastAsia="pl-PL"/>
          <w14:ligatures w14:val="none"/>
        </w:rPr>
        <w:softHyphen/>
        <w:t xml:space="preserve">tychczasowe badania, </w:t>
      </w:r>
      <w:r w:rsidRPr="0068666F">
        <w:rPr>
          <w:rFonts w:ascii="Times New Roman" w:eastAsia="Times New Roman" w:hAnsi="Times New Roman" w:cs="Times New Roman"/>
          <w:kern w:val="0"/>
          <w:sz w:val="28"/>
          <w:szCs w:val="28"/>
          <w:lang w:eastAsia="pl-PL"/>
          <w14:ligatures w14:val="none"/>
        </w:rPr>
        <w:lastRenderedPageBreak/>
        <w:t xml:space="preserve">uwzględniając jednak istnienie zmiennych nieobserwowalnych. Ukryta zmienna endogeniczna </w:t>
      </w:r>
      <w:r w:rsidRPr="0068666F">
        <w:rPr>
          <w:rFonts w:ascii="Times New Roman" w:eastAsia="Times New Roman" w:hAnsi="Times New Roman" w:cs="Times New Roman"/>
          <w:iCs/>
          <w:kern w:val="0"/>
          <w:sz w:val="28"/>
          <w:szCs w:val="28"/>
          <w:lang w:eastAsia="pl-PL"/>
          <w14:ligatures w14:val="none"/>
        </w:rPr>
        <w:t>skłonność do zaku</w:t>
      </w:r>
      <w:r w:rsidRPr="0068666F">
        <w:rPr>
          <w:rFonts w:ascii="Times New Roman" w:eastAsia="Times New Roman" w:hAnsi="Times New Roman" w:cs="Times New Roman"/>
          <w:iCs/>
          <w:kern w:val="0"/>
          <w:sz w:val="28"/>
          <w:szCs w:val="28"/>
          <w:lang w:eastAsia="pl-PL"/>
          <w14:ligatures w14:val="none"/>
        </w:rPr>
        <w:softHyphen/>
        <w:t xml:space="preserve">pu ubezpieczenia </w:t>
      </w:r>
      <w:r w:rsidRPr="0068666F">
        <w:rPr>
          <w:rFonts w:ascii="Times New Roman" w:eastAsia="Times New Roman" w:hAnsi="Times New Roman" w:cs="Times New Roman"/>
          <w:kern w:val="0"/>
          <w:sz w:val="28"/>
          <w:szCs w:val="28"/>
          <w:lang w:eastAsia="pl-PL"/>
          <w14:ligatures w14:val="none"/>
        </w:rPr>
        <w:t xml:space="preserve">opisywana jest przez dwie ukryte zmienne egzogeniczne – </w:t>
      </w:r>
      <w:r w:rsidRPr="0068666F">
        <w:rPr>
          <w:rFonts w:ascii="Times New Roman" w:eastAsia="Times New Roman" w:hAnsi="Times New Roman" w:cs="Times New Roman"/>
          <w:iCs/>
          <w:kern w:val="0"/>
          <w:sz w:val="28"/>
          <w:szCs w:val="28"/>
          <w:lang w:eastAsia="pl-PL"/>
          <w14:ligatures w14:val="none"/>
        </w:rPr>
        <w:t>intensywność gospodaro</w:t>
      </w:r>
      <w:r w:rsidRPr="0068666F">
        <w:rPr>
          <w:rFonts w:ascii="Times New Roman" w:eastAsia="Times New Roman" w:hAnsi="Times New Roman" w:cs="Times New Roman"/>
          <w:iCs/>
          <w:kern w:val="0"/>
          <w:sz w:val="28"/>
          <w:szCs w:val="28"/>
          <w:lang w:eastAsia="pl-PL"/>
          <w14:ligatures w14:val="none"/>
        </w:rPr>
        <w:softHyphen/>
        <w:t xml:space="preserve">wania </w:t>
      </w:r>
      <w:r w:rsidRPr="0068666F">
        <w:rPr>
          <w:rFonts w:ascii="Times New Roman" w:eastAsia="Times New Roman" w:hAnsi="Times New Roman" w:cs="Times New Roman"/>
          <w:kern w:val="0"/>
          <w:sz w:val="28"/>
          <w:szCs w:val="28"/>
          <w:lang w:eastAsia="pl-PL"/>
          <w14:ligatures w14:val="none"/>
        </w:rPr>
        <w:t xml:space="preserve">oraz </w:t>
      </w:r>
      <w:r w:rsidRPr="0068666F">
        <w:rPr>
          <w:rFonts w:ascii="Times New Roman" w:eastAsia="Times New Roman" w:hAnsi="Times New Roman" w:cs="Times New Roman"/>
          <w:iCs/>
          <w:kern w:val="0"/>
          <w:sz w:val="28"/>
          <w:szCs w:val="28"/>
          <w:lang w:eastAsia="pl-PL"/>
          <w14:ligatures w14:val="none"/>
        </w:rPr>
        <w:t>awersja do ryzyka i percepcja ryzyka</w:t>
      </w:r>
      <w:r w:rsidRPr="0068666F">
        <w:rPr>
          <w:rFonts w:ascii="Times New Roman" w:eastAsia="Times New Roman" w:hAnsi="Times New Roman" w:cs="Times New Roman"/>
          <w:kern w:val="0"/>
          <w:sz w:val="28"/>
          <w:szCs w:val="28"/>
          <w:lang w:eastAsia="pl-PL"/>
          <w14:ligatures w14:val="none"/>
        </w:rPr>
        <w:t xml:space="preserve">. Model pomiarowy opisujący </w:t>
      </w:r>
      <w:r w:rsidRPr="0068666F">
        <w:rPr>
          <w:rFonts w:ascii="Times New Roman" w:eastAsia="Times New Roman" w:hAnsi="Times New Roman" w:cs="Times New Roman"/>
          <w:iCs/>
          <w:kern w:val="0"/>
          <w:sz w:val="28"/>
          <w:szCs w:val="28"/>
          <w:lang w:eastAsia="pl-PL"/>
          <w14:ligatures w14:val="none"/>
        </w:rPr>
        <w:t>intensywność gospo</w:t>
      </w:r>
      <w:r w:rsidRPr="0068666F">
        <w:rPr>
          <w:rFonts w:ascii="Times New Roman" w:eastAsia="Times New Roman" w:hAnsi="Times New Roman" w:cs="Times New Roman"/>
          <w:iCs/>
          <w:kern w:val="0"/>
          <w:sz w:val="28"/>
          <w:szCs w:val="28"/>
          <w:lang w:eastAsia="pl-PL"/>
          <w14:ligatures w14:val="none"/>
        </w:rPr>
        <w:softHyphen/>
        <w:t xml:space="preserve">darowania </w:t>
      </w:r>
      <w:r w:rsidRPr="0068666F">
        <w:rPr>
          <w:rFonts w:ascii="Times New Roman" w:eastAsia="Times New Roman" w:hAnsi="Times New Roman" w:cs="Times New Roman"/>
          <w:kern w:val="0"/>
          <w:sz w:val="28"/>
          <w:szCs w:val="28"/>
          <w:lang w:eastAsia="pl-PL"/>
          <w14:ligatures w14:val="none"/>
        </w:rPr>
        <w:t>składa się z trzech jawnych zmiennych egzogenicznych, odzwierciedlających intensywność gospodarowania: dochód gospodarstwa na hektar UR w tys. złotych, aktywa gospodarstwa na hektar UR w tys. złotych oraz zobowiązania gospodarstwa w relacji do pasywów (%). Zmienne te odzwierciedlają kolejno: wynik intensyfikacji produkcji (wzrost dochodu z ha), uzbrojenie w kapitał oraz procesy in</w:t>
      </w:r>
      <w:r w:rsidRPr="0068666F">
        <w:rPr>
          <w:rFonts w:ascii="Times New Roman" w:eastAsia="Times New Roman" w:hAnsi="Times New Roman" w:cs="Times New Roman"/>
          <w:kern w:val="0"/>
          <w:sz w:val="28"/>
          <w:szCs w:val="28"/>
          <w:lang w:eastAsia="pl-PL"/>
          <w14:ligatures w14:val="none"/>
        </w:rPr>
        <w:softHyphen/>
        <w:t xml:space="preserve">westycyjne w gospodarstwie, które finansowane są kredytami bankowymi. Model pomiarowy zmiennej </w:t>
      </w:r>
      <w:r w:rsidRPr="0068666F">
        <w:rPr>
          <w:rFonts w:ascii="Times New Roman" w:eastAsia="Times New Roman" w:hAnsi="Times New Roman" w:cs="Times New Roman"/>
          <w:iCs/>
          <w:kern w:val="0"/>
          <w:sz w:val="28"/>
          <w:szCs w:val="28"/>
          <w:lang w:eastAsia="pl-PL"/>
          <w14:ligatures w14:val="none"/>
        </w:rPr>
        <w:t>awersja do ryzyka i per</w:t>
      </w:r>
      <w:r w:rsidRPr="0068666F">
        <w:rPr>
          <w:rFonts w:ascii="Times New Roman" w:eastAsia="Times New Roman" w:hAnsi="Times New Roman" w:cs="Times New Roman"/>
          <w:iCs/>
          <w:kern w:val="0"/>
          <w:sz w:val="28"/>
          <w:szCs w:val="28"/>
          <w:lang w:eastAsia="pl-PL"/>
          <w14:ligatures w14:val="none"/>
        </w:rPr>
        <w:softHyphen/>
        <w:t xml:space="preserve">cepcja ryzyka </w:t>
      </w:r>
      <w:r w:rsidRPr="0068666F">
        <w:rPr>
          <w:rFonts w:ascii="Times New Roman" w:eastAsia="Times New Roman" w:hAnsi="Times New Roman" w:cs="Times New Roman"/>
          <w:kern w:val="0"/>
          <w:sz w:val="28"/>
          <w:szCs w:val="28"/>
          <w:lang w:eastAsia="pl-PL"/>
          <w14:ligatures w14:val="none"/>
        </w:rPr>
        <w:t>zawiera dwie jawne zmienne egzoge</w:t>
      </w:r>
      <w:r w:rsidRPr="0068666F">
        <w:rPr>
          <w:rFonts w:ascii="Times New Roman" w:eastAsia="Times New Roman" w:hAnsi="Times New Roman" w:cs="Times New Roman"/>
          <w:kern w:val="0"/>
          <w:sz w:val="28"/>
          <w:szCs w:val="28"/>
          <w:lang w:eastAsia="pl-PL"/>
          <w14:ligatures w14:val="none"/>
        </w:rPr>
        <w:softHyphen/>
        <w:t>niczne, dzieląc ryzyko na dwie grupy: obiektywne i subiektywne: współ</w:t>
      </w:r>
      <w:r w:rsidRPr="0068666F">
        <w:rPr>
          <w:rFonts w:ascii="Times New Roman" w:eastAsia="Times New Roman" w:hAnsi="Times New Roman" w:cs="Times New Roman"/>
          <w:kern w:val="0"/>
          <w:sz w:val="28"/>
          <w:szCs w:val="28"/>
          <w:lang w:eastAsia="pl-PL"/>
          <w14:ligatures w14:val="none"/>
        </w:rPr>
        <w:softHyphen/>
        <w:t xml:space="preserve">czynnik zmienności plonów gospodarstwa za lata 2004-2013 (jako obiektywny czynnik ryzyka) oraz subiektywną ocenę rolnika co do swojej awersji do ryzyka. W modelu pomiarowym ukrytej zmiennej endogenicznej </w:t>
      </w:r>
      <w:r w:rsidRPr="0068666F">
        <w:rPr>
          <w:rFonts w:ascii="Times New Roman" w:eastAsia="Times New Roman" w:hAnsi="Times New Roman" w:cs="Times New Roman"/>
          <w:iCs/>
          <w:kern w:val="0"/>
          <w:sz w:val="28"/>
          <w:szCs w:val="28"/>
          <w:lang w:eastAsia="pl-PL"/>
          <w14:ligatures w14:val="none"/>
        </w:rPr>
        <w:t xml:space="preserve">skłonności do zakupu ubezpieczenia </w:t>
      </w:r>
      <w:r w:rsidRPr="0068666F">
        <w:rPr>
          <w:rFonts w:ascii="Times New Roman" w:eastAsia="Times New Roman" w:hAnsi="Times New Roman" w:cs="Times New Roman"/>
          <w:kern w:val="0"/>
          <w:sz w:val="28"/>
          <w:szCs w:val="28"/>
          <w:lang w:eastAsia="pl-PL"/>
          <w14:ligatures w14:val="none"/>
        </w:rPr>
        <w:t>uwzględniono: wysokość składek na ubezpieczenie produkcyjne w gospodarstwie w relacji do wartości jego produkcji (%) oraz subiektywną ocenę rolni</w:t>
      </w:r>
      <w:r w:rsidRPr="0068666F">
        <w:rPr>
          <w:rFonts w:ascii="Times New Roman" w:eastAsia="Times New Roman" w:hAnsi="Times New Roman" w:cs="Times New Roman"/>
          <w:kern w:val="0"/>
          <w:sz w:val="28"/>
          <w:szCs w:val="28"/>
          <w:lang w:eastAsia="pl-PL"/>
          <w14:ligatures w14:val="none"/>
        </w:rPr>
        <w:softHyphen/>
        <w:t>ka na temat skuteczności rozwiązania, jakim jest ubezpieczenie upraw. Zmienne te odzwierciedlają kolejno: dotychczasowe uczestnictwo rolnika w systemie ubezpieczeń produkcyjnych i przekonanie rolnika co do przydatności ubezpieczeń upraw.</w:t>
      </w:r>
      <w:r w:rsidRPr="0068666F">
        <w:rPr>
          <w:rFonts w:ascii="Times New Roman" w:eastAsia="Times New Roman" w:hAnsi="Times New Roman" w:cs="Times New Roman"/>
          <w:iCs/>
          <w:kern w:val="0"/>
          <w:sz w:val="28"/>
          <w:szCs w:val="28"/>
          <w:lang w:eastAsia="pl-PL"/>
          <w14:ligatures w14:val="none"/>
        </w:rPr>
        <w:t xml:space="preserve"> Model oszacowano dla próby 600 gospodarstw znajdujących się w polu obserwacji FADN.</w:t>
      </w:r>
      <w:r w:rsidRPr="0068666F">
        <w:rPr>
          <w:rFonts w:ascii="Times New Roman" w:eastAsia="Times New Roman" w:hAnsi="Times New Roman" w:cs="Times New Roman"/>
          <w:kern w:val="0"/>
          <w:sz w:val="28"/>
          <w:szCs w:val="28"/>
          <w:lang w:eastAsia="pl-PL"/>
          <w14:ligatures w14:val="none"/>
        </w:rPr>
        <w:t xml:space="preserve"> Za źródło danych posłużyły wyniki ankiety przy</w:t>
      </w:r>
      <w:r w:rsidRPr="0068666F">
        <w:rPr>
          <w:rFonts w:ascii="Times New Roman" w:eastAsia="Times New Roman" w:hAnsi="Times New Roman" w:cs="Times New Roman"/>
          <w:kern w:val="0"/>
          <w:sz w:val="28"/>
          <w:szCs w:val="28"/>
          <w:lang w:eastAsia="pl-PL"/>
          <w14:ligatures w14:val="none"/>
        </w:rPr>
        <w:softHyphen/>
        <w:t>gotowanej na potrzeby projektu finansowanego w ramach projektu GOSPOSTRATEG (realizo</w:t>
      </w:r>
      <w:r w:rsidRPr="0068666F">
        <w:rPr>
          <w:rFonts w:ascii="Times New Roman" w:eastAsia="Times New Roman" w:hAnsi="Times New Roman" w:cs="Times New Roman"/>
          <w:kern w:val="0"/>
          <w:sz w:val="28"/>
          <w:szCs w:val="28"/>
          <w:lang w:eastAsia="pl-PL"/>
          <w14:ligatures w14:val="none"/>
        </w:rPr>
        <w:softHyphen/>
        <w:t>wanego w latach 2019–2022). Próba obejmowała wyłącznie gospodarstwa towarowe o standardowej produkcji przekraczającej 4 tys. EUR. Doboru do próby do</w:t>
      </w:r>
      <w:r w:rsidRPr="0068666F">
        <w:rPr>
          <w:rFonts w:ascii="Times New Roman" w:eastAsia="Times New Roman" w:hAnsi="Times New Roman" w:cs="Times New Roman"/>
          <w:kern w:val="0"/>
          <w:sz w:val="28"/>
          <w:szCs w:val="28"/>
          <w:lang w:eastAsia="pl-PL"/>
          <w14:ligatures w14:val="none"/>
        </w:rPr>
        <w:softHyphen/>
        <w:t>konano metodą warstwowo-losową, uwzględniając: kryterium specjalizacji, kryterium wielkości ekonomicznej oraz położenie geograficzne (według regio</w:t>
      </w:r>
      <w:r w:rsidRPr="0068666F">
        <w:rPr>
          <w:rFonts w:ascii="Times New Roman" w:eastAsia="Times New Roman" w:hAnsi="Times New Roman" w:cs="Times New Roman"/>
          <w:kern w:val="0"/>
          <w:sz w:val="28"/>
          <w:szCs w:val="28"/>
          <w:lang w:eastAsia="pl-PL"/>
          <w14:ligatures w14:val="none"/>
        </w:rPr>
        <w:softHyphen/>
        <w:t xml:space="preserve">nów FADN). Na podstawie przeprowadzonych analizy dowiedziono, że </w:t>
      </w:r>
      <w:r w:rsidRPr="0068666F">
        <w:rPr>
          <w:rFonts w:ascii="Times New Roman" w:eastAsia="Times New Roman" w:hAnsi="Times New Roman" w:cs="Times New Roman"/>
          <w:iCs/>
          <w:kern w:val="0"/>
          <w:sz w:val="28"/>
          <w:szCs w:val="28"/>
          <w:lang w:eastAsia="pl-PL"/>
          <w14:ligatures w14:val="none"/>
        </w:rPr>
        <w:t xml:space="preserve">intensywność gospodarowania </w:t>
      </w:r>
      <w:r w:rsidRPr="0068666F">
        <w:rPr>
          <w:rFonts w:ascii="Times New Roman" w:eastAsia="Times New Roman" w:hAnsi="Times New Roman" w:cs="Times New Roman"/>
          <w:kern w:val="0"/>
          <w:sz w:val="28"/>
          <w:szCs w:val="28"/>
          <w:lang w:eastAsia="pl-PL"/>
          <w14:ligatures w14:val="none"/>
        </w:rPr>
        <w:t xml:space="preserve">oraz </w:t>
      </w:r>
      <w:r w:rsidRPr="0068666F">
        <w:rPr>
          <w:rFonts w:ascii="Times New Roman" w:eastAsia="Times New Roman" w:hAnsi="Times New Roman" w:cs="Times New Roman"/>
          <w:iCs/>
          <w:kern w:val="0"/>
          <w:sz w:val="28"/>
          <w:szCs w:val="28"/>
          <w:lang w:eastAsia="pl-PL"/>
          <w14:ligatures w14:val="none"/>
        </w:rPr>
        <w:t xml:space="preserve">awersja do ryzyka i percepcja ryzyka </w:t>
      </w:r>
      <w:r w:rsidRPr="0068666F">
        <w:rPr>
          <w:rFonts w:ascii="Times New Roman" w:eastAsia="Times New Roman" w:hAnsi="Times New Roman" w:cs="Times New Roman"/>
          <w:kern w:val="0"/>
          <w:sz w:val="28"/>
          <w:szCs w:val="28"/>
          <w:lang w:eastAsia="pl-PL"/>
          <w14:ligatures w14:val="none"/>
        </w:rPr>
        <w:t>okazały się w podobnym stopniu wpływać na skłonność rolnika do zakupu ubezpieczenia. Dodatni wpływ na zmienną objaśnianą miały: współczynnik zmienności plonów oraz samoocena rolnika co do podejmowania ryzykownych decyzji (subiektywna awersja do ryzyka). Pozostałe współczynniki okazały się być ujemne, wobec czego stwierdzić można, że wysokość dochodu rolniczego w przeliczeniu na hektar UR, wartość aktywów w przeliczeniu na hektar UR oraz finansowanie długiem obniżają skłonność rolników do zakupu ubezpieczeń produkcyjnego.</w:t>
      </w:r>
    </w:p>
    <w:p w14:paraId="1A5A06BD" w14:textId="6236C503"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8"/>
          <w:lang w:eastAsia="pl-PL"/>
          <w14:ligatures w14:val="none"/>
        </w:rPr>
        <w:t xml:space="preserve">Wąs i Kobus (2018) podjęli się badań mających na celu określenie czynników wpływających na decyzje polskich rolników dotyczące ubezpieczenia </w:t>
      </w:r>
      <w:r w:rsidRPr="0068666F">
        <w:rPr>
          <w:rFonts w:ascii="Times New Roman" w:eastAsia="Times New Roman" w:hAnsi="Times New Roman" w:cs="Times New Roman"/>
          <w:bCs/>
          <w:kern w:val="0"/>
          <w:sz w:val="28"/>
          <w:szCs w:val="28"/>
          <w:lang w:eastAsia="pl-PL"/>
          <w14:ligatures w14:val="none"/>
        </w:rPr>
        <w:lastRenderedPageBreak/>
        <w:t>upraw. W celu analizy uwarunkowań decyzji o ubezpieczeniu upraw autorzy ww. skonstruowali model regresji logistycznej oparty na próbie FADN z 2013 roku. Model ten służy do analizy zależności pomiędzy zmienną zależną o charakterze binarnym (w tym przypadku: (</w:t>
      </w:r>
      <w:r w:rsidRPr="0068666F">
        <w:rPr>
          <w:rFonts w:ascii="Times New Roman" w:eastAsia="Times New Roman" w:hAnsi="Times New Roman" w:cs="Times New Roman"/>
          <w:bCs/>
          <w:i/>
          <w:kern w:val="0"/>
          <w:sz w:val="28"/>
          <w:szCs w:val="28"/>
          <w:lang w:eastAsia="pl-PL"/>
          <w14:ligatures w14:val="none"/>
        </w:rPr>
        <w:t>Y</w:t>
      </w:r>
      <w:r w:rsidRPr="0068666F">
        <w:rPr>
          <w:rFonts w:ascii="Times New Roman" w:eastAsia="Times New Roman" w:hAnsi="Times New Roman" w:cs="Times New Roman"/>
          <w:bCs/>
          <w:kern w:val="0"/>
          <w:sz w:val="28"/>
          <w:szCs w:val="28"/>
          <w:lang w:eastAsia="pl-PL"/>
          <w14:ligatures w14:val="none"/>
        </w:rPr>
        <w:t>) ubezpieczenie upraw – tak/nie) a zestawem zmiennych niezależnych (</w:t>
      </w:r>
      <w:r w:rsidRPr="0068666F">
        <w:rPr>
          <w:rFonts w:ascii="Times New Roman" w:eastAsia="Times New Roman" w:hAnsi="Times New Roman" w:cs="Times New Roman"/>
          <w:bCs/>
          <w:i/>
          <w:kern w:val="0"/>
          <w:sz w:val="28"/>
          <w:szCs w:val="28"/>
          <w:lang w:eastAsia="pl-PL"/>
          <w14:ligatures w14:val="none"/>
        </w:rPr>
        <w:t>x</w:t>
      </w:r>
      <w:r w:rsidRPr="0068666F">
        <w:rPr>
          <w:rFonts w:ascii="Times New Roman" w:eastAsia="Times New Roman" w:hAnsi="Times New Roman" w:cs="Times New Roman"/>
          <w:bCs/>
          <w:kern w:val="0"/>
          <w:sz w:val="28"/>
          <w:szCs w:val="28"/>
          <w:lang w:eastAsia="pl-PL"/>
          <w14:ligatures w14:val="none"/>
        </w:rPr>
        <w:t>), które zostały podzielone według następujących kategorii: a) poziom ryzyka (zmienność plonów – wystąpienie znaczącego spadku plonów (&gt;40%) w latach 2004-2012, jakość gleby – wskaźnik jakości gleby, warunki pogodowe – lokalizacja w jednym z regionów FADN, zmienność dochodów – intensywność produkcji roślinnej (wartość nakładów w tys. PLN/ha), poziom zadłużenia gospodarstwa – wskaźnik zadłużenia (całkowite zobowiązania/całkowite aktywa), oczekiwany poziom odszkodowania – otrzymanie odszkodowania co najmniej raz w latach 2004-2012); b) dostępne substytuty (poziom dofinansowania działalności operacyjnej); c) poziom dochodów (dochód na poziomie gospodarstwa – dochód z gospodarstwa rolnego (tys. PLN/rok); d) preferencje</w:t>
      </w:r>
      <w:r w:rsidRPr="0068666F">
        <w:rPr>
          <w:rFonts w:ascii="Times New Roman" w:eastAsia="Times New Roman" w:hAnsi="Times New Roman" w:cs="Times New Roman"/>
          <w:bCs/>
          <w:kern w:val="0"/>
          <w:sz w:val="28"/>
          <w:szCs w:val="22"/>
          <w:lang w:eastAsia="pl-PL"/>
          <w14:ligatures w14:val="none"/>
        </w:rPr>
        <w:t xml:space="preserve"> rolnika (doświadczenie w zarządzaniu gospodarstwem – wiek rolnika, poziom wykształcenia, doświadczenia z ubezpieczycielami – otrzymanie odszkodowania w latach 2004-2012, poziom percepcji ryzyka – doświadczenie znaczącego spadku plonów (&gt;40%) w latach 2004-2012, poziom awersji do ryzyka – współczynnik absolutnej awersji do ryzyka Arrowa-Pratta); e) wielkość gospodarstwa (wartość produkcji rolnej). Ze względu na warstwowanie próby w FADN, do estymacji modelu wykorzystano estymator Horvitza-Thompsona. Uwzględnia on informacje o liczbie gospodarstw reprezentowanych przez każde gospodarstwo w próbie, co pozwala na uogólnienie wyników modelu na skalę krajową. Oszacowanie modelu przeprowadzono dla gospodarstw podzielonych na grupy kwartylowe według stawki dopłaty (1: &lt;14.9%; 2: 14.9-22.8%; 3: 22.6-34.5%; 4: &gt;34.5%) Wyniki modelu regresji logistycznej wskazują, że najważniejszymi czynnikami wpływającymi na decyzje o ubezpieczeniu upraw są: wartość produkcji rolnej, poniesienie znacznych strat w plonach w przeszłości oraz otrzymanie odszkodowania w latach poprzednich. Dodatkowo, istotny wpływ na decyzję o ubezpieczeniu ma lokalizacja gospodarstwa. </w:t>
      </w:r>
    </w:p>
    <w:p w14:paraId="0AC14599" w14:textId="70CCF8F9" w:rsidR="0068666F" w:rsidRPr="0068666F" w:rsidRDefault="0068666F" w:rsidP="0068666F">
      <w:pPr>
        <w:spacing w:after="0" w:line="264" w:lineRule="auto"/>
        <w:ind w:firstLine="709"/>
        <w:jc w:val="both"/>
        <w:rPr>
          <w:rFonts w:ascii="Times New Roman" w:eastAsia="Times New Roman" w:hAnsi="Times New Roman" w:cs="Times New Roman"/>
          <w:kern w:val="0"/>
          <w:sz w:val="28"/>
          <w:szCs w:val="28"/>
          <w:lang w:eastAsia="pl-PL"/>
          <w14:ligatures w14:val="none"/>
        </w:rPr>
      </w:pPr>
      <w:r w:rsidRPr="0068666F">
        <w:rPr>
          <w:rFonts w:ascii="Times New Roman" w:eastAsia="Times New Roman" w:hAnsi="Times New Roman" w:cs="Times New Roman"/>
          <w:bCs/>
          <w:kern w:val="0"/>
          <w:sz w:val="28"/>
          <w:szCs w:val="22"/>
          <w:lang w:eastAsia="pl-PL"/>
          <w14:ligatures w14:val="none"/>
        </w:rPr>
        <w:t xml:space="preserve">Kurdyś-Kujawska i Soliwoda (2021) analizowali czynniki wpływające na posiadanie </w:t>
      </w:r>
      <w:r w:rsidRPr="0068666F">
        <w:rPr>
          <w:rFonts w:ascii="Times New Roman" w:eastAsia="Times New Roman" w:hAnsi="Times New Roman" w:cs="Times New Roman"/>
          <w:kern w:val="0"/>
          <w:sz w:val="28"/>
          <w:szCs w:val="28"/>
          <w:lang w:eastAsia="pl-PL"/>
          <w14:ligatures w14:val="none"/>
        </w:rPr>
        <w:t xml:space="preserve">ubezpieczeń upraw i zwierząt gospodarskich, wykorzystując model regresji logitowej. Celem badania była empiryczna weryfikacja </w:t>
      </w:r>
      <w:r w:rsidRPr="0068666F">
        <w:rPr>
          <w:rFonts w:ascii="Times New Roman" w:eastAsia="Times New Roman" w:hAnsi="Times New Roman" w:cs="Times New Roman"/>
          <w:kern w:val="0"/>
          <w:sz w:val="28"/>
          <w:lang w:eastAsia="pl-PL"/>
          <w14:ligatures w14:val="none"/>
        </w:rPr>
        <w:t xml:space="preserve">i ocena wpływu asymetrii informacji na udział rolników w systemie dotowanych ubezpieczeń upraw i/lub zwierząt Polsce. </w:t>
      </w:r>
      <w:r w:rsidRPr="0068666F">
        <w:rPr>
          <w:rFonts w:ascii="Times New Roman" w:eastAsia="Times New Roman" w:hAnsi="Times New Roman" w:cs="Times New Roman"/>
          <w:kern w:val="0"/>
          <w:sz w:val="28"/>
          <w:szCs w:val="28"/>
          <w:lang w:eastAsia="pl-PL"/>
          <w14:ligatures w14:val="none"/>
        </w:rPr>
        <w:t>Badanie opiera się na zbiorze danych pozyskanych w drodze przeprowadzonego badania sondażowego, z wykorzystaniem kwestionariusza ankiety przy</w:t>
      </w:r>
      <w:r w:rsidRPr="0068666F">
        <w:rPr>
          <w:rFonts w:ascii="Times New Roman" w:eastAsia="Times New Roman" w:hAnsi="Times New Roman" w:cs="Times New Roman"/>
          <w:kern w:val="0"/>
          <w:sz w:val="28"/>
          <w:szCs w:val="28"/>
          <w:lang w:eastAsia="pl-PL"/>
          <w14:ligatures w14:val="none"/>
        </w:rPr>
        <w:softHyphen/>
        <w:t>gotowanego na potrzeby projektu finansowanego w ramach projektu GOSPOSTRATEG (realizo</w:t>
      </w:r>
      <w:r w:rsidRPr="0068666F">
        <w:rPr>
          <w:rFonts w:ascii="Times New Roman" w:eastAsia="Times New Roman" w:hAnsi="Times New Roman" w:cs="Times New Roman"/>
          <w:kern w:val="0"/>
          <w:sz w:val="28"/>
          <w:szCs w:val="28"/>
          <w:lang w:eastAsia="pl-PL"/>
          <w14:ligatures w14:val="none"/>
        </w:rPr>
        <w:softHyphen/>
        <w:t>wanego w latach 2019–2022). Do analizy przyjęto następujący zestaw potencjalnych zmiennych niezależnych (</w:t>
      </w:r>
      <w:r w:rsidRPr="0068666F">
        <w:rPr>
          <w:rFonts w:ascii="Times New Roman" w:eastAsia="Times New Roman" w:hAnsi="Times New Roman" w:cs="Times New Roman"/>
          <w:i/>
          <w:kern w:val="0"/>
          <w:sz w:val="28"/>
          <w:szCs w:val="28"/>
          <w:lang w:eastAsia="pl-PL"/>
          <w14:ligatures w14:val="none"/>
        </w:rPr>
        <w:t>x</w:t>
      </w:r>
      <w:r w:rsidRPr="0068666F">
        <w:rPr>
          <w:rFonts w:ascii="Times New Roman" w:eastAsia="Times New Roman" w:hAnsi="Times New Roman" w:cs="Times New Roman"/>
          <w:kern w:val="0"/>
          <w:sz w:val="28"/>
          <w:szCs w:val="28"/>
          <w:lang w:eastAsia="pl-PL"/>
          <w14:ligatures w14:val="none"/>
        </w:rPr>
        <w:t xml:space="preserve">): </w:t>
      </w:r>
      <w:r w:rsidRPr="0068666F">
        <w:rPr>
          <w:rFonts w:ascii="Times New Roman" w:eastAsia="Times New Roman" w:hAnsi="Times New Roman" w:cs="Times New Roman"/>
          <w:kern w:val="0"/>
          <w:sz w:val="28"/>
          <w:szCs w:val="28"/>
          <w:lang w:eastAsia="pl-PL"/>
          <w14:ligatures w14:val="none"/>
        </w:rPr>
        <w:lastRenderedPageBreak/>
        <w:t>położenie gospodarstwa rolnego (według typologii regionów FADN), przychody ze sprzedaży brutto, powierzchnia użytków rolnych zgłoszonych do płatności obszarowych w ha, typ produkcji, percepcja rolników (ubezpieczają się rolnicy o wyższym niż przeciętne ryzyko, opłacając składki ubezpieczeniowe rolnik płaci za innych rolników, składka ubezpieczeniowa odpowiada zagrożeniom), wdrożenie nowych technologii wiąże się z ryzykiem, znaczenie ubezpieczeń upraw i/ lub zwierząt w strategii zarządzania ryzykiem. Zmienna zależna (</w:t>
      </w:r>
      <w:r w:rsidRPr="0068666F">
        <w:rPr>
          <w:rFonts w:ascii="Times New Roman" w:eastAsia="Times New Roman" w:hAnsi="Times New Roman" w:cs="Times New Roman"/>
          <w:i/>
          <w:kern w:val="0"/>
          <w:sz w:val="28"/>
          <w:szCs w:val="28"/>
          <w:lang w:eastAsia="pl-PL"/>
          <w14:ligatures w14:val="none"/>
        </w:rPr>
        <w:t>Y</w:t>
      </w:r>
      <w:r w:rsidRPr="0068666F">
        <w:rPr>
          <w:rFonts w:ascii="Times New Roman" w:eastAsia="Times New Roman" w:hAnsi="Times New Roman" w:cs="Times New Roman"/>
          <w:kern w:val="0"/>
          <w:sz w:val="28"/>
          <w:szCs w:val="28"/>
          <w:lang w:eastAsia="pl-PL"/>
          <w14:ligatures w14:val="none"/>
        </w:rPr>
        <w:t>) o charakterze binarnym oznaczona zostało jako posiadanie dotowanego ubezpieczenia upraw i/ lub zwierząt. W modelu dodatni, statystycznie istotny wpływ na zmienną zależną mają: przychody ze sprzedaży, składka ubezpieczeniowa odpowiada zagrożeniom, znaczenie ubezpieczeń w strategii zarządzania ryzykiem. Statystycznie istotny, ale ujemny wpływ na zmienna zależną ma zmienna - ubezpieczają się rolnicy o wyższym niż przeciętni ryzyku.</w:t>
      </w:r>
    </w:p>
    <w:p w14:paraId="3397B641" w14:textId="2F27300B"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8"/>
          <w:lang w:eastAsia="pl-PL"/>
          <w14:ligatures w14:val="none"/>
        </w:rPr>
      </w:pPr>
      <w:r w:rsidRPr="0068666F">
        <w:rPr>
          <w:rFonts w:ascii="Times New Roman" w:eastAsia="Times New Roman" w:hAnsi="Times New Roman" w:cs="Times New Roman"/>
          <w:bCs/>
          <w:kern w:val="0"/>
          <w:sz w:val="28"/>
          <w:szCs w:val="28"/>
          <w:lang w:eastAsia="pl-PL"/>
          <w14:ligatures w14:val="none"/>
        </w:rPr>
        <w:t xml:space="preserve">Sihem (2019) przeprowadziła badania mające na celu </w:t>
      </w:r>
      <w:r w:rsidRPr="0068666F">
        <w:rPr>
          <w:rFonts w:ascii="Times New Roman" w:eastAsia="Times New Roman" w:hAnsi="Times New Roman" w:cs="Times New Roman"/>
          <w:kern w:val="0"/>
          <w:sz w:val="28"/>
          <w:szCs w:val="28"/>
          <w:lang w:eastAsia="pl-PL"/>
          <w14:ligatures w14:val="none"/>
        </w:rPr>
        <w:t>zidentyfikowanie czynników determinujących korzystanie z ubezpieczeń rolniczych i przedstawienie dowodów na to, że kwestie religii, oprócz kwestii społeczno-ekonomicznych, odgrywają istotną rolę wyjaśniającą w popycie na ubezpieczenia rolnicze. Analiza opierała się na danych panelowych 23 krajów amerykańskich i europejskich i obejmowała lata 2000-2012. w  krajach amerykańskich i europejskich w okresie 2000–2012. Religia w tym badaniu jako jeden ze wskaźników wymiaru kulturowego została zdefiniowana jako „chrześcijanie i muzułmanie”. W badaniu zastosowano technikę modelowania regresji logistycznej (dwumianowy model logitowy regresji wielokrotnej) z 276 obserwacjami przekrojowymi. Zmienną objaśnianą (</w:t>
      </w:r>
      <w:r w:rsidRPr="0068666F">
        <w:rPr>
          <w:rFonts w:ascii="Times New Roman" w:eastAsia="Times New Roman" w:hAnsi="Times New Roman" w:cs="Times New Roman"/>
          <w:i/>
          <w:kern w:val="0"/>
          <w:sz w:val="28"/>
          <w:szCs w:val="28"/>
          <w:lang w:eastAsia="pl-PL"/>
          <w14:ligatures w14:val="none"/>
        </w:rPr>
        <w:t>Y</w:t>
      </w:r>
      <w:r w:rsidRPr="0068666F">
        <w:rPr>
          <w:rFonts w:ascii="Times New Roman" w:eastAsia="Times New Roman" w:hAnsi="Times New Roman" w:cs="Times New Roman"/>
          <w:kern w:val="0"/>
          <w:sz w:val="28"/>
          <w:szCs w:val="28"/>
          <w:lang w:eastAsia="pl-PL"/>
          <w14:ligatures w14:val="none"/>
        </w:rPr>
        <w:t>) określono jako zaplanowanie zakupu ubezpieczenia. Predy</w:t>
      </w:r>
      <w:r w:rsidR="00240250">
        <w:rPr>
          <w:rFonts w:ascii="Times New Roman" w:eastAsia="Times New Roman" w:hAnsi="Times New Roman" w:cs="Times New Roman"/>
          <w:kern w:val="0"/>
          <w:sz w:val="28"/>
          <w:szCs w:val="28"/>
          <w:lang w:eastAsia="pl-PL"/>
          <w14:ligatures w14:val="none"/>
        </w:rPr>
        <w:t>kt</w:t>
      </w:r>
      <w:r w:rsidRPr="0068666F">
        <w:rPr>
          <w:rFonts w:ascii="Times New Roman" w:eastAsia="Times New Roman" w:hAnsi="Times New Roman" w:cs="Times New Roman"/>
          <w:kern w:val="0"/>
          <w:sz w:val="28"/>
          <w:szCs w:val="28"/>
          <w:lang w:eastAsia="pl-PL"/>
          <w14:ligatures w14:val="none"/>
        </w:rPr>
        <w:t>ory (</w:t>
      </w:r>
      <w:r w:rsidRPr="0068666F">
        <w:rPr>
          <w:rFonts w:ascii="Times New Roman" w:eastAsia="Times New Roman" w:hAnsi="Times New Roman" w:cs="Times New Roman"/>
          <w:i/>
          <w:kern w:val="0"/>
          <w:sz w:val="28"/>
          <w:szCs w:val="28"/>
          <w:lang w:eastAsia="pl-PL"/>
          <w14:ligatures w14:val="none"/>
        </w:rPr>
        <w:t>x</w:t>
      </w:r>
      <w:r w:rsidRPr="0068666F">
        <w:rPr>
          <w:rFonts w:ascii="Times New Roman" w:eastAsia="Times New Roman" w:hAnsi="Times New Roman" w:cs="Times New Roman"/>
          <w:kern w:val="0"/>
          <w:sz w:val="28"/>
          <w:szCs w:val="28"/>
          <w:lang w:eastAsia="pl-PL"/>
          <w14:ligatures w14:val="none"/>
        </w:rPr>
        <w:t>) były: zmienne kulturowe (udziały wyznawców religii w populacji wiejskiej (% muzułmanów w populacji wiejskiej, % chrześcijan w populacji wiejskiej); zmienne demograficzne (poziom wykształcenia rolników); zmienne ekonomiczne (dopłaty do składek, powierzchnia upraw); parametry działania ubezpieczyciela (składka na ubezpieczenie rolnicze); parametry działania ubezpieczyciela (ryzyko plonu); zmienne lokalizacyjne (region). Na podstawie przeprowadzonej analizy dowiedziono, że składka na ubezpieczenia rolnicze, powierzchnia uprawna, dopłaty do składek na ubezpieczenia rolnicze, </w:t>
      </w:r>
      <w:hyperlink r:id="rId320" w:tooltip="Dowiedz się więcej o poziomach wykształcenia ze stron tematycznych ScienceDirect generowanych przez sztuczną inteligencję" w:history="1">
        <w:r w:rsidRPr="0068666F">
          <w:rPr>
            <w:rFonts w:ascii="Times New Roman" w:eastAsia="Times New Roman" w:hAnsi="Times New Roman" w:cs="Times New Roman"/>
            <w:kern w:val="0"/>
            <w:sz w:val="28"/>
            <w:szCs w:val="28"/>
            <w:lang w:eastAsia="pl-PL"/>
            <w14:ligatures w14:val="none"/>
          </w:rPr>
          <w:t>poziom wykształcenia</w:t>
        </w:r>
      </w:hyperlink>
      <w:r w:rsidRPr="0068666F">
        <w:rPr>
          <w:rFonts w:ascii="Times New Roman" w:eastAsia="Times New Roman" w:hAnsi="Times New Roman" w:cs="Times New Roman"/>
          <w:kern w:val="0"/>
          <w:sz w:val="28"/>
          <w:szCs w:val="28"/>
          <w:lang w:eastAsia="pl-PL"/>
          <w14:ligatures w14:val="none"/>
        </w:rPr>
        <w:t> rolników, ryzyko związane z plonami i religia okazały się statystycznie istotnymi czynnikami determinującymi popyt na ubezpieczenia rolnicze.</w:t>
      </w:r>
    </w:p>
    <w:p w14:paraId="5E37B3E1" w14:textId="0E422682"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2"/>
          <w:lang w:eastAsia="pl-PL"/>
          <w14:ligatures w14:val="none"/>
        </w:rPr>
        <w:t xml:space="preserve">Garrido i Zilberman (2008) badają popytu na ubezpieczenia rolne w Hiszpanii, skupiając się na czynnikach wpływających na decyzje rolników o zakupie polis. Autorzy analizują dane z hiszpańskiego systemu ubezpieczeń rolnych (ENESA) obejmujące lata 1993-2004. Baza danych obejmowała 52 300 rolników z 7 regionów rolniczych (comarcas), którzy wykupili ubezpieczenie co najmniej </w:t>
      </w:r>
      <w:r w:rsidRPr="0068666F">
        <w:rPr>
          <w:rFonts w:ascii="Times New Roman" w:eastAsia="Times New Roman" w:hAnsi="Times New Roman" w:cs="Times New Roman"/>
          <w:bCs/>
          <w:kern w:val="0"/>
          <w:sz w:val="28"/>
          <w:szCs w:val="22"/>
          <w:lang w:eastAsia="pl-PL"/>
          <w14:ligatures w14:val="none"/>
        </w:rPr>
        <w:lastRenderedPageBreak/>
        <w:t xml:space="preserve">w ciągu dwóch lat między okresem 1993 a 2004 roku, a także pełną charakterystykę strategii ubezpieczeniowej każdego gospodarstwa, opłaconych składek, dopłat do składek i pobranych odszkodowań. Autorzy stosują dwa podejścia do modelowania popytu na ubezpieczenia rolne: 1. Modele binarne (probit). W tym podejściu analizuje się dychotomiczną decyzję o zakupie lub niezakupieniu polisy ubezpieczeniowej w danym roku. Model probit określa prawdopodobieństwo zakupu polisy w funkcji zmiennych objaśniających, takich jak: oczekiwana stopa zwrotu z ubezpieczenia (obliczana jako stosunek sumy otrzymanych odszkodowań do sumy zapłaconych składek), wariancja stóp zwrotu (mierzy zmienność stóp zwrotu z ubezpieczenia), trzeci moment rozkładu stóp zwrotu (informuje o asymetrii ich rozkładu), zmienne specyficzne dla regionu (uwzględniają różnice w warunkach rolniczych i ryzyku w poszczególnych regionach). 2. Modele liczące (ang. </w:t>
      </w:r>
      <w:r w:rsidRPr="0068666F">
        <w:rPr>
          <w:rFonts w:ascii="Times New Roman" w:eastAsia="Times New Roman" w:hAnsi="Times New Roman" w:cs="Times New Roman"/>
          <w:bCs/>
          <w:i/>
          <w:kern w:val="0"/>
          <w:sz w:val="28"/>
          <w:szCs w:val="22"/>
          <w:lang w:eastAsia="pl-PL"/>
          <w14:ligatures w14:val="none"/>
        </w:rPr>
        <w:t>Zero-inflated Poisson</w:t>
      </w:r>
      <w:r w:rsidRPr="0068666F">
        <w:rPr>
          <w:rFonts w:ascii="Times New Roman" w:eastAsia="Times New Roman" w:hAnsi="Times New Roman" w:cs="Times New Roman"/>
          <w:bCs/>
          <w:kern w:val="0"/>
          <w:sz w:val="28"/>
          <w:szCs w:val="22"/>
          <w:lang w:eastAsia="pl-PL"/>
          <w14:ligatures w14:val="none"/>
        </w:rPr>
        <w:t>, ZIP). W tym podejściu analizuje się liczbę lat, w których dany rolnik zdecydował się na zakup polisy ubezpieczeniowej w okresie 2000-2003. Model ZIP uwzględnia dwa możliwe reżimy. Reżim 1: Rolnik nie kupuje polisy w żadnym z analizowanych lat. Reżim 2: Rolnik kupuje polisę w co najmniej jednym z analizowanych lat. Liczba lat z zakupem polisy jest modelowana rozkładem Poissona. Na podstawie przeprowadzonej analizy dowiedziono, że rolnicy w Hiszpanii reagują na bodźce ekonomiczne przy podejmowaniu decyzji o zakupie ubezpieczeń. Zmienność stóp zwrotu jest ważniejszym czynnikiem wpływającym na popyt niż sama oczekiwana stopa zwrotu. Rolnicy są bardziej skłonni do zakupu polisy, jeśli istnieje szansa na uzyskanie wysokiego odszkodowania, nawet jeśli jest ono mniej prawdopodobne. Dotacje do składek, choć zwiększają oczekiwaną stopę zwrotu, mają mniejszy wpływ na popyt na ubezpieczenia niż zmienność stóp zwrotu. Oznacza to, że rolnicy są bardziej zainteresowani ochroną przed rzadkimi, ale poważnymi stratami, niż stałym, ale niewielkim zwrotem z inwestycji. Rolnicy, którzy nigdy nie otrzymali odszkodowania, również biorą pod uwagę potencjalne korzyści z ubezpieczenia. W ich przypadku oczekiwana stopa zwrotu jest szacowana na podstawie średnich wartości dla rolników z tego samego regionu i uprawiających te same uprawy.</w:t>
      </w:r>
    </w:p>
    <w:p w14:paraId="19FC9788" w14:textId="77777777"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p>
    <w:p w14:paraId="331F73A7" w14:textId="77777777"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kern w:val="0"/>
          <w:sz w:val="28"/>
          <w:szCs w:val="28"/>
          <w:lang w:eastAsia="pl-PL"/>
          <w14:ligatures w14:val="none"/>
        </w:rPr>
        <w:t xml:space="preserve">W obszarze badań nad ubezpieczeniami w rolnictwie podejmowano się również analiz mających na celu określenie wpływu ubezpieczeń na decyzje produkcyjne i inwestycyjne rolników, dochody rolników, czy poziom produkcji. W badaniach tych stosowano między innymi metodę </w:t>
      </w:r>
      <w:r w:rsidRPr="0068666F">
        <w:rPr>
          <w:rFonts w:ascii="Times New Roman" w:eastAsia="Times New Roman" w:hAnsi="Times New Roman" w:cs="Times New Roman"/>
          <w:bCs/>
          <w:kern w:val="0"/>
          <w:sz w:val="28"/>
          <w:szCs w:val="22"/>
          <w:lang w:eastAsia="pl-PL"/>
          <w14:ligatures w14:val="none"/>
        </w:rPr>
        <w:t xml:space="preserve">Propensity Score Matching (PSM). Metoda ta była dotychczas wykorzystywana w nielicznych badaniach.  Jest ona stosowana  w celu zminimalizowania błędu selekcji i uzyskania bardziej wiarygodnego oszacowania wpływu ubezpieczeń na różne aspekty działalności rolniczej. </w:t>
      </w:r>
    </w:p>
    <w:p w14:paraId="58A4A482" w14:textId="7E8D97C2"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8"/>
          <w:lang w:eastAsia="pl-PL"/>
          <w14:ligatures w14:val="none"/>
        </w:rPr>
      </w:pPr>
      <w:r w:rsidRPr="0068666F">
        <w:rPr>
          <w:rFonts w:ascii="Times New Roman" w:eastAsia="Times New Roman" w:hAnsi="Times New Roman" w:cs="Times New Roman"/>
          <w:bCs/>
          <w:kern w:val="0"/>
          <w:sz w:val="28"/>
          <w:szCs w:val="28"/>
          <w:lang w:eastAsia="pl-PL"/>
          <w14:ligatures w14:val="none"/>
        </w:rPr>
        <w:lastRenderedPageBreak/>
        <w:t xml:space="preserve">Namiotko i in. (2022) zastosowali metodę dopasowania skłonności (Propensity Score Matching, PSM) do oceny wpływu uczestnictwa w programach ubezpieczeń upraw na wskaźniki produkcji i inwestycji gospodarstw rolnych na Litwie. Etapy zastosowania PSM obejmowały:1. Estymację skłonności: W pierwszym kroku oszacowano prawdopodobieństwo, że dane gospodarstwo zakupi ubezpieczenie upraw. Do tego celu wykorzystano regresję logistyczną, a zmiennymi objaśniającymi były: wiek rolnika, aktywa gospodarstwa (w euro), nakłady pracy (w jednostkach rocznej pracy – AWU), powierzchnia użytków rolnych (ha), udział produkcji roślinnej w całkowitej produkcji, dochody z innych źródeł (euro), zmienna binarna oznaczająca uczestnictwo w programach inwestycyjnych, zmienna binarna oznaczająca uczestnictwo w rolnictwie ekologicznym oraz zmienna binarna oznaczająca lokalizację na obszarach mniej korzystnych. 2. Dopasowanie: W drugim kroku, na podstawie oszacowanych skłonności, połączono w pary gospodarstwa ubezpieczone (gospodarstwa badane) z gospodarstwami nieubezpieczonymi (grupa kontrolna). W badaniu wykorzystano technikę dopasowania najbliższego sąsiedztwa, która polega na wyborze dla każdego gospodarstwa ubezpieczonego takiego gospodarstwa nieubezpieczonego, którego skłonność jest najbardziej zbliżona. 3. Ocenę efektu: W ostatnim kroku oszacowano średni efekt ATT (ang. </w:t>
      </w:r>
      <w:r w:rsidRPr="0068666F">
        <w:rPr>
          <w:rFonts w:ascii="Times New Roman" w:eastAsia="Times New Roman" w:hAnsi="Times New Roman" w:cs="Times New Roman"/>
          <w:bCs/>
          <w:i/>
          <w:kern w:val="0"/>
          <w:sz w:val="28"/>
          <w:szCs w:val="28"/>
          <w:lang w:eastAsia="pl-PL"/>
          <w14:ligatures w14:val="none"/>
        </w:rPr>
        <w:t>Average Treatment Effect on the Treated</w:t>
      </w:r>
      <w:r w:rsidRPr="0068666F">
        <w:rPr>
          <w:rFonts w:ascii="Times New Roman" w:eastAsia="Times New Roman" w:hAnsi="Times New Roman" w:cs="Times New Roman"/>
          <w:bCs/>
          <w:kern w:val="0"/>
          <w:sz w:val="28"/>
          <w:szCs w:val="28"/>
          <w:lang w:eastAsia="pl-PL"/>
          <w14:ligatures w14:val="none"/>
        </w:rPr>
        <w:t>), który mierzy różnicę w wartości zmiennej wynikowej (koszty produkcji roślinnej, wartość produkcji roślinnej, wartość inwestycji netto, wartość zobowiązań krótkoterminowych) między grupą posiadającą ubezpieczenie a grupą kontrolną po dopasowaniu. Wyniki analizy PSM wskazują, że w większości przypadków ubezpieczenie upraw nie miało statystycznie istotnego wpływu na wybrane wskaźniki gospodarstw rolnych. Autorzy tłumaczą to m.in. wsparciem ze środków krajowych i unijnych, które mogło kompensować straty rolników, a także wykorzystywaniem przez rolników innych narzędzi zarządzania ryzykiem, takich jak dochody pozarolnicze czy oszczędności.</w:t>
      </w:r>
    </w:p>
    <w:p w14:paraId="3F47FD12" w14:textId="36FF0B20"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8"/>
          <w:lang w:eastAsia="pl-PL"/>
          <w14:ligatures w14:val="none"/>
        </w:rPr>
      </w:pPr>
      <w:r w:rsidRPr="0068666F">
        <w:rPr>
          <w:rFonts w:ascii="Times New Roman" w:eastAsia="Times New Roman" w:hAnsi="Times New Roman" w:cs="Times New Roman"/>
          <w:bCs/>
          <w:kern w:val="0"/>
          <w:sz w:val="28"/>
          <w:szCs w:val="28"/>
          <w:lang w:eastAsia="pl-PL"/>
          <w14:ligatures w14:val="none"/>
        </w:rPr>
        <w:t xml:space="preserve">Bezat-Jarzębowska i Herda-Kopańska (2021) prowadziły badania mające na celu wskazanie czynników determinujących korzystanie z ubezpieczeń upraw rolnych oraz ocenę efektu przyczynowego zakupu ubezpieczeń dla wybranych charakterystyk gospodarstw. Dane wykorzystane w analizie pochodziły z Polskiego FADN za rok 2019 </w:t>
      </w:r>
      <w:r w:rsidRPr="0068666F">
        <w:rPr>
          <w:rFonts w:ascii="Times New Roman" w:eastAsia="Times New Roman" w:hAnsi="Times New Roman" w:cs="Times New Roman"/>
          <w:kern w:val="0"/>
          <w:sz w:val="28"/>
          <w:szCs w:val="28"/>
          <w:lang w:eastAsia="pl-PL"/>
          <w14:ligatures w14:val="none"/>
        </w:rPr>
        <w:t xml:space="preserve">(11 985 jednostek). Do wytypowania jednostek do badania posłużono się modelem DEA uwzględniającym dwa efekty wartość produkcji roślinnej i wartość produkcji zwierzęcej oraz trzy nakłady odzwierciedlające czynniki produkcji rolnej, tj. nakłady czynnika ziemia wyrażone jako powierzchnia użytków rolnych w ha, nakłady czynnika pracy i nakłady czynnika kapitału wyrażone jako aktywa trwałe o charakterze bilansowym pomniejszone o wartość ziemi własnej. Na podstawie uzyskanych analiz dokonano losowego </w:t>
      </w:r>
      <w:r w:rsidRPr="0068666F">
        <w:rPr>
          <w:rFonts w:ascii="Times New Roman" w:eastAsia="Times New Roman" w:hAnsi="Times New Roman" w:cs="Times New Roman"/>
          <w:kern w:val="0"/>
          <w:sz w:val="28"/>
          <w:szCs w:val="28"/>
          <w:lang w:eastAsia="pl-PL"/>
          <w14:ligatures w14:val="none"/>
        </w:rPr>
        <w:lastRenderedPageBreak/>
        <w:t>doboru gospodarstw rolnych do próby badawczej. Z analizowanej populacji generalnej dobrano losowo 605 gospodarstw. W celu przeanalizowania czynników determinujących zakup ubezpieczeń upraw przez gospodarstwa rolne posłużono się modelem logitowym. Na potrzeby badania stworzono dwa modele. W jednym z nich (Model I) przeanalizowano 10 383 gospodarstwa, które uczestniczyły w systemie rachunkowości rolnej FADN. Były to gospodarstwa prowadzące rachunkowość rolną w roku 2019. Natomiast w drugim modelu (Model II) przebadano 593 gospodarstwa uczestniczące w badaniach ankietowych zrealizowanych w 2019 roku (w ramach projektu GOSPOSTRATEG). Zmienną binarną objaśnianą (</w:t>
      </w:r>
      <w:r w:rsidRPr="0068666F">
        <w:rPr>
          <w:rFonts w:ascii="Times New Roman" w:eastAsia="Times New Roman" w:hAnsi="Times New Roman" w:cs="Times New Roman"/>
          <w:i/>
          <w:kern w:val="0"/>
          <w:sz w:val="28"/>
          <w:szCs w:val="28"/>
          <w:lang w:eastAsia="pl-PL"/>
          <w14:ligatures w14:val="none"/>
        </w:rPr>
        <w:t>Y</w:t>
      </w:r>
      <w:r w:rsidRPr="0068666F">
        <w:rPr>
          <w:rFonts w:ascii="Times New Roman" w:eastAsia="Times New Roman" w:hAnsi="Times New Roman" w:cs="Times New Roman"/>
          <w:kern w:val="0"/>
          <w:sz w:val="28"/>
          <w:szCs w:val="28"/>
          <w:lang w:eastAsia="pl-PL"/>
          <w14:ligatures w14:val="none"/>
        </w:rPr>
        <w:t xml:space="preserve">) było posiadanie lub brak ubezpieczenia. Do Modelu I przyjęto 20 zmiennych objaśniających: produkcja ekologiczna, obszary o niekorzystnych warunkach gospodarowania, regiony Polski, województwa, typ rolniczy gospodarstwa (TF14 oraz TF8 zgodnie z typologią FADN), klasa wielkości ekonomicznej gospodarstwa rolnego (ES6 oraz ES9 zgodnie z typologią FADN), dotacje inwestycyjne, klasa powierzchni użytków rolnych, produkcja ogółem (w zł), powierzchnia użytków rolnych (w ha), produkcja ogółem na 1 ha użytków rolnych (w zł/ha), produkcja roślinna na 1 ha (w zł/ha, wiek rolnika, wykształcenie rolnika, dochód spoza gospodarstwa rolnego (w tys. zł), dochód z rodzinnego gospodarstwa rolnego (w tys. zł), średnioroczna wartość kredytów długoterminowych (w tys. zł), średnioroczna wartość kredytów krótkoterminowych (w tys. zł). Do Modelu II przyjęto 25 zmiennych: regiony Polski, województwa, typ rolniczy gospodarstwa (TF14 oraz TF8 zgodnie z typologią FADN), klasa wielkości ekonomicznej gospodarstwa rolnego (ES6), klasa powierzchni użytków rolnych, produkcja ogółem (w zł), powierzchnia użytków rolnych (w ha), produkcja ogółem na 1 ha użytków rolnych (w zł/ha), wiek rolnika, wykształcenie rolnika, dochód spoza gospodarstwa rolnego (w tys. zł), dochód z rodzinnego gospodarstwa rolnego (w tys. zł), wystąpienie klęski żywiołowej w ciągu 5 ostatnich lat, korzystanie z pomocy finansowej z gminy w razie wystąpienia klęski żywiołowej w ciągu 5 ostatnich lat, korzystanie z pomocy rzeczowej z gminy w razie wystąpienia klęski żywiołowej w ciągu 5 ostatnich lat, korzystanie z ulgi w podatku rolnym w razie wystąpienia klęski żywiołowej w ciągu 5 ostatnich lat, korzystanie z ulgi w czynszu dzierżawnym (z KOWR) w razie wystąpienia klęski żywiołowej w ciągu 5 ostatnich lat, korzystanie z pomocy doraźnej państwa w ciągu 5 ostatnich lat, korzystanie z kredytu klęskowego w razie wystąpienia klęski żywiołowe w ciągu 5 ostatnich lat, podejście rolnika do ryzyka, podejście rolnika do zaciągania zobowiązań kredytowych, utrzymywanie rezerw gotówkowych, wdrażanie nowych technologii i odmian roślin, dopuszczenie wąskiej specjalizacji w produkcji, planowanie wydatków. Estymacja modeli logitowych pozwoliła wytypować zbiór predyktorów, czyli cech, które umożliwiają prognozowanie wartości zmiennej </w:t>
      </w:r>
      <w:r w:rsidRPr="0068666F">
        <w:rPr>
          <w:rFonts w:ascii="Times New Roman" w:eastAsia="Times New Roman" w:hAnsi="Times New Roman" w:cs="Times New Roman"/>
          <w:kern w:val="0"/>
          <w:sz w:val="28"/>
          <w:szCs w:val="28"/>
          <w:lang w:eastAsia="pl-PL"/>
          <w14:ligatures w14:val="none"/>
        </w:rPr>
        <w:lastRenderedPageBreak/>
        <w:t xml:space="preserve">objaśnianej. Zmienne istotne statystycznie dla Modelu I (zmienne, które wpływają dodatnio na szansę zakupu przez gospodarstwo rolne ubezpieczeń upraw) to: region: kujawsko-pomorskie, województwo podkarpackie, województwo śląskie, wielkość ekonomiczna, w tym małe, średnio-małe, średnio-duże, duże, dotacje inwestycyjne (otrzymane), powierzchnia użytków rolnych (bardzo duże), wykształcenie rolnika (wyższe nierolnicze), dochód spoza gospodarstwa rolnego, dochód z rodzinnego gospodarstwa rolnego, średnioroczna wartość kredytów krótkoterminowych. Zmienne istotne statystycznie dla Modelu II: województwo opolskie, województwo wielkopolskie, wielkość ekonomiczna: średnio-małe, produkcja ogółem, pomoc finansowa z gminy, wdrażanie nowych technologii i odmian roślin. Kolejnym etapem analizy było określenie wpływu zakupu ubezpieczeń upraw na wybrane charakterystyki gospodarstw. Badanie opierało się na tych samych założeniach, co przy badaniu logitowym. Do analizy przyjęto gospodarstwa należące do bazy danych FADN. Okresem badawczym był rok 2019. Badanie przeprowadzono za pomocą metody </w:t>
      </w:r>
      <w:r w:rsidRPr="0068666F">
        <w:rPr>
          <w:rFonts w:ascii="Times New Roman" w:eastAsia="Times New Roman" w:hAnsi="Times New Roman" w:cs="Times New Roman"/>
          <w:bCs/>
          <w:i/>
          <w:kern w:val="0"/>
          <w:sz w:val="28"/>
          <w:szCs w:val="22"/>
          <w:lang w:eastAsia="pl-PL"/>
          <w14:ligatures w14:val="none"/>
        </w:rPr>
        <w:t>Propensity Score Matching</w:t>
      </w:r>
      <w:r w:rsidRPr="0068666F">
        <w:rPr>
          <w:rFonts w:ascii="Times New Roman" w:eastAsia="Times New Roman" w:hAnsi="Times New Roman" w:cs="Times New Roman"/>
          <w:kern w:val="0"/>
          <w:sz w:val="28"/>
          <w:szCs w:val="28"/>
          <w:lang w:eastAsia="pl-PL"/>
          <w14:ligatures w14:val="none"/>
        </w:rPr>
        <w:t xml:space="preserve"> (PSM). Na odstawie przeprowadzonej analizy dowiedziono, że zakup ubezpieczeń upraw przez gospodarstwa rolne nie miał znaczącego wpływu na ilość posiadanej powierzchni użytków rolnych. Z kolei wielkość produkcji ogółem na 1 ha użytków rolnych oraz produkcji roślinnej na 1 ha była mniejsza niż w gospodarstwach nieposiadających ubezpieczenia. Umiarkowanie zakup ubezpieczeń upraw wpływał na dochód spoza gospodarstwa rolnego, średnioroczną wartość kredytów długoterminowych oraz krótkoterminowych. Natomiast znaczny wpływ zakupu ubezpieczeń upraw można zauważyć w przypadku całkowitej produkcji oraz dochodu z rodzinnego gospodarstwa rolnego.</w:t>
      </w:r>
    </w:p>
    <w:p w14:paraId="47C48051" w14:textId="7093F17A"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2"/>
          <w:lang w:eastAsia="pl-PL"/>
          <w14:ligatures w14:val="none"/>
        </w:rPr>
        <w:t xml:space="preserve">Youngiune i in. (2018), korzystając z zestawu danych panelowych na poziomie gospodarstwa z </w:t>
      </w:r>
      <w:r w:rsidRPr="0068666F">
        <w:rPr>
          <w:rFonts w:ascii="Times New Roman" w:eastAsia="Times New Roman" w:hAnsi="Times New Roman" w:cs="Times New Roman"/>
          <w:bCs/>
          <w:i/>
          <w:kern w:val="0"/>
          <w:sz w:val="28"/>
          <w:szCs w:val="22"/>
          <w:lang w:eastAsia="pl-PL"/>
          <w14:ligatures w14:val="none"/>
        </w:rPr>
        <w:t>Kansas Farm Management Association</w:t>
      </w:r>
      <w:r w:rsidRPr="0068666F">
        <w:rPr>
          <w:rFonts w:ascii="Times New Roman" w:eastAsia="Times New Roman" w:hAnsi="Times New Roman" w:cs="Times New Roman"/>
          <w:bCs/>
          <w:kern w:val="0"/>
          <w:sz w:val="28"/>
          <w:szCs w:val="22"/>
          <w:lang w:eastAsia="pl-PL"/>
          <w14:ligatures w14:val="none"/>
        </w:rPr>
        <w:t xml:space="preserve"> (KFMA) z okresu 1993-2015, parametrycznie i półparametrycznie szacują wpływ federalnego programu ubezpieczeń upraw w Stanach Zjednoczonych na decyzje o inwestycjach i rezygnacji z działalności rolniczej. W analizie wykorzystano dynamiczny model panelowy, który ocenia wpływ ubezpieczeń na prawdopodobieństwo dezinwestycji w gospodarstwie (dezinwestycja została zdefiniowana jako spadek wartości aktywów trwałych w porównaniu do poprzedniego roku), oraz modele duration - model trwania, model nieparametryczny, krzywą przeżycia Kaplana-Meiera i model półparametryczny, model proporcjonalnego zagrożenia Coxa, aby oszacować wpływ ubezpieczenia upraw na przeżywalność gospodarstw. Aby zminimalizować błąd selekcji, autorzy zastosowali metodę Propensity Score Matching (PSM). W ramach PSM dopasowano gospodarstwa rolne, które zakupiły ubezpieczenie upraw, do podobnych gospodarstw, które nie zakupiły ubezpieczenia, na podstawie zestawu obserwowalnych cech. Do estymacji skłonności do zakupu </w:t>
      </w:r>
      <w:r w:rsidRPr="0068666F">
        <w:rPr>
          <w:rFonts w:ascii="Times New Roman" w:eastAsia="Times New Roman" w:hAnsi="Times New Roman" w:cs="Times New Roman"/>
          <w:bCs/>
          <w:kern w:val="0"/>
          <w:sz w:val="28"/>
          <w:szCs w:val="22"/>
          <w:lang w:eastAsia="pl-PL"/>
          <w14:ligatures w14:val="none"/>
        </w:rPr>
        <w:lastRenderedPageBreak/>
        <w:t xml:space="preserve">ubezpieczenia (ang. </w:t>
      </w:r>
      <w:r w:rsidRPr="0068666F">
        <w:rPr>
          <w:rFonts w:ascii="Times New Roman" w:eastAsia="Times New Roman" w:hAnsi="Times New Roman" w:cs="Times New Roman"/>
          <w:bCs/>
          <w:i/>
          <w:kern w:val="0"/>
          <w:sz w:val="28"/>
          <w:szCs w:val="22"/>
          <w:lang w:eastAsia="pl-PL"/>
          <w14:ligatures w14:val="none"/>
        </w:rPr>
        <w:t>propensity score</w:t>
      </w:r>
      <w:r w:rsidRPr="0068666F">
        <w:rPr>
          <w:rFonts w:ascii="Times New Roman" w:eastAsia="Times New Roman" w:hAnsi="Times New Roman" w:cs="Times New Roman"/>
          <w:bCs/>
          <w:kern w:val="0"/>
          <w:sz w:val="28"/>
          <w:szCs w:val="22"/>
          <w:lang w:eastAsia="pl-PL"/>
          <w14:ligatures w14:val="none"/>
        </w:rPr>
        <w:t>) wykorzystano model logitowy. Autorzy przeprowadzili również test placebo, aby sprawdzić, czy uzyskane wyniki nie są rezultatem innych czynników niż ubezpieczenia upraw. Test placebo potwierdził wiarygodność wyników. Główną zmienną zależną w badaniu jest status ubezpieczenia upraw. Autorzy stosują trzy różne miary tej zmiennej: 1. Ubezpieczony w roku poprzednim: Zmienna binarna, która przyjmuje wartość 1, jeśli gospodarstwo było ubezpieczone w roku poprzednim, a 0 w przeciwnym razie; 2. Liczba lat ubezpieczonych w ciągu ostatnich 3 lat; 3. Liczba lat ubezpieczonych w ciągu ostatnich 5 lat. Zmienne kontrolne przyjęte do modelu to: wiek rolnika, liczba lat prowadzonej działalności, stosunek nakładów pracy w produkcji roślinnej do nakładów pracy w produkcji zwierzęcej, powierzchnia gruntów, powierzchnia upraw, dochód pozarolniczy, logarytm naturalny z całkowitej powierzchni upraw, wskaźnik zadłużenia aktywów. Wyniki dynamicznego modelu panelowego wskazują, że rolnicy posiadający ubezpieczenia upraw są mniej skłonni do zmniejszania wartości swoich aktywów trwałych. Efekt ten jest istotny statystycznie i utrzymuje się po uwzględnieniu szeregu zmiennych kontrolnych, takich jak: wiek rolnika, dochód pozarolniczy, czy wskaźnik zadłużenia. Analiza przeżycia, wykorzystująca krzywą Kaplana-Meiera i model Coxa, potwierdza, że gospodarstwa ubezpieczone mają dłuższy czas przeżycia niż gospodarstwa nieubezpieczone. Po zastosowaniu metody Propensity Score Matching, która minimalizuje błąd selekcji, efekt ten staje się jeszcze bardziej widoczny. Im dłużej gospodarstwo korzysta z ubezpieczeń upraw, tym silniejszy jest jego wpływ na czas przeżycia. Oznacza to, że długoterminowe korzystanie z ubezpieczeń ma większe znaczenie dla stabilności gospodarstw niż krótkotrwałe ubezpieczenie.</w:t>
      </w:r>
    </w:p>
    <w:p w14:paraId="587B8907" w14:textId="441B8DE4"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2"/>
          <w:lang w:eastAsia="pl-PL"/>
          <w14:ligatures w14:val="none"/>
        </w:rPr>
        <w:t xml:space="preserve">Enjolras i Aubert (2020) badali związek między ubezpieczeniami upraw a stosowaniem pestycydów we francuskim rolnictwie. Autorzy analizują dane z Farm Accountancy Data Network (FADN) z lat 2008-2012, aby zbadać, czy ubezpieczenie upraw wpływa na wydatki na pestycydy, uwzględniając zmiany w systemie ubezpieczeniowym w 2010 roku, które silnie zachęcały rolników do zakupu polis. Stosując metody analizy różnic (DID) i dopasowania zmiennych skłonności Propensity Score Matching (PSM), dokonano porównania dwóch grup rolników: tych, którzy kupili ubezpieczenie upraw w 2012 roku, i tych, którzy ich nie kupili. Zmienna zależna jest związana z praktykami środowiskowymi rolników, mierzonymi poprzez intensywność wydatków na pestycydy, tj. kwotę wydatków podzieloną przez powierzchnię uprawną. Zmienne kontrolne przyjęte do modelu to: posiadanie polisy ubezpieczeniowej upraw, wydatki na pestycydy w gospodarstwie rolnym na ha, wiek właściciela gospodarstwa, wykształcenie właściciela gospodarstwa rolnego, produkcja brutto gospodarstwa, gospodarstwo położone w mniej atrakcyjnym terenie (LFA), orientacja ekonomiczno-techniczna (specjalizacja), </w:t>
      </w:r>
      <w:r w:rsidRPr="0068666F">
        <w:rPr>
          <w:rFonts w:ascii="Times New Roman" w:eastAsia="Times New Roman" w:hAnsi="Times New Roman" w:cs="Times New Roman"/>
          <w:bCs/>
          <w:kern w:val="0"/>
          <w:sz w:val="28"/>
          <w:szCs w:val="22"/>
          <w:lang w:eastAsia="pl-PL"/>
          <w14:ligatures w14:val="none"/>
        </w:rPr>
        <w:lastRenderedPageBreak/>
        <w:t>całkowita powierzchnia upraw polowych w ha, udział powierzchni przeznaczonej pod uprawy polowe, całkowita powierzchnia uprawy pszenicy zwyczajnej w ha, udział powierzchni przeznaczonej pod uprawę pszenicy zwyczajnej, całkowita powierzchnia zasiewów pszenicy durum w ha, udział powierzchni przeznaczonej pod uprawę pszenicy durum, całkowita powierzchnia kukurydzy w ha, udział powierzchni przeznaczonej pod uprawę kukurydzy, całkowita powierzchnia jęczmienia w ha, udział powierzchni przeznaczonej pod uprawę jęczmienia, całkowita powierzchnia rzepaku w ha, udział powierzchni przeznaczonej pod uprawę rzepaku, całkowita powierzchnia słonecznika w ha, udział powierzchni przeznaczonej pod uprawę słonecznika, całkowita powierzchnia soi w ha, udział powierzchni przeznaczonej pod uprawę soi, całkowita powierzchnia uprawy winorośli wysokiej jakości w ha, udział powierzchni przeznaczonej na uprawę winorośli wysokiej jakości, całkowita powierzchnia uprawna w ha, całkowita powierzchnia nawadniana w ha, udział nawadnianej powierzchni, całkowita powierzchnia paszowa w ha, udział powierzchni przeznaczonej na paszę, całkowita powierzchnia gruntów ugorowanych w ha, udział gruntów przeznaczonych pod ugorowanie, wskaźnik dywersyfikacji upraw Herfindahla. Pierwszy krok procedury PSM polega na oszacowaniu prawdopodobieństwa, że ​​każdy producent zostanie objęty ubezpieczeniem. Skłonność do przyjęcia ubezpieczenia jest zatem szacowana w ramach wyboru dyskretnego z modelem logitowym. Następnie dopasowano obserwacje badane do grupy kontrolnej na podstawie ważonych wyników skłonności logit. Pod uwagę brani byli tylko rolnicy, którzy mają korespondencję między grupą kontrolną a badaną na podstawie ich cech indywidualnych i strukturalnych. Główny wniosek z badania wskazuje na brak znaczącego wpływu zakupu ubezpieczenia upraw na intensywność stosowania pestycydów, zarówno w przypadku upraw polowych, jak i produkcji wina wysokiej jakości.</w:t>
      </w:r>
    </w:p>
    <w:p w14:paraId="1644B713" w14:textId="69C64539"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2"/>
          <w:lang w:eastAsia="pl-PL"/>
          <w14:ligatures w14:val="none"/>
        </w:rPr>
        <w:t xml:space="preserve">Ifft i in. (2015) przeprowadzili badania mające na celu określenie, czy federalny program ubezpieczeń upraw (FCI) w Stanach Zjednoczonych wpływa na poziom zadłużenia gospodarstw rolnych. Autorzy skupili się na analizie związku między uczestnictwem w programie FCI a różnymi miarami zadłużenia, takimi jak: zadłużenie krótkoterminowe i długoterminowe, stosunek długu do aktywów oraz stosunek długu operacyjnego do całkowitych wydatków operacyjnych. W badaniu wykorzystano dane z </w:t>
      </w:r>
      <w:r w:rsidRPr="0068666F">
        <w:rPr>
          <w:rFonts w:ascii="Times New Roman" w:eastAsia="Times New Roman" w:hAnsi="Times New Roman" w:cs="Times New Roman"/>
          <w:bCs/>
          <w:i/>
          <w:kern w:val="0"/>
          <w:sz w:val="28"/>
          <w:szCs w:val="22"/>
          <w:lang w:eastAsia="pl-PL"/>
          <w14:ligatures w14:val="none"/>
        </w:rPr>
        <w:t>Agricultural Resource Management Survey</w:t>
      </w:r>
      <w:r w:rsidRPr="0068666F">
        <w:rPr>
          <w:rFonts w:ascii="Times New Roman" w:eastAsia="Times New Roman" w:hAnsi="Times New Roman" w:cs="Times New Roman"/>
          <w:bCs/>
          <w:kern w:val="0"/>
          <w:sz w:val="28"/>
          <w:szCs w:val="22"/>
          <w:lang w:eastAsia="pl-PL"/>
          <w14:ligatures w14:val="none"/>
        </w:rPr>
        <w:t xml:space="preserve"> (ARMS) z 2011 roku, reprezentatywnego dla całego kraju badania gospodarstw rolnych i ranczerskich w USA. Do oszacowania różnicy w poziomie zadłużenia między gospodarstwami rolnymi uczestniczącymi i nieuczestniczącymi w programie FCI, kontrolując jednocześnie inne czynniki, które mogą wpływać zarówno na decyzję o ubezpieczeniu upraw, jak i na poziom zadłużenia wykorzystano metodę </w:t>
      </w:r>
      <w:r w:rsidRPr="0068666F">
        <w:rPr>
          <w:rFonts w:ascii="Times New Roman" w:eastAsia="Times New Roman" w:hAnsi="Times New Roman" w:cs="Times New Roman"/>
          <w:bCs/>
          <w:i/>
          <w:kern w:val="0"/>
          <w:sz w:val="28"/>
          <w:szCs w:val="22"/>
          <w:lang w:eastAsia="pl-PL"/>
          <w14:ligatures w14:val="none"/>
        </w:rPr>
        <w:t>Propensity Score Matching</w:t>
      </w:r>
      <w:r w:rsidRPr="0068666F">
        <w:rPr>
          <w:rFonts w:ascii="Times New Roman" w:eastAsia="Times New Roman" w:hAnsi="Times New Roman" w:cs="Times New Roman"/>
          <w:bCs/>
          <w:kern w:val="0"/>
          <w:sz w:val="28"/>
          <w:szCs w:val="22"/>
          <w:lang w:eastAsia="pl-PL"/>
          <w14:ligatures w14:val="none"/>
        </w:rPr>
        <w:t xml:space="preserve"> (PSM). Pierwszym krokiem w PSM było </w:t>
      </w:r>
      <w:r w:rsidRPr="0068666F">
        <w:rPr>
          <w:rFonts w:ascii="Times New Roman" w:eastAsia="Times New Roman" w:hAnsi="Times New Roman" w:cs="Times New Roman"/>
          <w:bCs/>
          <w:kern w:val="0"/>
          <w:sz w:val="28"/>
          <w:szCs w:val="22"/>
          <w:lang w:eastAsia="pl-PL"/>
          <w14:ligatures w14:val="none"/>
        </w:rPr>
        <w:lastRenderedPageBreak/>
        <w:t xml:space="preserve">oszacowanie skłonności każdego producenta do zakupu federalnego ubezpieczenia upraw za pomocą modelu logit. W modelu uwzględniono zmienne objaśniające takie jak: powierzchnia gospodarstwa, udział gruntów ornych, stosunek posiadanych do dzierżawionych gruntów, dochody pozarolnicze, wiek i wykształcenie operatora, typ gospodarstwa, region geograficzny, wielość sprzedaży. Następnie dopasowano obserwacje z grupy "badanej" (gospodarstwa z ubezpieczeniem upraw) do obserwacji z grupy "kontrolnej" (gospodarstwa bez ubezpieczenia) na podstawie oszacowanych prawdopodobieństw udziału w programie FCI. Wpływ ubezpieczenia upraw na zadłużenie gospodarstwa został oszacowany jako Average Treatment Effect on the Treated  (ATT). ATT został obliczony przy użyciu dopasowania najbliższego sąsiedztwa (ang. </w:t>
      </w:r>
      <w:r w:rsidRPr="0068666F">
        <w:rPr>
          <w:rFonts w:ascii="Times New Roman" w:eastAsia="Times New Roman" w:hAnsi="Times New Roman" w:cs="Times New Roman"/>
          <w:bCs/>
          <w:i/>
          <w:kern w:val="0"/>
          <w:sz w:val="28"/>
          <w:szCs w:val="22"/>
          <w:lang w:eastAsia="pl-PL"/>
          <w14:ligatures w14:val="none"/>
        </w:rPr>
        <w:t>nearest neighbor matching</w:t>
      </w:r>
      <w:r w:rsidRPr="0068666F">
        <w:rPr>
          <w:rFonts w:ascii="Times New Roman" w:eastAsia="Times New Roman" w:hAnsi="Times New Roman" w:cs="Times New Roman"/>
          <w:bCs/>
          <w:kern w:val="0"/>
          <w:sz w:val="28"/>
          <w:szCs w:val="22"/>
          <w:lang w:eastAsia="pl-PL"/>
          <w14:ligatures w14:val="none"/>
        </w:rPr>
        <w:t xml:space="preserve">) z zastępowaniem. Pozornie niezwiązana regresja (ang. </w:t>
      </w:r>
      <w:r w:rsidRPr="0068666F">
        <w:rPr>
          <w:rFonts w:ascii="Times New Roman" w:eastAsia="Times New Roman" w:hAnsi="Times New Roman" w:cs="Times New Roman"/>
          <w:bCs/>
          <w:i/>
          <w:kern w:val="0"/>
          <w:sz w:val="28"/>
          <w:szCs w:val="22"/>
          <w:lang w:eastAsia="pl-PL"/>
          <w14:ligatures w14:val="none"/>
        </w:rPr>
        <w:t>Seemingly Unrelated Regression,</w:t>
      </w:r>
      <w:r w:rsidRPr="0068666F">
        <w:rPr>
          <w:rFonts w:ascii="Times New Roman" w:eastAsia="Times New Roman" w:hAnsi="Times New Roman" w:cs="Times New Roman"/>
          <w:bCs/>
          <w:kern w:val="0"/>
          <w:sz w:val="28"/>
          <w:szCs w:val="22"/>
          <w:lang w:eastAsia="pl-PL"/>
          <w14:ligatures w14:val="none"/>
        </w:rPr>
        <w:t xml:space="preserve"> SUR) pozwoliła na jednoczesne oszacowanie wpływu uczestnictwa w programie FCI na różne miary ryzyka finansowego i zadłużenia. Wyniki analizy PSM i SUR wskazują na istotny statystycznie wzrost zadłużenia krótkoterminowego w gospodarstwach rolnych uczestniczących w programie FCI. Nie zaobserwowano natomiast istotnego wpływu uczestnictwa w programie FCI na poziom zadłużenia długoterminowego.</w:t>
      </w:r>
    </w:p>
    <w:p w14:paraId="65300C19" w14:textId="6A6AB626"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2"/>
          <w:lang w:eastAsia="pl-PL"/>
          <w14:ligatures w14:val="none"/>
        </w:rPr>
        <w:t xml:space="preserve">Bao i in. (2022) badali wpływu efektów grupowych na decyzje rolników w Chinach dotyczące zakupu ubezpieczeń rolniczych związanych z uprawami. Autorzy analizują dane zebrane w 2021 roku od 540 rolników w prowincji Syczuan. Aby zapewnić reprezentatywność próby, zastosowano metodę losowania warstwowego z jednakowym prawdopodobieństwem. Do analizy wykorzystano model regresji logistycznej, aby oszacować wpływ efektu rówieśniczego (obejmującego konformizm wobec krewnych, sąsiadów, zamożnych mieszkańców wsi i urzędników wiejskich) na decyzje rolników dotyczące zakupu ubezpieczenia upraw. Model ten uwzględniał zmienną niezależną (zakup lub brak zakupu ubezpieczenia) oraz trzy główne zmienne objaśniające odzwierciedlające efekt rówieśniczy. Do oszacowania prawdopodobieństwa zakupu ubezpieczenia wykorzystano także szereg innych zmiennych kontrolnych, obejmujących: a) cechy osobiste respondentów (takie jak płeć, wiek, poziom wykształcenia, czas prowadzenia działalności rolniczej); oraz b) cechy rodzinne (takie jak powierzchnia użytkowanej ziemi, roczny dochód pieniężny, własność ziemi). Ponadto w modelu uwzględniono zmienne, odnoszące się do: postrzegania ryzyka, świadomości zmian klimatu, skłonności rolnika do kontynuowania działalności rolniczej, awersji do ryzyka, lokalizacji gospodarstwa rolnego. W celu uniknięcia błędu selekcji w wynikach regresji logistycznej zastosowano metodę dopasowania PSM. Metoda PSM opiera się na stworzeniu grupy kontrolnej (rolnicy, którzy nie kupili ubezpieczenia) o podobnych cechach do grupy badanej (rolnicy, którzy kupili </w:t>
      </w:r>
      <w:r w:rsidRPr="0068666F">
        <w:rPr>
          <w:rFonts w:ascii="Times New Roman" w:eastAsia="Times New Roman" w:hAnsi="Times New Roman" w:cs="Times New Roman"/>
          <w:bCs/>
          <w:kern w:val="0"/>
          <w:sz w:val="28"/>
          <w:szCs w:val="22"/>
          <w:lang w:eastAsia="pl-PL"/>
          <w14:ligatures w14:val="none"/>
        </w:rPr>
        <w:lastRenderedPageBreak/>
        <w:t xml:space="preserve">ubezpieczenie) w oparciu o prawdopodobieństwo zakupu ubezpieczenia (ang. </w:t>
      </w:r>
      <w:r w:rsidRPr="0068666F">
        <w:rPr>
          <w:rFonts w:ascii="Times New Roman" w:eastAsia="Times New Roman" w:hAnsi="Times New Roman" w:cs="Times New Roman"/>
          <w:bCs/>
          <w:i/>
          <w:kern w:val="0"/>
          <w:sz w:val="28"/>
          <w:szCs w:val="22"/>
          <w:lang w:eastAsia="pl-PL"/>
          <w14:ligatures w14:val="none"/>
        </w:rPr>
        <w:t>propensity score</w:t>
      </w:r>
      <w:r w:rsidRPr="0068666F">
        <w:rPr>
          <w:rFonts w:ascii="Times New Roman" w:eastAsia="Times New Roman" w:hAnsi="Times New Roman" w:cs="Times New Roman"/>
          <w:bCs/>
          <w:kern w:val="0"/>
          <w:sz w:val="28"/>
          <w:szCs w:val="22"/>
          <w:lang w:eastAsia="pl-PL"/>
          <w14:ligatures w14:val="none"/>
        </w:rPr>
        <w:t>). W analizie PSM zastosowano trzy algorytmy dopasowania: najbliższego sąsiedztwa (</w:t>
      </w:r>
      <w:r w:rsidRPr="0068666F">
        <w:rPr>
          <w:rFonts w:ascii="Times New Roman" w:eastAsia="CIDFont+F4" w:hAnsi="Times New Roman" w:cs="Times New Roman"/>
          <w:kern w:val="0"/>
          <w:sz w:val="28"/>
          <w:szCs w:val="28"/>
          <w:lang w:eastAsia="pl-PL"/>
          <w14:ligatures w14:val="none"/>
        </w:rPr>
        <w:t xml:space="preserve">ang. </w:t>
      </w:r>
      <w:r w:rsidRPr="0068666F">
        <w:rPr>
          <w:rFonts w:ascii="Times New Roman" w:eastAsia="CIDFont+F4" w:hAnsi="Times New Roman" w:cs="Times New Roman"/>
          <w:i/>
          <w:kern w:val="0"/>
          <w:sz w:val="28"/>
          <w:szCs w:val="28"/>
          <w:lang w:eastAsia="pl-PL"/>
          <w14:ligatures w14:val="none"/>
        </w:rPr>
        <w:t>nearest neighbourhood matching</w:t>
      </w:r>
      <w:r w:rsidRPr="0068666F">
        <w:rPr>
          <w:rFonts w:ascii="Times New Roman" w:eastAsia="CIDFont+F4" w:hAnsi="Times New Roman" w:cs="Times New Roman"/>
          <w:kern w:val="0"/>
          <w:sz w:val="28"/>
          <w:szCs w:val="28"/>
          <w:lang w:eastAsia="pl-PL"/>
          <w14:ligatures w14:val="none"/>
        </w:rPr>
        <w:t xml:space="preserve">) </w:t>
      </w:r>
      <w:r w:rsidRPr="0068666F">
        <w:rPr>
          <w:rFonts w:ascii="Times New Roman" w:eastAsia="Times New Roman" w:hAnsi="Times New Roman" w:cs="Times New Roman"/>
          <w:bCs/>
          <w:kern w:val="0"/>
          <w:sz w:val="28"/>
          <w:szCs w:val="22"/>
          <w:lang w:eastAsia="pl-PL"/>
          <w14:ligatures w14:val="none"/>
        </w:rPr>
        <w:t xml:space="preserve">jeden do jednego,  najbliższego sąsiedztwa jeden do czterech i dopasowania jądrowego (ang. </w:t>
      </w:r>
      <w:r w:rsidRPr="0068666F">
        <w:rPr>
          <w:rFonts w:ascii="Times New Roman" w:eastAsia="Times New Roman" w:hAnsi="Times New Roman" w:cs="Times New Roman"/>
          <w:bCs/>
          <w:i/>
          <w:kern w:val="0"/>
          <w:sz w:val="28"/>
          <w:szCs w:val="22"/>
          <w:lang w:eastAsia="pl-PL"/>
          <w14:ligatures w14:val="none"/>
        </w:rPr>
        <w:t>kernel matching</w:t>
      </w:r>
      <w:r w:rsidRPr="0068666F">
        <w:rPr>
          <w:rFonts w:ascii="Times New Roman" w:eastAsia="Times New Roman" w:hAnsi="Times New Roman" w:cs="Times New Roman"/>
          <w:bCs/>
          <w:kern w:val="0"/>
          <w:sz w:val="28"/>
          <w:szCs w:val="22"/>
          <w:lang w:eastAsia="pl-PL"/>
          <w14:ligatures w14:val="none"/>
        </w:rPr>
        <w:t>). Na podstawie przeprowadzonych analiz dowiedziono, że efekt rówieśniczy ma istotny pozytywny wpływ na decyzje rolników o zakupie ubezpieczenia upraw. Wyniki badań wskazują na istnienie "efektu kręgu" w ramach efektu rówieśniczego. Oznacza to, że wpływ krewnych i przyjaciół na decyzje rolnika jest silniejszy, im bliższa jest relacja.</w:t>
      </w:r>
    </w:p>
    <w:p w14:paraId="7F4CFDC2" w14:textId="6F9518C6"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8"/>
          <w:lang w:eastAsia="pl-PL"/>
          <w14:ligatures w14:val="none"/>
        </w:rPr>
      </w:pPr>
      <w:r w:rsidRPr="0068666F">
        <w:rPr>
          <w:rFonts w:ascii="Times New Roman" w:eastAsia="Times New Roman" w:hAnsi="Times New Roman" w:cs="Times New Roman"/>
          <w:kern w:val="0"/>
          <w:sz w:val="28"/>
          <w:szCs w:val="28"/>
          <w:lang w:eastAsia="pl-PL"/>
          <w14:ligatures w14:val="none"/>
        </w:rPr>
        <w:t xml:space="preserve">Aditya i in. (2018) analizowali czynniki wpływające na decyzje rolników o zakupie ubezpieczenia upraw w Indiach, a także badali wpływ takiego ubezpieczenia na dochody rolników, wydatki na produkcję i inwestycje w rolnictwo. W badaniu wykorzystano dane z ankiet przeprowadzonych przez Krajowy Urząd Statystyczny (NSSO). Analiza obejmowała lata 2012-2013. Zbiór danych obejmował próbę 35200 gospodarstw. Do oszacowania czynników determinujących korzystanie z ubezpieczeń zastosowano metodę regresji probitowej. </w:t>
      </w:r>
      <w:r w:rsidRPr="0068666F">
        <w:rPr>
          <w:rFonts w:ascii="Times New Roman" w:eastAsia="Times New Roman" w:hAnsi="Times New Roman" w:cs="Times New Roman"/>
          <w:bCs/>
          <w:kern w:val="0"/>
          <w:sz w:val="28"/>
          <w:szCs w:val="28"/>
          <w:lang w:eastAsia="pl-PL"/>
          <w14:ligatures w14:val="none"/>
        </w:rPr>
        <w:t>Zmienną zależną (</w:t>
      </w:r>
      <w:r w:rsidRPr="0068666F">
        <w:rPr>
          <w:rFonts w:ascii="Times New Roman" w:eastAsia="Times New Roman" w:hAnsi="Times New Roman" w:cs="Times New Roman"/>
          <w:bCs/>
          <w:i/>
          <w:kern w:val="0"/>
          <w:sz w:val="28"/>
          <w:szCs w:val="28"/>
          <w:lang w:eastAsia="pl-PL"/>
          <w14:ligatures w14:val="none"/>
        </w:rPr>
        <w:t>Y</w:t>
      </w:r>
      <w:r w:rsidRPr="0068666F">
        <w:rPr>
          <w:rFonts w:ascii="Times New Roman" w:eastAsia="Times New Roman" w:hAnsi="Times New Roman" w:cs="Times New Roman"/>
          <w:bCs/>
          <w:kern w:val="0"/>
          <w:sz w:val="28"/>
          <w:szCs w:val="28"/>
          <w:lang w:eastAsia="pl-PL"/>
          <w14:ligatures w14:val="none"/>
        </w:rPr>
        <w:t>) w modelu była decyzja o ubezpieczeniu upraw, a zmiennymi niezależnymi (</w:t>
      </w:r>
      <w:r w:rsidRPr="0068666F">
        <w:rPr>
          <w:rFonts w:ascii="Times New Roman" w:eastAsia="Times New Roman" w:hAnsi="Times New Roman" w:cs="Times New Roman"/>
          <w:bCs/>
          <w:i/>
          <w:kern w:val="0"/>
          <w:sz w:val="28"/>
          <w:szCs w:val="28"/>
          <w:lang w:eastAsia="pl-PL"/>
          <w14:ligatures w14:val="none"/>
        </w:rPr>
        <w:t>x</w:t>
      </w:r>
      <w:r w:rsidRPr="0068666F">
        <w:rPr>
          <w:rFonts w:ascii="Times New Roman" w:eastAsia="Times New Roman" w:hAnsi="Times New Roman" w:cs="Times New Roman"/>
          <w:bCs/>
          <w:kern w:val="0"/>
          <w:sz w:val="28"/>
          <w:szCs w:val="28"/>
          <w:lang w:eastAsia="pl-PL"/>
          <w14:ligatures w14:val="none"/>
        </w:rPr>
        <w:t xml:space="preserve">) były czynniki społeczno-ekonomiczne, takie jak: płeć, wykształcenie, wiek rolnika, uczestnictwo w szkoleniach w zakresie rolnictwa, przynależność do grupy społecznej (kasty), wielkość gospodarstwa domowego rolnika, powierzchnia UR, powierzchnia dzierżawionych gruntów, działalność rolnicza jako główne źródło utrzymania, całkowita wartość produkcji, doświadczenie ze stratami w uprawach, nawadnianie, dotacja do składek, niedobór opadów oraz procent strat poniesionych w uprawach. Do oceny wpływu ubezpieczenia na dochody rolników, wydatki produkcyjne i inwestycje produkcyjne w rolnictwie wykorzystano metodę dopasowywania według oceny skłonności (Propensity Score Matching, PSM). Technika ta polega na porównaniu grupy rolników ubezpieczonych z grupą rolników nieubezpieczonych, którzy są podobni pod względem obserwowalnych cech. Pozwoliło to na oszacowanie wpływu ubezpieczenia na wyniki, minimalizując błąd selekcji próby. W badaniu wykorzystano trzy warianty modeli probitowych: Model 1: bez ustalonego regionu; Model 2: z ustalonymi efektami regionu agroklimatycznego; Model 3: z ustalonymi efektami stanowymi. Aby wchłonąć nieobserwowalną zmienność w obrębie grupy, regresje wykorzystują dwa różne efekty stałe (model 2 i 3). W modelu 2 stany są grupowane w 15 regionów agroklimatycznych i wykorzystywane do ustalania różnic między regionami. Jednak nie może on kontrolować wielu innych czynników, które różnią się między stanami, a nie regionami agroklimatycznymi, dlatego w modelu 3 wykorzystano efekty stałe dla stanów. Badanie wykazało, że czynniki społeczno-ekonomiczne odgrywają istotną rolę w decyzjach rolników dotyczących ubezpieczeń </w:t>
      </w:r>
      <w:r w:rsidRPr="0068666F">
        <w:rPr>
          <w:rFonts w:ascii="Times New Roman" w:eastAsia="Times New Roman" w:hAnsi="Times New Roman" w:cs="Times New Roman"/>
          <w:bCs/>
          <w:kern w:val="0"/>
          <w:sz w:val="28"/>
          <w:szCs w:val="28"/>
          <w:lang w:eastAsia="pl-PL"/>
          <w14:ligatures w14:val="none"/>
        </w:rPr>
        <w:lastRenderedPageBreak/>
        <w:t>upraw. Badanie ujawniło szereg istotnych korelacji dotyczących decyzji rolników o zakupie ubezpieczeń. Dowiedziono, że wykształcenie, kontakt z doradcą rolnym, wielkość gospodarstwa rolnego, dotacje do składek, przynależność do kasty oraz dzierżawa były czynnikami determinującymi posiadanie ubezpieczenia. Wykształceni rolnicy, zwłaszcza ci z wykształceniem ponadpodstawowym, byli bardziej skłonni do zakupu ubezpieczenia upraw. Rolnicy, którzy uczestniczyli w szkoleniach rolniczych, również częściej decydowali się na ubezpieczenie. Posiadanie większego areału upraw zwiększało prawdopodobieństwo zakupu ubezpieczenia. Dotacje rządowe do składek ubezpieczeniowych miały pozytywny wpływ na decyzje o zakupie ubezpieczenia przez rolników. Rolnicy należący do niższych kast rzadziej decydowali się na ubezpieczenia, co może wynikać z nierówności w dostępie do informacji, edukacji finansowej i zasobów, które utrudniają pełne korzystanie z instrumentów finansowych. Rolnicy dzierżawiący ziemię byli mniej skłonni do ubezpieczenia swoich upraw</w:t>
      </w:r>
      <w:r w:rsidRPr="0068666F">
        <w:rPr>
          <w:rFonts w:ascii="Times New Roman" w:eastAsia="Times New Roman" w:hAnsi="Times New Roman" w:cs="Times New Roman"/>
          <w:kern w:val="0"/>
          <w:sz w:val="28"/>
          <w:szCs w:val="28"/>
          <w:lang w:eastAsia="pl-PL"/>
          <w14:ligatures w14:val="none"/>
        </w:rPr>
        <w:t xml:space="preserve"> </w:t>
      </w:r>
      <w:r w:rsidRPr="0068666F">
        <w:rPr>
          <w:rFonts w:ascii="Times New Roman" w:eastAsia="Times New Roman" w:hAnsi="Times New Roman" w:cs="Times New Roman"/>
          <w:bCs/>
          <w:kern w:val="0"/>
          <w:sz w:val="28"/>
          <w:szCs w:val="28"/>
          <w:lang w:eastAsia="pl-PL"/>
          <w14:ligatures w14:val="none"/>
        </w:rPr>
        <w:t>Badanie nie dostarczyło jednoznacznych dowodów na to, że ubezpieczenie upraw skłania rolników do podejmowania większego ryzyka w swojej działalności. Analiza nie wykazała również znaczącego wpływu ubezpieczenia upraw na dochody, wydatki produkcyjne i inwestycje rolników uprawiających ryż. Ten brak wyraźnego efektu może wynikać z ograniczeń metodologicznych badania lub specyfiki indyjskiego systemu ubezpieczeń upraw, w którym ubezpieczenie jest często powiązane z kredytem.</w:t>
      </w:r>
    </w:p>
    <w:p w14:paraId="47B00425" w14:textId="1D6FD9D8"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2"/>
          <w:lang w:eastAsia="pl-PL"/>
          <w14:ligatures w14:val="none"/>
        </w:rPr>
        <w:t xml:space="preserve">Kumar i in. (2021) badali rozpowszechnienie ubezpieczeń upraw w Indiach i przeanalizowali czynniki wpływające na popyt na ubezpieczenia upraw. Ponadto dokonali oceny wpływ ubezpieczeń upraw na plony ryżu drobnych producentów ryżu. W badaniu wykorzystano dane z badania podstawowego przeprowadzonego w sześciu stanach we wschodnich Indiach w latach 2016–2017. Ostateczna próba składała się z 8055 gospodarstw rolnych. Do analizy danych zastosowano trzy modele ekonometryczne: 1. Propensyty Score Matching (PSM). W badaniu zastosowano trzy techniki dopasowania: jądra (ang. </w:t>
      </w:r>
      <w:r w:rsidRPr="0068666F">
        <w:rPr>
          <w:rFonts w:ascii="Times New Roman" w:eastAsia="Times New Roman" w:hAnsi="Times New Roman" w:cs="Times New Roman"/>
          <w:bCs/>
          <w:i/>
          <w:kern w:val="0"/>
          <w:sz w:val="28"/>
          <w:szCs w:val="22"/>
          <w:lang w:eastAsia="pl-PL"/>
          <w14:ligatures w14:val="none"/>
        </w:rPr>
        <w:t>kernel matching</w:t>
      </w:r>
      <w:r w:rsidRPr="0068666F">
        <w:rPr>
          <w:rFonts w:ascii="Times New Roman" w:eastAsia="Times New Roman" w:hAnsi="Times New Roman" w:cs="Times New Roman"/>
          <w:bCs/>
          <w:kern w:val="0"/>
          <w:sz w:val="28"/>
          <w:szCs w:val="22"/>
          <w:lang w:eastAsia="pl-PL"/>
          <w14:ligatures w14:val="none"/>
        </w:rPr>
        <w:t xml:space="preserve">), najbliższego sąsiedztwa (ang. </w:t>
      </w:r>
      <w:r w:rsidRPr="0068666F">
        <w:rPr>
          <w:rFonts w:ascii="Times New Roman" w:eastAsia="Times New Roman" w:hAnsi="Times New Roman" w:cs="Times New Roman"/>
          <w:bCs/>
          <w:i/>
          <w:kern w:val="0"/>
          <w:sz w:val="28"/>
          <w:szCs w:val="22"/>
          <w:lang w:eastAsia="pl-PL"/>
          <w14:ligatures w14:val="none"/>
        </w:rPr>
        <w:t>nearest neighbor matching</w:t>
      </w:r>
      <w:r w:rsidRPr="0068666F">
        <w:rPr>
          <w:rFonts w:ascii="Times New Roman" w:eastAsia="Times New Roman" w:hAnsi="Times New Roman" w:cs="Times New Roman"/>
          <w:bCs/>
          <w:kern w:val="0"/>
          <w:sz w:val="28"/>
          <w:szCs w:val="22"/>
          <w:lang w:eastAsia="pl-PL"/>
          <w14:ligatures w14:val="none"/>
        </w:rPr>
        <w:t>) i dopasowania promienia (</w:t>
      </w:r>
      <w:r w:rsidRPr="0068666F">
        <w:rPr>
          <w:rFonts w:ascii="Times New Roman" w:eastAsia="CIDFont+F4" w:hAnsi="Times New Roman" w:cs="Times New Roman"/>
          <w:kern w:val="0"/>
          <w:sz w:val="28"/>
          <w:szCs w:val="28"/>
          <w:lang w:eastAsia="pl-PL"/>
          <w14:ligatures w14:val="none"/>
        </w:rPr>
        <w:t xml:space="preserve">ang. </w:t>
      </w:r>
      <w:r w:rsidRPr="0068666F">
        <w:rPr>
          <w:rFonts w:ascii="Times New Roman" w:eastAsia="CIDFont+F4" w:hAnsi="Times New Roman" w:cs="Times New Roman"/>
          <w:i/>
          <w:kern w:val="0"/>
          <w:sz w:val="28"/>
          <w:szCs w:val="28"/>
          <w:lang w:eastAsia="pl-PL"/>
          <w14:ligatures w14:val="none"/>
        </w:rPr>
        <w:t>radius matching</w:t>
      </w:r>
      <w:r w:rsidRPr="0068666F">
        <w:rPr>
          <w:rFonts w:ascii="Times New Roman" w:eastAsia="CIDFont+F4" w:hAnsi="Times New Roman" w:cs="Times New Roman"/>
          <w:kern w:val="0"/>
          <w:sz w:val="28"/>
          <w:szCs w:val="28"/>
          <w:lang w:eastAsia="pl-PL"/>
          <w14:ligatures w14:val="none"/>
        </w:rPr>
        <w:t>)</w:t>
      </w:r>
      <w:r w:rsidRPr="0068666F">
        <w:rPr>
          <w:rFonts w:ascii="Times New Roman" w:eastAsia="Times New Roman" w:hAnsi="Times New Roman" w:cs="Times New Roman"/>
          <w:bCs/>
          <w:kern w:val="0"/>
          <w:sz w:val="28"/>
          <w:szCs w:val="22"/>
          <w:lang w:eastAsia="pl-PL"/>
          <w14:ligatures w14:val="none"/>
        </w:rPr>
        <w:t>; 2. Coarsened Exact Matching (CEM) - jest to alternatywna metoda dopasowania, która ma na celu zmniejszenie błędów i niespójności wynikających z zastosowania PSM. W metodzie CEM każda zmienna jest pogrupowana w taki sposób, aby wartości podobne do siebie zostały przypisane do tej samej grupy; 3. Endogenous Switching Regression (ESR) - metoda pozwala na uwzględnienie zarówno obserwowalnych, jak i nieobserwowalnych czynników wpływających na decyzję o ubezpieczeniu. ESR polega na jednoczesnym oszacowaniu dwóch równań: selekcji, które określa prawdopodobieństwo ubezpieczenia upraw oraz wyniku, które określa wpływ ubezpieczenia na plony ryżu. W modelach tych zmienną wynikową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kern w:val="0"/>
          <w:sz w:val="28"/>
          <w:szCs w:val="22"/>
          <w:lang w:eastAsia="pl-PL"/>
          <w14:ligatures w14:val="none"/>
        </w:rPr>
        <w:t xml:space="preserve">) była zmienna – plony ryżu (w kwintalach z ha). </w:t>
      </w:r>
      <w:r w:rsidRPr="0068666F">
        <w:rPr>
          <w:rFonts w:ascii="Times New Roman" w:eastAsia="Times New Roman" w:hAnsi="Times New Roman" w:cs="Times New Roman"/>
          <w:bCs/>
          <w:kern w:val="0"/>
          <w:sz w:val="28"/>
          <w:szCs w:val="22"/>
          <w:lang w:eastAsia="pl-PL"/>
          <w14:ligatures w14:val="none"/>
        </w:rPr>
        <w:lastRenderedPageBreak/>
        <w:t>Zmienne objaśniające (</w:t>
      </w:r>
      <w:r w:rsidRPr="0068666F">
        <w:rPr>
          <w:rFonts w:ascii="Times New Roman" w:eastAsia="Times New Roman" w:hAnsi="Times New Roman" w:cs="Times New Roman"/>
          <w:bCs/>
          <w:i/>
          <w:kern w:val="0"/>
          <w:sz w:val="28"/>
          <w:szCs w:val="22"/>
          <w:lang w:eastAsia="pl-PL"/>
          <w14:ligatures w14:val="none"/>
        </w:rPr>
        <w:t>x</w:t>
      </w:r>
      <w:r w:rsidRPr="0068666F">
        <w:rPr>
          <w:rFonts w:ascii="Times New Roman" w:eastAsia="Times New Roman" w:hAnsi="Times New Roman" w:cs="Times New Roman"/>
          <w:bCs/>
          <w:kern w:val="0"/>
          <w:sz w:val="28"/>
          <w:szCs w:val="22"/>
          <w:lang w:eastAsia="pl-PL"/>
          <w14:ligatures w14:val="none"/>
        </w:rPr>
        <w:t>) zastosowane w modelu to: ubezpieczenie upraw (zmienna binarna), wykształcenie, kasta społeczna, liczba członków gospodarstwa domowego, doświadczenie w rolnictwie (w latach), wielkość gospodarstwa (ha), źródło nawadniania, typ terenu, typ i kolor gleb, posiadanie karty zdrowej gleby, zaciągnięcie pożyczki, liczba uprawianych roślin, liczba sztuk bydła, wiek odmian pszenicy. Dodatkowo w modelu ESR wprowadzono zmienną instrumentalną – gęstość banków (liczba banków komercyjnych w danym dystrykcie/powierzchnia dystryktu w kilometrach kwadratowych). Główne wnioski z badania dostarczają dowodów, że ubezpieczenie upraw ma pozytywny i istotny statystycznie wpływ na plony ryżu. Wniosek ten został potwierdzony przez wszystkie trzy zastosowane metody ekonometryczne: PSM, CEM i ESR. Rolnicy posiadający ubezpieczenie upraw osiągają wyższe plony ryżu niż rolnicy nieubezpieczeni. Brak jest silnych dowodów na występowanie hazardu moralnego - zjawiska polegającego na tym, że rolnicy ubezpieczający uprawy mogą podejmować większe ryzyko, wiedząc, że w razie strat otrzymają odszkodowanie. Istnieje heterogeniczność w próbie rolników, co oznacza, że ​​niektórzy z nich mogą odnosić większe korzyści z ubezpieczenia upraw niż inni.</w:t>
      </w:r>
    </w:p>
    <w:p w14:paraId="469BE545" w14:textId="6704E73E"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kern w:val="0"/>
          <w:sz w:val="22"/>
          <w:szCs w:val="22"/>
          <w:lang w:eastAsia="pl-PL"/>
          <w14:ligatures w14:val="none"/>
        </w:rPr>
        <w:t xml:space="preserve"> </w:t>
      </w:r>
      <w:r w:rsidRPr="0068666F">
        <w:rPr>
          <w:rFonts w:ascii="Times New Roman" w:eastAsia="Times New Roman" w:hAnsi="Times New Roman" w:cs="Times New Roman"/>
          <w:bCs/>
          <w:kern w:val="0"/>
          <w:sz w:val="28"/>
          <w:szCs w:val="22"/>
          <w:lang w:eastAsia="pl-PL"/>
          <w14:ligatures w14:val="none"/>
        </w:rPr>
        <w:t>Silaban i Harmini (2022), wykorzystując dane z badania przeprowadzonego przez Indonezyjski Urząd Statystyczny (BPS) w 2018 roku, skupili się na dwóch głównych celach: 1. Analizie czynników wpływających na decyzje rolników o uczestnictwie w programie dotowanych ubezpieczeń upraw ryżu. Autorzy starali się zidentyfikować zmienne, które wpływają na to, czy rolnicy decydują się na skorzystanie z ubezpieczenia upraw ryżu. 2. Określeniu wpływu uczestnictwa w programie ubezpieczenia upraw ryżu na dochody rolników. Celem było zbadanie, czy rolnicy korzystający z ubezpieczenia osiągają wyższe dochody w porównaniu do rolników nieubezpieczonych. Badanie koncentruje się na dziesięciu głównych prowincjach produkujących ryż w Indonezji, w których wdrożono program ubezpieczenia upraw ryżu. Próba badawcza składała się z 470 gospodarstw domowych, z czego 122 rolników korzystało z ubezpieczenia. Autorzy zastosowali dwie główne metody analizy danych: 1. Regresję logistyczną. Metoda ta posłużyła do zbadania zależności między zmiennymi niezależnymi a zmienną zależną - decyzją o uczestnictwie w programie ubezpieczenia upraw ryżu. 2. Dopasowanie według oceny skłonności (Propensity Score Matching, PSM). Metoda ta pozwoliła na porównanie dochodów rolników ubezpieczonych i nieubezpieczonych, uwzględniając różnice w ich cechach. Analiza użyta do określenia decyzji rolnika o wykupieniu ubezpieczenia uprawy ryżu była analizą binarnej regresji logistycznej. Analiza regresji logistycznej została wykorzystana do sprawdzenia związku między zmienną niezależną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kern w:val="0"/>
          <w:sz w:val="28"/>
          <w:szCs w:val="22"/>
          <w:lang w:eastAsia="pl-PL"/>
          <w14:ligatures w14:val="none"/>
        </w:rPr>
        <w:t>) a zmiennymi zależnymi (</w:t>
      </w:r>
      <w:r w:rsidRPr="0068666F">
        <w:rPr>
          <w:rFonts w:ascii="Times New Roman" w:eastAsia="Times New Roman" w:hAnsi="Times New Roman" w:cs="Times New Roman"/>
          <w:bCs/>
          <w:i/>
          <w:kern w:val="0"/>
          <w:sz w:val="28"/>
          <w:szCs w:val="22"/>
          <w:lang w:eastAsia="pl-PL"/>
          <w14:ligatures w14:val="none"/>
        </w:rPr>
        <w:t>x</w:t>
      </w:r>
      <w:r w:rsidRPr="0068666F">
        <w:rPr>
          <w:rFonts w:ascii="Times New Roman" w:eastAsia="Times New Roman" w:hAnsi="Times New Roman" w:cs="Times New Roman"/>
          <w:bCs/>
          <w:kern w:val="0"/>
          <w:sz w:val="28"/>
          <w:szCs w:val="22"/>
          <w:lang w:eastAsia="pl-PL"/>
          <w14:ligatures w14:val="none"/>
        </w:rPr>
        <w:t xml:space="preserve">), takimi jak: wiek, wykształcenie, percepcja rolników spadku produkcji z </w:t>
      </w:r>
      <w:r w:rsidRPr="0068666F">
        <w:rPr>
          <w:rFonts w:ascii="Times New Roman" w:eastAsia="Times New Roman" w:hAnsi="Times New Roman" w:cs="Times New Roman"/>
          <w:bCs/>
          <w:kern w:val="0"/>
          <w:sz w:val="28"/>
          <w:szCs w:val="22"/>
          <w:lang w:eastAsia="pl-PL"/>
          <w14:ligatures w14:val="none"/>
        </w:rPr>
        <w:lastRenderedPageBreak/>
        <w:t xml:space="preserve">powodu zmiany klimatu, powierzchnia ziemi uprawianej przez rolników (ha), własność ziemi, udział w szkoleniach dotyczących programu ubezpieczeń, produkcja (kg), dochód z gospodarstwa rolnego. Na podstawie przeprowadzonej analizy dowiedziono, że program ubezpieczenia upraw ryżu ma pozytywny wpływ na dochody rolników. Rolnicy korzystający z ubezpieczenia osiągają wyższe dochody w porównaniu do rolników nieubezpieczonych. Czynnikami determinującymi posiadanie ubezpieczenia były: poziom wykształcenia, postrzeganie ryzyka, udział w szkoleniach dotyczących programu ubezpieczeń oraz poziom produkcji rolnej. </w:t>
      </w:r>
    </w:p>
    <w:p w14:paraId="65B75C22" w14:textId="560395BE"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2"/>
          <w:lang w:eastAsia="pl-PL"/>
          <w14:ligatures w14:val="none"/>
        </w:rPr>
        <w:t xml:space="preserve">Yanuarti i in. (2019) skupili sie na badaniu wpływu poziomu awersji do ryzyka na decyzje rolników dotyczące uczestnictwa w programie ubezpieczeń upraw ryżu w Indonezji. Badaniem objęto 130 rolników z 367 z regionu Jember (największy obszar produkcji ryżu we wschodniej Jawie). Próbę podzielono na dwie grupy: grupę badaną i grupę kontrolną. Grupa badana składała się z 65 rolników, którzy uczestniczyli w programie ubezpieczeń upraw (pobranych z listy ubezpieczycieli). Grupa kontrolna składała się z rolników, którzy nie uczestniczyli w programie ubezpieczeń upraw i zostali wybrani losowo. Autorzy zastosowali </w:t>
      </w:r>
      <w:r w:rsidRPr="0068666F">
        <w:rPr>
          <w:rFonts w:ascii="Times New Roman" w:eastAsia="Times New Roman" w:hAnsi="Times New Roman" w:cs="Times New Roman"/>
          <w:bCs/>
          <w:i/>
          <w:kern w:val="0"/>
          <w:sz w:val="28"/>
          <w:szCs w:val="22"/>
          <w:lang w:eastAsia="pl-PL"/>
          <w14:ligatures w14:val="none"/>
        </w:rPr>
        <w:t>Propensity Score Matching</w:t>
      </w:r>
      <w:r w:rsidRPr="0068666F">
        <w:rPr>
          <w:rFonts w:ascii="Times New Roman" w:eastAsia="Times New Roman" w:hAnsi="Times New Roman" w:cs="Times New Roman"/>
          <w:bCs/>
          <w:kern w:val="0"/>
          <w:sz w:val="28"/>
          <w:szCs w:val="22"/>
          <w:lang w:eastAsia="pl-PL"/>
          <w14:ligatures w14:val="none"/>
        </w:rPr>
        <w:t xml:space="preserve"> (PSM), aby ocenić wpływ uczestnictwa w programie ubezpieczeń upraw ryżu na dochody rolników. Ta metoda pozwoliła na porównanie grup rolników, którzy uczestniczą w programie ubezpieczeniowym (grupa badana) z grupą rolników, którzy nie uczestniczą (grupa kontrolna), uwzględniając jednocześnie inne czynniki, które mogą wpływać na dochody. Do oszacowania prawdopodobieństwa uczestnictwa w programie ubezpieczeń upraw ryżu (ang. </w:t>
      </w:r>
      <w:r w:rsidRPr="0068666F">
        <w:rPr>
          <w:rFonts w:ascii="Times New Roman" w:eastAsia="Times New Roman" w:hAnsi="Times New Roman" w:cs="Times New Roman"/>
          <w:bCs/>
          <w:i/>
          <w:kern w:val="0"/>
          <w:sz w:val="28"/>
          <w:szCs w:val="22"/>
          <w:lang w:eastAsia="pl-PL"/>
          <w14:ligatures w14:val="none"/>
        </w:rPr>
        <w:t>propensity score</w:t>
      </w:r>
      <w:r w:rsidRPr="0068666F">
        <w:rPr>
          <w:rFonts w:ascii="Times New Roman" w:eastAsia="Times New Roman" w:hAnsi="Times New Roman" w:cs="Times New Roman"/>
          <w:bCs/>
          <w:kern w:val="0"/>
          <w:sz w:val="28"/>
          <w:szCs w:val="22"/>
          <w:lang w:eastAsia="pl-PL"/>
          <w14:ligatures w14:val="none"/>
        </w:rPr>
        <w:t>) wykorzystano model regresji logistycznej. Uwzględniono w nim pięć zmiennych niezależnych: poziom awersji do ryzyka, wiek rolnika, doświadczenie rolnicze, powierzchnia gruntów uprawnych w ha, nieudane zbiory z powodu ataku szkodników. Zmienna objaśniana (</w:t>
      </w:r>
      <w:r w:rsidRPr="0068666F">
        <w:rPr>
          <w:rFonts w:ascii="Times New Roman" w:eastAsia="Times New Roman" w:hAnsi="Times New Roman" w:cs="Times New Roman"/>
          <w:bCs/>
          <w:i/>
          <w:kern w:val="0"/>
          <w:sz w:val="28"/>
          <w:szCs w:val="22"/>
          <w:lang w:eastAsia="pl-PL"/>
          <w14:ligatures w14:val="none"/>
        </w:rPr>
        <w:t>Y</w:t>
      </w:r>
      <w:r w:rsidRPr="0068666F">
        <w:rPr>
          <w:rFonts w:ascii="Times New Roman" w:eastAsia="Times New Roman" w:hAnsi="Times New Roman" w:cs="Times New Roman"/>
          <w:bCs/>
          <w:kern w:val="0"/>
          <w:sz w:val="28"/>
          <w:szCs w:val="22"/>
          <w:lang w:eastAsia="pl-PL"/>
          <w14:ligatures w14:val="none"/>
        </w:rPr>
        <w:t xml:space="preserve">) miała charakter binarny i oznaczała opcję zakupu ubezpieczenia. Autorzy przeprowadzili Common Support Analysis, aby dopasować charakterystykę grupy badanej i grupy kontrolnej za pomocą propensity score. Zapewniło to, że porównywane grupy były do siebie podobne pod względem obserwowalnych cech. Po dopasowaniu grup przeprowadzono test równowagi (ang. </w:t>
      </w:r>
      <w:r w:rsidRPr="0068666F">
        <w:rPr>
          <w:rFonts w:ascii="Times New Roman" w:eastAsia="Times New Roman" w:hAnsi="Times New Roman" w:cs="Times New Roman"/>
          <w:bCs/>
          <w:i/>
          <w:kern w:val="0"/>
          <w:sz w:val="28"/>
          <w:szCs w:val="22"/>
          <w:lang w:eastAsia="pl-PL"/>
          <w14:ligatures w14:val="none"/>
        </w:rPr>
        <w:t>Balancing Test</w:t>
      </w:r>
      <w:r w:rsidRPr="0068666F">
        <w:rPr>
          <w:rFonts w:ascii="Times New Roman" w:eastAsia="Times New Roman" w:hAnsi="Times New Roman" w:cs="Times New Roman"/>
          <w:bCs/>
          <w:kern w:val="0"/>
          <w:sz w:val="28"/>
          <w:szCs w:val="22"/>
          <w:lang w:eastAsia="pl-PL"/>
          <w14:ligatures w14:val="none"/>
        </w:rPr>
        <w:t xml:space="preserve">), aby sprawdzić, czy różnice w zmiennych towarzyszących (ang. </w:t>
      </w:r>
      <w:r w:rsidRPr="0068666F">
        <w:rPr>
          <w:rFonts w:ascii="Times New Roman" w:eastAsia="Times New Roman" w:hAnsi="Times New Roman" w:cs="Times New Roman"/>
          <w:bCs/>
          <w:i/>
          <w:kern w:val="0"/>
          <w:sz w:val="28"/>
          <w:szCs w:val="22"/>
          <w:lang w:eastAsia="pl-PL"/>
          <w14:ligatures w14:val="none"/>
        </w:rPr>
        <w:t>covariates</w:t>
      </w:r>
      <w:r w:rsidRPr="0068666F">
        <w:rPr>
          <w:rFonts w:ascii="Times New Roman" w:eastAsia="Times New Roman" w:hAnsi="Times New Roman" w:cs="Times New Roman"/>
          <w:bCs/>
          <w:kern w:val="0"/>
          <w:sz w:val="28"/>
          <w:szCs w:val="22"/>
          <w:lang w:eastAsia="pl-PL"/>
          <w14:ligatures w14:val="none"/>
        </w:rPr>
        <w:t xml:space="preserve">) między grupami zostały wyeliminowane w procesie dopasowania. Zastosowano trzy różne metody dopasowania: najbliższego sąsiedztwa (ang. </w:t>
      </w:r>
      <w:r w:rsidRPr="0068666F">
        <w:rPr>
          <w:rFonts w:ascii="Times New Roman" w:eastAsia="Times New Roman" w:hAnsi="Times New Roman" w:cs="Times New Roman"/>
          <w:bCs/>
          <w:i/>
          <w:kern w:val="0"/>
          <w:sz w:val="28"/>
          <w:szCs w:val="22"/>
          <w:lang w:eastAsia="pl-PL"/>
          <w14:ligatures w14:val="none"/>
        </w:rPr>
        <w:t>nearest neighbourhood matching</w:t>
      </w:r>
      <w:r w:rsidRPr="0068666F">
        <w:rPr>
          <w:rFonts w:ascii="Times New Roman" w:eastAsia="Times New Roman" w:hAnsi="Times New Roman" w:cs="Times New Roman"/>
          <w:bCs/>
          <w:kern w:val="0"/>
          <w:sz w:val="28"/>
          <w:szCs w:val="22"/>
          <w:lang w:eastAsia="pl-PL"/>
          <w14:ligatures w14:val="none"/>
        </w:rPr>
        <w:t xml:space="preserve">), promienia (ang. </w:t>
      </w:r>
      <w:r w:rsidRPr="0068666F">
        <w:rPr>
          <w:rFonts w:ascii="Times New Roman" w:eastAsia="Times New Roman" w:hAnsi="Times New Roman" w:cs="Times New Roman"/>
          <w:bCs/>
          <w:i/>
          <w:kern w:val="0"/>
          <w:sz w:val="28"/>
          <w:szCs w:val="22"/>
          <w:lang w:eastAsia="pl-PL"/>
          <w14:ligatures w14:val="none"/>
        </w:rPr>
        <w:t>radius matching</w:t>
      </w:r>
      <w:r w:rsidRPr="0068666F">
        <w:rPr>
          <w:rFonts w:ascii="Times New Roman" w:eastAsia="Times New Roman" w:hAnsi="Times New Roman" w:cs="Times New Roman"/>
          <w:bCs/>
          <w:kern w:val="0"/>
          <w:sz w:val="28"/>
          <w:szCs w:val="22"/>
          <w:lang w:eastAsia="pl-PL"/>
          <w14:ligatures w14:val="none"/>
        </w:rPr>
        <w:t xml:space="preserve">) i jądra (ang. </w:t>
      </w:r>
      <w:r w:rsidRPr="0068666F">
        <w:rPr>
          <w:rFonts w:ascii="Times New Roman" w:eastAsia="Times New Roman" w:hAnsi="Times New Roman" w:cs="Times New Roman"/>
          <w:bCs/>
          <w:i/>
          <w:kern w:val="0"/>
          <w:sz w:val="28"/>
          <w:szCs w:val="22"/>
          <w:lang w:eastAsia="pl-PL"/>
          <w14:ligatures w14:val="none"/>
        </w:rPr>
        <w:t>kernel matching</w:t>
      </w:r>
      <w:r w:rsidRPr="0068666F">
        <w:rPr>
          <w:rFonts w:ascii="Times New Roman" w:eastAsia="Times New Roman" w:hAnsi="Times New Roman" w:cs="Times New Roman"/>
          <w:bCs/>
          <w:kern w:val="0"/>
          <w:sz w:val="28"/>
          <w:szCs w:val="22"/>
          <w:lang w:eastAsia="pl-PL"/>
          <w14:ligatures w14:val="none"/>
        </w:rPr>
        <w:t xml:space="preserve">), co pozwoliło na porównanie wyników i zwiększenie wiarygodności analizy. Autorzy wykorzystali ATT (ang. </w:t>
      </w:r>
      <w:r w:rsidRPr="0068666F">
        <w:rPr>
          <w:rFonts w:ascii="Times New Roman" w:eastAsia="Times New Roman" w:hAnsi="Times New Roman" w:cs="Times New Roman"/>
          <w:bCs/>
          <w:i/>
          <w:kern w:val="0"/>
          <w:sz w:val="28"/>
          <w:szCs w:val="22"/>
          <w:lang w:eastAsia="pl-PL"/>
          <w14:ligatures w14:val="none"/>
        </w:rPr>
        <w:t>Average Treatment on the Treated</w:t>
      </w:r>
      <w:r w:rsidRPr="0068666F">
        <w:rPr>
          <w:rFonts w:ascii="Times New Roman" w:eastAsia="Times New Roman" w:hAnsi="Times New Roman" w:cs="Times New Roman"/>
          <w:bCs/>
          <w:kern w:val="0"/>
          <w:sz w:val="28"/>
          <w:szCs w:val="22"/>
          <w:lang w:eastAsia="pl-PL"/>
          <w14:ligatures w14:val="none"/>
        </w:rPr>
        <w:t xml:space="preserve">) jako wskaźnik wpływu uczestnictwa w programie ubezpieczeń upraw ryżu na dochody rolników. Wyniki analizy wskazują, </w:t>
      </w:r>
      <w:r w:rsidRPr="0068666F">
        <w:rPr>
          <w:rFonts w:ascii="Times New Roman" w:eastAsia="Times New Roman" w:hAnsi="Times New Roman" w:cs="Times New Roman"/>
          <w:bCs/>
          <w:kern w:val="0"/>
          <w:sz w:val="28"/>
          <w:szCs w:val="22"/>
          <w:lang w:eastAsia="pl-PL"/>
          <w14:ligatures w14:val="none"/>
        </w:rPr>
        <w:lastRenderedPageBreak/>
        <w:t>że uczestnictwo w programie ma pozytywny wpływ na dochody rolników. Na podstawie analizy regresji logistycznej zidentyfikowała czynniki, które mają istotny wpływ na decyzję rolników o przystąpieniu do programu ubezpieczeń upraw ryżu w Indonezji. Były to: poziom awersji do ryzyka, wiek, doświadczenie rolnicze, powierzchnia gruntów oraz wystąpienie  strat w zbiorach.</w:t>
      </w:r>
    </w:p>
    <w:p w14:paraId="46567CE9" w14:textId="7E9BB1FA"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2"/>
          <w:lang w:eastAsia="pl-PL"/>
          <w14:ligatures w14:val="none"/>
        </w:rPr>
      </w:pPr>
      <w:r w:rsidRPr="0068666F">
        <w:rPr>
          <w:rFonts w:ascii="Times New Roman" w:eastAsia="Times New Roman" w:hAnsi="Times New Roman" w:cs="Times New Roman"/>
          <w:bCs/>
          <w:kern w:val="0"/>
          <w:sz w:val="28"/>
          <w:szCs w:val="22"/>
          <w:lang w:eastAsia="pl-PL"/>
          <w14:ligatures w14:val="none"/>
        </w:rPr>
        <w:t xml:space="preserve">Shaibu i in. (2016) przeprowadzili badania mające na celu określenie wpływu programu ubezpieczeń rolnych w Nigerii na dobrobyt rolników. Autorzy skupili się na dochodach z gospodarstw rolnych jako wskaźniku dobrobytu. Badanie przeprowadzono na próbie 240 rolników w stanie Kogi, w tym 120 rolników ubezpieczonych i 120 rolników nieubezpieczonych. Do wyboru rolników wykorzystano technikę losowania proporcjonalnego. Listy zarejestrowanych rolników ubezpieczonych uzyskano z Narodowej Korporacji Ubezpieczeń Rolnych (NAIC) i Banku Rolnictwa (BoA), a dane dotyczące populacji rolników w stanie uzyskano z Projektu Rozwoju Rolnictwa (ADP). W celu porównania dobrobytu rolników ubezpieczonych i nieubezpieczonych wykorzystano metodę dopasowania według prawdopodobieństwa (PSM). W pierwszym etapie zastosowano model regresji probitowej do oszacowania prawdopodobieństwa, że respondent skorzystał z usług ubezpieczeniowych. W drugim etapie wykorzystano oszacowane prawdopodobieństwa skłonności (uzyskane w etapie I) do dopasowania rolników ubezpieczonych i nieubezpieczonych. W badaniu wykorzystano trzy metody dopasowania: jądra (ang. </w:t>
      </w:r>
      <w:r w:rsidRPr="0068666F">
        <w:rPr>
          <w:rFonts w:ascii="Times New Roman" w:eastAsia="Times New Roman" w:hAnsi="Times New Roman" w:cs="Times New Roman"/>
          <w:bCs/>
          <w:i/>
          <w:kern w:val="0"/>
          <w:sz w:val="28"/>
          <w:szCs w:val="22"/>
          <w:lang w:eastAsia="pl-PL"/>
          <w14:ligatures w14:val="none"/>
        </w:rPr>
        <w:t>kernel matching</w:t>
      </w:r>
      <w:r w:rsidRPr="0068666F">
        <w:rPr>
          <w:rFonts w:ascii="Times New Roman" w:eastAsia="Times New Roman" w:hAnsi="Times New Roman" w:cs="Times New Roman"/>
          <w:bCs/>
          <w:kern w:val="0"/>
          <w:sz w:val="28"/>
          <w:szCs w:val="22"/>
          <w:lang w:eastAsia="pl-PL"/>
          <w14:ligatures w14:val="none"/>
        </w:rPr>
        <w:t xml:space="preserve">), najbliższego sąsiedztwa (ang. </w:t>
      </w:r>
      <w:r w:rsidRPr="0068666F">
        <w:rPr>
          <w:rFonts w:ascii="Times New Roman" w:eastAsia="Times New Roman" w:hAnsi="Times New Roman" w:cs="Times New Roman"/>
          <w:bCs/>
          <w:i/>
          <w:kern w:val="0"/>
          <w:sz w:val="28"/>
          <w:szCs w:val="22"/>
          <w:lang w:eastAsia="pl-PL"/>
          <w14:ligatures w14:val="none"/>
        </w:rPr>
        <w:t>nearest neighbour matching</w:t>
      </w:r>
      <w:r w:rsidRPr="0068666F">
        <w:rPr>
          <w:rFonts w:ascii="Times New Roman" w:eastAsia="Times New Roman" w:hAnsi="Times New Roman" w:cs="Times New Roman"/>
          <w:bCs/>
          <w:kern w:val="0"/>
          <w:sz w:val="28"/>
          <w:szCs w:val="22"/>
          <w:lang w:eastAsia="pl-PL"/>
          <w14:ligatures w14:val="none"/>
        </w:rPr>
        <w:t xml:space="preserve">), promienia (ang. </w:t>
      </w:r>
      <w:r w:rsidRPr="0068666F">
        <w:rPr>
          <w:rFonts w:ascii="Times New Roman" w:eastAsia="Times New Roman" w:hAnsi="Times New Roman" w:cs="Times New Roman"/>
          <w:bCs/>
          <w:i/>
          <w:kern w:val="0"/>
          <w:sz w:val="28"/>
          <w:szCs w:val="22"/>
          <w:lang w:eastAsia="pl-PL"/>
          <w14:ligatures w14:val="none"/>
        </w:rPr>
        <w:t>radius matching</w:t>
      </w:r>
      <w:r w:rsidRPr="0068666F">
        <w:rPr>
          <w:rFonts w:ascii="Times New Roman" w:eastAsia="Times New Roman" w:hAnsi="Times New Roman" w:cs="Times New Roman"/>
          <w:bCs/>
          <w:kern w:val="0"/>
          <w:sz w:val="28"/>
          <w:szCs w:val="22"/>
          <w:lang w:eastAsia="pl-PL"/>
          <w14:ligatures w14:val="none"/>
        </w:rPr>
        <w:t xml:space="preserve">). Po dopasowaniu obliczono różnicę w dochodach z gospodarstw rolnych między dopasowanymi uczestnikami i nieuczestnikami. Różnica ta reprezentuje efekt wpływ programu ubezpieczeń rolnych na dochody rolników. Do obu modeli wprowadzono szereg zmiennych, które pozwoliły na kontrolę czynników mogących wpływać na decyzję o zakupie ubezpieczenia oraz na dochody rolników. Były to zmienne, takie jak: doświadczenie w rolnictwie, wielkość gospodarstwa, stan cywilny, kontakt z doradztwem rolniczym, dostęp do kredytów, wiek. Dowiedziono, że ubezpieczeni rolnicy osiągali wyższe dochody z gospodarstw w porównaniu do rolników nieubezpieczonych. Wykazano istotny związek między dostępem do kredytów a korzystaniem z ubezpieczeń rolnych. </w:t>
      </w:r>
    </w:p>
    <w:p w14:paraId="7F02DA72" w14:textId="3607CAEB"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8"/>
          <w:lang w:eastAsia="pl-PL"/>
          <w14:ligatures w14:val="none"/>
        </w:rPr>
      </w:pPr>
      <w:r w:rsidRPr="0068666F">
        <w:rPr>
          <w:rFonts w:ascii="Times New Roman" w:eastAsia="Times New Roman" w:hAnsi="Times New Roman" w:cs="Times New Roman"/>
          <w:bCs/>
          <w:kern w:val="0"/>
          <w:sz w:val="28"/>
          <w:szCs w:val="28"/>
          <w:lang w:eastAsia="pl-PL"/>
          <w14:ligatures w14:val="none"/>
        </w:rPr>
        <w:t xml:space="preserve">Juan i in. (2019), opierając się na istniejących modelach hazardu  moralnego w ubezpieczeniach upraw, a także na zestawie danych opartych na badaniach ankietowych, dokonali teoretycznej i empirycznej analiza efektów ubocznych ubezpieczeń upraw, takich jak hazard moralny i selekcja negatywna, w kontekście filipińskiego rynku ubezpieczeń upraw. W badaniu wykorzystano dane z przekrojowego badania ankietowego przeprowadzonego w 2013 roku . Próba badawcza objęła 426 producentów kukurydzy z trzech głównych jego regionów </w:t>
      </w:r>
      <w:r w:rsidRPr="0068666F">
        <w:rPr>
          <w:rFonts w:ascii="Times New Roman" w:eastAsia="Times New Roman" w:hAnsi="Times New Roman" w:cs="Times New Roman"/>
          <w:bCs/>
          <w:kern w:val="0"/>
          <w:sz w:val="28"/>
          <w:szCs w:val="28"/>
          <w:lang w:eastAsia="pl-PL"/>
          <w14:ligatures w14:val="none"/>
        </w:rPr>
        <w:lastRenderedPageBreak/>
        <w:t xml:space="preserve">uprawy. Do oszacowania efektów hazardu moralnego i selekcji negatywnej wykorzystano metodę </w:t>
      </w:r>
      <w:r w:rsidRPr="0068666F">
        <w:rPr>
          <w:rFonts w:ascii="Times New Roman" w:eastAsia="Times New Roman" w:hAnsi="Times New Roman" w:cs="Times New Roman"/>
          <w:bCs/>
          <w:i/>
          <w:kern w:val="0"/>
          <w:sz w:val="28"/>
          <w:szCs w:val="28"/>
          <w:lang w:eastAsia="pl-PL"/>
          <w14:ligatures w14:val="none"/>
        </w:rPr>
        <w:t>Propensity Score Matching</w:t>
      </w:r>
      <w:r w:rsidRPr="0068666F">
        <w:rPr>
          <w:rFonts w:ascii="Times New Roman" w:eastAsia="Times New Roman" w:hAnsi="Times New Roman" w:cs="Times New Roman"/>
          <w:bCs/>
          <w:kern w:val="0"/>
          <w:sz w:val="28"/>
          <w:szCs w:val="28"/>
          <w:lang w:eastAsia="pl-PL"/>
          <w14:ligatures w14:val="none"/>
        </w:rPr>
        <w:t xml:space="preserve"> (PSM). Przeprowadzono cztery dopasowane oszacowania: (a) efekt ryzyka moralnego ubezpieczenia tylko od klęsk żywiołowych; (b) efekt ryzyka moralnego ubezpieczenia od wielu ryzyk; (c) efekt negatywnej selekcji w ubezpieczeniu tylko od klęsk żywiołowych; i (d) efekt negatywnej selekcji w ubezpieczeniu od wielu ryzyk . Pierwszym krokiem w PSM było oszacowanie wyników skłonności na podstawie modelu regresji logitowej dla każdego dopasowanego oszacowania, a wynik skłonności dla rolnika jest przewidywanym prawdopodobieństwem, że znajdzie się on w grupie badanej (tj. przymusowy - w przypadku ryzyka moralnego i dobrowolny - w przypadku negatywnej selekcji). W analizie uwzględniono szereg zmiennych kontrolnych, takich jak: plony z dwóch poprzednich lat, zdolności poznawcze rolnika, płeć, wiek, wykształcenie i wielkość gospodarstwa domowego, topografia terenu, rodzaj upraw, dywersyfikacja upraw i hodowla zwierząt, dostęp do dróg, awersja do ryzyka, zmienne regionalne. W badaniu zastosowano metodę najbliższego sąsiedztwa</w:t>
      </w:r>
      <w:r w:rsidRPr="0068666F">
        <w:rPr>
          <w:rFonts w:ascii="Times New Roman" w:eastAsia="Times New Roman" w:hAnsi="Times New Roman" w:cs="Times New Roman"/>
          <w:bCs/>
          <w:color w:val="FF0000"/>
          <w:kern w:val="0"/>
          <w:sz w:val="28"/>
          <w:szCs w:val="28"/>
          <w:lang w:eastAsia="pl-PL"/>
          <w14:ligatures w14:val="none"/>
        </w:rPr>
        <w:t xml:space="preserve"> </w:t>
      </w:r>
      <w:r w:rsidRPr="0068666F">
        <w:rPr>
          <w:rFonts w:ascii="Times New Roman" w:eastAsia="Times New Roman" w:hAnsi="Times New Roman" w:cs="Times New Roman"/>
          <w:bCs/>
          <w:kern w:val="0"/>
          <w:sz w:val="28"/>
          <w:szCs w:val="22"/>
          <w:lang w:eastAsia="pl-PL"/>
          <w14:ligatures w14:val="none"/>
        </w:rPr>
        <w:t xml:space="preserve">(ang. </w:t>
      </w:r>
      <w:r w:rsidRPr="0068666F">
        <w:rPr>
          <w:rFonts w:ascii="Times New Roman" w:eastAsia="Times New Roman" w:hAnsi="Times New Roman" w:cs="Times New Roman"/>
          <w:bCs/>
          <w:i/>
          <w:kern w:val="0"/>
          <w:sz w:val="28"/>
          <w:szCs w:val="22"/>
          <w:lang w:eastAsia="pl-PL"/>
          <w14:ligatures w14:val="none"/>
        </w:rPr>
        <w:t>nearest neighbour matching</w:t>
      </w:r>
      <w:r w:rsidRPr="0068666F">
        <w:rPr>
          <w:rFonts w:ascii="Times New Roman" w:eastAsia="Times New Roman" w:hAnsi="Times New Roman" w:cs="Times New Roman"/>
          <w:bCs/>
          <w:kern w:val="0"/>
          <w:sz w:val="28"/>
          <w:szCs w:val="22"/>
          <w:lang w:eastAsia="pl-PL"/>
          <w14:ligatures w14:val="none"/>
        </w:rPr>
        <w:t>)</w:t>
      </w:r>
      <w:r w:rsidRPr="0068666F">
        <w:rPr>
          <w:rFonts w:ascii="Times New Roman" w:eastAsia="Times New Roman" w:hAnsi="Times New Roman" w:cs="Times New Roman"/>
          <w:bCs/>
          <w:kern w:val="0"/>
          <w:sz w:val="28"/>
          <w:szCs w:val="28"/>
          <w:lang w:eastAsia="pl-PL"/>
          <w14:ligatures w14:val="none"/>
        </w:rPr>
        <w:t>, czyli do każdego rolnika z grupy badanej dopasowano rolnika z grupy kontrolnej o najbliższej wartości skłonności. Na podstawie wyników estymacji PSM dowiedziono, że ubezpieczenie ma pozytywny wpływ na poziom wykorzystania nakładów, których koszty są uwzględniane przy ustalaniu wysokości odszkodowania. Ubezpieczenie nie ma istotnego wpływu na plony. Rolnicy, którzy planują mniejsze wydatki na nawozy i pestycydy, częściej wybierają ubezpieczenie tylko od klęsk żywiołowych.</w:t>
      </w:r>
    </w:p>
    <w:p w14:paraId="2B834585" w14:textId="77777777"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8"/>
          <w:lang w:eastAsia="pl-PL"/>
          <w14:ligatures w14:val="none"/>
        </w:rPr>
      </w:pPr>
    </w:p>
    <w:p w14:paraId="40D8B5E6" w14:textId="77777777"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8"/>
          <w:lang w:eastAsia="pl-PL"/>
          <w14:ligatures w14:val="none"/>
        </w:rPr>
      </w:pPr>
      <w:r w:rsidRPr="0068666F">
        <w:rPr>
          <w:rFonts w:ascii="Times New Roman" w:eastAsia="Times New Roman" w:hAnsi="Times New Roman" w:cs="Times New Roman"/>
          <w:bCs/>
          <w:kern w:val="0"/>
          <w:sz w:val="28"/>
          <w:szCs w:val="28"/>
          <w:lang w:eastAsia="pl-PL"/>
          <w14:ligatures w14:val="none"/>
        </w:rPr>
        <w:t xml:space="preserve">Badania z wykorzystaniem metod ekonometrycznych, a tym metody </w:t>
      </w:r>
      <w:r w:rsidRPr="0068666F">
        <w:rPr>
          <w:rFonts w:ascii="Times New Roman" w:eastAsia="Times New Roman" w:hAnsi="Times New Roman" w:cs="Times New Roman"/>
          <w:bCs/>
          <w:i/>
          <w:kern w:val="0"/>
          <w:sz w:val="28"/>
          <w:szCs w:val="28"/>
          <w:lang w:eastAsia="pl-PL"/>
          <w14:ligatures w14:val="none"/>
        </w:rPr>
        <w:t>Propensity Score Matching</w:t>
      </w:r>
      <w:r w:rsidRPr="0068666F">
        <w:rPr>
          <w:rFonts w:ascii="Times New Roman" w:eastAsia="Times New Roman" w:hAnsi="Times New Roman" w:cs="Times New Roman"/>
          <w:bCs/>
          <w:kern w:val="0"/>
          <w:sz w:val="28"/>
          <w:szCs w:val="28"/>
          <w:lang w:eastAsia="pl-PL"/>
          <w14:ligatures w14:val="none"/>
        </w:rPr>
        <w:t xml:space="preserve"> (PSM) skupiają się na szerokim spektrum czynników, które mogą wpływać na decyzje rolników dotyczące ubezpieczeń i efektywność programów ubezpieczeniowych. Istotne są zarówno cechy indywidualne rolnika i gospodarstwa, jak i czynniki środowiskowe i regionalne. Kilka zmiennych powtarza się w przywołanych powyżej źródłach, co wskazuje na ich istotność w kontekście badania wpływu ubezpieczeń na decyzje rolników i wyniki ekonomiczne gospodarstw. Wśród nich wymienić należy: a) czynniki charakteryzujące cechy rolnika/gospodarstwa:</w:t>
      </w:r>
      <w:r w:rsidRPr="0068666F">
        <w:rPr>
          <w:rFonts w:ascii="Times New Roman" w:eastAsia="Times New Roman" w:hAnsi="Times New Roman" w:cs="Times New Roman"/>
          <w:kern w:val="0"/>
          <w:sz w:val="28"/>
          <w:szCs w:val="28"/>
          <w:lang w:eastAsia="pl-PL"/>
          <w14:ligatures w14:val="none"/>
        </w:rPr>
        <w:t xml:space="preserve"> </w:t>
      </w:r>
      <w:r w:rsidRPr="0068666F">
        <w:rPr>
          <w:rFonts w:ascii="Times New Roman" w:eastAsia="Times New Roman" w:hAnsi="Times New Roman" w:cs="Times New Roman"/>
          <w:bCs/>
          <w:kern w:val="0"/>
          <w:sz w:val="28"/>
          <w:szCs w:val="28"/>
          <w:lang w:eastAsia="pl-PL"/>
          <w14:ligatures w14:val="none"/>
        </w:rPr>
        <w:t>wiek rolnika, płeć, wykształcenie rolnika</w:t>
      </w:r>
      <w:r w:rsidRPr="0068666F">
        <w:rPr>
          <w:rFonts w:ascii="Times New Roman" w:eastAsia="Times New Roman" w:hAnsi="Times New Roman" w:cs="Times New Roman"/>
          <w:kern w:val="0"/>
          <w:sz w:val="28"/>
          <w:szCs w:val="28"/>
          <w:lang w:eastAsia="pl-PL"/>
          <w14:ligatures w14:val="none"/>
        </w:rPr>
        <w:t xml:space="preserve">, </w:t>
      </w:r>
      <w:r w:rsidRPr="0068666F">
        <w:rPr>
          <w:rFonts w:ascii="Times New Roman" w:eastAsia="Times New Roman" w:hAnsi="Times New Roman" w:cs="Times New Roman"/>
          <w:bCs/>
          <w:kern w:val="0"/>
          <w:sz w:val="28"/>
          <w:szCs w:val="28"/>
          <w:lang w:eastAsia="pl-PL"/>
          <w14:ligatures w14:val="none"/>
        </w:rPr>
        <w:t xml:space="preserve">doświadczenie w rolnictwie, wielkość gospodarstwa (areał), specjalizacja gospodarstwa; b) </w:t>
      </w:r>
      <w:r w:rsidRPr="0068666F">
        <w:rPr>
          <w:rFonts w:ascii="Times New Roman" w:eastAsia="Times New Roman" w:hAnsi="Times New Roman" w:cs="Times New Roman"/>
          <w:kern w:val="0"/>
          <w:sz w:val="28"/>
          <w:szCs w:val="28"/>
          <w:lang w:eastAsia="pl-PL"/>
          <w14:ligatures w14:val="none"/>
        </w:rPr>
        <w:t xml:space="preserve">czynniki ekonomiczne: </w:t>
      </w:r>
      <w:r w:rsidRPr="0068666F">
        <w:rPr>
          <w:rFonts w:ascii="Times New Roman" w:eastAsia="Times New Roman" w:hAnsi="Times New Roman" w:cs="Times New Roman"/>
          <w:bCs/>
          <w:kern w:val="0"/>
          <w:sz w:val="28"/>
          <w:szCs w:val="28"/>
          <w:lang w:eastAsia="pl-PL"/>
          <w14:ligatures w14:val="none"/>
        </w:rPr>
        <w:t>dochód poza gospodarstwem, zadłużenie gospodarstwa; c) czynniki środowiskowe/regionalne:</w:t>
      </w:r>
      <w:r w:rsidRPr="0068666F">
        <w:rPr>
          <w:rFonts w:ascii="Times New Roman" w:eastAsia="Times New Roman" w:hAnsi="Times New Roman" w:cs="Times New Roman"/>
          <w:kern w:val="0"/>
          <w:sz w:val="28"/>
          <w:szCs w:val="28"/>
          <w:lang w:eastAsia="pl-PL"/>
          <w14:ligatures w14:val="none"/>
        </w:rPr>
        <w:t xml:space="preserve"> </w:t>
      </w:r>
      <w:r w:rsidRPr="0068666F">
        <w:rPr>
          <w:rFonts w:ascii="Times New Roman" w:eastAsia="Times New Roman" w:hAnsi="Times New Roman" w:cs="Times New Roman"/>
          <w:bCs/>
          <w:kern w:val="0"/>
          <w:sz w:val="28"/>
          <w:szCs w:val="28"/>
          <w:lang w:eastAsia="pl-PL"/>
          <w14:ligatures w14:val="none"/>
        </w:rPr>
        <w:t>lokalizacja gospodarstwa, warunki klimatyczne; d) czynniki związane z ubezpieczeniem:</w:t>
      </w:r>
      <w:r w:rsidRPr="0068666F">
        <w:rPr>
          <w:rFonts w:ascii="Times New Roman" w:eastAsia="Times New Roman" w:hAnsi="Times New Roman" w:cs="Times New Roman"/>
          <w:kern w:val="0"/>
          <w:sz w:val="28"/>
          <w:szCs w:val="28"/>
          <w:lang w:eastAsia="pl-PL"/>
          <w14:ligatures w14:val="none"/>
        </w:rPr>
        <w:t xml:space="preserve"> </w:t>
      </w:r>
      <w:r w:rsidRPr="0068666F">
        <w:rPr>
          <w:rFonts w:ascii="Times New Roman" w:eastAsia="Times New Roman" w:hAnsi="Times New Roman" w:cs="Times New Roman"/>
          <w:bCs/>
          <w:kern w:val="0"/>
          <w:sz w:val="28"/>
          <w:szCs w:val="28"/>
          <w:lang w:eastAsia="pl-PL"/>
          <w14:ligatures w14:val="none"/>
        </w:rPr>
        <w:t>rodzaj ubezpieczenia, koszty ubezpieczenia, dostępność ubezpieczenia; oraz e) czynniki psychologiczne/społeczne, w tym w szczególności awersja do ryzyka.</w:t>
      </w:r>
    </w:p>
    <w:p w14:paraId="54C71A8F" w14:textId="77777777" w:rsidR="0068666F" w:rsidRPr="0068666F" w:rsidRDefault="0068666F" w:rsidP="0068666F">
      <w:pPr>
        <w:spacing w:after="0" w:line="264" w:lineRule="auto"/>
        <w:ind w:firstLine="709"/>
        <w:jc w:val="both"/>
        <w:rPr>
          <w:rFonts w:ascii="Times New Roman" w:eastAsia="Times New Roman" w:hAnsi="Times New Roman" w:cs="Times New Roman"/>
          <w:bCs/>
          <w:kern w:val="0"/>
          <w:sz w:val="28"/>
          <w:szCs w:val="28"/>
          <w:lang w:eastAsia="pl-PL"/>
          <w14:ligatures w14:val="none"/>
        </w:rPr>
      </w:pPr>
    </w:p>
    <w:p w14:paraId="516B2F49" w14:textId="44C359FA" w:rsidR="0068666F" w:rsidRPr="0068666F" w:rsidRDefault="003E6CB7" w:rsidP="0068666F">
      <w:pPr>
        <w:spacing w:after="200" w:line="276" w:lineRule="auto"/>
        <w:rPr>
          <w:rFonts w:ascii="Times New Roman" w:eastAsia="Times New Roman" w:hAnsi="Times New Roman" w:cs="Times New Roman"/>
          <w:kern w:val="0"/>
          <w:sz w:val="28"/>
          <w:szCs w:val="22"/>
          <w:lang w:eastAsia="pl-PL"/>
          <w14:ligatures w14:val="none"/>
        </w:rPr>
      </w:pPr>
      <w:r>
        <w:rPr>
          <w:rFonts w:ascii="Times New Roman" w:eastAsia="Times New Roman" w:hAnsi="Times New Roman" w:cs="Times New Roman"/>
          <w:b/>
          <w:kern w:val="0"/>
          <w:sz w:val="28"/>
          <w:szCs w:val="22"/>
          <w:lang w:eastAsia="pl-PL"/>
          <w14:ligatures w14:val="none"/>
        </w:rPr>
        <w:lastRenderedPageBreak/>
        <w:t>Załącznik</w:t>
      </w:r>
      <w:r w:rsidR="0068666F" w:rsidRPr="0068666F">
        <w:rPr>
          <w:rFonts w:ascii="Times New Roman" w:eastAsia="Times New Roman" w:hAnsi="Times New Roman" w:cs="Times New Roman"/>
          <w:b/>
          <w:kern w:val="0"/>
          <w:sz w:val="28"/>
          <w:szCs w:val="22"/>
          <w:lang w:eastAsia="pl-PL"/>
          <w14:ligatures w14:val="none"/>
        </w:rPr>
        <w:t xml:space="preserve"> 1.</w:t>
      </w:r>
      <w:r w:rsidR="0068666F" w:rsidRPr="0068666F">
        <w:rPr>
          <w:rFonts w:ascii="Times New Roman" w:eastAsia="Times New Roman" w:hAnsi="Times New Roman" w:cs="Times New Roman"/>
          <w:kern w:val="0"/>
          <w:sz w:val="28"/>
          <w:szCs w:val="22"/>
          <w:lang w:eastAsia="pl-PL"/>
          <w14:ligatures w14:val="none"/>
        </w:rPr>
        <w:t xml:space="preserve"> Czynniki determinujące nabywanie przez rolników ubezpieczeń </w:t>
      </w:r>
    </w:p>
    <w:tbl>
      <w:tblPr>
        <w:tblStyle w:val="Tabela-Siatka2"/>
        <w:tblW w:w="5000" w:type="pct"/>
        <w:tblLayout w:type="fixed"/>
        <w:tblLook w:val="04A0" w:firstRow="1" w:lastRow="0" w:firstColumn="1" w:lastColumn="0" w:noHBand="0" w:noVBand="1"/>
      </w:tblPr>
      <w:tblGrid>
        <w:gridCol w:w="935"/>
        <w:gridCol w:w="1174"/>
        <w:gridCol w:w="1519"/>
        <w:gridCol w:w="1722"/>
        <w:gridCol w:w="2320"/>
        <w:gridCol w:w="1392"/>
      </w:tblGrid>
      <w:tr w:rsidR="0068666F" w:rsidRPr="0068666F" w14:paraId="2DB178CD" w14:textId="77777777" w:rsidTr="00C32BAD">
        <w:tc>
          <w:tcPr>
            <w:tcW w:w="516" w:type="pct"/>
          </w:tcPr>
          <w:p w14:paraId="1801D20C" w14:textId="77777777" w:rsidR="0068666F" w:rsidRPr="0068666F" w:rsidRDefault="0068666F" w:rsidP="0068666F">
            <w:pPr>
              <w:jc w:val="center"/>
              <w:rPr>
                <w:rFonts w:ascii="Times New Roman" w:hAnsi="Times New Roman" w:cs="Times New Roman"/>
                <w:b/>
                <w:sz w:val="16"/>
                <w:szCs w:val="16"/>
              </w:rPr>
            </w:pPr>
            <w:r w:rsidRPr="0068666F">
              <w:rPr>
                <w:rFonts w:ascii="Times New Roman" w:hAnsi="Times New Roman" w:cs="Times New Roman"/>
                <w:b/>
                <w:sz w:val="16"/>
                <w:szCs w:val="16"/>
              </w:rPr>
              <w:t>Autor</w:t>
            </w:r>
          </w:p>
        </w:tc>
        <w:tc>
          <w:tcPr>
            <w:tcW w:w="648" w:type="pct"/>
          </w:tcPr>
          <w:p w14:paraId="18E3D7A0" w14:textId="77777777" w:rsidR="0068666F" w:rsidRPr="0068666F" w:rsidRDefault="0068666F" w:rsidP="0068666F">
            <w:pPr>
              <w:jc w:val="center"/>
              <w:rPr>
                <w:rFonts w:ascii="Times New Roman" w:hAnsi="Times New Roman" w:cs="Times New Roman"/>
                <w:b/>
                <w:sz w:val="16"/>
                <w:szCs w:val="16"/>
              </w:rPr>
            </w:pPr>
            <w:r w:rsidRPr="0068666F">
              <w:rPr>
                <w:rFonts w:ascii="Times New Roman" w:hAnsi="Times New Roman" w:cs="Times New Roman"/>
                <w:b/>
                <w:sz w:val="16"/>
                <w:szCs w:val="16"/>
              </w:rPr>
              <w:t>Rodzaj ubezpieczenia</w:t>
            </w:r>
          </w:p>
        </w:tc>
        <w:tc>
          <w:tcPr>
            <w:tcW w:w="838" w:type="pct"/>
          </w:tcPr>
          <w:p w14:paraId="77D3D09D" w14:textId="77777777" w:rsidR="0068666F" w:rsidRPr="0068666F" w:rsidRDefault="0068666F" w:rsidP="0068666F">
            <w:pPr>
              <w:jc w:val="center"/>
              <w:rPr>
                <w:rFonts w:ascii="Times New Roman" w:hAnsi="Times New Roman" w:cs="Times New Roman"/>
                <w:b/>
                <w:sz w:val="16"/>
                <w:szCs w:val="16"/>
              </w:rPr>
            </w:pPr>
            <w:r w:rsidRPr="0068666F">
              <w:rPr>
                <w:rFonts w:ascii="Times New Roman" w:hAnsi="Times New Roman" w:cs="Times New Roman"/>
                <w:b/>
                <w:sz w:val="16"/>
                <w:szCs w:val="16"/>
              </w:rPr>
              <w:t>Zmienna objaśniana</w:t>
            </w:r>
          </w:p>
        </w:tc>
        <w:tc>
          <w:tcPr>
            <w:tcW w:w="950" w:type="pct"/>
          </w:tcPr>
          <w:p w14:paraId="13F71FC8" w14:textId="77777777" w:rsidR="0068666F" w:rsidRPr="0068666F" w:rsidRDefault="0068666F" w:rsidP="0068666F">
            <w:pPr>
              <w:jc w:val="center"/>
              <w:rPr>
                <w:rFonts w:ascii="Times New Roman" w:hAnsi="Times New Roman" w:cs="Times New Roman"/>
                <w:b/>
                <w:sz w:val="16"/>
                <w:szCs w:val="16"/>
              </w:rPr>
            </w:pPr>
            <w:r w:rsidRPr="0068666F">
              <w:rPr>
                <w:rFonts w:ascii="Times New Roman" w:hAnsi="Times New Roman" w:cs="Times New Roman"/>
                <w:b/>
                <w:sz w:val="16"/>
                <w:szCs w:val="16"/>
              </w:rPr>
              <w:t>Zmienne objaśniające</w:t>
            </w:r>
          </w:p>
        </w:tc>
        <w:tc>
          <w:tcPr>
            <w:tcW w:w="1280" w:type="pct"/>
          </w:tcPr>
          <w:p w14:paraId="0A8B022B" w14:textId="77777777" w:rsidR="0068666F" w:rsidRPr="0068666F" w:rsidRDefault="0068666F" w:rsidP="0068666F">
            <w:pPr>
              <w:jc w:val="center"/>
              <w:rPr>
                <w:rFonts w:ascii="Times New Roman" w:hAnsi="Times New Roman" w:cs="Times New Roman"/>
                <w:b/>
                <w:sz w:val="16"/>
                <w:szCs w:val="16"/>
              </w:rPr>
            </w:pPr>
            <w:r w:rsidRPr="0068666F">
              <w:rPr>
                <w:rFonts w:ascii="Times New Roman" w:hAnsi="Times New Roman" w:cs="Times New Roman"/>
                <w:b/>
                <w:sz w:val="16"/>
                <w:szCs w:val="16"/>
              </w:rPr>
              <w:t>Zmienne istotne statystycznie/kierunek wpływu/poziom istotności</w:t>
            </w:r>
          </w:p>
        </w:tc>
        <w:tc>
          <w:tcPr>
            <w:tcW w:w="768" w:type="pct"/>
          </w:tcPr>
          <w:p w14:paraId="11DEDC2E" w14:textId="77777777" w:rsidR="0068666F" w:rsidRPr="0068666F" w:rsidRDefault="0068666F" w:rsidP="0068666F">
            <w:pPr>
              <w:jc w:val="center"/>
              <w:rPr>
                <w:rFonts w:ascii="Times New Roman" w:hAnsi="Times New Roman" w:cs="Times New Roman"/>
                <w:b/>
                <w:sz w:val="16"/>
                <w:szCs w:val="16"/>
              </w:rPr>
            </w:pPr>
            <w:r w:rsidRPr="0068666F">
              <w:rPr>
                <w:rFonts w:ascii="Times New Roman" w:hAnsi="Times New Roman" w:cs="Times New Roman"/>
                <w:b/>
                <w:sz w:val="16"/>
                <w:szCs w:val="16"/>
              </w:rPr>
              <w:t>Zastosowana metoda</w:t>
            </w:r>
          </w:p>
        </w:tc>
      </w:tr>
      <w:tr w:rsidR="0068666F" w:rsidRPr="0068666F" w14:paraId="17D7270C" w14:textId="77777777" w:rsidTr="007827CC">
        <w:trPr>
          <w:trHeight w:val="2258"/>
        </w:trPr>
        <w:tc>
          <w:tcPr>
            <w:tcW w:w="516" w:type="pct"/>
          </w:tcPr>
          <w:p w14:paraId="0C740AC5"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 xml:space="preserve">Dragos </w:t>
            </w:r>
            <w:r w:rsidRPr="0068666F">
              <w:rPr>
                <w:rFonts w:ascii="Times New Roman" w:eastAsia="CIDFont+F4" w:hAnsi="Times New Roman" w:cs="Times New Roman"/>
                <w:sz w:val="16"/>
                <w:szCs w:val="16"/>
              </w:rPr>
              <w:br/>
              <w:t xml:space="preserve">i in. </w:t>
            </w:r>
            <w:r w:rsidRPr="0068666F">
              <w:rPr>
                <w:rFonts w:ascii="Times New Roman" w:eastAsia="CIDFont+F4" w:hAnsi="Times New Roman" w:cs="Times New Roman"/>
                <w:sz w:val="16"/>
                <w:szCs w:val="16"/>
              </w:rPr>
              <w:br/>
              <w:t>(2023)</w:t>
            </w:r>
          </w:p>
        </w:tc>
        <w:tc>
          <w:tcPr>
            <w:tcW w:w="648" w:type="pct"/>
          </w:tcPr>
          <w:p w14:paraId="5ACDE72E"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sz w:val="16"/>
                <w:szCs w:val="16"/>
              </w:rPr>
              <w:t>ubezpieczenie komercyjne</w:t>
            </w:r>
          </w:p>
        </w:tc>
        <w:tc>
          <w:tcPr>
            <w:tcW w:w="838" w:type="pct"/>
          </w:tcPr>
          <w:p w14:paraId="282AB1B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sz w:val="16"/>
                <w:szCs w:val="16"/>
              </w:rPr>
              <w:t xml:space="preserve">Zmienna z trzema kategoriami: </w:t>
            </w:r>
          </w:p>
          <w:p w14:paraId="08F0A9CD" w14:textId="77777777" w:rsidR="0068666F" w:rsidRPr="0068666F" w:rsidRDefault="0068666F" w:rsidP="0068666F">
            <w:pPr>
              <w:rPr>
                <w:rFonts w:ascii="Times New Roman" w:hAnsi="Times New Roman" w:cs="Times New Roman"/>
                <w:sz w:val="16"/>
                <w:szCs w:val="16"/>
              </w:rPr>
            </w:pPr>
          </w:p>
          <w:p w14:paraId="13AEDBAB"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rPr>
              <w:t xml:space="preserve"> – jeśli rolnik nie ma ubezpieczenia upraw</w:t>
            </w:r>
          </w:p>
          <w:p w14:paraId="362DD975" w14:textId="77777777" w:rsidR="0068666F" w:rsidRPr="0068666F" w:rsidRDefault="0068666F" w:rsidP="0068666F">
            <w:pPr>
              <w:rPr>
                <w:rFonts w:ascii="Times New Roman" w:hAnsi="Times New Roman" w:cs="Times New Roman"/>
                <w:sz w:val="16"/>
                <w:szCs w:val="16"/>
              </w:rPr>
            </w:pPr>
          </w:p>
          <w:p w14:paraId="17FC2909"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i/>
                <w:sz w:val="16"/>
                <w:szCs w:val="16"/>
                <w:vertAlign w:val="subscript"/>
              </w:rPr>
              <w:t>2</w:t>
            </w:r>
            <w:r w:rsidRPr="0068666F">
              <w:rPr>
                <w:rFonts w:ascii="Times New Roman" w:hAnsi="Times New Roman" w:cs="Times New Roman"/>
                <w:sz w:val="16"/>
                <w:szCs w:val="16"/>
              </w:rPr>
              <w:t xml:space="preserve"> – jeśli rolnik ma standardową polisę ubezpieczeniową</w:t>
            </w:r>
          </w:p>
          <w:p w14:paraId="3FBEF558" w14:textId="77777777" w:rsidR="0068666F" w:rsidRPr="0068666F" w:rsidRDefault="0068666F" w:rsidP="0068666F">
            <w:pPr>
              <w:rPr>
                <w:rFonts w:ascii="Times New Roman" w:hAnsi="Times New Roman" w:cs="Times New Roman"/>
                <w:sz w:val="16"/>
                <w:szCs w:val="16"/>
              </w:rPr>
            </w:pPr>
          </w:p>
          <w:p w14:paraId="1BD6F7DA"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i/>
                <w:sz w:val="16"/>
                <w:szCs w:val="16"/>
                <w:vertAlign w:val="subscript"/>
              </w:rPr>
              <w:t>3</w:t>
            </w:r>
            <w:r w:rsidRPr="0068666F">
              <w:rPr>
                <w:rFonts w:ascii="Times New Roman" w:hAnsi="Times New Roman" w:cs="Times New Roman"/>
                <w:sz w:val="16"/>
                <w:szCs w:val="16"/>
              </w:rPr>
              <w:t xml:space="preserve"> – jeśli rolnik ma rozszerzoną polisę obejmującą inne ryzyka oprócz tych ujętych </w:t>
            </w:r>
            <w:r w:rsidRPr="0068666F">
              <w:rPr>
                <w:rFonts w:ascii="Times New Roman" w:hAnsi="Times New Roman" w:cs="Times New Roman"/>
                <w:sz w:val="16"/>
                <w:szCs w:val="16"/>
              </w:rPr>
              <w:br/>
              <w:t>w standardowej polisie</w:t>
            </w:r>
          </w:p>
          <w:p w14:paraId="20EF3998" w14:textId="77777777" w:rsidR="0068666F" w:rsidRPr="0068666F" w:rsidRDefault="0068666F" w:rsidP="0068666F">
            <w:pPr>
              <w:jc w:val="center"/>
              <w:rPr>
                <w:rFonts w:ascii="Times New Roman" w:hAnsi="Times New Roman" w:cs="Times New Roman"/>
                <w:sz w:val="16"/>
                <w:szCs w:val="16"/>
              </w:rPr>
            </w:pPr>
          </w:p>
        </w:tc>
        <w:tc>
          <w:tcPr>
            <w:tcW w:w="950" w:type="pct"/>
          </w:tcPr>
          <w:p w14:paraId="14813611"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sz w:val="16"/>
                <w:szCs w:val="16"/>
              </w:rPr>
              <w:t>1. Cechy gospodarstwa rolnego:</w:t>
            </w:r>
          </w:p>
          <w:p w14:paraId="3C03E65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uprawa warzywna, </w:t>
            </w:r>
          </w:p>
          <w:p w14:paraId="7CA89256"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uprawa owoców i winorośli, </w:t>
            </w:r>
          </w:p>
          <w:p w14:paraId="6A02DB4F"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uprawy polowe, </w:t>
            </w:r>
          </w:p>
          <w:p w14:paraId="0AA45F76"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powierzchnia uprawna w gospodarstwie, </w:t>
            </w:r>
          </w:p>
          <w:p w14:paraId="5EEEEBB6"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wystąpienie start w uprawach,</w:t>
            </w:r>
          </w:p>
          <w:p w14:paraId="0ED587A7"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6</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roczny dochód gospodarstwa z upraw rolnych,</w:t>
            </w:r>
          </w:p>
          <w:p w14:paraId="30C1BFAD"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sz w:val="16"/>
                <w:szCs w:val="16"/>
              </w:rPr>
              <w:t>2. Percepcja ubezpieczeń:</w:t>
            </w:r>
          </w:p>
          <w:p w14:paraId="13E3178F"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7</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zaufanie do firm ubezpieczeniowych,</w:t>
            </w:r>
          </w:p>
          <w:p w14:paraId="0A0B75E9"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8</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poprzednie własne doświadczenia dotyczące każdego rodzaju ubezpieczenia,</w:t>
            </w:r>
          </w:p>
          <w:p w14:paraId="74B71E8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rPr>
              <w:t>- percepcja dotycząca wysokości składki, ubezpieczeniowej w odniesieniu do objętego ubezpieczeniem ryzyka,</w:t>
            </w:r>
          </w:p>
          <w:p w14:paraId="301ABAF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sz w:val="16"/>
                <w:szCs w:val="16"/>
              </w:rPr>
              <w:t>3. Ocena ryzyka:</w:t>
            </w:r>
          </w:p>
          <w:p w14:paraId="0C83903E"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10</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samoocena rolnika dotycząca strachu przed utratą działalności gospodarstwa z jakiegokolwiek powodu,</w:t>
            </w:r>
          </w:p>
          <w:p w14:paraId="2E414D54"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percepcja ryzyka rolnika,</w:t>
            </w:r>
          </w:p>
          <w:p w14:paraId="1A4048D7"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gotowość rolnika do podejmowania ryzyka,</w:t>
            </w:r>
          </w:p>
          <w:p w14:paraId="2F3711D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sz w:val="16"/>
                <w:szCs w:val="16"/>
              </w:rPr>
              <w:t>4. Wiedza rolnika z zakresu ubezpieczeń rolnych:</w:t>
            </w:r>
          </w:p>
          <w:p w14:paraId="6EB4EFC6"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3 </w:t>
            </w:r>
            <w:r w:rsidRPr="0068666F">
              <w:rPr>
                <w:rFonts w:ascii="Times New Roman" w:hAnsi="Times New Roman" w:cs="Times New Roman"/>
                <w:sz w:val="16"/>
                <w:szCs w:val="16"/>
              </w:rPr>
              <w:t>- wynik testu wiedzy na temat ubezpieczeń rolnych,</w:t>
            </w:r>
          </w:p>
          <w:p w14:paraId="2E5F6A61"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sz w:val="16"/>
                <w:szCs w:val="16"/>
              </w:rPr>
              <w:t>5. Zmienne finansowe:</w:t>
            </w:r>
          </w:p>
          <w:p w14:paraId="1D80D100"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dochód osobisty netto miesięczny,</w:t>
            </w:r>
          </w:p>
          <w:p w14:paraId="71DEA49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udział dochodów z gospodarstwa rolnego </w:t>
            </w:r>
            <w:r w:rsidRPr="0068666F">
              <w:rPr>
                <w:rFonts w:ascii="Times New Roman" w:hAnsi="Times New Roman" w:cs="Times New Roman"/>
                <w:sz w:val="16"/>
                <w:szCs w:val="16"/>
              </w:rPr>
              <w:br/>
              <w:t>w całkowitym dochodzie rolnika,</w:t>
            </w:r>
          </w:p>
          <w:p w14:paraId="055D52E2"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sz w:val="16"/>
                <w:szCs w:val="16"/>
              </w:rPr>
              <w:t>6. Cechy społeczno-demograficzne rolników:</w:t>
            </w:r>
          </w:p>
          <w:p w14:paraId="68415EB9"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16</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płeć,</w:t>
            </w:r>
          </w:p>
          <w:p w14:paraId="2EDBC902"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17</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stan cywilny,</w:t>
            </w:r>
          </w:p>
          <w:p w14:paraId="40BB177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18</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wiek rolnika,</w:t>
            </w:r>
          </w:p>
          <w:p w14:paraId="6480CE01"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19</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ukończona szkoła (wykształcenie).</w:t>
            </w:r>
          </w:p>
        </w:tc>
        <w:tc>
          <w:tcPr>
            <w:tcW w:w="1280" w:type="pct"/>
          </w:tcPr>
          <w:p w14:paraId="3C6BF406"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sz w:val="16"/>
                <w:szCs w:val="16"/>
              </w:rPr>
              <w:t>Czynniki determinujące zakup standardowego ubezpieczenia:</w:t>
            </w:r>
          </w:p>
          <w:p w14:paraId="147D671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10</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samoocena rolnika dotycząca strachu przed utratą działalności gospodarstwa z jakiegokolwiek powodu,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29E8C030"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percepcja ryzyka rolnika,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6121BB51"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gotowość rolnika do podejmowania ryzyka,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661BF002"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16</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płeć,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58D377E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17</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stan cywilny,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43ABF0C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19</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ukończona szkoła (wykształcenie),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3641A311" w14:textId="77777777" w:rsidR="0068666F" w:rsidRPr="0068666F" w:rsidRDefault="0068666F" w:rsidP="0068666F">
            <w:pPr>
              <w:rPr>
                <w:rFonts w:ascii="Times New Roman" w:hAnsi="Times New Roman" w:cs="Times New Roman"/>
                <w:sz w:val="16"/>
                <w:szCs w:val="16"/>
              </w:rPr>
            </w:pPr>
          </w:p>
          <w:p w14:paraId="0F199EAB"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sz w:val="16"/>
                <w:szCs w:val="16"/>
              </w:rPr>
              <w:t>Czynniki determinujące zakup rozszerzonego ubezpieczenia:</w:t>
            </w:r>
          </w:p>
          <w:p w14:paraId="64E8B147"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percepcja ryzyka rolnika,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4DE5E29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17</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stan cywilny,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0733512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19</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ukończona szkoła (wykształcenie),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56BC9D15" w14:textId="77777777" w:rsidR="0068666F" w:rsidRPr="0068666F" w:rsidRDefault="0068666F" w:rsidP="0068666F">
            <w:pPr>
              <w:rPr>
                <w:rFonts w:ascii="Times New Roman" w:hAnsi="Times New Roman" w:cs="Times New Roman"/>
                <w:sz w:val="16"/>
                <w:szCs w:val="16"/>
              </w:rPr>
            </w:pPr>
          </w:p>
          <w:p w14:paraId="1CE301A7" w14:textId="77777777" w:rsidR="0068666F" w:rsidRPr="0068666F" w:rsidRDefault="0068666F" w:rsidP="0068666F">
            <w:pPr>
              <w:rPr>
                <w:rFonts w:ascii="Times New Roman" w:hAnsi="Times New Roman" w:cs="Times New Roman"/>
                <w:sz w:val="16"/>
                <w:szCs w:val="16"/>
              </w:rPr>
            </w:pPr>
          </w:p>
        </w:tc>
        <w:tc>
          <w:tcPr>
            <w:tcW w:w="768" w:type="pct"/>
          </w:tcPr>
          <w:p w14:paraId="4BC32109"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sz w:val="16"/>
                <w:szCs w:val="16"/>
              </w:rPr>
              <w:t>model logitowy wielomianowy (MNL)</w:t>
            </w:r>
          </w:p>
        </w:tc>
      </w:tr>
      <w:tr w:rsidR="0068666F" w:rsidRPr="0068666F" w14:paraId="58F9914F" w14:textId="77777777" w:rsidTr="00C32BAD">
        <w:tc>
          <w:tcPr>
            <w:tcW w:w="516" w:type="pct"/>
          </w:tcPr>
          <w:p w14:paraId="3401A37E"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Doherty</w:t>
            </w:r>
            <w:r w:rsidRPr="0068666F">
              <w:rPr>
                <w:rFonts w:ascii="Times New Roman" w:eastAsia="CIDFont+F4" w:hAnsi="Times New Roman" w:cs="Times New Roman"/>
                <w:sz w:val="16"/>
                <w:szCs w:val="16"/>
              </w:rPr>
              <w:br/>
              <w:t xml:space="preserve"> i in. (2021)</w:t>
            </w:r>
          </w:p>
        </w:tc>
        <w:tc>
          <w:tcPr>
            <w:tcW w:w="648" w:type="pct"/>
          </w:tcPr>
          <w:p w14:paraId="3DE9F217" w14:textId="77777777" w:rsidR="0068666F" w:rsidRPr="0068666F" w:rsidRDefault="0068666F" w:rsidP="0068666F">
            <w:pPr>
              <w:autoSpaceDE w:val="0"/>
              <w:autoSpaceDN w:val="0"/>
              <w:adjustRightInd w:val="0"/>
              <w:jc w:val="center"/>
              <w:rPr>
                <w:rFonts w:ascii="Times New Roman" w:hAnsi="Times New Roman" w:cs="Times New Roman"/>
                <w:sz w:val="16"/>
                <w:szCs w:val="16"/>
              </w:rPr>
            </w:pPr>
            <w:r w:rsidRPr="0068666F">
              <w:rPr>
                <w:rFonts w:ascii="Times New Roman" w:hAnsi="Times New Roman" w:cs="Times New Roman"/>
                <w:sz w:val="16"/>
                <w:szCs w:val="16"/>
              </w:rPr>
              <w:t>ubezpieczenie od ekstremalnych zjawisk pogodowych</w:t>
            </w:r>
          </w:p>
        </w:tc>
        <w:tc>
          <w:tcPr>
            <w:tcW w:w="838" w:type="pct"/>
          </w:tcPr>
          <w:p w14:paraId="52F9239D"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sz w:val="16"/>
                <w:szCs w:val="16"/>
              </w:rPr>
              <w:t xml:space="preserve"> - </w:t>
            </w:r>
            <w:r w:rsidRPr="0068666F">
              <w:rPr>
                <w:rFonts w:ascii="Times New Roman" w:eastAsia="CIDFont+F4" w:hAnsi="Times New Roman" w:cs="Times New Roman"/>
                <w:sz w:val="16"/>
                <w:szCs w:val="16"/>
              </w:rPr>
              <w:t xml:space="preserve">decyzja rolnika </w:t>
            </w:r>
            <w:r w:rsidRPr="0068666F">
              <w:rPr>
                <w:rFonts w:ascii="Times New Roman" w:eastAsia="CIDFont+F4" w:hAnsi="Times New Roman" w:cs="Times New Roman"/>
                <w:sz w:val="16"/>
                <w:szCs w:val="16"/>
              </w:rPr>
              <w:br/>
              <w:t>o wyborze wariantu ubezpieczenia lub rezygnacji z niego</w:t>
            </w:r>
          </w:p>
        </w:tc>
        <w:tc>
          <w:tcPr>
            <w:tcW w:w="950" w:type="pct"/>
          </w:tcPr>
          <w:p w14:paraId="3AD80DE9"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eastAsia="CIDFont+F4" w:hAnsi="Times New Roman" w:cs="Times New Roman"/>
                <w:sz w:val="16"/>
                <w:szCs w:val="16"/>
              </w:rPr>
              <w:t xml:space="preserve">1. Atrybuty ubezpieczenia: </w:t>
            </w:r>
          </w:p>
          <w:p w14:paraId="0D9A6F40"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czas trwania umowy, </w:t>
            </w:r>
          </w:p>
          <w:p w14:paraId="78AAA84A"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metoda szacowania szkód, </w:t>
            </w:r>
          </w:p>
          <w:p w14:paraId="46070802"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koszt roczny ubezpieczenia,</w:t>
            </w:r>
          </w:p>
          <w:p w14:paraId="16CB0893"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eastAsia="CIDFont+F4" w:hAnsi="Times New Roman" w:cs="Times New Roman"/>
                <w:sz w:val="16"/>
                <w:szCs w:val="16"/>
              </w:rPr>
              <w:lastRenderedPageBreak/>
              <w:t>2. Cechy rolnika i gospodarstwa rolnego:</w:t>
            </w:r>
          </w:p>
          <w:p w14:paraId="0614ACB3"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płeć</w:t>
            </w:r>
            <w:r w:rsidRPr="0068666F">
              <w:rPr>
                <w:rFonts w:ascii="Times New Roman" w:hAnsi="Times New Roman" w:cs="Times New Roman"/>
                <w:sz w:val="16"/>
                <w:szCs w:val="16"/>
              </w:rPr>
              <w:t>,</w:t>
            </w:r>
            <w:r w:rsidRPr="0068666F">
              <w:rPr>
                <w:rFonts w:ascii="Times New Roman" w:eastAsia="CIDFont+F4" w:hAnsi="Times New Roman" w:cs="Times New Roman"/>
                <w:sz w:val="16"/>
                <w:szCs w:val="16"/>
              </w:rPr>
              <w:t xml:space="preserve"> </w:t>
            </w:r>
          </w:p>
          <w:p w14:paraId="6231F277"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wiek rolnika,</w:t>
            </w:r>
          </w:p>
          <w:p w14:paraId="312FBC36"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6</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wykształcenie </w:t>
            </w:r>
            <w:r w:rsidRPr="0068666F">
              <w:rPr>
                <w:rFonts w:ascii="Times New Roman" w:hAnsi="Times New Roman" w:cs="Times New Roman"/>
                <w:sz w:val="16"/>
                <w:szCs w:val="16"/>
              </w:rPr>
              <w:t>rolnika</w:t>
            </w:r>
            <w:r w:rsidRPr="0068666F">
              <w:rPr>
                <w:rFonts w:ascii="Times New Roman" w:eastAsia="CIDFont+F4" w:hAnsi="Times New Roman" w:cs="Times New Roman"/>
                <w:sz w:val="16"/>
                <w:szCs w:val="16"/>
              </w:rPr>
              <w:t xml:space="preserve">, </w:t>
            </w:r>
          </w:p>
          <w:p w14:paraId="0F543C8F"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posiadanie następcy w gospodarstwie, </w:t>
            </w:r>
          </w:p>
          <w:p w14:paraId="2DA404BB"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 </w:t>
            </w:r>
            <w:r w:rsidRPr="0068666F">
              <w:rPr>
                <w:rFonts w:ascii="Times New Roman" w:hAnsi="Times New Roman" w:cs="Times New Roman"/>
                <w:sz w:val="16"/>
                <w:szCs w:val="16"/>
              </w:rPr>
              <w:t xml:space="preserve"> lata w rolnictwie,</w:t>
            </w:r>
          </w:p>
          <w:p w14:paraId="0856380E"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praca poza gospodarstwem, </w:t>
            </w:r>
          </w:p>
          <w:p w14:paraId="6EB11473"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wielkość gospodarstwa rolnego, </w:t>
            </w:r>
          </w:p>
          <w:p w14:paraId="1A6A75CB"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typ produkcji, </w:t>
            </w:r>
          </w:p>
          <w:p w14:paraId="0135A386"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lokalizacja regionalna, </w:t>
            </w:r>
          </w:p>
          <w:p w14:paraId="01CEF6B1"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posiadanie ubezpieczenia rolnego, </w:t>
            </w:r>
          </w:p>
          <w:p w14:paraId="7BDAA1D1"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postrzeganie ekstremalnych zdarzeń pogodowych, </w:t>
            </w:r>
          </w:p>
          <w:p w14:paraId="0D7EB923"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15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doświadczenie negatywnych skutków ekstremalnych zdarzeń pogodowych, </w:t>
            </w:r>
          </w:p>
          <w:p w14:paraId="519135BA"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gotowość do udziału w programie przeciwpogodowym,</w:t>
            </w:r>
          </w:p>
          <w:p w14:paraId="4AC6FB62"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17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udział w programie rolno-środowiskowym, różnorodność upraw pastewnych),</w:t>
            </w:r>
          </w:p>
          <w:p w14:paraId="4EA6BE22"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eastAsia="CIDFont+F4" w:hAnsi="Times New Roman" w:cs="Times New Roman"/>
                <w:sz w:val="16"/>
                <w:szCs w:val="16"/>
              </w:rPr>
              <w:t>3. Zmienne interakcyjne:</w:t>
            </w:r>
          </w:p>
          <w:p w14:paraId="6DD90EE4"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18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czas trwania umowy ubezpieczeniowej a posiadanie ubezpieczenia rolnego, </w:t>
            </w:r>
          </w:p>
          <w:p w14:paraId="3B1D3A4A"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19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czas trwania umowy ubezpieczeniowej </w:t>
            </w:r>
            <w:r w:rsidRPr="0068666F">
              <w:rPr>
                <w:rFonts w:ascii="Times New Roman" w:eastAsia="CIDFont+F4" w:hAnsi="Times New Roman" w:cs="Times New Roman"/>
                <w:sz w:val="16"/>
                <w:szCs w:val="16"/>
              </w:rPr>
              <w:br/>
              <w:t xml:space="preserve">a różnorodność upraw pastewnych, </w:t>
            </w:r>
          </w:p>
          <w:p w14:paraId="6B51ED4A"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20</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ubezpieczenie indeksowe a obawy związane </w:t>
            </w:r>
            <w:r w:rsidRPr="0068666F">
              <w:rPr>
                <w:rFonts w:ascii="Times New Roman" w:eastAsia="CIDFont+F4" w:hAnsi="Times New Roman" w:cs="Times New Roman"/>
                <w:sz w:val="16"/>
                <w:szCs w:val="16"/>
              </w:rPr>
              <w:br/>
              <w:t>z ekstremalnymi zdarzeniami pogodowymi,</w:t>
            </w:r>
          </w:p>
          <w:p w14:paraId="410929DE"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metoda szacowania szkód a zainteresowanie ekstremalnymi zdarzeniami pogodowymi.</w:t>
            </w:r>
          </w:p>
        </w:tc>
        <w:tc>
          <w:tcPr>
            <w:tcW w:w="1280" w:type="pct"/>
          </w:tcPr>
          <w:p w14:paraId="1797F867" w14:textId="77777777" w:rsidR="0068666F" w:rsidRPr="0068666F" w:rsidRDefault="0068666F" w:rsidP="0068666F">
            <w:pPr>
              <w:autoSpaceDE w:val="0"/>
              <w:autoSpaceDN w:val="0"/>
              <w:adjustRightInd w:val="0"/>
              <w:rPr>
                <w:rFonts w:ascii="Times New Roman" w:hAnsi="Times New Roman" w:cs="Times New Roman"/>
                <w:color w:val="1F1F1F"/>
                <w:sz w:val="16"/>
                <w:szCs w:val="16"/>
              </w:rPr>
            </w:pPr>
            <w:r w:rsidRPr="0068666F">
              <w:rPr>
                <w:rFonts w:ascii="Times New Roman" w:hAnsi="Times New Roman" w:cs="Times New Roman"/>
                <w:color w:val="1F1F1F"/>
                <w:sz w:val="16"/>
                <w:szCs w:val="16"/>
              </w:rPr>
              <w:lastRenderedPageBreak/>
              <w:t>Wyniki z mieszanego modelu logitowego oszacowane w przestrzeni WTP:</w:t>
            </w:r>
          </w:p>
          <w:p w14:paraId="3C213739"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czas trwania umowy,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61505B33"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metoda szacowania szkód (ubezpieczenie oparte na indeksie),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62C79708"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p>
          <w:p w14:paraId="1DF9F024" w14:textId="77777777" w:rsidR="0068666F" w:rsidRPr="0068666F" w:rsidRDefault="0068666F" w:rsidP="0068666F">
            <w:pPr>
              <w:autoSpaceDE w:val="0"/>
              <w:autoSpaceDN w:val="0"/>
              <w:adjustRightInd w:val="0"/>
              <w:rPr>
                <w:rFonts w:ascii="Times New Roman" w:hAnsi="Times New Roman" w:cs="Times New Roman"/>
                <w:color w:val="1F1F1F"/>
                <w:sz w:val="16"/>
                <w:szCs w:val="16"/>
              </w:rPr>
            </w:pPr>
            <w:r w:rsidRPr="0068666F">
              <w:rPr>
                <w:rFonts w:ascii="Times New Roman" w:hAnsi="Times New Roman" w:cs="Times New Roman"/>
                <w:color w:val="1F1F1F"/>
                <w:sz w:val="16"/>
                <w:szCs w:val="16"/>
              </w:rPr>
              <w:lastRenderedPageBreak/>
              <w:t>Czynniki determinujące zakup ubezpieczenia:</w:t>
            </w:r>
          </w:p>
          <w:p w14:paraId="187E4D94"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posiadanie ubezpieczenia rolnego,</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4072D898"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lokalizacja regionalna,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10EC110B"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wiek rolnika,</w:t>
            </w:r>
            <w:r w:rsidRPr="0068666F">
              <w:rPr>
                <w:rFonts w:ascii="Times New Roman" w:eastAsia="CIDFont+F4" w:hAnsi="Times New Roman" w:cs="Times New Roman"/>
                <w:sz w:val="16"/>
                <w:szCs w:val="16"/>
              </w:rPr>
              <w:t xml:space="preserve">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4B5693F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 </w:t>
            </w:r>
            <w:r w:rsidRPr="0068666F">
              <w:rPr>
                <w:rFonts w:ascii="Times New Roman" w:hAnsi="Times New Roman" w:cs="Times New Roman"/>
                <w:sz w:val="16"/>
                <w:szCs w:val="16"/>
              </w:rPr>
              <w:t xml:space="preserve"> lata w rolnictwie,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53770A59"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15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doświadczenie negatywnych skutków ekstremalnych zdarzeń pogodowych,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18D4EB33"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eastAsia="CIDFont+F4" w:hAnsi="Times New Roman" w:cs="Times New Roman"/>
                <w:sz w:val="16"/>
                <w:szCs w:val="16"/>
              </w:rPr>
              <w:t xml:space="preserve"> </w:t>
            </w: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eastAsia="CIDFont+F4" w:hAnsi="Times New Roman" w:cs="Times New Roman"/>
                <w:sz w:val="16"/>
                <w:szCs w:val="16"/>
              </w:rPr>
              <w:t xml:space="preserve">gotowość do udziału w programie przeciwpowodziowym,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3B4FC876"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p>
          <w:p w14:paraId="7ECA34E6"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p>
          <w:p w14:paraId="2E5C5A2F"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p>
          <w:p w14:paraId="27FC9604"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p>
          <w:p w14:paraId="2013E23C"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p>
          <w:p w14:paraId="35DAD5EA"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p>
        </w:tc>
        <w:tc>
          <w:tcPr>
            <w:tcW w:w="768" w:type="pct"/>
          </w:tcPr>
          <w:p w14:paraId="274D3BBD" w14:textId="77777777" w:rsidR="0068666F" w:rsidRPr="0068666F" w:rsidRDefault="0068666F" w:rsidP="0068666F">
            <w:pPr>
              <w:autoSpaceDE w:val="0"/>
              <w:autoSpaceDN w:val="0"/>
              <w:adjustRightInd w:val="0"/>
              <w:jc w:val="center"/>
              <w:rPr>
                <w:rFonts w:ascii="Times New Roman" w:eastAsia="CIDFont+F4" w:hAnsi="Times New Roman" w:cs="Times New Roman"/>
                <w:sz w:val="16"/>
                <w:szCs w:val="16"/>
              </w:rPr>
            </w:pPr>
            <w:r w:rsidRPr="0068666F">
              <w:rPr>
                <w:rFonts w:ascii="Times New Roman" w:eastAsia="CIDFont+F4" w:hAnsi="Times New Roman" w:cs="Times New Roman"/>
                <w:sz w:val="16"/>
                <w:szCs w:val="16"/>
              </w:rPr>
              <w:lastRenderedPageBreak/>
              <w:t>model logitowy warunkowy</w:t>
            </w:r>
          </w:p>
        </w:tc>
      </w:tr>
      <w:tr w:rsidR="0068666F" w:rsidRPr="0068666F" w14:paraId="44B53913" w14:textId="77777777" w:rsidTr="00C32BAD">
        <w:tc>
          <w:tcPr>
            <w:tcW w:w="516" w:type="pct"/>
          </w:tcPr>
          <w:p w14:paraId="794860C2"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Timparano i in.</w:t>
            </w:r>
            <w:r w:rsidRPr="0068666F">
              <w:rPr>
                <w:rFonts w:ascii="Times New Roman" w:eastAsia="CIDFont+F4" w:hAnsi="Times New Roman" w:cs="Times New Roman"/>
                <w:sz w:val="16"/>
                <w:szCs w:val="16"/>
              </w:rPr>
              <w:br/>
              <w:t xml:space="preserve"> (2022)</w:t>
            </w:r>
          </w:p>
        </w:tc>
        <w:tc>
          <w:tcPr>
            <w:tcW w:w="648" w:type="pct"/>
          </w:tcPr>
          <w:p w14:paraId="68B4E33E" w14:textId="77777777" w:rsidR="0068666F" w:rsidRPr="0068666F" w:rsidRDefault="0068666F" w:rsidP="0068666F">
            <w:pPr>
              <w:jc w:val="center"/>
              <w:rPr>
                <w:rFonts w:ascii="Times New Roman" w:hAnsi="Times New Roman" w:cs="Times New Roman"/>
                <w:bCs/>
                <w:sz w:val="16"/>
                <w:szCs w:val="16"/>
              </w:rPr>
            </w:pPr>
            <w:r w:rsidRPr="0068666F">
              <w:rPr>
                <w:rFonts w:ascii="Times New Roman" w:hAnsi="Times New Roman" w:cs="Times New Roman"/>
                <w:bCs/>
                <w:sz w:val="16"/>
                <w:szCs w:val="16"/>
              </w:rPr>
              <w:t>ubezpieczenia dotowane</w:t>
            </w:r>
          </w:p>
        </w:tc>
        <w:tc>
          <w:tcPr>
            <w:tcW w:w="838" w:type="pct"/>
          </w:tcPr>
          <w:p w14:paraId="7E7EA99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bCs/>
                <w:i/>
                <w:sz w:val="16"/>
                <w:szCs w:val="16"/>
              </w:rPr>
              <w:t>Y</w:t>
            </w:r>
            <w:r w:rsidRPr="0068666F">
              <w:rPr>
                <w:rFonts w:ascii="Times New Roman" w:hAnsi="Times New Roman" w:cs="Times New Roman"/>
                <w:bCs/>
                <w:sz w:val="16"/>
                <w:szCs w:val="16"/>
              </w:rPr>
              <w:t xml:space="preserve"> - chęć zakupu ubezpieczenia </w:t>
            </w:r>
          </w:p>
        </w:tc>
        <w:tc>
          <w:tcPr>
            <w:tcW w:w="950" w:type="pct"/>
          </w:tcPr>
          <w:p w14:paraId="5C3D37E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postawa rolnika wobec ubezpieczeń, </w:t>
            </w:r>
          </w:p>
          <w:p w14:paraId="3395C91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norma subiektywna (postrzegana presja społeczna wywierana na rolnika, aby wykonał lub nie wykonał zakupu ubezpieczenia), </w:t>
            </w:r>
          </w:p>
          <w:p w14:paraId="145172F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postrzegana kontrola behawioralna (w jakim stopniu rolnicy czują, że mają kontrolę nad decyzją o zakupie ubezpieczenia upraw, oraz czy postrzegają to jako łatwe czy trudne zadanie), </w:t>
            </w:r>
          </w:p>
          <w:p w14:paraId="13B368B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czynniki ryzyka (np. zmian klimatu, szkodniki, ceny rynkowe), </w:t>
            </w:r>
          </w:p>
          <w:p w14:paraId="64C5BE5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typ produkcji.</w:t>
            </w:r>
          </w:p>
        </w:tc>
        <w:tc>
          <w:tcPr>
            <w:tcW w:w="1280" w:type="pct"/>
          </w:tcPr>
          <w:p w14:paraId="112361AD" w14:textId="77777777" w:rsidR="0068666F" w:rsidRPr="0068666F" w:rsidRDefault="0068666F" w:rsidP="0068666F">
            <w:pPr>
              <w:rPr>
                <w:rFonts w:ascii="Times New Roman" w:hAnsi="Times New Roman" w:cs="Times New Roman"/>
                <w:i/>
                <w:sz w:val="16"/>
                <w:szCs w:val="16"/>
              </w:rPr>
            </w:pPr>
            <w:r w:rsidRPr="0068666F">
              <w:rPr>
                <w:rFonts w:ascii="Times New Roman" w:hAnsi="Times New Roman" w:cs="Times New Roman"/>
                <w:color w:val="1F1F1F"/>
                <w:sz w:val="16"/>
                <w:szCs w:val="16"/>
              </w:rPr>
              <w:lastRenderedPageBreak/>
              <w:t>Czynniki determinujące chęć zakupu ubezpieczenia:</w:t>
            </w:r>
          </w:p>
          <w:p w14:paraId="1566F66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postawa rolnika wobec ubezpieczeń, </w:t>
            </w:r>
            <w:r w:rsidRPr="0068666F">
              <w:rPr>
                <w:rFonts w:ascii="Times New Roman" w:eastAsia="CIDFont+F4" w:hAnsi="Times New Roman" w:cs="Times New Roman"/>
                <w:sz w:val="16"/>
                <w:szCs w:val="16"/>
              </w:rPr>
              <w:t xml:space="preserve">(+)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2A087F8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norma subiektywna (postrzegana presja społeczna wywierana na rolnika, aby wykonał lub nie wykonał zakupu ubezpieczenia), </w:t>
            </w:r>
            <w:r w:rsidRPr="0068666F">
              <w:rPr>
                <w:rFonts w:ascii="Times New Roman" w:eastAsia="CIDFont+F4" w:hAnsi="Times New Roman" w:cs="Times New Roman"/>
                <w:sz w:val="16"/>
                <w:szCs w:val="16"/>
              </w:rPr>
              <w:t xml:space="preserve">(+)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23102B6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postrzegana kontrola behawioralna (w jakim stopniu rolnicy czują, że mają kontrolę nad decyzją o zakupie ubezpieczenia upraw, oraz czy postrzegają to jako łatwe czy trudne zadanie),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tc>
        <w:tc>
          <w:tcPr>
            <w:tcW w:w="768" w:type="pct"/>
          </w:tcPr>
          <w:p w14:paraId="3E5E5A26"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bCs/>
                <w:sz w:val="16"/>
                <w:szCs w:val="16"/>
              </w:rPr>
              <w:t>model regresji hierarchicznej</w:t>
            </w:r>
          </w:p>
        </w:tc>
      </w:tr>
      <w:tr w:rsidR="0068666F" w:rsidRPr="0068666F" w14:paraId="2983EF88" w14:textId="77777777" w:rsidTr="00C32BAD">
        <w:tc>
          <w:tcPr>
            <w:tcW w:w="516" w:type="pct"/>
          </w:tcPr>
          <w:p w14:paraId="775B5C80"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 xml:space="preserve">Santeramo </w:t>
            </w:r>
            <w:r w:rsidRPr="0068666F">
              <w:rPr>
                <w:rFonts w:ascii="Times New Roman" w:eastAsia="CIDFont+F4" w:hAnsi="Times New Roman" w:cs="Times New Roman"/>
                <w:sz w:val="16"/>
                <w:szCs w:val="16"/>
              </w:rPr>
              <w:br/>
              <w:t>(2018)</w:t>
            </w:r>
          </w:p>
        </w:tc>
        <w:tc>
          <w:tcPr>
            <w:tcW w:w="648" w:type="pct"/>
          </w:tcPr>
          <w:p w14:paraId="06F88919" w14:textId="77777777" w:rsidR="0068666F" w:rsidRPr="0068666F" w:rsidRDefault="0068666F" w:rsidP="0068666F">
            <w:pPr>
              <w:jc w:val="center"/>
              <w:rPr>
                <w:rFonts w:ascii="Times New Roman" w:hAnsi="Times New Roman" w:cs="Times New Roman"/>
                <w:bCs/>
                <w:i/>
                <w:sz w:val="16"/>
                <w:szCs w:val="16"/>
              </w:rPr>
            </w:pPr>
            <w:r w:rsidRPr="0068666F">
              <w:rPr>
                <w:rFonts w:ascii="Times New Roman" w:hAnsi="Times New Roman" w:cs="Times New Roman"/>
                <w:bCs/>
                <w:sz w:val="16"/>
                <w:szCs w:val="16"/>
              </w:rPr>
              <w:t>ubezpieczenia dotowane</w:t>
            </w:r>
          </w:p>
        </w:tc>
        <w:tc>
          <w:tcPr>
            <w:tcW w:w="838" w:type="pct"/>
          </w:tcPr>
          <w:p w14:paraId="07B03B7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bCs/>
                <w:i/>
                <w:sz w:val="16"/>
                <w:szCs w:val="16"/>
              </w:rPr>
              <w:t>Y</w:t>
            </w:r>
            <w:r w:rsidRPr="0068666F">
              <w:rPr>
                <w:rFonts w:ascii="Times New Roman" w:hAnsi="Times New Roman" w:cs="Times New Roman"/>
                <w:bCs/>
                <w:sz w:val="16"/>
                <w:szCs w:val="16"/>
              </w:rPr>
              <w:t xml:space="preserve"> - prawdopodobieństwo zawarcia przez rolnika umowy ubezpieczenia (niezależnie od rodzaju umowy, czy niezależnie od tego czy umowa będzie na jedno lub wiele ryzyk)</w:t>
            </w:r>
          </w:p>
        </w:tc>
        <w:tc>
          <w:tcPr>
            <w:tcW w:w="950" w:type="pct"/>
          </w:tcPr>
          <w:p w14:paraId="0EE5B3E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1. Zmienne główne:</w:t>
            </w:r>
          </w:p>
          <w:p w14:paraId="1D33417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 </w:t>
            </w: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doświadczenie z ubezpieczeniami upraw, </w:t>
            </w:r>
            <w:r w:rsidRPr="0068666F">
              <w:rPr>
                <w:rFonts w:ascii="Times New Roman" w:hAnsi="Times New Roman" w:cs="Times New Roman"/>
                <w:bCs/>
                <w:sz w:val="16"/>
                <w:szCs w:val="16"/>
              </w:rPr>
              <w:br/>
              <w:t>2.  Zmienne kontrolne:</w:t>
            </w:r>
          </w:p>
          <w:p w14:paraId="526353F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wielkość gospodarstwa rolnego, </w:t>
            </w:r>
          </w:p>
          <w:p w14:paraId="4797F2A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położenie gospodarstwa, </w:t>
            </w:r>
          </w:p>
          <w:p w14:paraId="2B43FF8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w:t>
            </w:r>
          </w:p>
          <w:p w14:paraId="6AAEAD3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zmienność przychodów,</w:t>
            </w:r>
          </w:p>
          <w:p w14:paraId="4A38FD2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dywersyfikacja upraw, </w:t>
            </w:r>
          </w:p>
          <w:p w14:paraId="07540AD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nawadnianie, </w:t>
            </w:r>
          </w:p>
          <w:p w14:paraId="3E30E63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oczekiwana składka ubezpieczeniowa na hektar, </w:t>
            </w:r>
          </w:p>
          <w:p w14:paraId="74FCE5CE" w14:textId="77777777" w:rsidR="0068666F" w:rsidRPr="0068666F" w:rsidRDefault="0068666F" w:rsidP="0068666F">
            <w:pPr>
              <w:rPr>
                <w:rFonts w:ascii="Times New Roman" w:hAnsi="Times New Roman" w:cs="Times New Roman"/>
                <w:i/>
                <w:sz w:val="16"/>
                <w:szCs w:val="16"/>
              </w:rPr>
            </w:pPr>
            <w:r w:rsidRPr="0068666F">
              <w:rPr>
                <w:rFonts w:ascii="Times New Roman" w:hAnsi="Times New Roman" w:cs="Times New Roman"/>
                <w:bCs/>
                <w:sz w:val="16"/>
                <w:szCs w:val="16"/>
              </w:rPr>
              <w:t>3. Zmienna nieobserwowalna - heterogeniczność indywidualna:</w:t>
            </w:r>
            <w:r w:rsidRPr="0068666F">
              <w:rPr>
                <w:rFonts w:ascii="Times New Roman" w:hAnsi="Times New Roman" w:cs="Times New Roman"/>
                <w:i/>
                <w:sz w:val="16"/>
                <w:szCs w:val="16"/>
              </w:rPr>
              <w:t xml:space="preserve"> </w:t>
            </w:r>
          </w:p>
          <w:p w14:paraId="25090C8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8</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awersja rolnika do ryzyka, </w:t>
            </w:r>
          </w:p>
          <w:p w14:paraId="6732076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9</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poziom wiedzy rolnika o ubezpieczeniach, </w:t>
            </w:r>
          </w:p>
          <w:p w14:paraId="055215DE"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10</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zaufanie do instytucji ubezpieczeniowych.</w:t>
            </w:r>
          </w:p>
        </w:tc>
        <w:tc>
          <w:tcPr>
            <w:tcW w:w="1280" w:type="pct"/>
          </w:tcPr>
          <w:p w14:paraId="391DA244" w14:textId="77777777" w:rsidR="0068666F" w:rsidRPr="0068666F" w:rsidRDefault="0068666F" w:rsidP="0068666F">
            <w:pPr>
              <w:rPr>
                <w:rFonts w:ascii="Times New Roman" w:hAnsi="Times New Roman" w:cs="Times New Roman"/>
                <w:i/>
                <w:sz w:val="16"/>
                <w:szCs w:val="16"/>
              </w:rPr>
            </w:pPr>
            <w:r w:rsidRPr="0068666F">
              <w:rPr>
                <w:rFonts w:ascii="Times New Roman" w:hAnsi="Times New Roman" w:cs="Times New Roman"/>
                <w:color w:val="1F1F1F"/>
                <w:sz w:val="16"/>
                <w:szCs w:val="16"/>
              </w:rPr>
              <w:t>Czynniki determinujące prawdopodobieństwem zawarcia umowy ubezpieczenia:</w:t>
            </w:r>
          </w:p>
          <w:p w14:paraId="40E6E28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doświadczenie z ubezpieczeniami upraw (przejściowe; trwałe),</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748CDDA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wielkość gospodarstwa rolnego,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5B2071F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położenie gospodarstwa,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06C0D4FE"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2EB7D9F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nawadnianie,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5E3162FE" w14:textId="77777777" w:rsidR="0068666F" w:rsidRPr="0068666F" w:rsidRDefault="0068666F" w:rsidP="0068666F">
            <w:pPr>
              <w:rPr>
                <w:rFonts w:ascii="Times New Roman" w:hAnsi="Times New Roman" w:cs="Times New Roman"/>
                <w:bCs/>
                <w:sz w:val="16"/>
                <w:szCs w:val="16"/>
              </w:rPr>
            </w:pPr>
          </w:p>
          <w:p w14:paraId="27AFA60F" w14:textId="77777777" w:rsidR="0068666F" w:rsidRPr="0068666F" w:rsidRDefault="0068666F" w:rsidP="0068666F">
            <w:pPr>
              <w:rPr>
                <w:rFonts w:ascii="Times New Roman" w:hAnsi="Times New Roman" w:cs="Times New Roman"/>
                <w:bCs/>
                <w:sz w:val="16"/>
                <w:szCs w:val="16"/>
              </w:rPr>
            </w:pPr>
          </w:p>
          <w:p w14:paraId="188243A0" w14:textId="77777777" w:rsidR="0068666F" w:rsidRPr="0068666F" w:rsidRDefault="0068666F" w:rsidP="0068666F">
            <w:pPr>
              <w:rPr>
                <w:rFonts w:ascii="Times New Roman" w:hAnsi="Times New Roman" w:cs="Times New Roman"/>
                <w:bCs/>
                <w:sz w:val="16"/>
                <w:szCs w:val="16"/>
              </w:rPr>
            </w:pPr>
          </w:p>
          <w:p w14:paraId="5869111D" w14:textId="77777777" w:rsidR="0068666F" w:rsidRPr="0068666F" w:rsidRDefault="0068666F" w:rsidP="0068666F">
            <w:pPr>
              <w:rPr>
                <w:rFonts w:ascii="Times New Roman" w:hAnsi="Times New Roman" w:cs="Times New Roman"/>
                <w:bCs/>
                <w:sz w:val="16"/>
                <w:szCs w:val="16"/>
              </w:rPr>
            </w:pPr>
          </w:p>
        </w:tc>
        <w:tc>
          <w:tcPr>
            <w:tcW w:w="768" w:type="pct"/>
          </w:tcPr>
          <w:p w14:paraId="51C26405" w14:textId="77777777" w:rsidR="0068666F" w:rsidRPr="0068666F" w:rsidRDefault="0068666F" w:rsidP="0068666F">
            <w:pPr>
              <w:jc w:val="center"/>
              <w:rPr>
                <w:rFonts w:ascii="Times New Roman" w:hAnsi="Times New Roman" w:cs="Times New Roman"/>
                <w:bCs/>
                <w:sz w:val="16"/>
                <w:szCs w:val="16"/>
              </w:rPr>
            </w:pPr>
            <w:r w:rsidRPr="0068666F">
              <w:rPr>
                <w:rFonts w:ascii="Times New Roman" w:hAnsi="Times New Roman" w:cs="Times New Roman"/>
                <w:bCs/>
                <w:sz w:val="16"/>
                <w:szCs w:val="16"/>
              </w:rPr>
              <w:t>dynamiczny model probitowy</w:t>
            </w:r>
          </w:p>
        </w:tc>
      </w:tr>
      <w:tr w:rsidR="0068666F" w:rsidRPr="0068666F" w14:paraId="603CA22D" w14:textId="77777777" w:rsidTr="00C32BAD">
        <w:tc>
          <w:tcPr>
            <w:tcW w:w="516" w:type="pct"/>
          </w:tcPr>
          <w:p w14:paraId="4588F478"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Santeramo i in.</w:t>
            </w:r>
            <w:r w:rsidRPr="0068666F">
              <w:rPr>
                <w:rFonts w:ascii="Times New Roman" w:eastAsia="CIDFont+F4" w:hAnsi="Times New Roman" w:cs="Times New Roman"/>
                <w:sz w:val="16"/>
                <w:szCs w:val="16"/>
              </w:rPr>
              <w:br/>
              <w:t xml:space="preserve"> (2024)</w:t>
            </w:r>
          </w:p>
        </w:tc>
        <w:tc>
          <w:tcPr>
            <w:tcW w:w="648" w:type="pct"/>
          </w:tcPr>
          <w:p w14:paraId="3217850C" w14:textId="77777777" w:rsidR="0068666F" w:rsidRPr="0068666F" w:rsidRDefault="0068666F" w:rsidP="0068666F">
            <w:pPr>
              <w:jc w:val="center"/>
              <w:rPr>
                <w:rFonts w:ascii="Times New Roman" w:hAnsi="Times New Roman" w:cs="Times New Roman"/>
                <w:bCs/>
                <w:i/>
                <w:sz w:val="16"/>
                <w:szCs w:val="16"/>
              </w:rPr>
            </w:pPr>
            <w:r w:rsidRPr="0068666F">
              <w:rPr>
                <w:rFonts w:ascii="Times New Roman" w:hAnsi="Times New Roman" w:cs="Times New Roman"/>
                <w:bCs/>
                <w:sz w:val="16"/>
                <w:szCs w:val="16"/>
              </w:rPr>
              <w:t>ubezpieczenia dotowane</w:t>
            </w:r>
          </w:p>
        </w:tc>
        <w:tc>
          <w:tcPr>
            <w:tcW w:w="838" w:type="pct"/>
          </w:tcPr>
          <w:p w14:paraId="4B57F4F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bCs/>
                <w:i/>
                <w:sz w:val="16"/>
                <w:szCs w:val="16"/>
              </w:rPr>
              <w:t>Y</w:t>
            </w:r>
            <w:r w:rsidRPr="0068666F">
              <w:rPr>
                <w:rFonts w:ascii="Times New Roman" w:hAnsi="Times New Roman" w:cs="Times New Roman"/>
                <w:bCs/>
                <w:sz w:val="16"/>
                <w:szCs w:val="16"/>
              </w:rPr>
              <w:t xml:space="preserve"> - logarytm naturalny udziału wartości ubezpieczenia w wartości produkcji</w:t>
            </w:r>
          </w:p>
        </w:tc>
        <w:tc>
          <w:tcPr>
            <w:tcW w:w="950" w:type="pct"/>
          </w:tcPr>
          <w:p w14:paraId="085CF51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logarytm naturalny plonu danej uprawy w danym regionie w danym roku,</w:t>
            </w:r>
          </w:p>
          <w:p w14:paraId="7132E23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logarytm naturalny składki ubezpieczeniowej dla danej uprawy w danym regionie w danym roku,</w:t>
            </w:r>
          </w:p>
          <w:p w14:paraId="481C818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wystąpienie powodzi w danym regionie w danym roku,</w:t>
            </w:r>
          </w:p>
          <w:p w14:paraId="08A1676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wystąpienie suszy w danym regionie w danym roku,</w:t>
            </w:r>
          </w:p>
          <w:p w14:paraId="33092BC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wystąpienie przymrozków w danym regionie w danym roku.</w:t>
            </w:r>
          </w:p>
        </w:tc>
        <w:tc>
          <w:tcPr>
            <w:tcW w:w="1280" w:type="pct"/>
          </w:tcPr>
          <w:p w14:paraId="01E0EB6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logarytm naturalny plonu danej uprawy w danym regionie w danym roku,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2CB28E4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logarytm naturalny składki ubezpieczeniowej dla danej uprawy w danym regionie w danym roku,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590A044E" w14:textId="77777777" w:rsidR="0068666F" w:rsidRPr="0068666F" w:rsidRDefault="0068666F" w:rsidP="0068666F">
            <w:pPr>
              <w:rPr>
                <w:rFonts w:ascii="Times New Roman" w:hAnsi="Times New Roman" w:cs="Times New Roman"/>
                <w:i/>
                <w:sz w:val="16"/>
                <w:szCs w:val="16"/>
              </w:rPr>
            </w:pPr>
          </w:p>
        </w:tc>
        <w:tc>
          <w:tcPr>
            <w:tcW w:w="768" w:type="pct"/>
          </w:tcPr>
          <w:p w14:paraId="7053F721"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bCs/>
                <w:sz w:val="16"/>
                <w:szCs w:val="16"/>
              </w:rPr>
              <w:t>metoda najmniejszych kwadratów (OLS)</w:t>
            </w:r>
          </w:p>
        </w:tc>
      </w:tr>
      <w:tr w:rsidR="0068666F" w:rsidRPr="0068666F" w14:paraId="23C1530F" w14:textId="77777777" w:rsidTr="00C32BAD">
        <w:tc>
          <w:tcPr>
            <w:tcW w:w="516" w:type="pct"/>
          </w:tcPr>
          <w:p w14:paraId="1126757D"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Fusco i in. (2021)</w:t>
            </w:r>
          </w:p>
        </w:tc>
        <w:tc>
          <w:tcPr>
            <w:tcW w:w="648" w:type="pct"/>
          </w:tcPr>
          <w:p w14:paraId="0B75E76C" w14:textId="77777777" w:rsidR="0068666F" w:rsidRPr="0068666F" w:rsidRDefault="0068666F" w:rsidP="0068666F">
            <w:pPr>
              <w:jc w:val="center"/>
              <w:rPr>
                <w:rFonts w:ascii="Times New Roman" w:hAnsi="Times New Roman" w:cs="Times New Roman"/>
                <w:bCs/>
                <w:i/>
                <w:sz w:val="16"/>
                <w:szCs w:val="16"/>
              </w:rPr>
            </w:pPr>
            <w:r w:rsidRPr="0068666F">
              <w:rPr>
                <w:rFonts w:ascii="Times New Roman" w:hAnsi="Times New Roman" w:cs="Times New Roman"/>
                <w:bCs/>
                <w:sz w:val="16"/>
                <w:szCs w:val="16"/>
              </w:rPr>
              <w:t>ubezpieczenia rolnicze</w:t>
            </w:r>
          </w:p>
        </w:tc>
        <w:tc>
          <w:tcPr>
            <w:tcW w:w="838" w:type="pct"/>
          </w:tcPr>
          <w:p w14:paraId="453BD7C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i/>
                <w:sz w:val="16"/>
                <w:szCs w:val="16"/>
              </w:rPr>
              <w:t>Y</w:t>
            </w:r>
            <w:r w:rsidRPr="0068666F">
              <w:rPr>
                <w:rFonts w:ascii="Times New Roman" w:hAnsi="Times New Roman" w:cs="Times New Roman"/>
                <w:bCs/>
                <w:i/>
                <w:sz w:val="16"/>
                <w:szCs w:val="16"/>
                <w:vertAlign w:val="subscript"/>
              </w:rPr>
              <w:t>1</w:t>
            </w:r>
            <w:r w:rsidRPr="0068666F">
              <w:rPr>
                <w:rFonts w:ascii="Times New Roman" w:hAnsi="Times New Roman" w:cs="Times New Roman"/>
                <w:bCs/>
                <w:sz w:val="16"/>
                <w:szCs w:val="16"/>
              </w:rPr>
              <w:t xml:space="preserve"> - całkowita kwota zapłacona przez ubezpieczonych rolników na podstawie ich umów ubezpieczeniowych</w:t>
            </w:r>
          </w:p>
          <w:p w14:paraId="23D0BF7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 </w:t>
            </w:r>
          </w:p>
          <w:p w14:paraId="1A4DDC20"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bCs/>
                <w:i/>
                <w:sz w:val="16"/>
                <w:szCs w:val="16"/>
              </w:rPr>
              <w:t>Y</w:t>
            </w:r>
            <w:r w:rsidRPr="0068666F">
              <w:rPr>
                <w:rFonts w:ascii="Times New Roman" w:hAnsi="Times New Roman" w:cs="Times New Roman"/>
                <w:bCs/>
                <w:i/>
                <w:sz w:val="16"/>
                <w:szCs w:val="16"/>
                <w:vertAlign w:val="subscript"/>
              </w:rPr>
              <w:t>2</w:t>
            </w:r>
            <w:r w:rsidRPr="0068666F">
              <w:rPr>
                <w:rFonts w:ascii="Times New Roman" w:hAnsi="Times New Roman" w:cs="Times New Roman"/>
                <w:bCs/>
                <w:sz w:val="16"/>
                <w:szCs w:val="16"/>
                <w:vertAlign w:val="subscript"/>
              </w:rPr>
              <w:t xml:space="preserve"> </w:t>
            </w:r>
            <w:r w:rsidRPr="0068666F">
              <w:rPr>
                <w:rFonts w:ascii="Times New Roman" w:hAnsi="Times New Roman" w:cs="Times New Roman"/>
                <w:bCs/>
                <w:sz w:val="16"/>
                <w:szCs w:val="16"/>
              </w:rPr>
              <w:t>- liczba umów ubezpieczeniowych zawartych na wypadek zdarzeń niepożądanych.</w:t>
            </w:r>
          </w:p>
        </w:tc>
        <w:tc>
          <w:tcPr>
            <w:tcW w:w="950" w:type="pct"/>
          </w:tcPr>
          <w:p w14:paraId="38026B5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powierzchnia całkowita gospodarstwa rolnego (ha),</w:t>
            </w:r>
          </w:p>
          <w:p w14:paraId="4FDC35B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całkowita kwota bieżących kosztów utrzymania sprzętu i budynków (euro), </w:t>
            </w:r>
          </w:p>
          <w:p w14:paraId="4E0613F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średnia wielkość gospodarstwa domowego, </w:t>
            </w:r>
          </w:p>
          <w:p w14:paraId="5A3893B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wartość otrzymanych dotacji (euro), </w:t>
            </w:r>
          </w:p>
          <w:p w14:paraId="4787BB0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odsetek rolników z wykształceniem wyższym w regionie, </w:t>
            </w:r>
          </w:p>
          <w:p w14:paraId="3D1EFCC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6</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odsetek rolników z wykształceniem średnim lub niższym w ogólnej licznie rolników, </w:t>
            </w:r>
          </w:p>
          <w:p w14:paraId="68D4DE3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7</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wartość otrzymanego odszkodowania w przeszłości (euro),</w:t>
            </w:r>
          </w:p>
          <w:p w14:paraId="495F034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8</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dochód netto rolników (euro), </w:t>
            </w:r>
          </w:p>
          <w:p w14:paraId="5D0EC12B"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9</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wskaźnik cen producenta (euro).</w:t>
            </w:r>
          </w:p>
        </w:tc>
        <w:tc>
          <w:tcPr>
            <w:tcW w:w="1280" w:type="pct"/>
          </w:tcPr>
          <w:p w14:paraId="1A1575CD" w14:textId="77777777" w:rsidR="0068666F" w:rsidRPr="0068666F" w:rsidRDefault="0068666F" w:rsidP="0068666F">
            <w:pPr>
              <w:rPr>
                <w:rFonts w:ascii="Times New Roman" w:hAnsi="Times New Roman" w:cs="Times New Roman"/>
                <w:color w:val="1F1F1F"/>
                <w:sz w:val="16"/>
                <w:szCs w:val="16"/>
              </w:rPr>
            </w:pPr>
            <w:r w:rsidRPr="0068666F">
              <w:rPr>
                <w:rFonts w:ascii="Times New Roman" w:hAnsi="Times New Roman" w:cs="Times New Roman"/>
                <w:color w:val="1F1F1F"/>
                <w:sz w:val="16"/>
                <w:szCs w:val="16"/>
              </w:rPr>
              <w:lastRenderedPageBreak/>
              <w:t>Czynniki związane z przychodami z ubezpieczeń rolniczych:</w:t>
            </w:r>
          </w:p>
          <w:p w14:paraId="4454F18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powierzchnia całkowita gospodarstwa rolnego (ha),</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09C2501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całkowita kwota bieżących kosztów utrzymania sprzętu i budynków (euro),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7E8639FE"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wartość otrzymanych dotacji (euro),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7E6BD0B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odsetek rolników z wykształceniem wyższym w regionie,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0932D7A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6</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odsetek rolników z wykształceniem średnim lub niższym w ogólnej licznie rolników,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7E88973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7</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wartość otrzymanego odszkodowania w przeszłości (euro),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591DAF2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8</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dochód netto rolników (euro),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62D588BE"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9</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wskaźnik cen producenta (euro),</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34EBBA7D" w14:textId="77777777" w:rsidR="0068666F" w:rsidRPr="0068666F" w:rsidRDefault="0068666F" w:rsidP="0068666F">
            <w:pPr>
              <w:rPr>
                <w:rFonts w:ascii="Times New Roman" w:hAnsi="Times New Roman" w:cs="Times New Roman"/>
                <w:color w:val="1F1F1F"/>
                <w:sz w:val="16"/>
                <w:szCs w:val="16"/>
              </w:rPr>
            </w:pPr>
          </w:p>
          <w:p w14:paraId="525E229A" w14:textId="77777777" w:rsidR="0068666F" w:rsidRPr="0068666F" w:rsidRDefault="0068666F" w:rsidP="0068666F">
            <w:pPr>
              <w:rPr>
                <w:rFonts w:ascii="Times New Roman" w:hAnsi="Times New Roman" w:cs="Times New Roman"/>
                <w:color w:val="1F1F1F"/>
                <w:sz w:val="16"/>
                <w:szCs w:val="16"/>
              </w:rPr>
            </w:pPr>
            <w:r w:rsidRPr="0068666F">
              <w:rPr>
                <w:rFonts w:ascii="Times New Roman" w:hAnsi="Times New Roman" w:cs="Times New Roman"/>
                <w:color w:val="1F1F1F"/>
                <w:sz w:val="16"/>
                <w:szCs w:val="16"/>
              </w:rPr>
              <w:lastRenderedPageBreak/>
              <w:t>Czynniki związane z liczbą umów ubezpieczeń rolniczych:</w:t>
            </w:r>
          </w:p>
          <w:p w14:paraId="00625BF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powierzchnia całkowita gospodarstwa rolnego (ha),</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586DF8E7"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wartość otrzymanych dotacji (euro),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0DF2934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6</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odsetek rolników z wykształceniem średnim lub niższym w ogólnej licznie rolników,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2E08FF7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7</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wartość otrzymanego odszkodowania w przeszłości (euro),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2A3CFE3A"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8</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dochód netto rolników (euro),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00F1BEEE"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9</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wskaźnik cen producenta (euro),</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tc>
        <w:tc>
          <w:tcPr>
            <w:tcW w:w="768" w:type="pct"/>
          </w:tcPr>
          <w:p w14:paraId="55366B5B"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sz w:val="16"/>
                <w:szCs w:val="16"/>
              </w:rPr>
              <w:lastRenderedPageBreak/>
              <w:t>metoda estymacji momentów (GMM)</w:t>
            </w:r>
          </w:p>
        </w:tc>
      </w:tr>
      <w:tr w:rsidR="0068666F" w:rsidRPr="0068666F" w14:paraId="3498AC8E" w14:textId="77777777" w:rsidTr="00C32BAD">
        <w:tc>
          <w:tcPr>
            <w:tcW w:w="516" w:type="pct"/>
          </w:tcPr>
          <w:p w14:paraId="4A9C32F3"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 xml:space="preserve">Lefebvre </w:t>
            </w:r>
            <w:r w:rsidRPr="0068666F">
              <w:rPr>
                <w:rFonts w:ascii="Times New Roman" w:eastAsia="CIDFont+F4" w:hAnsi="Times New Roman" w:cs="Times New Roman"/>
                <w:sz w:val="16"/>
                <w:szCs w:val="16"/>
              </w:rPr>
              <w:br/>
              <w:t xml:space="preserve">i in. </w:t>
            </w:r>
            <w:r w:rsidRPr="0068666F">
              <w:rPr>
                <w:rFonts w:ascii="Times New Roman" w:eastAsia="CIDFont+F4" w:hAnsi="Times New Roman" w:cs="Times New Roman"/>
                <w:sz w:val="16"/>
                <w:szCs w:val="16"/>
              </w:rPr>
              <w:br/>
              <w:t>(2014)</w:t>
            </w:r>
          </w:p>
        </w:tc>
        <w:tc>
          <w:tcPr>
            <w:tcW w:w="648" w:type="pct"/>
          </w:tcPr>
          <w:p w14:paraId="655B7F93" w14:textId="77777777" w:rsidR="0068666F" w:rsidRPr="0068666F" w:rsidRDefault="0068666F" w:rsidP="0068666F">
            <w:pPr>
              <w:jc w:val="center"/>
              <w:rPr>
                <w:rFonts w:ascii="Times New Roman" w:hAnsi="Times New Roman" w:cs="Times New Roman"/>
                <w:bCs/>
                <w:sz w:val="16"/>
                <w:szCs w:val="16"/>
              </w:rPr>
            </w:pPr>
            <w:r w:rsidRPr="0068666F">
              <w:rPr>
                <w:rFonts w:ascii="Times New Roman" w:hAnsi="Times New Roman" w:cs="Times New Roman"/>
                <w:bCs/>
                <w:sz w:val="16"/>
                <w:szCs w:val="16"/>
              </w:rPr>
              <w:t>ubezpieczenia komercyjne</w:t>
            </w:r>
          </w:p>
        </w:tc>
        <w:tc>
          <w:tcPr>
            <w:tcW w:w="838" w:type="pct"/>
          </w:tcPr>
          <w:p w14:paraId="023A0871"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bCs/>
                <w:i/>
                <w:sz w:val="16"/>
                <w:szCs w:val="16"/>
              </w:rPr>
              <w:t>Y</w:t>
            </w:r>
            <w:r w:rsidRPr="0068666F">
              <w:rPr>
                <w:rFonts w:ascii="Times New Roman" w:hAnsi="Times New Roman" w:cs="Times New Roman"/>
                <w:bCs/>
                <w:sz w:val="16"/>
                <w:szCs w:val="16"/>
              </w:rPr>
              <w:t xml:space="preserve"> - decyzja o zakupie ubezpieczenia</w:t>
            </w:r>
          </w:p>
        </w:tc>
        <w:tc>
          <w:tcPr>
            <w:tcW w:w="950" w:type="pct"/>
          </w:tcPr>
          <w:p w14:paraId="076288F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1. Struktura gospodarstwa rolnego: </w:t>
            </w:r>
          </w:p>
          <w:p w14:paraId="6A2CD16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status prawny gospodarstwa rolnego, </w:t>
            </w:r>
          </w:p>
          <w:p w14:paraId="546B632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typ produkcji (specjalizacja), </w:t>
            </w:r>
          </w:p>
          <w:p w14:paraId="36C7F04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 użytków rolnych (UAA), </w:t>
            </w:r>
          </w:p>
          <w:p w14:paraId="2F59286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powierzchnia gruntów dzierżawionych (w ha),</w:t>
            </w:r>
          </w:p>
          <w:p w14:paraId="0A70177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region NUTS2, w którym znajduje się gospodarstwo,</w:t>
            </w:r>
          </w:p>
          <w:p w14:paraId="0941097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2. Narażenie gospodarstwa na ryzyko i percepcja ryzyka:</w:t>
            </w:r>
          </w:p>
          <w:p w14:paraId="1F15273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6</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liczba dni ze śniegiem w roku (średnia 2007-2010),</w:t>
            </w:r>
          </w:p>
          <w:p w14:paraId="098F6FE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7</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liczba dni z opadami deszczu w roku (średnia 2007-2010),</w:t>
            </w:r>
          </w:p>
          <w:p w14:paraId="5EC3FC5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8</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liczba dni z burzą w roku (średnia 2007-2010),</w:t>
            </w:r>
          </w:p>
          <w:p w14:paraId="1FB40A7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9</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liczba zdarzeń ryzykownych w roku, zadeklarowana przez rolnika (średnia 2007-2010),</w:t>
            </w:r>
          </w:p>
          <w:p w14:paraId="5901686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10</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dostęp do informacji dotyczących zarządzania ryzykiem,</w:t>
            </w:r>
          </w:p>
          <w:p w14:paraId="260FA2C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3. Cechy społeczno-demograficzne rolnika:</w:t>
            </w:r>
          </w:p>
          <w:p w14:paraId="40E4277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poziom wykształcenia rolnika</w:t>
            </w:r>
          </w:p>
          <w:p w14:paraId="0BCC1B5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wiek rolnika,</w:t>
            </w:r>
          </w:p>
          <w:p w14:paraId="30428BA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4.  Sytuacja finansowa gospodarstwa rolnego: </w:t>
            </w:r>
          </w:p>
          <w:p w14:paraId="03F4BA2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korzystanie z kredytu,</w:t>
            </w:r>
          </w:p>
          <w:p w14:paraId="5E96F36A"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wypłata odszkodowania ubezpieczeniowego.</w:t>
            </w:r>
          </w:p>
        </w:tc>
        <w:tc>
          <w:tcPr>
            <w:tcW w:w="1280" w:type="pct"/>
          </w:tcPr>
          <w:p w14:paraId="600503A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 użytków rolnych (UAA) _małe,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r w:rsidRPr="0068666F">
              <w:rPr>
                <w:rFonts w:ascii="Times New Roman" w:hAnsi="Times New Roman" w:cs="Times New Roman"/>
                <w:bCs/>
                <w:sz w:val="16"/>
                <w:szCs w:val="16"/>
              </w:rPr>
              <w:t xml:space="preserve"> _średnie,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3B69BE7D"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region NUTS2, w którym znajduje się gospodarstwo_północno-centralny,</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0.01);_</w:t>
            </w:r>
            <w:r w:rsidRPr="0068666F">
              <w:rPr>
                <w:rFonts w:ascii="Times New Roman" w:hAnsi="Times New Roman" w:cs="Times New Roman"/>
                <w:bCs/>
                <w:sz w:val="16"/>
                <w:szCs w:val="16"/>
              </w:rPr>
              <w:t>północno-wschodni,</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0.05);_południowo-zachodni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62BD8A5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10</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dostęp do informacji dotyczących zarządzania ryzykiem,</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1C701527" w14:textId="77777777" w:rsidR="0068666F" w:rsidRPr="0068666F" w:rsidRDefault="0068666F" w:rsidP="0068666F">
            <w:pPr>
              <w:rPr>
                <w:rFonts w:ascii="Times New Roman" w:hAnsi="Times New Roman" w:cs="Times New Roman"/>
                <w:bCs/>
                <w:sz w:val="16"/>
                <w:szCs w:val="16"/>
              </w:rPr>
            </w:pPr>
          </w:p>
          <w:p w14:paraId="12E836D6" w14:textId="77777777" w:rsidR="0068666F" w:rsidRPr="0068666F" w:rsidRDefault="0068666F" w:rsidP="0068666F">
            <w:pPr>
              <w:rPr>
                <w:rFonts w:ascii="Times New Roman" w:hAnsi="Times New Roman" w:cs="Times New Roman"/>
                <w:bCs/>
                <w:sz w:val="16"/>
                <w:szCs w:val="16"/>
              </w:rPr>
            </w:pPr>
          </w:p>
        </w:tc>
        <w:tc>
          <w:tcPr>
            <w:tcW w:w="768" w:type="pct"/>
          </w:tcPr>
          <w:p w14:paraId="718C7606" w14:textId="77777777" w:rsidR="0068666F" w:rsidRPr="0068666F" w:rsidRDefault="0068666F" w:rsidP="0068666F">
            <w:pPr>
              <w:jc w:val="center"/>
              <w:rPr>
                <w:rFonts w:ascii="Times New Roman" w:hAnsi="Times New Roman" w:cs="Times New Roman"/>
                <w:bCs/>
                <w:sz w:val="16"/>
                <w:szCs w:val="16"/>
              </w:rPr>
            </w:pPr>
            <w:r w:rsidRPr="0068666F">
              <w:rPr>
                <w:rFonts w:ascii="Times New Roman" w:hAnsi="Times New Roman" w:cs="Times New Roman"/>
                <w:bCs/>
                <w:sz w:val="16"/>
                <w:szCs w:val="16"/>
              </w:rPr>
              <w:t>wielowymiarowy model probitowy</w:t>
            </w:r>
          </w:p>
        </w:tc>
      </w:tr>
      <w:tr w:rsidR="0068666F" w:rsidRPr="0068666F" w14:paraId="7C92E42B" w14:textId="77777777" w:rsidTr="00C32BAD">
        <w:tc>
          <w:tcPr>
            <w:tcW w:w="516" w:type="pct"/>
          </w:tcPr>
          <w:p w14:paraId="60209E79"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 xml:space="preserve">Gassler </w:t>
            </w:r>
            <w:r w:rsidRPr="0068666F">
              <w:rPr>
                <w:rFonts w:ascii="Times New Roman" w:eastAsia="CIDFont+F4" w:hAnsi="Times New Roman" w:cs="Times New Roman"/>
                <w:sz w:val="16"/>
                <w:szCs w:val="16"/>
              </w:rPr>
              <w:br/>
              <w:t>i Rehermann (2022)</w:t>
            </w:r>
          </w:p>
        </w:tc>
        <w:tc>
          <w:tcPr>
            <w:tcW w:w="648" w:type="pct"/>
          </w:tcPr>
          <w:p w14:paraId="5E6C6E75" w14:textId="77777777" w:rsidR="0068666F" w:rsidRPr="0068666F" w:rsidRDefault="0068666F" w:rsidP="0068666F">
            <w:pPr>
              <w:jc w:val="center"/>
              <w:rPr>
                <w:rFonts w:ascii="Times New Roman" w:hAnsi="Times New Roman" w:cs="Times New Roman"/>
                <w:bCs/>
                <w:sz w:val="16"/>
                <w:szCs w:val="16"/>
              </w:rPr>
            </w:pPr>
            <w:r w:rsidRPr="0068666F">
              <w:rPr>
                <w:rFonts w:ascii="Times New Roman" w:hAnsi="Times New Roman" w:cs="Times New Roman"/>
                <w:bCs/>
                <w:sz w:val="16"/>
                <w:szCs w:val="16"/>
              </w:rPr>
              <w:t>ubezpieczenia subsydiowane</w:t>
            </w:r>
          </w:p>
        </w:tc>
        <w:tc>
          <w:tcPr>
            <w:tcW w:w="838" w:type="pct"/>
          </w:tcPr>
          <w:p w14:paraId="00D66AEE"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bCs/>
                <w:i/>
                <w:sz w:val="16"/>
                <w:szCs w:val="16"/>
              </w:rPr>
              <w:t>Y</w:t>
            </w:r>
            <w:r w:rsidRPr="0068666F">
              <w:rPr>
                <w:rFonts w:ascii="Times New Roman" w:hAnsi="Times New Roman" w:cs="Times New Roman"/>
                <w:bCs/>
                <w:sz w:val="16"/>
                <w:szCs w:val="16"/>
              </w:rPr>
              <w:t xml:space="preserve"> - decyzja o zakupie ubezpieczenia</w:t>
            </w:r>
          </w:p>
        </w:tc>
        <w:tc>
          <w:tcPr>
            <w:tcW w:w="950" w:type="pct"/>
          </w:tcPr>
          <w:p w14:paraId="3CD0D99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1. Atrybuty ubezpieczenia:</w:t>
            </w:r>
          </w:p>
          <w:p w14:paraId="333776D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czas trwania umowy, </w:t>
            </w:r>
          </w:p>
          <w:p w14:paraId="71D7731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automatyczne przedłużenie umowy, </w:t>
            </w:r>
          </w:p>
          <w:p w14:paraId="7166464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udział własny, </w:t>
            </w:r>
          </w:p>
          <w:p w14:paraId="7BA2788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sposób zawarcia umowy i kalkulacja składki, </w:t>
            </w:r>
          </w:p>
          <w:p w14:paraId="22F73E3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forma złożenie rejestru upraw, </w:t>
            </w:r>
          </w:p>
          <w:p w14:paraId="021BB0F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6</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forma płatności, </w:t>
            </w:r>
          </w:p>
          <w:p w14:paraId="7B60781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korekta składki,</w:t>
            </w:r>
          </w:p>
          <w:p w14:paraId="3EEB5F4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wysokość składki wraz z dotacją,</w:t>
            </w:r>
          </w:p>
          <w:p w14:paraId="66B2E04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2. Cech charakteryzujące rolnika i gospodarstwo rolne: </w:t>
            </w:r>
          </w:p>
          <w:p w14:paraId="7752506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9</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w:t>
            </w:r>
          </w:p>
          <w:p w14:paraId="2BE2F54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10</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płeć, </w:t>
            </w:r>
          </w:p>
          <w:p w14:paraId="3CE9773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wykształcenie rolnicze,</w:t>
            </w:r>
          </w:p>
          <w:p w14:paraId="6390716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vertAlign w:val="subscript"/>
              </w:rPr>
              <w:t>2</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wielkość gospodarstwa, </w:t>
            </w:r>
          </w:p>
          <w:p w14:paraId="375C054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znaczenie ryzyka pogodowego, </w:t>
            </w:r>
          </w:p>
          <w:p w14:paraId="6043C58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zaufanie do firm ubezpieczeniowych, </w:t>
            </w:r>
          </w:p>
          <w:p w14:paraId="22FE414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preferencje dotyczące ryzyka w rolnictwie,</w:t>
            </w:r>
          </w:p>
          <w:p w14:paraId="0F1B548E"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16</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skłonność do podejmowania ryzyka.</w:t>
            </w:r>
          </w:p>
        </w:tc>
        <w:tc>
          <w:tcPr>
            <w:tcW w:w="1280" w:type="pct"/>
          </w:tcPr>
          <w:p w14:paraId="2687868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2</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automatyczne przedłużenie umowy,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3841CD8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sposób zawarcia umowy i kalkulacja składki_online,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4F777D8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forma złożenie rejestru upraw_online,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36168B3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6</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forma płatności _całkowita,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 _ratalna</w:t>
            </w:r>
            <w:r w:rsidRPr="0068666F">
              <w:rPr>
                <w:rFonts w:ascii="Times New Roman" w:hAnsi="Times New Roman" w:cs="Times New Roman"/>
                <w:bCs/>
                <w:sz w:val="16"/>
                <w:szCs w:val="16"/>
              </w:rPr>
              <w:t xml:space="preserve">,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19E69BA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wysokość składki wraz z dotacją,</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3EEE797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zaufanie do firm ubezpieczeniowych,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5DB68041" w14:textId="77777777" w:rsidR="0068666F" w:rsidRPr="0068666F" w:rsidRDefault="0068666F" w:rsidP="0068666F">
            <w:pPr>
              <w:rPr>
                <w:rFonts w:ascii="Times New Roman" w:hAnsi="Times New Roman" w:cs="Times New Roman"/>
                <w:bCs/>
                <w:sz w:val="16"/>
                <w:szCs w:val="16"/>
              </w:rPr>
            </w:pPr>
          </w:p>
          <w:p w14:paraId="3D631607" w14:textId="77777777" w:rsidR="0068666F" w:rsidRPr="0068666F" w:rsidRDefault="0068666F" w:rsidP="0068666F">
            <w:pPr>
              <w:rPr>
                <w:rFonts w:ascii="Times New Roman" w:hAnsi="Times New Roman" w:cs="Times New Roman"/>
                <w:bCs/>
                <w:sz w:val="16"/>
                <w:szCs w:val="16"/>
              </w:rPr>
            </w:pPr>
          </w:p>
          <w:p w14:paraId="1D50F14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 </w:t>
            </w:r>
          </w:p>
          <w:p w14:paraId="4544BF08" w14:textId="77777777" w:rsidR="0068666F" w:rsidRPr="0068666F" w:rsidRDefault="0068666F" w:rsidP="0068666F">
            <w:pPr>
              <w:rPr>
                <w:rFonts w:ascii="Times New Roman" w:hAnsi="Times New Roman" w:cs="Times New Roman"/>
                <w:bCs/>
                <w:sz w:val="16"/>
                <w:szCs w:val="16"/>
              </w:rPr>
            </w:pPr>
          </w:p>
          <w:p w14:paraId="79615D03" w14:textId="77777777" w:rsidR="0068666F" w:rsidRPr="0068666F" w:rsidRDefault="0068666F" w:rsidP="0068666F">
            <w:pPr>
              <w:rPr>
                <w:rFonts w:ascii="Times New Roman" w:hAnsi="Times New Roman" w:cs="Times New Roman"/>
                <w:bCs/>
                <w:sz w:val="16"/>
                <w:szCs w:val="16"/>
              </w:rPr>
            </w:pPr>
          </w:p>
        </w:tc>
        <w:tc>
          <w:tcPr>
            <w:tcW w:w="768" w:type="pct"/>
          </w:tcPr>
          <w:p w14:paraId="273A2464" w14:textId="77777777" w:rsidR="0068666F" w:rsidRPr="0068666F" w:rsidRDefault="0068666F" w:rsidP="0068666F">
            <w:pPr>
              <w:jc w:val="center"/>
              <w:rPr>
                <w:rFonts w:ascii="Times New Roman" w:hAnsi="Times New Roman" w:cs="Times New Roman"/>
                <w:bCs/>
                <w:sz w:val="16"/>
                <w:szCs w:val="16"/>
              </w:rPr>
            </w:pPr>
            <w:r w:rsidRPr="0068666F">
              <w:rPr>
                <w:rFonts w:ascii="Times New Roman" w:hAnsi="Times New Roman" w:cs="Times New Roman"/>
                <w:bCs/>
                <w:sz w:val="16"/>
                <w:szCs w:val="16"/>
              </w:rPr>
              <w:lastRenderedPageBreak/>
              <w:t>Metoda eksperymentu wyboru dyskretnego (DCE)</w:t>
            </w:r>
          </w:p>
        </w:tc>
      </w:tr>
      <w:tr w:rsidR="0068666F" w:rsidRPr="0068666F" w14:paraId="32409EE8" w14:textId="77777777" w:rsidTr="00C32BAD">
        <w:tc>
          <w:tcPr>
            <w:tcW w:w="516" w:type="pct"/>
            <w:vMerge w:val="restart"/>
          </w:tcPr>
          <w:p w14:paraId="2A484FA4"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 xml:space="preserve">Koenig </w:t>
            </w:r>
            <w:r w:rsidRPr="0068666F">
              <w:rPr>
                <w:rFonts w:ascii="Times New Roman" w:eastAsia="CIDFont+F4" w:hAnsi="Times New Roman" w:cs="Times New Roman"/>
                <w:sz w:val="16"/>
                <w:szCs w:val="16"/>
              </w:rPr>
              <w:br/>
              <w:t>i Brunette (2023)</w:t>
            </w:r>
          </w:p>
        </w:tc>
        <w:tc>
          <w:tcPr>
            <w:tcW w:w="648" w:type="pct"/>
          </w:tcPr>
          <w:p w14:paraId="33241089" w14:textId="77777777" w:rsidR="0068666F" w:rsidRPr="0068666F" w:rsidRDefault="0068666F" w:rsidP="0068666F">
            <w:pPr>
              <w:jc w:val="center"/>
              <w:rPr>
                <w:rFonts w:ascii="Times New Roman" w:hAnsi="Times New Roman" w:cs="Times New Roman"/>
                <w:bCs/>
                <w:sz w:val="16"/>
                <w:szCs w:val="16"/>
              </w:rPr>
            </w:pPr>
            <w:r w:rsidRPr="0068666F">
              <w:rPr>
                <w:rFonts w:ascii="Times New Roman" w:hAnsi="Times New Roman" w:cs="Times New Roman"/>
                <w:bCs/>
                <w:sz w:val="16"/>
                <w:szCs w:val="16"/>
              </w:rPr>
              <w:t>ubezpieczenie subsydiowane</w:t>
            </w:r>
          </w:p>
        </w:tc>
        <w:tc>
          <w:tcPr>
            <w:tcW w:w="838" w:type="pct"/>
          </w:tcPr>
          <w:p w14:paraId="099B15F7"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bCs/>
                <w:i/>
                <w:sz w:val="16"/>
                <w:szCs w:val="16"/>
              </w:rPr>
              <w:t>Y</w:t>
            </w:r>
            <w:r w:rsidRPr="0068666F">
              <w:rPr>
                <w:rFonts w:ascii="Times New Roman" w:hAnsi="Times New Roman" w:cs="Times New Roman"/>
                <w:bCs/>
                <w:i/>
                <w:sz w:val="16"/>
                <w:szCs w:val="16"/>
                <w:vertAlign w:val="subscript"/>
              </w:rPr>
              <w:t>1</w:t>
            </w:r>
            <w:r w:rsidRPr="0068666F">
              <w:rPr>
                <w:rFonts w:ascii="Times New Roman" w:hAnsi="Times New Roman" w:cs="Times New Roman"/>
                <w:bCs/>
                <w:sz w:val="16"/>
                <w:szCs w:val="16"/>
              </w:rPr>
              <w:t xml:space="preserve"> - bariery zakupu ubezpieczenia upraw</w:t>
            </w:r>
          </w:p>
        </w:tc>
        <w:tc>
          <w:tcPr>
            <w:tcW w:w="950" w:type="pct"/>
          </w:tcPr>
          <w:p w14:paraId="1DA64F1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1. Cechy gospodarstwa rolnego: </w:t>
            </w:r>
          </w:p>
          <w:p w14:paraId="10340AB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gospodarstwa rolnego, </w:t>
            </w:r>
          </w:p>
          <w:p w14:paraId="378B78D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okres zarządzania gospodarstwem rolnym, </w:t>
            </w:r>
          </w:p>
          <w:p w14:paraId="7CA723E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stosowanie nawadniania, </w:t>
            </w:r>
          </w:p>
          <w:p w14:paraId="331901F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dywersyfikacja upraw, </w:t>
            </w:r>
          </w:p>
          <w:p w14:paraId="616CA78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dywersyfikacja dochodów, </w:t>
            </w:r>
          </w:p>
          <w:p w14:paraId="2065027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wysokość strat plonów spowodowane zjawiskami pogodowymi w ciągu ostatnich 2 lat, </w:t>
            </w:r>
          </w:p>
          <w:p w14:paraId="5E1BC60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typ produkcji, </w:t>
            </w:r>
          </w:p>
          <w:p w14:paraId="6A88C29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posiadanie certyfikatu, </w:t>
            </w:r>
          </w:p>
          <w:p w14:paraId="1B9F43E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stosowanie azotu, </w:t>
            </w:r>
          </w:p>
          <w:p w14:paraId="47FD9FB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kontraktacja, </w:t>
            </w:r>
          </w:p>
          <w:p w14:paraId="67E5B17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członkowstwo w spółdzielni rolniczej,</w:t>
            </w:r>
          </w:p>
          <w:p w14:paraId="71D5BE4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członkostwo w związku zawodowym,</w:t>
            </w:r>
          </w:p>
          <w:p w14:paraId="2FF09AE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gospodarstwo rodzinne – wcześniej zarządzane przez członka rodziny, </w:t>
            </w:r>
          </w:p>
          <w:p w14:paraId="3C73814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siła robocza, </w:t>
            </w:r>
          </w:p>
          <w:p w14:paraId="3633A08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otrzymanie odszkodowania, </w:t>
            </w:r>
          </w:p>
          <w:p w14:paraId="75A2B1DC" w14:textId="77777777" w:rsidR="0068666F" w:rsidRPr="0068666F" w:rsidRDefault="0068666F" w:rsidP="0068666F">
            <w:pPr>
              <w:rPr>
                <w:rFonts w:ascii="Times New Roman" w:hAnsi="Times New Roman" w:cs="Times New Roman"/>
                <w:i/>
                <w:sz w:val="16"/>
                <w:szCs w:val="16"/>
              </w:rPr>
            </w:pPr>
            <w:r w:rsidRPr="0068666F">
              <w:rPr>
                <w:rFonts w:ascii="Times New Roman" w:hAnsi="Times New Roman" w:cs="Times New Roman"/>
                <w:bCs/>
                <w:sz w:val="16"/>
                <w:szCs w:val="16"/>
              </w:rPr>
              <w:t>2. Cechy społeczno-demograficzne rolników:</w:t>
            </w:r>
            <w:r w:rsidRPr="0068666F">
              <w:rPr>
                <w:rFonts w:ascii="Times New Roman" w:hAnsi="Times New Roman" w:cs="Times New Roman"/>
                <w:i/>
                <w:sz w:val="16"/>
                <w:szCs w:val="16"/>
              </w:rPr>
              <w:t xml:space="preserve"> </w:t>
            </w:r>
          </w:p>
          <w:p w14:paraId="7D8E3C0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w:t>
            </w:r>
          </w:p>
          <w:p w14:paraId="54A2DE1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płeć, </w:t>
            </w:r>
          </w:p>
          <w:p w14:paraId="072F260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wykształcenie rolnika, </w:t>
            </w:r>
          </w:p>
          <w:p w14:paraId="36D3605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wielkość gospodarstwa domowego rolnika, </w:t>
            </w:r>
          </w:p>
          <w:p w14:paraId="6623DC7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stan cywilny,</w:t>
            </w:r>
          </w:p>
          <w:p w14:paraId="08CDD2E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zatrudnienie poza gospodarstwem rolnym, </w:t>
            </w:r>
          </w:p>
          <w:p w14:paraId="5B2052D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dochody ogółem, </w:t>
            </w:r>
          </w:p>
          <w:p w14:paraId="0217C08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dochody  z działalności rolniczej, </w:t>
            </w:r>
          </w:p>
          <w:p w14:paraId="6442BA0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24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region zamieszkania,</w:t>
            </w:r>
          </w:p>
          <w:p w14:paraId="6EE6E84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3. Doświadczenie z ubezpieczeniami upraw: </w:t>
            </w:r>
          </w:p>
          <w:p w14:paraId="2B6A88F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posiadanie ubezpieczeń w przeszłości, </w:t>
            </w:r>
          </w:p>
          <w:p w14:paraId="3115788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otrzymanie odszkodowania w przeszłości, </w:t>
            </w:r>
          </w:p>
          <w:p w14:paraId="1FBD6BC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4. Zmienne behawioralne:</w:t>
            </w:r>
          </w:p>
          <w:p w14:paraId="40DC3C2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awersja do ryzyka, </w:t>
            </w:r>
          </w:p>
          <w:p w14:paraId="5BFCB15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postrzeganie ryzyka, </w:t>
            </w:r>
          </w:p>
          <w:p w14:paraId="082BEBD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preferencja teraźniejszości, </w:t>
            </w:r>
          </w:p>
          <w:p w14:paraId="18024D8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30</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impulsywność w zakresie decyzji zakupu ubezpieczenia,</w:t>
            </w:r>
          </w:p>
          <w:p w14:paraId="2B65DC8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5. Zmienne instrumentalne (dane klimatyczne za lata 2017-2019):</w:t>
            </w:r>
          </w:p>
          <w:p w14:paraId="7DCA441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minimalna i maksymalna temperatura, </w:t>
            </w:r>
          </w:p>
          <w:p w14:paraId="53A31BC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suma rocznych opadów, </w:t>
            </w:r>
          </w:p>
          <w:p w14:paraId="336D205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nasłonecznienie, </w:t>
            </w:r>
          </w:p>
          <w:p w14:paraId="7C7DB5C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34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maksymalna prędkość wiatru w ciągu roku.</w:t>
            </w:r>
          </w:p>
          <w:p w14:paraId="7DB3011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6. Potencjalne bariery przyjęcia ubezpieczenia:</w:t>
            </w:r>
          </w:p>
          <w:p w14:paraId="573D7D9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zbyt wysoka cena, </w:t>
            </w:r>
          </w:p>
          <w:p w14:paraId="6D07C02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zbyt wysoka franszyza, </w:t>
            </w:r>
          </w:p>
          <w:p w14:paraId="5D6472A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zbyt wysoki próg uruchomienia odszkodowania, </w:t>
            </w:r>
          </w:p>
          <w:p w14:paraId="718EAD7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opóźnienia w wypłacie odszkodowania, </w:t>
            </w:r>
          </w:p>
          <w:p w14:paraId="09A13DF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biurokracja, </w:t>
            </w:r>
          </w:p>
          <w:p w14:paraId="09D30C4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niezgodność proponowanych umów z potrzebami, </w:t>
            </w:r>
          </w:p>
          <w:p w14:paraId="008A56E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niskie prawdopodobieństwo otrzymania odszkodowania, </w:t>
            </w:r>
          </w:p>
          <w:p w14:paraId="5633EF3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42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zbyt niskie pokrycie strat, </w:t>
            </w:r>
          </w:p>
          <w:p w14:paraId="216C3BD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podjęcie innych środków w celu zapobiegania zagrożeniom pogodowym, </w:t>
            </w:r>
          </w:p>
          <w:p w14:paraId="5041656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brak zaufania do firm ubezpieczeniowych, </w:t>
            </w:r>
          </w:p>
          <w:p w14:paraId="77DBEB4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dywersyfikacja działalności, </w:t>
            </w:r>
          </w:p>
          <w:p w14:paraId="4ADDA183" w14:textId="77777777" w:rsidR="0068666F" w:rsidRPr="0068666F" w:rsidRDefault="0068666F" w:rsidP="0068666F">
            <w:pPr>
              <w:rPr>
                <w:rFonts w:ascii="Times New Roman" w:hAnsi="Times New Roman" w:cs="Times New Roman"/>
                <w:b/>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46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czas oczekiwania na odszkodowanie.</w:t>
            </w:r>
          </w:p>
        </w:tc>
        <w:tc>
          <w:tcPr>
            <w:tcW w:w="1280" w:type="pct"/>
          </w:tcPr>
          <w:p w14:paraId="338A0AB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lastRenderedPageBreak/>
              <w:t>Czynniki determinujące bariery przyjęcia ubezpieczenia:</w:t>
            </w:r>
          </w:p>
          <w:p w14:paraId="51C9C61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wysokość strat plonów spowodowane zjawiskami pogodowymi w ciągu ostatnich 2 lat,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44C0BE9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posiadanie certyfikatu,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315B773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kontraktacja,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1CF9A88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siła robocza,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30C3800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otrzymanie odszkodowania, </w:t>
            </w:r>
          </w:p>
          <w:p w14:paraId="5712D0A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płeć,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07DC51A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gospodarstwo rodzinne – wcześniej zarządzane przez członka rodziny_najemca,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2A35D84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30</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impulsywność w zakresie decyzji zakupu ubezpieczenia_nie,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6EB6D66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zbyt wysoka franszyza,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774B6F7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niezgodność proponowanych umów z potrzebami,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r w:rsidRPr="0068666F">
              <w:rPr>
                <w:rFonts w:ascii="Times New Roman" w:hAnsi="Times New Roman" w:cs="Times New Roman"/>
                <w:bCs/>
                <w:sz w:val="16"/>
                <w:szCs w:val="16"/>
              </w:rPr>
              <w:t xml:space="preserve"> </w:t>
            </w:r>
          </w:p>
          <w:p w14:paraId="23FF86B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niskie prawdopodobieństwo otrzymania odszkodowania,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1CE0D32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brak zaufania do firm ubezpieczeniowych,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78117ED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46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czas oczekiwania na odszkodowanie,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523C1217" w14:textId="77777777" w:rsidR="0068666F" w:rsidRPr="0068666F" w:rsidRDefault="0068666F" w:rsidP="0068666F">
            <w:pPr>
              <w:rPr>
                <w:rFonts w:ascii="Times New Roman" w:hAnsi="Times New Roman" w:cs="Times New Roman"/>
                <w:bCs/>
                <w:sz w:val="16"/>
                <w:szCs w:val="16"/>
              </w:rPr>
            </w:pPr>
          </w:p>
        </w:tc>
        <w:tc>
          <w:tcPr>
            <w:tcW w:w="768" w:type="pct"/>
          </w:tcPr>
          <w:p w14:paraId="658ECC4D" w14:textId="77777777" w:rsidR="0068666F" w:rsidRPr="0068666F" w:rsidRDefault="0068666F" w:rsidP="0068666F">
            <w:pPr>
              <w:jc w:val="center"/>
              <w:rPr>
                <w:rFonts w:ascii="Times New Roman" w:hAnsi="Times New Roman" w:cs="Times New Roman"/>
                <w:bCs/>
                <w:sz w:val="16"/>
                <w:szCs w:val="16"/>
              </w:rPr>
            </w:pPr>
            <w:r w:rsidRPr="0068666F">
              <w:rPr>
                <w:rFonts w:ascii="Times New Roman" w:hAnsi="Times New Roman" w:cs="Times New Roman"/>
                <w:bCs/>
                <w:sz w:val="16"/>
                <w:szCs w:val="16"/>
              </w:rPr>
              <w:t>losowy model użyteczności (RUM) / dynamiczny model regresji probitowej</w:t>
            </w:r>
          </w:p>
        </w:tc>
      </w:tr>
      <w:tr w:rsidR="0068666F" w:rsidRPr="0068666F" w14:paraId="45CC6791" w14:textId="77777777" w:rsidTr="00C32BAD">
        <w:tc>
          <w:tcPr>
            <w:tcW w:w="516" w:type="pct"/>
            <w:vMerge/>
          </w:tcPr>
          <w:p w14:paraId="741D0A90" w14:textId="77777777" w:rsidR="0068666F" w:rsidRPr="0068666F" w:rsidRDefault="0068666F" w:rsidP="0068666F">
            <w:pPr>
              <w:jc w:val="center"/>
              <w:rPr>
                <w:rFonts w:ascii="Times New Roman" w:eastAsia="CIDFont+F4" w:hAnsi="Times New Roman" w:cs="Times New Roman"/>
                <w:sz w:val="16"/>
                <w:szCs w:val="16"/>
              </w:rPr>
            </w:pPr>
          </w:p>
        </w:tc>
        <w:tc>
          <w:tcPr>
            <w:tcW w:w="648" w:type="pct"/>
          </w:tcPr>
          <w:p w14:paraId="192B1FD0" w14:textId="77777777" w:rsidR="0068666F" w:rsidRPr="0068666F" w:rsidRDefault="0068666F" w:rsidP="0068666F">
            <w:pPr>
              <w:jc w:val="center"/>
              <w:rPr>
                <w:rFonts w:ascii="Times New Roman" w:hAnsi="Times New Roman" w:cs="Times New Roman"/>
                <w:bCs/>
                <w:i/>
                <w:sz w:val="16"/>
                <w:szCs w:val="16"/>
              </w:rPr>
            </w:pPr>
          </w:p>
        </w:tc>
        <w:tc>
          <w:tcPr>
            <w:tcW w:w="838" w:type="pct"/>
          </w:tcPr>
          <w:p w14:paraId="26703ED0" w14:textId="77777777" w:rsidR="0068666F" w:rsidRPr="0068666F" w:rsidRDefault="0068666F" w:rsidP="0068666F">
            <w:pPr>
              <w:rPr>
                <w:rFonts w:ascii="Times New Roman" w:hAnsi="Times New Roman" w:cs="Times New Roman"/>
                <w:bCs/>
                <w:i/>
                <w:sz w:val="16"/>
                <w:szCs w:val="16"/>
              </w:rPr>
            </w:pPr>
            <w:r w:rsidRPr="0068666F">
              <w:rPr>
                <w:rFonts w:ascii="Times New Roman" w:hAnsi="Times New Roman" w:cs="Times New Roman"/>
                <w:bCs/>
                <w:i/>
                <w:sz w:val="16"/>
                <w:szCs w:val="16"/>
              </w:rPr>
              <w:t>Y</w:t>
            </w:r>
            <w:r w:rsidRPr="0068666F">
              <w:rPr>
                <w:rFonts w:ascii="Times New Roman" w:hAnsi="Times New Roman" w:cs="Times New Roman"/>
                <w:bCs/>
                <w:i/>
                <w:sz w:val="16"/>
                <w:szCs w:val="16"/>
                <w:vertAlign w:val="subscript"/>
              </w:rPr>
              <w:t>1</w:t>
            </w:r>
            <w:r w:rsidRPr="0068666F">
              <w:rPr>
                <w:rFonts w:ascii="Times New Roman" w:hAnsi="Times New Roman" w:cs="Times New Roman"/>
                <w:bCs/>
                <w:sz w:val="16"/>
                <w:szCs w:val="16"/>
              </w:rPr>
              <w:t xml:space="preserve"> - prawdopodobieństwo zakupu ubezpieczenia upraw</w:t>
            </w:r>
          </w:p>
        </w:tc>
        <w:tc>
          <w:tcPr>
            <w:tcW w:w="950" w:type="pct"/>
          </w:tcPr>
          <w:p w14:paraId="3B2679A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1. Cechy gospodarstwa rolnego: </w:t>
            </w:r>
          </w:p>
          <w:p w14:paraId="4E157EB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gospodarstwa rolnego, </w:t>
            </w:r>
          </w:p>
          <w:p w14:paraId="29AC03A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okres zarządzania gospodarstwem rolnym, </w:t>
            </w:r>
          </w:p>
          <w:p w14:paraId="47152C8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stosowanie nawadniania, </w:t>
            </w:r>
          </w:p>
          <w:p w14:paraId="125B2C5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dywersyfikacja upraw, </w:t>
            </w:r>
          </w:p>
          <w:p w14:paraId="4EC0B68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dywersyfikacja dochodów, </w:t>
            </w:r>
          </w:p>
          <w:p w14:paraId="522770B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wysokość strat plonów spowodowane zjawiskami pogodowymi w ciągu ostatnich 2 lat, </w:t>
            </w:r>
          </w:p>
          <w:p w14:paraId="4E1B4F1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typ produkcji, </w:t>
            </w:r>
          </w:p>
          <w:p w14:paraId="08B59A1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posiadanie certyfikatu, </w:t>
            </w:r>
          </w:p>
          <w:p w14:paraId="39E6414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stosowanie azotu, </w:t>
            </w:r>
          </w:p>
          <w:p w14:paraId="5163D6A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kontraktacja, </w:t>
            </w:r>
          </w:p>
          <w:p w14:paraId="7E2DA60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członkowstwo w spółdzielni rolniczej,</w:t>
            </w:r>
          </w:p>
          <w:p w14:paraId="3847DFB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członkostwo w związku zawodowym,</w:t>
            </w:r>
          </w:p>
          <w:p w14:paraId="385F5DA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gospodarstwo rodzinne – wcześniej zarządzane przez członka rodziny, </w:t>
            </w:r>
          </w:p>
          <w:p w14:paraId="3D98C38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siła robocza, </w:t>
            </w:r>
          </w:p>
          <w:p w14:paraId="2891250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otrzymanie odszkodowania, </w:t>
            </w:r>
          </w:p>
          <w:p w14:paraId="63462601" w14:textId="77777777" w:rsidR="0068666F" w:rsidRPr="0068666F" w:rsidRDefault="0068666F" w:rsidP="0068666F">
            <w:pPr>
              <w:rPr>
                <w:rFonts w:ascii="Times New Roman" w:hAnsi="Times New Roman" w:cs="Times New Roman"/>
                <w:i/>
                <w:sz w:val="16"/>
                <w:szCs w:val="16"/>
              </w:rPr>
            </w:pPr>
            <w:r w:rsidRPr="0068666F">
              <w:rPr>
                <w:rFonts w:ascii="Times New Roman" w:hAnsi="Times New Roman" w:cs="Times New Roman"/>
                <w:bCs/>
                <w:sz w:val="16"/>
                <w:szCs w:val="16"/>
              </w:rPr>
              <w:t>2. Cechy społeczno-demograficzne rolników:</w:t>
            </w:r>
            <w:r w:rsidRPr="0068666F">
              <w:rPr>
                <w:rFonts w:ascii="Times New Roman" w:hAnsi="Times New Roman" w:cs="Times New Roman"/>
                <w:i/>
                <w:sz w:val="16"/>
                <w:szCs w:val="16"/>
              </w:rPr>
              <w:t xml:space="preserve"> </w:t>
            </w:r>
          </w:p>
          <w:p w14:paraId="152CD18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w:t>
            </w:r>
          </w:p>
          <w:p w14:paraId="736DECD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płeć, </w:t>
            </w:r>
          </w:p>
          <w:p w14:paraId="5B250AE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wykształcenie rolnika, </w:t>
            </w:r>
          </w:p>
          <w:p w14:paraId="371FAB9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wielkość gospodarstwa domowego rolnika, </w:t>
            </w:r>
          </w:p>
          <w:p w14:paraId="5507774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stan cywilny,</w:t>
            </w:r>
          </w:p>
          <w:p w14:paraId="1A76F4E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zatrudnienie poza gospodarstwem rolnym, </w:t>
            </w:r>
          </w:p>
          <w:p w14:paraId="609EC25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dochody ogółem, </w:t>
            </w:r>
          </w:p>
          <w:p w14:paraId="4591B3A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dochody  z działalności rolniczej, </w:t>
            </w:r>
          </w:p>
          <w:p w14:paraId="01A6152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24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region zamieszkania,</w:t>
            </w:r>
          </w:p>
          <w:p w14:paraId="5B85C92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3. Doświadczenie z ubezpieczeniami upraw: </w:t>
            </w:r>
          </w:p>
          <w:p w14:paraId="3682335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posiadanie ubezpieczeń w przeszłości, </w:t>
            </w:r>
          </w:p>
          <w:p w14:paraId="3BF9281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otrzymanie odszkodowania w przeszłości, </w:t>
            </w:r>
          </w:p>
          <w:p w14:paraId="6083C1C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4. Zmienne behawioralne:</w:t>
            </w:r>
          </w:p>
          <w:p w14:paraId="39AD33A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awersja do ryzyka, </w:t>
            </w:r>
          </w:p>
          <w:p w14:paraId="44A3510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postrzeganie ryzyka, </w:t>
            </w:r>
          </w:p>
          <w:p w14:paraId="48685EB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preferencja teraźniejszości, </w:t>
            </w:r>
          </w:p>
          <w:p w14:paraId="6705B4B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30</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impulsywność w zakresie decyzji zakupu ubezpieczenia,</w:t>
            </w:r>
          </w:p>
          <w:p w14:paraId="60F3D44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5. Zmienne instrumentalne (dane klimatyczne za lata 2017-2019):</w:t>
            </w:r>
          </w:p>
          <w:p w14:paraId="0524BB2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31</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minimalna i maksymalna temperatura, </w:t>
            </w:r>
          </w:p>
          <w:p w14:paraId="6D2BD86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suma rocznych opadów, </w:t>
            </w:r>
          </w:p>
          <w:p w14:paraId="461A959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nasłonecznienie, </w:t>
            </w:r>
          </w:p>
          <w:p w14:paraId="04EA243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34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maksymalna prędkość wiatru w ciągu roku.</w:t>
            </w:r>
          </w:p>
          <w:p w14:paraId="257C21B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6. Potencjalne bariery przyjęcia ubezpieczenia:</w:t>
            </w:r>
          </w:p>
          <w:p w14:paraId="2625DA6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35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zbyt wysoka cena, </w:t>
            </w:r>
          </w:p>
          <w:p w14:paraId="1539278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zbyt wysoka franszyza, </w:t>
            </w:r>
          </w:p>
          <w:p w14:paraId="4CADDB5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zbyt wysoki próg uruchomienia odszkodowania, </w:t>
            </w:r>
          </w:p>
          <w:p w14:paraId="44C4005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opóźnienia w wypłacie odszkodowania, </w:t>
            </w:r>
          </w:p>
          <w:p w14:paraId="2E4D760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biurokracja, </w:t>
            </w:r>
          </w:p>
          <w:p w14:paraId="6CB69AE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niezgodność proponowanych umów z potrzebami, </w:t>
            </w:r>
          </w:p>
          <w:p w14:paraId="3461630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niskie prawdopodobieństwo otrzymania odszkodowania, </w:t>
            </w:r>
          </w:p>
          <w:p w14:paraId="172054D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42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zbyt niskie pokrycie strat, </w:t>
            </w:r>
          </w:p>
          <w:p w14:paraId="4E6475E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podjęcie innych środków w celu zapobiegania zagrożeniom pogodowym, </w:t>
            </w:r>
          </w:p>
          <w:p w14:paraId="7F0C140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brak zaufania do firm ubezpieczeniowych, </w:t>
            </w:r>
          </w:p>
          <w:p w14:paraId="0D694D1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dywersyfikacja działalności, </w:t>
            </w:r>
          </w:p>
          <w:p w14:paraId="1BBEA78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46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czas oczekiwania na odszkodowanie.</w:t>
            </w:r>
          </w:p>
        </w:tc>
        <w:tc>
          <w:tcPr>
            <w:tcW w:w="1280" w:type="pct"/>
          </w:tcPr>
          <w:p w14:paraId="7C2E70E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lastRenderedPageBreak/>
              <w:t>Czynniki determinujące prawdopodobieństwo zakupu ubezpieczenia:</w:t>
            </w:r>
          </w:p>
          <w:p w14:paraId="1CAF812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gospodarstwa rolnego,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13FB7B0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posiadanie certyfikatu,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31ABBA0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rodzinny charakter gospodarstwa_najemca,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r w:rsidRPr="0068666F">
              <w:rPr>
                <w:rFonts w:ascii="Times New Roman" w:hAnsi="Times New Roman" w:cs="Times New Roman"/>
                <w:bCs/>
                <w:sz w:val="16"/>
                <w:szCs w:val="16"/>
              </w:rPr>
              <w:t>; właściciel,</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r w:rsidRPr="0068666F">
              <w:rPr>
                <w:rFonts w:ascii="Times New Roman" w:hAnsi="Times New Roman" w:cs="Times New Roman"/>
                <w:bCs/>
                <w:sz w:val="16"/>
                <w:szCs w:val="16"/>
              </w:rPr>
              <w:t xml:space="preserve"> </w:t>
            </w:r>
          </w:p>
          <w:p w14:paraId="240C430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15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otrzymanie odszkodowania,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0574755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19</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wielkość gospodarstwa domowego_więcej niż jedna osoba,</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5FC6E9A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stan cywilny_małżeństwo lub związek partnerski,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6CFF1524"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temperatura _max. temp.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10DB05F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zbyt wysoki próg uruchomienia odszkodowania,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3D814A6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 xml:space="preserve"> x</w:t>
            </w:r>
            <w:r w:rsidRPr="0068666F">
              <w:rPr>
                <w:rFonts w:ascii="Times New Roman" w:hAnsi="Times New Roman" w:cs="Times New Roman"/>
                <w:i/>
                <w:sz w:val="16"/>
                <w:szCs w:val="16"/>
                <w:vertAlign w:val="subscript"/>
              </w:rPr>
              <w:t xml:space="preserve">41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niskie prawdopodobieństwo otrzymania odszkodowania,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2410DBB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44</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brak zaufania do firm ubezpieczeniowych,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35C9C416" w14:textId="77777777" w:rsidR="0068666F" w:rsidRPr="0068666F" w:rsidRDefault="0068666F" w:rsidP="0068666F">
            <w:pPr>
              <w:rPr>
                <w:rFonts w:ascii="Times New Roman" w:hAnsi="Times New Roman" w:cs="Times New Roman"/>
                <w:sz w:val="16"/>
                <w:szCs w:val="16"/>
              </w:rPr>
            </w:pPr>
          </w:p>
          <w:p w14:paraId="18745A35" w14:textId="77777777" w:rsidR="0068666F" w:rsidRPr="0068666F" w:rsidRDefault="0068666F" w:rsidP="0068666F">
            <w:pPr>
              <w:rPr>
                <w:rFonts w:ascii="Times New Roman" w:hAnsi="Times New Roman" w:cs="Times New Roman"/>
                <w:bCs/>
                <w:sz w:val="16"/>
                <w:szCs w:val="16"/>
              </w:rPr>
            </w:pPr>
          </w:p>
        </w:tc>
        <w:tc>
          <w:tcPr>
            <w:tcW w:w="768" w:type="pct"/>
          </w:tcPr>
          <w:p w14:paraId="42B57167" w14:textId="77777777" w:rsidR="0068666F" w:rsidRPr="0068666F" w:rsidRDefault="0068666F" w:rsidP="0068666F">
            <w:pPr>
              <w:jc w:val="center"/>
              <w:rPr>
                <w:rFonts w:ascii="Times New Roman" w:hAnsi="Times New Roman" w:cs="Times New Roman"/>
                <w:bCs/>
                <w:sz w:val="16"/>
                <w:szCs w:val="16"/>
              </w:rPr>
            </w:pPr>
          </w:p>
        </w:tc>
      </w:tr>
      <w:tr w:rsidR="0068666F" w:rsidRPr="0068666F" w14:paraId="19BC6BBB" w14:textId="77777777" w:rsidTr="00C32BAD">
        <w:tc>
          <w:tcPr>
            <w:tcW w:w="516" w:type="pct"/>
          </w:tcPr>
          <w:p w14:paraId="4DADF5C6"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lastRenderedPageBreak/>
              <w:t xml:space="preserve">Enjolras </w:t>
            </w:r>
            <w:r w:rsidRPr="0068666F">
              <w:rPr>
                <w:rFonts w:ascii="Times New Roman" w:eastAsia="CIDFont+F4" w:hAnsi="Times New Roman" w:cs="Times New Roman"/>
                <w:sz w:val="16"/>
                <w:szCs w:val="16"/>
              </w:rPr>
              <w:br/>
              <w:t>i Sentis (2008)</w:t>
            </w:r>
          </w:p>
        </w:tc>
        <w:tc>
          <w:tcPr>
            <w:tcW w:w="648" w:type="pct"/>
          </w:tcPr>
          <w:p w14:paraId="25BA8D70" w14:textId="77777777" w:rsidR="0068666F" w:rsidRPr="0068666F" w:rsidRDefault="0068666F" w:rsidP="0068666F">
            <w:pPr>
              <w:jc w:val="center"/>
              <w:rPr>
                <w:rFonts w:ascii="Times New Roman" w:hAnsi="Times New Roman" w:cs="Times New Roman"/>
                <w:bCs/>
                <w:sz w:val="16"/>
                <w:szCs w:val="16"/>
              </w:rPr>
            </w:pPr>
            <w:r w:rsidRPr="0068666F">
              <w:rPr>
                <w:rFonts w:ascii="Times New Roman" w:hAnsi="Times New Roman" w:cs="Times New Roman"/>
                <w:bCs/>
                <w:sz w:val="16"/>
                <w:szCs w:val="16"/>
              </w:rPr>
              <w:t>ubezpieczenia komercyjne</w:t>
            </w:r>
          </w:p>
        </w:tc>
        <w:tc>
          <w:tcPr>
            <w:tcW w:w="838" w:type="pct"/>
          </w:tcPr>
          <w:p w14:paraId="00D0D9B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bCs/>
                <w:i/>
                <w:sz w:val="16"/>
                <w:szCs w:val="16"/>
              </w:rPr>
              <w:t>Y</w:t>
            </w:r>
            <w:r w:rsidRPr="0068666F">
              <w:rPr>
                <w:rFonts w:ascii="Times New Roman" w:hAnsi="Times New Roman" w:cs="Times New Roman"/>
                <w:bCs/>
                <w:sz w:val="16"/>
                <w:szCs w:val="16"/>
              </w:rPr>
              <w:t xml:space="preserve"> - decyzja o zakupie ubezpieczenia upraw</w:t>
            </w:r>
          </w:p>
        </w:tc>
        <w:tc>
          <w:tcPr>
            <w:tcW w:w="950" w:type="pct"/>
          </w:tcPr>
          <w:p w14:paraId="673D9ED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1. Czynniki finansowe: </w:t>
            </w:r>
          </w:p>
          <w:p w14:paraId="4202A77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roczne obroty (w euro), </w:t>
            </w:r>
          </w:p>
          <w:p w14:paraId="7AE083D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zainwestowany kapitał (w euro), </w:t>
            </w:r>
          </w:p>
          <w:p w14:paraId="122E744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dźwignia finansowa = zadłużenie finansowe netto/kapitał własny, </w:t>
            </w:r>
          </w:p>
          <w:p w14:paraId="1B2F588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sprzedaż gotówki = gotówka i ekwiwalenty/aktywa bieżące, </w:t>
            </w:r>
          </w:p>
          <w:p w14:paraId="026313C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wskaźnik gotówki = (gotówka + papiery wartościowe zbywalne)/zobowiązania bieżące, </w:t>
            </w:r>
          </w:p>
          <w:p w14:paraId="2DF959C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zwrot z kapitału własnego (ROE) = dochód netto/kapitał własny, </w:t>
            </w:r>
          </w:p>
          <w:p w14:paraId="51F62DD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zwrot z zaangażowanego kapitału (ROCE) = dochód operacyjny/kapitał zainwestowany, </w:t>
            </w:r>
          </w:p>
          <w:p w14:paraId="6C4A70D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przychód na ha, </w:t>
            </w:r>
          </w:p>
          <w:p w14:paraId="7ED6F39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2.  Czynniki indywidualne związane z rolnikiem: </w:t>
            </w:r>
          </w:p>
          <w:p w14:paraId="174BD6D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w:t>
            </w:r>
          </w:p>
          <w:p w14:paraId="537D36F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płeć, </w:t>
            </w:r>
          </w:p>
          <w:p w14:paraId="05B190A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wykształcenie rolnika,</w:t>
            </w:r>
          </w:p>
          <w:p w14:paraId="0807D72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3. Czynniki charakteryzujące gospodarstwo rolne: </w:t>
            </w:r>
          </w:p>
          <w:p w14:paraId="2FD59D4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całkowita powierzchnia upraw, </w:t>
            </w:r>
          </w:p>
          <w:p w14:paraId="30FF89C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nawadniana, </w:t>
            </w:r>
          </w:p>
          <w:p w14:paraId="5655811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typ produkcji,</w:t>
            </w:r>
          </w:p>
          <w:p w14:paraId="29463B7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techniczna specjalizacja produkcji,</w:t>
            </w:r>
          </w:p>
          <w:p w14:paraId="0664954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4.  Czynniki meteorologiczne: </w:t>
            </w:r>
          </w:p>
          <w:p w14:paraId="5BBFBC7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16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średnia roczna temperatura, </w:t>
            </w:r>
          </w:p>
          <w:p w14:paraId="65AD8B0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roczne skumulowane opady,</w:t>
            </w:r>
          </w:p>
          <w:p w14:paraId="4DBC548D"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roczne skumulowane godziny nasłonecznienia.</w:t>
            </w:r>
          </w:p>
        </w:tc>
        <w:tc>
          <w:tcPr>
            <w:tcW w:w="1280" w:type="pct"/>
          </w:tcPr>
          <w:p w14:paraId="4D04957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przychód na ha, (-)</w:t>
            </w:r>
          </w:p>
          <w:p w14:paraId="43E6D3D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wiek rolnika, (-)</w:t>
            </w:r>
          </w:p>
          <w:p w14:paraId="0958CDC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wykształcenie rolnika, (+)</w:t>
            </w:r>
          </w:p>
          <w:p w14:paraId="2ED9E38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całkowita powierzchnia upraw, (+)</w:t>
            </w:r>
          </w:p>
          <w:p w14:paraId="77FB061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nawadniana, (+) </w:t>
            </w:r>
          </w:p>
          <w:p w14:paraId="74257BD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typ produkcji, (+)</w:t>
            </w:r>
          </w:p>
          <w:p w14:paraId="5D0CDF1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techniczna specjalizacja produkcji, (+).</w:t>
            </w:r>
          </w:p>
          <w:p w14:paraId="51D661A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tc>
        <w:tc>
          <w:tcPr>
            <w:tcW w:w="768" w:type="pct"/>
          </w:tcPr>
          <w:p w14:paraId="286DDCCD" w14:textId="77777777" w:rsidR="0068666F" w:rsidRPr="0068666F" w:rsidRDefault="0068666F" w:rsidP="0068666F">
            <w:pPr>
              <w:jc w:val="center"/>
              <w:rPr>
                <w:rFonts w:ascii="Times New Roman" w:hAnsi="Times New Roman" w:cs="Times New Roman"/>
                <w:bCs/>
                <w:sz w:val="16"/>
                <w:szCs w:val="16"/>
              </w:rPr>
            </w:pPr>
            <w:r w:rsidRPr="0068666F">
              <w:rPr>
                <w:rFonts w:ascii="Times New Roman" w:hAnsi="Times New Roman" w:cs="Times New Roman"/>
                <w:bCs/>
                <w:sz w:val="16"/>
                <w:szCs w:val="16"/>
              </w:rPr>
              <w:t>model regresji logistycznej</w:t>
            </w:r>
          </w:p>
        </w:tc>
      </w:tr>
      <w:tr w:rsidR="0068666F" w:rsidRPr="0068666F" w14:paraId="76A6EF9F" w14:textId="77777777" w:rsidTr="00C32BAD">
        <w:tc>
          <w:tcPr>
            <w:tcW w:w="516" w:type="pct"/>
          </w:tcPr>
          <w:p w14:paraId="6C7DB4CE"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 xml:space="preserve">Kislingerová </w:t>
            </w:r>
            <w:r w:rsidRPr="0068666F">
              <w:rPr>
                <w:rFonts w:ascii="Times New Roman" w:eastAsia="CIDFont+F4" w:hAnsi="Times New Roman" w:cs="Times New Roman"/>
                <w:sz w:val="16"/>
                <w:szCs w:val="16"/>
              </w:rPr>
              <w:br/>
              <w:t xml:space="preserve">i Špička </w:t>
            </w:r>
            <w:r w:rsidRPr="0068666F">
              <w:rPr>
                <w:rFonts w:ascii="Times New Roman" w:eastAsia="CIDFont+F4" w:hAnsi="Times New Roman" w:cs="Times New Roman"/>
                <w:sz w:val="16"/>
                <w:szCs w:val="16"/>
              </w:rPr>
              <w:br/>
              <w:t>(2022)</w:t>
            </w:r>
          </w:p>
        </w:tc>
        <w:tc>
          <w:tcPr>
            <w:tcW w:w="648" w:type="pct"/>
          </w:tcPr>
          <w:p w14:paraId="2D8E34CE" w14:textId="77777777" w:rsidR="0068666F" w:rsidRPr="0068666F" w:rsidRDefault="0068666F" w:rsidP="0068666F">
            <w:pPr>
              <w:jc w:val="center"/>
              <w:rPr>
                <w:rFonts w:ascii="Times New Roman" w:hAnsi="Times New Roman" w:cs="Times New Roman"/>
                <w:bCs/>
                <w:i/>
                <w:sz w:val="16"/>
                <w:szCs w:val="16"/>
              </w:rPr>
            </w:pPr>
            <w:r w:rsidRPr="0068666F">
              <w:rPr>
                <w:rFonts w:ascii="Times New Roman" w:hAnsi="Times New Roman" w:cs="Times New Roman"/>
                <w:bCs/>
                <w:sz w:val="16"/>
                <w:szCs w:val="16"/>
              </w:rPr>
              <w:t>ubezpieczenie subsydiowane</w:t>
            </w:r>
          </w:p>
        </w:tc>
        <w:tc>
          <w:tcPr>
            <w:tcW w:w="838" w:type="pct"/>
          </w:tcPr>
          <w:p w14:paraId="438C80F4"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bCs/>
                <w:i/>
                <w:sz w:val="16"/>
                <w:szCs w:val="16"/>
              </w:rPr>
              <w:t>Y</w:t>
            </w:r>
            <w:r w:rsidRPr="0068666F">
              <w:rPr>
                <w:rFonts w:ascii="Times New Roman" w:hAnsi="Times New Roman" w:cs="Times New Roman"/>
                <w:bCs/>
                <w:sz w:val="16"/>
                <w:szCs w:val="16"/>
              </w:rPr>
              <w:t xml:space="preserve"> – zakup ubezpieczenia</w:t>
            </w:r>
          </w:p>
        </w:tc>
        <w:tc>
          <w:tcPr>
            <w:tcW w:w="950" w:type="pct"/>
          </w:tcPr>
          <w:p w14:paraId="003BDA60"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wiek rolnika,</w:t>
            </w:r>
          </w:p>
          <w:p w14:paraId="13353E2A"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powierzchnia użytków rolnych, </w:t>
            </w:r>
          </w:p>
          <w:p w14:paraId="7C9E87F4"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rodzaj działalności rolniczej, </w:t>
            </w:r>
          </w:p>
          <w:p w14:paraId="68D29AC6"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płeć, </w:t>
            </w:r>
          </w:p>
          <w:p w14:paraId="72888900"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liczba lat na stanowisku kierowniczym,</w:t>
            </w:r>
          </w:p>
          <w:p w14:paraId="7AFCB47D"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wykształcenie rolnika, </w:t>
            </w:r>
          </w:p>
          <w:p w14:paraId="4BA52A67"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sadownicy, </w:t>
            </w:r>
          </w:p>
          <w:p w14:paraId="1A588929"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nieufność do firm ubezpieczeniowych, </w:t>
            </w:r>
          </w:p>
          <w:p w14:paraId="5192B845"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określenie prawdopodobieństwa, że w skali całej działalności wystąpi strata równa lub większa niż 20% średniej rocznej produkcji, </w:t>
            </w:r>
          </w:p>
          <w:p w14:paraId="04B408C2"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osoby aktywnie uczestniczące w zarządzaniu ryzykiem w gospodarstwie,</w:t>
            </w:r>
          </w:p>
          <w:p w14:paraId="09C0BE37" w14:textId="77777777" w:rsidR="0068666F" w:rsidRPr="0068666F" w:rsidRDefault="0068666F" w:rsidP="0068666F">
            <w:pPr>
              <w:tabs>
                <w:tab w:val="left" w:pos="1419"/>
              </w:tabs>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wykorzystanie innych poza ubezpieczeniem narzędzi zarządzania ryzykiem</w:t>
            </w:r>
            <w:r w:rsidRPr="0068666F">
              <w:rPr>
                <w:rFonts w:ascii="Times New Roman" w:hAnsi="Times New Roman" w:cs="Times New Roman"/>
                <w:sz w:val="16"/>
                <w:szCs w:val="16"/>
              </w:rPr>
              <w:t xml:space="preserve">, </w:t>
            </w:r>
          </w:p>
          <w:p w14:paraId="424DFF40" w14:textId="77777777" w:rsidR="0068666F" w:rsidRPr="0068666F" w:rsidRDefault="0068666F" w:rsidP="0068666F">
            <w:pPr>
              <w:tabs>
                <w:tab w:val="left" w:pos="1419"/>
              </w:tabs>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subiektywna opinia rolników w zakresie zarządzania ryzykiem, </w:t>
            </w:r>
          </w:p>
          <w:p w14:paraId="454607BA" w14:textId="77777777" w:rsidR="0068666F" w:rsidRPr="0068666F" w:rsidRDefault="0068666F" w:rsidP="0068666F">
            <w:pPr>
              <w:tabs>
                <w:tab w:val="left" w:pos="1419"/>
              </w:tabs>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motywy zakupu ubezpieczenia</w:t>
            </w:r>
          </w:p>
          <w:p w14:paraId="2AA33D5E" w14:textId="77777777" w:rsidR="0068666F" w:rsidRPr="0068666F" w:rsidRDefault="0068666F" w:rsidP="0068666F">
            <w:pPr>
              <w:tabs>
                <w:tab w:val="left" w:pos="1419"/>
              </w:tabs>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wysokość składki,</w:t>
            </w:r>
          </w:p>
          <w:p w14:paraId="53760DF9" w14:textId="77777777" w:rsidR="0068666F" w:rsidRPr="0068666F" w:rsidRDefault="0068666F" w:rsidP="0068666F">
            <w:pPr>
              <w:tabs>
                <w:tab w:val="left" w:pos="1419"/>
              </w:tabs>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ryzyko zarządzane zgodnie z formalną strategią firmy.</w:t>
            </w:r>
          </w:p>
        </w:tc>
        <w:tc>
          <w:tcPr>
            <w:tcW w:w="1280" w:type="pct"/>
          </w:tcPr>
          <w:p w14:paraId="7302E697"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powierzchnia użytków rolnych, (+),</w:t>
            </w:r>
          </w:p>
          <w:p w14:paraId="51552697"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nieufność do firm ubezpieczeniowych, (-),</w:t>
            </w:r>
          </w:p>
          <w:p w14:paraId="4AB652E2"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określenie prawdopodobieństwa, że w skali całej działalności wystąpi strata równa lub większa niż 20% średniej rocznej produkcji, (+),</w:t>
            </w:r>
          </w:p>
          <w:p w14:paraId="4F9694BF"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wysokość składki, </w:t>
            </w:r>
            <w:r w:rsidRPr="0068666F">
              <w:rPr>
                <w:rFonts w:ascii="Times New Roman" w:hAnsi="Times New Roman" w:cs="Times New Roman"/>
                <w:sz w:val="16"/>
                <w:szCs w:val="16"/>
                <w:shd w:val="clear" w:color="auto" w:fill="FFFFFF"/>
              </w:rPr>
              <w:t>(-).</w:t>
            </w:r>
          </w:p>
          <w:p w14:paraId="5ED54BC3" w14:textId="77777777" w:rsidR="0068666F" w:rsidRPr="0068666F" w:rsidRDefault="0068666F" w:rsidP="0068666F">
            <w:pPr>
              <w:tabs>
                <w:tab w:val="left" w:pos="1419"/>
              </w:tabs>
              <w:rPr>
                <w:rFonts w:ascii="Times New Roman" w:hAnsi="Times New Roman" w:cs="Times New Roman"/>
                <w:sz w:val="16"/>
                <w:szCs w:val="16"/>
                <w:shd w:val="clear" w:color="auto" w:fill="FFFFFF"/>
              </w:rPr>
            </w:pP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37C852A7" w14:textId="77777777" w:rsidR="0068666F" w:rsidRPr="0068666F" w:rsidRDefault="0068666F" w:rsidP="0068666F">
            <w:pPr>
              <w:tabs>
                <w:tab w:val="left" w:pos="1419"/>
              </w:tabs>
              <w:rPr>
                <w:rFonts w:ascii="Times New Roman" w:hAnsi="Times New Roman" w:cs="Times New Roman"/>
                <w:sz w:val="16"/>
                <w:szCs w:val="16"/>
                <w:shd w:val="clear" w:color="auto" w:fill="FFFFFF"/>
              </w:rPr>
            </w:pPr>
          </w:p>
          <w:p w14:paraId="1B17B034" w14:textId="77777777" w:rsidR="0068666F" w:rsidRPr="0068666F" w:rsidRDefault="0068666F" w:rsidP="0068666F">
            <w:pPr>
              <w:tabs>
                <w:tab w:val="left" w:pos="1419"/>
              </w:tabs>
              <w:rPr>
                <w:rFonts w:ascii="Times New Roman" w:hAnsi="Times New Roman" w:cs="Times New Roman"/>
                <w:sz w:val="16"/>
                <w:szCs w:val="16"/>
                <w:shd w:val="clear" w:color="auto" w:fill="FFFFFF"/>
              </w:rPr>
            </w:pPr>
          </w:p>
          <w:p w14:paraId="76CF8511" w14:textId="77777777" w:rsidR="0068666F" w:rsidRPr="0068666F" w:rsidRDefault="0068666F" w:rsidP="0068666F">
            <w:pPr>
              <w:tabs>
                <w:tab w:val="left" w:pos="1419"/>
              </w:tabs>
              <w:rPr>
                <w:rFonts w:ascii="Times New Roman" w:hAnsi="Times New Roman" w:cs="Times New Roman"/>
                <w:i/>
                <w:sz w:val="16"/>
                <w:szCs w:val="16"/>
              </w:rPr>
            </w:pPr>
          </w:p>
        </w:tc>
        <w:tc>
          <w:tcPr>
            <w:tcW w:w="768" w:type="pct"/>
          </w:tcPr>
          <w:p w14:paraId="1230D6A3" w14:textId="77777777" w:rsidR="0068666F" w:rsidRPr="0068666F" w:rsidRDefault="0068666F" w:rsidP="0068666F">
            <w:pPr>
              <w:tabs>
                <w:tab w:val="left" w:pos="1419"/>
              </w:tabs>
              <w:jc w:val="center"/>
              <w:rPr>
                <w:rFonts w:ascii="Times New Roman" w:hAnsi="Times New Roman" w:cs="Times New Roman"/>
                <w:i/>
                <w:sz w:val="16"/>
                <w:szCs w:val="16"/>
              </w:rPr>
            </w:pPr>
            <w:r w:rsidRPr="0068666F">
              <w:rPr>
                <w:rFonts w:ascii="Times New Roman" w:hAnsi="Times New Roman" w:cs="Times New Roman"/>
                <w:sz w:val="16"/>
                <w:szCs w:val="16"/>
                <w:shd w:val="clear" w:color="auto" w:fill="FFFFFF"/>
              </w:rPr>
              <w:t>metoda binarnej regresji logistycznej</w:t>
            </w:r>
          </w:p>
        </w:tc>
      </w:tr>
      <w:tr w:rsidR="0068666F" w:rsidRPr="0068666F" w14:paraId="5CF079CE" w14:textId="77777777" w:rsidTr="00C32BAD">
        <w:tc>
          <w:tcPr>
            <w:tcW w:w="516" w:type="pct"/>
          </w:tcPr>
          <w:p w14:paraId="7D43A0BE"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 xml:space="preserve">Codrta i in. </w:t>
            </w:r>
            <w:r w:rsidRPr="0068666F">
              <w:rPr>
                <w:rFonts w:ascii="Times New Roman" w:eastAsia="CIDFont+F4" w:hAnsi="Times New Roman" w:cs="Times New Roman"/>
                <w:sz w:val="16"/>
                <w:szCs w:val="16"/>
              </w:rPr>
              <w:br/>
              <w:t>(2022)</w:t>
            </w:r>
          </w:p>
        </w:tc>
        <w:tc>
          <w:tcPr>
            <w:tcW w:w="648" w:type="pct"/>
          </w:tcPr>
          <w:p w14:paraId="267A8E23" w14:textId="77777777" w:rsidR="0068666F" w:rsidRPr="0068666F" w:rsidRDefault="0068666F" w:rsidP="0068666F">
            <w:pPr>
              <w:jc w:val="center"/>
              <w:rPr>
                <w:rFonts w:ascii="Times New Roman" w:hAnsi="Times New Roman" w:cs="Times New Roman"/>
                <w:bCs/>
                <w:sz w:val="16"/>
                <w:szCs w:val="16"/>
              </w:rPr>
            </w:pPr>
            <w:r w:rsidRPr="0068666F">
              <w:rPr>
                <w:rFonts w:ascii="Times New Roman" w:hAnsi="Times New Roman" w:cs="Times New Roman"/>
                <w:bCs/>
                <w:sz w:val="16"/>
                <w:szCs w:val="16"/>
              </w:rPr>
              <w:t>ubezpieczenia komercyjne</w:t>
            </w:r>
          </w:p>
        </w:tc>
        <w:tc>
          <w:tcPr>
            <w:tcW w:w="838" w:type="pct"/>
          </w:tcPr>
          <w:p w14:paraId="46ABAAF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bCs/>
                <w:i/>
                <w:sz w:val="16"/>
                <w:szCs w:val="16"/>
              </w:rPr>
              <w:t>Y</w:t>
            </w:r>
            <w:r w:rsidRPr="0068666F">
              <w:rPr>
                <w:rFonts w:ascii="Times New Roman" w:hAnsi="Times New Roman" w:cs="Times New Roman"/>
                <w:bCs/>
                <w:sz w:val="16"/>
                <w:szCs w:val="16"/>
              </w:rPr>
              <w:t xml:space="preserve"> – chęć wykupienia ubezpieczenia upraw</w:t>
            </w:r>
          </w:p>
        </w:tc>
        <w:tc>
          <w:tcPr>
            <w:tcW w:w="950" w:type="pct"/>
          </w:tcPr>
          <w:p w14:paraId="42CA5577" w14:textId="77777777" w:rsidR="0068666F" w:rsidRPr="0068666F" w:rsidRDefault="0068666F" w:rsidP="0068666F">
            <w:pPr>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typ uprawy, </w:t>
            </w:r>
          </w:p>
          <w:p w14:paraId="673D959D" w14:textId="77777777" w:rsidR="0068666F" w:rsidRPr="0068666F" w:rsidRDefault="0068666F" w:rsidP="0068666F">
            <w:pPr>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region (8 różnych oficjalnych regionów Rumunii - poziom NUTS2), </w:t>
            </w:r>
          </w:p>
          <w:p w14:paraId="40A18AA4" w14:textId="77777777" w:rsidR="0068666F" w:rsidRPr="0068666F" w:rsidRDefault="0068666F" w:rsidP="0068666F">
            <w:pPr>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obszar uprawy (w ha), </w:t>
            </w:r>
          </w:p>
          <w:p w14:paraId="105090EB" w14:textId="77777777" w:rsidR="0068666F" w:rsidRPr="0068666F" w:rsidRDefault="0068666F" w:rsidP="0068666F">
            <w:pPr>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wcześniejsze doświadczenie ze szkodami wyrządzonymi przez klęski żywiołowe, </w:t>
            </w:r>
          </w:p>
          <w:p w14:paraId="7DD44AF4" w14:textId="77777777" w:rsidR="0068666F" w:rsidRPr="0068666F" w:rsidRDefault="0068666F" w:rsidP="0068666F">
            <w:pPr>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wiek rolnika, </w:t>
            </w:r>
          </w:p>
          <w:p w14:paraId="544C6CB3" w14:textId="77777777" w:rsidR="0068666F" w:rsidRPr="0068666F" w:rsidRDefault="0068666F" w:rsidP="0068666F">
            <w:pPr>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miejsce zamieszkania, </w:t>
            </w:r>
          </w:p>
          <w:p w14:paraId="12F2E4D3" w14:textId="77777777" w:rsidR="0068666F" w:rsidRPr="0068666F" w:rsidRDefault="0068666F" w:rsidP="0068666F">
            <w:pPr>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wykształcenie rolnika, </w:t>
            </w:r>
          </w:p>
          <w:p w14:paraId="0B41254F" w14:textId="77777777" w:rsidR="0068666F" w:rsidRPr="0068666F" w:rsidRDefault="0068666F" w:rsidP="0068666F">
            <w:pPr>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stan cywilny, </w:t>
            </w:r>
          </w:p>
          <w:p w14:paraId="5D40F315" w14:textId="77777777" w:rsidR="0068666F" w:rsidRPr="0068666F" w:rsidRDefault="0068666F" w:rsidP="0068666F">
            <w:pPr>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wysokość dochodów, </w:t>
            </w:r>
          </w:p>
          <w:p w14:paraId="1FBA4CFD" w14:textId="77777777" w:rsidR="0068666F" w:rsidRPr="0068666F" w:rsidRDefault="0068666F" w:rsidP="0068666F">
            <w:pPr>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udział dochodów z działalności rolniczej w dochodach ogółem, </w:t>
            </w:r>
          </w:p>
          <w:p w14:paraId="49285004" w14:textId="77777777" w:rsidR="0068666F" w:rsidRPr="0068666F" w:rsidRDefault="0068666F" w:rsidP="0068666F">
            <w:pPr>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 xml:space="preserve">atrybuty ubezpieczeń specyficzny dla rolnika: doświadczenie i zaufanie do firm ubezpieczeniowych; wiedza na temat ubezpieczeń rolnych, </w:t>
            </w:r>
          </w:p>
          <w:p w14:paraId="2A92759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atrybuty rolnika – awersja do ryzyka: postrzeganie ryzyka utraty plonów; postrzeganie stosunku wartości całkowitej składki do wielkości ryzyka; postrzegane ryzyko różnych działań; podejmowanie ryzykownych zachowań.</w:t>
            </w:r>
          </w:p>
        </w:tc>
        <w:tc>
          <w:tcPr>
            <w:tcW w:w="1280" w:type="pct"/>
          </w:tcPr>
          <w:p w14:paraId="4FB59D95" w14:textId="77777777" w:rsidR="0068666F" w:rsidRPr="0068666F" w:rsidRDefault="0068666F" w:rsidP="0068666F">
            <w:pPr>
              <w:rPr>
                <w:rFonts w:ascii="Times New Roman" w:hAnsi="Times New Roman" w:cs="Times New Roman"/>
                <w:sz w:val="16"/>
                <w:szCs w:val="16"/>
                <w:shd w:val="clear" w:color="auto" w:fill="FFFFFF"/>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atrybuty rolnika_postrzegane ryzyko różnych działań;_podejmowanie ryzykownych zachowań,</w:t>
            </w:r>
          </w:p>
          <w:p w14:paraId="056B4FC6" w14:textId="77777777" w:rsidR="0068666F" w:rsidRPr="0068666F" w:rsidRDefault="0068666F" w:rsidP="0068666F">
            <w:pPr>
              <w:rPr>
                <w:rFonts w:ascii="Times New Roman" w:hAnsi="Times New Roman" w:cs="Times New Roman"/>
                <w:sz w:val="16"/>
                <w:szCs w:val="16"/>
                <w:shd w:val="clear" w:color="auto" w:fill="FFFFFF"/>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sz w:val="16"/>
                <w:szCs w:val="16"/>
                <w:shd w:val="clear" w:color="auto" w:fill="FFFFFF"/>
              </w:rPr>
              <w:t>atrybuty ubezpieczeń specyficzny dla rolnika_wiedza na temat ubezpieczeń rolnych.</w:t>
            </w:r>
          </w:p>
          <w:p w14:paraId="00E00EF7" w14:textId="77777777" w:rsidR="0068666F" w:rsidRPr="0068666F" w:rsidRDefault="0068666F" w:rsidP="0068666F">
            <w:pPr>
              <w:rPr>
                <w:rFonts w:ascii="Times New Roman" w:hAnsi="Times New Roman" w:cs="Times New Roman"/>
                <w:sz w:val="16"/>
                <w:szCs w:val="16"/>
              </w:rPr>
            </w:pPr>
          </w:p>
        </w:tc>
        <w:tc>
          <w:tcPr>
            <w:tcW w:w="768" w:type="pct"/>
          </w:tcPr>
          <w:p w14:paraId="2EAAB767" w14:textId="77777777" w:rsidR="0068666F" w:rsidRPr="0068666F" w:rsidRDefault="0068666F" w:rsidP="0068666F">
            <w:pPr>
              <w:jc w:val="center"/>
              <w:rPr>
                <w:rFonts w:ascii="Times New Roman" w:hAnsi="Times New Roman" w:cs="Times New Roman"/>
                <w:color w:val="222222"/>
                <w:sz w:val="16"/>
                <w:szCs w:val="16"/>
                <w:shd w:val="clear" w:color="auto" w:fill="FFFFFF"/>
              </w:rPr>
            </w:pPr>
            <w:r w:rsidRPr="0068666F">
              <w:rPr>
                <w:rFonts w:ascii="Times New Roman" w:hAnsi="Times New Roman" w:cs="Times New Roman"/>
                <w:color w:val="222222"/>
                <w:sz w:val="16"/>
                <w:szCs w:val="16"/>
                <w:shd w:val="clear" w:color="auto" w:fill="FFFFFF"/>
              </w:rPr>
              <w:t>modele uczenia maszynowego –algorytmy modelowania:</w:t>
            </w:r>
          </w:p>
          <w:p w14:paraId="664AC18F"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color w:val="222222"/>
                <w:sz w:val="16"/>
                <w:szCs w:val="16"/>
                <w:shd w:val="clear" w:color="auto" w:fill="FFFFFF"/>
              </w:rPr>
              <w:t>lnia bazowa, regresja logistyczna (LR), klasyfikator drzewa decyzyjnego (DT), klasyfikator lasu losowego (RFC), klasyfikator eXtreme Gradient Boosting (XGB), klasyfikator liniowych wektorów nośnych (SVC); klasyfikator perceptronu wielowarstwowego (MLP)</w:t>
            </w:r>
          </w:p>
        </w:tc>
      </w:tr>
      <w:tr w:rsidR="0068666F" w:rsidRPr="0068666F" w14:paraId="74171C87" w14:textId="77777777" w:rsidTr="00C32BAD">
        <w:tc>
          <w:tcPr>
            <w:tcW w:w="516" w:type="pct"/>
          </w:tcPr>
          <w:p w14:paraId="107DB6BF"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 xml:space="preserve">Stojanović i in. </w:t>
            </w:r>
            <w:r w:rsidRPr="0068666F">
              <w:rPr>
                <w:rFonts w:ascii="Times New Roman" w:eastAsia="CIDFont+F4" w:hAnsi="Times New Roman" w:cs="Times New Roman"/>
                <w:sz w:val="16"/>
                <w:szCs w:val="16"/>
              </w:rPr>
              <w:br/>
              <w:t>(2019)</w:t>
            </w:r>
          </w:p>
        </w:tc>
        <w:tc>
          <w:tcPr>
            <w:tcW w:w="648" w:type="pct"/>
          </w:tcPr>
          <w:p w14:paraId="41D867DF" w14:textId="77777777" w:rsidR="0068666F" w:rsidRPr="0068666F" w:rsidRDefault="0068666F" w:rsidP="0068666F">
            <w:pPr>
              <w:jc w:val="center"/>
              <w:rPr>
                <w:rFonts w:ascii="Times New Roman" w:hAnsi="Times New Roman" w:cs="Times New Roman"/>
                <w:bCs/>
                <w:i/>
                <w:sz w:val="16"/>
                <w:szCs w:val="16"/>
              </w:rPr>
            </w:pPr>
            <w:r w:rsidRPr="0068666F">
              <w:rPr>
                <w:rFonts w:ascii="Times New Roman" w:hAnsi="Times New Roman" w:cs="Times New Roman"/>
                <w:bCs/>
                <w:sz w:val="16"/>
                <w:szCs w:val="16"/>
              </w:rPr>
              <w:t>ubezpieczenie subsydiowane</w:t>
            </w:r>
          </w:p>
        </w:tc>
        <w:tc>
          <w:tcPr>
            <w:tcW w:w="838" w:type="pct"/>
          </w:tcPr>
          <w:p w14:paraId="2615AF7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i/>
                <w:sz w:val="16"/>
                <w:szCs w:val="16"/>
              </w:rPr>
              <w:t>Y</w:t>
            </w:r>
            <w:r w:rsidRPr="0068666F">
              <w:rPr>
                <w:rFonts w:ascii="Times New Roman" w:hAnsi="Times New Roman" w:cs="Times New Roman"/>
                <w:bCs/>
                <w:i/>
                <w:sz w:val="16"/>
                <w:szCs w:val="16"/>
                <w:vertAlign w:val="subscript"/>
              </w:rPr>
              <w:t>1</w:t>
            </w:r>
            <w:r w:rsidRPr="0068666F">
              <w:rPr>
                <w:rFonts w:ascii="Times New Roman" w:hAnsi="Times New Roman" w:cs="Times New Roman"/>
                <w:bCs/>
                <w:sz w:val="16"/>
                <w:szCs w:val="16"/>
              </w:rPr>
              <w:t xml:space="preserve"> - prawdopodobieństwo zakupu ubezpieczenia plonów</w:t>
            </w:r>
            <w:r w:rsidRPr="0068666F">
              <w:rPr>
                <w:rFonts w:ascii="Times New Roman" w:hAnsi="Times New Roman" w:cs="Times New Roman"/>
                <w:bCs/>
                <w:i/>
                <w:sz w:val="16"/>
                <w:szCs w:val="16"/>
              </w:rPr>
              <w:t xml:space="preserve"> </w:t>
            </w:r>
            <w:r w:rsidRPr="0068666F">
              <w:rPr>
                <w:rFonts w:ascii="Times New Roman" w:hAnsi="Times New Roman" w:cs="Times New Roman"/>
                <w:bCs/>
                <w:sz w:val="16"/>
                <w:szCs w:val="16"/>
              </w:rPr>
              <w:t>w ciągu najbliższych 5 lat</w:t>
            </w:r>
          </w:p>
          <w:p w14:paraId="28F9B084" w14:textId="77777777" w:rsidR="0068666F" w:rsidRPr="0068666F" w:rsidRDefault="0068666F" w:rsidP="0068666F">
            <w:pPr>
              <w:rPr>
                <w:rFonts w:ascii="Times New Roman" w:hAnsi="Times New Roman" w:cs="Times New Roman"/>
                <w:bCs/>
                <w:i/>
                <w:sz w:val="16"/>
                <w:szCs w:val="16"/>
              </w:rPr>
            </w:pPr>
          </w:p>
          <w:p w14:paraId="0DF57F97"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bCs/>
                <w:i/>
                <w:sz w:val="16"/>
                <w:szCs w:val="16"/>
              </w:rPr>
              <w:t>Y</w:t>
            </w:r>
            <w:r w:rsidRPr="0068666F">
              <w:rPr>
                <w:rFonts w:ascii="Times New Roman" w:hAnsi="Times New Roman" w:cs="Times New Roman"/>
                <w:bCs/>
                <w:i/>
                <w:sz w:val="16"/>
                <w:szCs w:val="16"/>
                <w:vertAlign w:val="subscript"/>
              </w:rPr>
              <w:t>2</w:t>
            </w:r>
            <w:r w:rsidRPr="0068666F">
              <w:rPr>
                <w:rFonts w:ascii="Times New Roman" w:hAnsi="Times New Roman" w:cs="Times New Roman"/>
                <w:bCs/>
                <w:sz w:val="16"/>
                <w:szCs w:val="16"/>
              </w:rPr>
              <w:t xml:space="preserve"> - prawdopodobieństwo zakupu ubezpieczenia dochodów w ciągu najbliższych 5 lat</w:t>
            </w:r>
          </w:p>
        </w:tc>
        <w:tc>
          <w:tcPr>
            <w:tcW w:w="950" w:type="pct"/>
          </w:tcPr>
          <w:p w14:paraId="1E2C69D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w:t>
            </w:r>
            <w:r w:rsidRPr="0068666F">
              <w:rPr>
                <w:rFonts w:ascii="Times New Roman" w:hAnsi="Times New Roman" w:cs="Times New Roman"/>
                <w:sz w:val="16"/>
                <w:szCs w:val="16"/>
                <w:shd w:val="clear" w:color="auto" w:fill="FFFFFF"/>
              </w:rPr>
              <w:t>rolnika</w:t>
            </w:r>
            <w:r w:rsidRPr="0068666F">
              <w:rPr>
                <w:rFonts w:ascii="Times New Roman" w:hAnsi="Times New Roman" w:cs="Times New Roman"/>
                <w:bCs/>
                <w:sz w:val="16"/>
                <w:szCs w:val="16"/>
              </w:rPr>
              <w:t xml:space="preserve">, </w:t>
            </w:r>
          </w:p>
          <w:p w14:paraId="28E560D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płeć, </w:t>
            </w:r>
          </w:p>
          <w:p w14:paraId="02C08B4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wykształcenie </w:t>
            </w:r>
            <w:r w:rsidRPr="0068666F">
              <w:rPr>
                <w:rFonts w:ascii="Times New Roman" w:hAnsi="Times New Roman" w:cs="Times New Roman"/>
                <w:sz w:val="16"/>
                <w:szCs w:val="16"/>
                <w:shd w:val="clear" w:color="auto" w:fill="FFFFFF"/>
              </w:rPr>
              <w:t>rolnika</w:t>
            </w:r>
            <w:r w:rsidRPr="0068666F">
              <w:rPr>
                <w:rFonts w:ascii="Times New Roman" w:hAnsi="Times New Roman" w:cs="Times New Roman"/>
                <w:bCs/>
                <w:sz w:val="16"/>
                <w:szCs w:val="16"/>
              </w:rPr>
              <w:t xml:space="preserve">, </w:t>
            </w:r>
          </w:p>
          <w:p w14:paraId="2FAC93C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specjalne kwalifikacje rolnicze </w:t>
            </w:r>
            <w:r w:rsidRPr="0068666F">
              <w:rPr>
                <w:rFonts w:ascii="Times New Roman" w:hAnsi="Times New Roman" w:cs="Times New Roman"/>
                <w:sz w:val="16"/>
                <w:szCs w:val="16"/>
                <w:shd w:val="clear" w:color="auto" w:fill="FFFFFF"/>
              </w:rPr>
              <w:t>rolnika</w:t>
            </w:r>
            <w:r w:rsidRPr="0068666F">
              <w:rPr>
                <w:rFonts w:ascii="Times New Roman" w:hAnsi="Times New Roman" w:cs="Times New Roman"/>
                <w:bCs/>
                <w:sz w:val="16"/>
                <w:szCs w:val="16"/>
              </w:rPr>
              <w:t xml:space="preserve">, </w:t>
            </w:r>
          </w:p>
          <w:p w14:paraId="0AAD7FA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planowanie dywersyfikacji w najbliższych 5-ciu latach, </w:t>
            </w:r>
          </w:p>
          <w:p w14:paraId="3D07E68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gruntów, </w:t>
            </w:r>
          </w:p>
          <w:p w14:paraId="73241C0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dochód rolnika w ostatnim zakończonym roku, </w:t>
            </w:r>
          </w:p>
          <w:p w14:paraId="4B5498A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w:t>
            </w:r>
            <w:r w:rsidRPr="0068666F">
              <w:rPr>
                <w:rFonts w:ascii="Times New Roman" w:hAnsi="Times New Roman" w:cs="Times New Roman"/>
                <w:bCs/>
                <w:sz w:val="16"/>
                <w:szCs w:val="16"/>
              </w:rPr>
              <w:t xml:space="preserve"> postrzeganie ryzyka plonów, </w:t>
            </w:r>
          </w:p>
          <w:p w14:paraId="0771239A"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postrzeganie ryzyka cen rynkowych. </w:t>
            </w:r>
          </w:p>
        </w:tc>
        <w:tc>
          <w:tcPr>
            <w:tcW w:w="1280" w:type="pct"/>
          </w:tcPr>
          <w:p w14:paraId="1A6F71C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Czynniki determinujące prawdopodobieństwo zakupu ubezpieczenia plonów</w:t>
            </w:r>
            <w:r w:rsidRPr="0068666F">
              <w:rPr>
                <w:rFonts w:ascii="Times New Roman" w:hAnsi="Times New Roman" w:cs="Times New Roman"/>
                <w:bCs/>
                <w:i/>
                <w:sz w:val="16"/>
                <w:szCs w:val="16"/>
              </w:rPr>
              <w:t xml:space="preserve"> </w:t>
            </w:r>
            <w:r w:rsidRPr="0068666F">
              <w:rPr>
                <w:rFonts w:ascii="Times New Roman" w:hAnsi="Times New Roman" w:cs="Times New Roman"/>
                <w:bCs/>
                <w:sz w:val="16"/>
                <w:szCs w:val="16"/>
              </w:rPr>
              <w:t>w ciągu najbliższych 5 lat:</w:t>
            </w:r>
          </w:p>
          <w:p w14:paraId="406BFCC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w:t>
            </w:r>
            <w:r w:rsidRPr="0068666F">
              <w:rPr>
                <w:rFonts w:ascii="Times New Roman" w:hAnsi="Times New Roman" w:cs="Times New Roman"/>
                <w:sz w:val="16"/>
                <w:szCs w:val="16"/>
                <w:shd w:val="clear" w:color="auto" w:fill="FFFFFF"/>
              </w:rPr>
              <w:t>rolnika_&gt;65</w:t>
            </w:r>
            <w:r w:rsidRPr="0068666F">
              <w:rPr>
                <w:rFonts w:ascii="Times New Roman" w:hAnsi="Times New Roman" w:cs="Times New Roman"/>
                <w:bCs/>
                <w:sz w:val="16"/>
                <w:szCs w:val="16"/>
              </w:rPr>
              <w:t xml:space="preserve">,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09CCA42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gruntów,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0AC2217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dochód rolnika w ostatnim zakończonym roku,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5489CB8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postrzeganie ryzyka cen rynkowych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r w:rsidRPr="0068666F">
              <w:rPr>
                <w:rFonts w:ascii="Times New Roman" w:hAnsi="Times New Roman" w:cs="Times New Roman"/>
                <w:bCs/>
                <w:sz w:val="16"/>
                <w:szCs w:val="16"/>
              </w:rPr>
              <w:t>.</w:t>
            </w:r>
          </w:p>
          <w:p w14:paraId="455123CD" w14:textId="77777777" w:rsidR="0068666F" w:rsidRPr="0068666F" w:rsidRDefault="0068666F" w:rsidP="0068666F">
            <w:pPr>
              <w:rPr>
                <w:rFonts w:ascii="Times New Roman" w:hAnsi="Times New Roman" w:cs="Times New Roman"/>
                <w:bCs/>
                <w:sz w:val="16"/>
                <w:szCs w:val="16"/>
              </w:rPr>
            </w:pPr>
          </w:p>
          <w:p w14:paraId="54D746B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Czynniki determinujące prawdopodobieństwo zakupu ubezpieczenia dochodów</w:t>
            </w:r>
            <w:r w:rsidRPr="0068666F">
              <w:rPr>
                <w:rFonts w:ascii="Times New Roman" w:hAnsi="Times New Roman" w:cs="Times New Roman"/>
                <w:bCs/>
                <w:i/>
                <w:sz w:val="16"/>
                <w:szCs w:val="16"/>
              </w:rPr>
              <w:t xml:space="preserve"> </w:t>
            </w:r>
            <w:r w:rsidRPr="0068666F">
              <w:rPr>
                <w:rFonts w:ascii="Times New Roman" w:hAnsi="Times New Roman" w:cs="Times New Roman"/>
                <w:bCs/>
                <w:sz w:val="16"/>
                <w:szCs w:val="16"/>
              </w:rPr>
              <w:t>w ciągu najbliższych 5 lat:</w:t>
            </w:r>
          </w:p>
          <w:p w14:paraId="61BFB84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w:t>
            </w:r>
            <w:r w:rsidRPr="0068666F">
              <w:rPr>
                <w:rFonts w:ascii="Times New Roman" w:hAnsi="Times New Roman" w:cs="Times New Roman"/>
                <w:sz w:val="16"/>
                <w:szCs w:val="16"/>
                <w:shd w:val="clear" w:color="auto" w:fill="FFFFFF"/>
              </w:rPr>
              <w:t>rolnika_&gt;65</w:t>
            </w:r>
            <w:r w:rsidRPr="0068666F">
              <w:rPr>
                <w:rFonts w:ascii="Times New Roman" w:hAnsi="Times New Roman" w:cs="Times New Roman"/>
                <w:bCs/>
                <w:sz w:val="16"/>
                <w:szCs w:val="16"/>
              </w:rPr>
              <w:t xml:space="preserve">,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130CB28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gruntów,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69293310"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dochód rolnika w ostatnim zakończonym roku,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6C98E71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w:t>
            </w:r>
            <w:r w:rsidRPr="0068666F">
              <w:rPr>
                <w:rFonts w:ascii="Times New Roman" w:hAnsi="Times New Roman" w:cs="Times New Roman"/>
                <w:bCs/>
                <w:sz w:val="16"/>
                <w:szCs w:val="16"/>
              </w:rPr>
              <w:t xml:space="preserve"> postrzeganie ryzyka plonów,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r w:rsidRPr="0068666F">
              <w:rPr>
                <w:rFonts w:ascii="Times New Roman" w:hAnsi="Times New Roman" w:cs="Times New Roman"/>
                <w:bCs/>
                <w:sz w:val="16"/>
                <w:szCs w:val="16"/>
              </w:rPr>
              <w:t>,</w:t>
            </w:r>
          </w:p>
          <w:p w14:paraId="40E66E5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postrzeganie ryzyka cen rynkowych </w:t>
            </w:r>
            <w:r w:rsidRPr="0068666F">
              <w:rPr>
                <w:rFonts w:ascii="Times New Roman" w:hAnsi="Times New Roman" w:cs="Times New Roman"/>
                <w:sz w:val="16"/>
                <w:szCs w:val="16"/>
              </w:rPr>
              <w:t xml:space="preserve">(+) (***p </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r w:rsidRPr="0068666F">
              <w:rPr>
                <w:rFonts w:ascii="Times New Roman" w:hAnsi="Times New Roman" w:cs="Times New Roman"/>
                <w:bCs/>
                <w:sz w:val="16"/>
                <w:szCs w:val="16"/>
              </w:rPr>
              <w:t>.</w:t>
            </w:r>
          </w:p>
        </w:tc>
        <w:tc>
          <w:tcPr>
            <w:tcW w:w="768" w:type="pct"/>
          </w:tcPr>
          <w:p w14:paraId="6323EBBA"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sz w:val="16"/>
                <w:szCs w:val="16"/>
              </w:rPr>
              <w:t>regresja logistyczna</w:t>
            </w:r>
          </w:p>
        </w:tc>
      </w:tr>
      <w:tr w:rsidR="0068666F" w:rsidRPr="0068666F" w14:paraId="55509476" w14:textId="77777777" w:rsidTr="00C32BAD">
        <w:tc>
          <w:tcPr>
            <w:tcW w:w="516" w:type="pct"/>
          </w:tcPr>
          <w:p w14:paraId="35AE5EB4"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 xml:space="preserve">Rawa </w:t>
            </w:r>
            <w:r w:rsidRPr="0068666F">
              <w:rPr>
                <w:rFonts w:ascii="Times New Roman" w:eastAsia="CIDFont+F4" w:hAnsi="Times New Roman" w:cs="Times New Roman"/>
                <w:sz w:val="16"/>
                <w:szCs w:val="16"/>
              </w:rPr>
              <w:br/>
              <w:t>(2023)</w:t>
            </w:r>
          </w:p>
        </w:tc>
        <w:tc>
          <w:tcPr>
            <w:tcW w:w="648" w:type="pct"/>
          </w:tcPr>
          <w:p w14:paraId="7D73FC60"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sz w:val="16"/>
                <w:szCs w:val="16"/>
              </w:rPr>
              <w:t>ubezpieczenia produkcyjne</w:t>
            </w:r>
          </w:p>
        </w:tc>
        <w:tc>
          <w:tcPr>
            <w:tcW w:w="838" w:type="pct"/>
          </w:tcPr>
          <w:p w14:paraId="65A5D8A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sz w:val="16"/>
                <w:szCs w:val="16"/>
              </w:rPr>
              <w:t xml:space="preserve"> - skłonność rolnika do zakupu ubezpieczenia</w:t>
            </w:r>
          </w:p>
        </w:tc>
        <w:tc>
          <w:tcPr>
            <w:tcW w:w="950" w:type="pct"/>
          </w:tcPr>
          <w:p w14:paraId="26762A9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sz w:val="16"/>
                <w:szCs w:val="16"/>
              </w:rPr>
              <w:t xml:space="preserve">1. Zmienne egzogeniczne, odzwierciedlające intensywność gospodarowania: </w:t>
            </w:r>
          </w:p>
          <w:p w14:paraId="1E4D5A4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dochód gospodarstwa na hektar UR w tys. zł., </w:t>
            </w:r>
          </w:p>
          <w:p w14:paraId="188CDA5E"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aktywa gospodarstwa na hektar UR w tys. zł.,</w:t>
            </w:r>
          </w:p>
          <w:p w14:paraId="6EA1FEB2"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zobowiązania gospodarstwa w relacji do pasywów (%), </w:t>
            </w:r>
          </w:p>
          <w:p w14:paraId="57B4D57E"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sz w:val="16"/>
                <w:szCs w:val="16"/>
              </w:rPr>
              <w:t xml:space="preserve">2. Zmienne, odzwierciedlające </w:t>
            </w:r>
            <w:r w:rsidRPr="0068666F">
              <w:rPr>
                <w:rFonts w:ascii="Times New Roman" w:hAnsi="Times New Roman" w:cs="Times New Roman"/>
                <w:iCs/>
                <w:sz w:val="16"/>
                <w:szCs w:val="16"/>
              </w:rPr>
              <w:t>awersję do ryzyka i per</w:t>
            </w:r>
            <w:r w:rsidRPr="0068666F">
              <w:rPr>
                <w:rFonts w:ascii="Times New Roman" w:hAnsi="Times New Roman" w:cs="Times New Roman"/>
                <w:iCs/>
                <w:sz w:val="16"/>
                <w:szCs w:val="16"/>
              </w:rPr>
              <w:softHyphen/>
              <w:t xml:space="preserve">cepcję ryzyka: </w:t>
            </w:r>
          </w:p>
          <w:p w14:paraId="4F6F3317"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ryzyko obiektywne: współ</w:t>
            </w:r>
            <w:r w:rsidRPr="0068666F">
              <w:rPr>
                <w:rFonts w:ascii="Times New Roman" w:hAnsi="Times New Roman" w:cs="Times New Roman"/>
                <w:sz w:val="16"/>
                <w:szCs w:val="16"/>
              </w:rPr>
              <w:softHyphen/>
              <w:t>czynnik zmienności plonów gospodarstwa za lata 2004–2013,</w:t>
            </w:r>
          </w:p>
          <w:p w14:paraId="7807DDE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ryzyko subiektywne: ocena rolnika co do swojej awersji do ryzyka,</w:t>
            </w:r>
            <w:r w:rsidRPr="0068666F">
              <w:rPr>
                <w:rFonts w:ascii="Times New Roman" w:hAnsi="Times New Roman" w:cs="Times New Roman"/>
                <w:sz w:val="16"/>
                <w:szCs w:val="16"/>
              </w:rPr>
              <w:br/>
              <w:t>3. Zmienne endogeniczne, odzwierciedlające</w:t>
            </w:r>
            <w:r w:rsidRPr="0068666F">
              <w:rPr>
                <w:rFonts w:ascii="Times New Roman" w:hAnsi="Times New Roman" w:cs="Times New Roman"/>
                <w:iCs/>
                <w:sz w:val="16"/>
                <w:szCs w:val="16"/>
              </w:rPr>
              <w:t xml:space="preserve"> skłonność do zakupu ubezpieczenia</w:t>
            </w:r>
            <w:r w:rsidRPr="0068666F">
              <w:rPr>
                <w:rFonts w:ascii="Times New Roman" w:hAnsi="Times New Roman" w:cs="Times New Roman"/>
                <w:sz w:val="16"/>
                <w:szCs w:val="16"/>
              </w:rPr>
              <w:t xml:space="preserve">: </w:t>
            </w:r>
          </w:p>
          <w:p w14:paraId="60D90457"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wysokość składek na ubezpieczenie produkcyjne w gospodarstwie w relacji do wartości produkcji (%),</w:t>
            </w:r>
          </w:p>
          <w:p w14:paraId="00886F9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subiektywna ocena rolni</w:t>
            </w:r>
            <w:r w:rsidRPr="0068666F">
              <w:rPr>
                <w:rFonts w:ascii="Times New Roman" w:hAnsi="Times New Roman" w:cs="Times New Roman"/>
                <w:sz w:val="16"/>
                <w:szCs w:val="16"/>
              </w:rPr>
              <w:softHyphen/>
              <w:t xml:space="preserve">ka na temat skuteczności rozwiązania, jakim jest ubezpieczenie upraw. </w:t>
            </w:r>
          </w:p>
        </w:tc>
        <w:tc>
          <w:tcPr>
            <w:tcW w:w="1280" w:type="pct"/>
          </w:tcPr>
          <w:p w14:paraId="0D2D1872"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dochód gospodarstwa na hektar UR w tys. zł., (-), </w:t>
            </w:r>
          </w:p>
          <w:p w14:paraId="160F902E"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aktywa gospodarstwa na hektar UR w tys. zł., (-),</w:t>
            </w:r>
          </w:p>
          <w:p w14:paraId="6E1AED9E"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zobowiązania gospodarstwa w relacji do pasywów (%) (-),</w:t>
            </w:r>
          </w:p>
          <w:p w14:paraId="1A1AB1B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ryzyko obiektywne: współ</w:t>
            </w:r>
            <w:r w:rsidRPr="0068666F">
              <w:rPr>
                <w:rFonts w:ascii="Times New Roman" w:hAnsi="Times New Roman" w:cs="Times New Roman"/>
                <w:sz w:val="16"/>
                <w:szCs w:val="16"/>
              </w:rPr>
              <w:softHyphen/>
              <w:t>czynnik zmienności plonów gospodarstwa za lata 2004–2013, (+),</w:t>
            </w:r>
          </w:p>
          <w:p w14:paraId="0D2147C0"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ryzyko subiektywne: ocena rolnika co do swojej awersji do ryzyka_unika ryzykownych decyzji, (+)</w:t>
            </w:r>
          </w:p>
          <w:p w14:paraId="50CA4B0B" w14:textId="77777777" w:rsidR="0068666F" w:rsidRPr="0068666F" w:rsidRDefault="0068666F" w:rsidP="0068666F">
            <w:pPr>
              <w:rPr>
                <w:rFonts w:ascii="Times New Roman" w:hAnsi="Times New Roman" w:cs="Times New Roman"/>
                <w:sz w:val="16"/>
                <w:szCs w:val="16"/>
              </w:rPr>
            </w:pPr>
          </w:p>
        </w:tc>
        <w:tc>
          <w:tcPr>
            <w:tcW w:w="768" w:type="pct"/>
          </w:tcPr>
          <w:p w14:paraId="7BADCAF8"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iCs/>
                <w:sz w:val="16"/>
                <w:szCs w:val="16"/>
              </w:rPr>
              <w:t>model równań strukturalnych</w:t>
            </w:r>
          </w:p>
        </w:tc>
      </w:tr>
      <w:tr w:rsidR="0068666F" w:rsidRPr="0068666F" w14:paraId="1BA97EE7" w14:textId="77777777" w:rsidTr="00C32BAD">
        <w:tc>
          <w:tcPr>
            <w:tcW w:w="516" w:type="pct"/>
          </w:tcPr>
          <w:p w14:paraId="0F5C6330"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Wąs i Kobus (2018)</w:t>
            </w:r>
          </w:p>
        </w:tc>
        <w:tc>
          <w:tcPr>
            <w:tcW w:w="648" w:type="pct"/>
          </w:tcPr>
          <w:p w14:paraId="6655E6A0" w14:textId="77777777" w:rsidR="0068666F" w:rsidRPr="0068666F" w:rsidRDefault="0068666F" w:rsidP="0068666F">
            <w:pPr>
              <w:jc w:val="center"/>
              <w:rPr>
                <w:rFonts w:ascii="Times New Roman" w:hAnsi="Times New Roman" w:cs="Times New Roman"/>
                <w:bCs/>
                <w:sz w:val="16"/>
                <w:szCs w:val="16"/>
              </w:rPr>
            </w:pPr>
            <w:r w:rsidRPr="0068666F">
              <w:rPr>
                <w:rFonts w:ascii="Times New Roman" w:hAnsi="Times New Roman" w:cs="Times New Roman"/>
                <w:bCs/>
                <w:sz w:val="16"/>
                <w:szCs w:val="16"/>
              </w:rPr>
              <w:t>ubezpieczenia subsydiowane</w:t>
            </w:r>
          </w:p>
        </w:tc>
        <w:tc>
          <w:tcPr>
            <w:tcW w:w="838" w:type="pct"/>
          </w:tcPr>
          <w:p w14:paraId="087D7F31"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bCs/>
                <w:i/>
                <w:sz w:val="16"/>
                <w:szCs w:val="16"/>
              </w:rPr>
              <w:t>Y</w:t>
            </w:r>
            <w:r w:rsidRPr="0068666F">
              <w:rPr>
                <w:rFonts w:ascii="Times New Roman" w:hAnsi="Times New Roman" w:cs="Times New Roman"/>
                <w:bCs/>
                <w:sz w:val="16"/>
                <w:szCs w:val="16"/>
              </w:rPr>
              <w:t>- posiadanie ubezpieczenia upraw</w:t>
            </w:r>
          </w:p>
        </w:tc>
        <w:tc>
          <w:tcPr>
            <w:tcW w:w="950" w:type="pct"/>
          </w:tcPr>
          <w:p w14:paraId="51851FF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wystąpienie znaczącego spadku plonów (&gt;40%) w latach 2004-2012, </w:t>
            </w:r>
          </w:p>
          <w:p w14:paraId="7B28242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wskaźnik jakości gleby, </w:t>
            </w:r>
          </w:p>
          <w:p w14:paraId="4E004C8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warunki pogodowe – lokalizacja w jednym z regionów FADN, </w:t>
            </w:r>
          </w:p>
          <w:p w14:paraId="7C83C46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intensywność produkcji roślinnej (wartość nakładów w tys. PLN/ha), </w:t>
            </w:r>
          </w:p>
          <w:p w14:paraId="6612B7E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wskaźnik zadłużenia gospodarstwa, </w:t>
            </w:r>
          </w:p>
          <w:p w14:paraId="7726D98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otrzymanie odszkodowania co najmniej raz w latach 2004-2012, </w:t>
            </w:r>
          </w:p>
          <w:p w14:paraId="28743FD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poziom dofinansowania działalności operacyjnej, </w:t>
            </w:r>
          </w:p>
          <w:p w14:paraId="0EC1609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dochód z gospodarstwa rolnego (tys. zł/rok),</w:t>
            </w:r>
          </w:p>
          <w:p w14:paraId="2BA339A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w:t>
            </w:r>
          </w:p>
          <w:p w14:paraId="2FE7895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poziom wykształcenia rolnika, </w:t>
            </w:r>
          </w:p>
          <w:p w14:paraId="608DC2D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doświadczenia z ubezpieczycielami, </w:t>
            </w:r>
          </w:p>
          <w:p w14:paraId="3978E7A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poziom percepcji ryzyka, </w:t>
            </w:r>
          </w:p>
          <w:p w14:paraId="6E5BF64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współczynnik absolutnej awersji do ryzyka Arrowa-Pratta,</w:t>
            </w:r>
          </w:p>
          <w:p w14:paraId="5904620D"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wielkość gospodarstwa (wartość produkcji rolnej).</w:t>
            </w:r>
          </w:p>
        </w:tc>
        <w:tc>
          <w:tcPr>
            <w:tcW w:w="1280" w:type="pct"/>
          </w:tcPr>
          <w:p w14:paraId="18327F9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Czynniki determinujące posiadanie ubezpieczenia upraw _1 gr. kwartylowa:</w:t>
            </w:r>
          </w:p>
          <w:p w14:paraId="645588C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wystąpienie znaczącego spadku plonów (&gt;40%) w latach 2004-2012,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406D8B6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warunki pogodowe – lokalizacja w jednym z regionów FADN_Mazowsze i Podlasie,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458A602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otrzymanie odszkodowania co najmniej raz w latach 2004-2012,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6896F78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dochód z gospodarstwa rolnego (tys. zł/rok),</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02A1F31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wartość produkcji rolnej,</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19F6BFE6" w14:textId="77777777" w:rsidR="0068666F" w:rsidRPr="0068666F" w:rsidRDefault="0068666F" w:rsidP="0068666F">
            <w:pPr>
              <w:rPr>
                <w:rFonts w:ascii="Times New Roman" w:hAnsi="Times New Roman" w:cs="Times New Roman"/>
                <w:bCs/>
                <w:sz w:val="16"/>
                <w:szCs w:val="16"/>
              </w:rPr>
            </w:pPr>
          </w:p>
          <w:p w14:paraId="2A2CA38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Czynniki determinujące posiadanie ubezpieczenia upraw _2 gr. kwartylowa:</w:t>
            </w:r>
          </w:p>
          <w:p w14:paraId="0D8AAC7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wystąpienie znaczącego spadku plonów (&gt;40%) w latach 2004-2012,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1C07281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wskaźnik jakości gleby,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59992862"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warunki pogodowe – lokalizacja w jednym z regionów FADN_Mazowsze i Podlasie,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 Małopolska i Pogórze,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63AF1C61"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intensywność produkcji roślinnej (wartość nakładów w tys. PLN/ha),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4FE09AD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otrzymanie odszkodowania co najmniej raz w latach 2004-2012,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76A10FA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wartość produkcji rolnej,</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1BE1986A" w14:textId="77777777" w:rsidR="0068666F" w:rsidRPr="0068666F" w:rsidRDefault="0068666F" w:rsidP="0068666F">
            <w:pPr>
              <w:rPr>
                <w:rFonts w:ascii="Times New Roman" w:hAnsi="Times New Roman" w:cs="Times New Roman"/>
                <w:bCs/>
                <w:sz w:val="16"/>
                <w:szCs w:val="16"/>
              </w:rPr>
            </w:pPr>
          </w:p>
          <w:p w14:paraId="38A0D6F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Czynniki determinujące posiadanie ubezpieczenia upraw _3 gr. kwartylowa:</w:t>
            </w:r>
          </w:p>
          <w:p w14:paraId="0D63FEB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wystąpienie znaczącego spadku plonów (&gt;40%) w latach 2004-2012,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502EF69D"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wskaźnik jakości gleby,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34B7B9DB"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warunki pogodowe – lokalizacja w jednym z regionów FADN_Mazowsze i Podlasie,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 _Małopolska i Pogórze,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0.05);_Wielkopolska i Śląsk,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 xml:space="preserve">0.05), </w:t>
            </w:r>
          </w:p>
          <w:p w14:paraId="0761D1B7"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intensywność produkcji roślinnej (wartość nakładów w tys. PLN/ha),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4EB7141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wskaźnik zadłużenia gospodarstwa,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6089F86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wartość produkcji rolnej,</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280AE5DA" w14:textId="77777777" w:rsidR="0068666F" w:rsidRPr="0068666F" w:rsidRDefault="0068666F" w:rsidP="0068666F">
            <w:pPr>
              <w:rPr>
                <w:rFonts w:ascii="Times New Roman" w:hAnsi="Times New Roman" w:cs="Times New Roman"/>
                <w:sz w:val="16"/>
                <w:szCs w:val="16"/>
              </w:rPr>
            </w:pPr>
          </w:p>
          <w:p w14:paraId="4520A7A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Czynniki determinujące posiadanie ubezpieczenia upraw _4 gr. kwartylowa:</w:t>
            </w:r>
          </w:p>
          <w:p w14:paraId="10CC61C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wystąpienie znaczącego spadku plonów (&gt;40%) w latach 2004-2012,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0BCFB3F0"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wskaźnik jakości gleby,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3A36AAD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warunki pogodowe – lokalizacja w jednym z regionów FADN_Wielkopolska i Śląsk,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5E450432"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intensywność produkcji roślinnej (wartość nakładów w tys. PLN/ha),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18BEE94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otrzymanie odszkodowania co najmniej raz w latach 2004-2012, </w:t>
            </w:r>
            <w:r w:rsidRPr="0068666F">
              <w:rPr>
                <w:rFonts w:ascii="Times New Roman" w:hAnsi="Times New Roman" w:cs="Times New Roman"/>
                <w:sz w:val="16"/>
                <w:szCs w:val="16"/>
              </w:rPr>
              <w:t>(+)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6F09017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wartość produkcji rolnej,</w:t>
            </w:r>
            <w:r w:rsidRPr="0068666F">
              <w:rPr>
                <w:rFonts w:ascii="Times New Roman" w:hAnsi="Times New Roman" w:cs="Times New Roman"/>
                <w:sz w:val="16"/>
                <w:szCs w:val="16"/>
              </w:rPr>
              <w:t xml:space="preserv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tc>
        <w:tc>
          <w:tcPr>
            <w:tcW w:w="768" w:type="pct"/>
          </w:tcPr>
          <w:p w14:paraId="478A31E8"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bCs/>
                <w:sz w:val="16"/>
                <w:szCs w:val="16"/>
              </w:rPr>
              <w:lastRenderedPageBreak/>
              <w:t>model regresji logitowej</w:t>
            </w:r>
          </w:p>
        </w:tc>
      </w:tr>
      <w:tr w:rsidR="0068666F" w:rsidRPr="0068666F" w14:paraId="39C6B29D" w14:textId="77777777" w:rsidTr="00C32BAD">
        <w:tc>
          <w:tcPr>
            <w:tcW w:w="516" w:type="pct"/>
          </w:tcPr>
          <w:p w14:paraId="507633CA"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 xml:space="preserve">Kurdyś-Kujawska </w:t>
            </w:r>
            <w:r w:rsidRPr="0068666F">
              <w:rPr>
                <w:rFonts w:ascii="Times New Roman" w:eastAsia="CIDFont+F4" w:hAnsi="Times New Roman" w:cs="Times New Roman"/>
                <w:sz w:val="16"/>
                <w:szCs w:val="16"/>
              </w:rPr>
              <w:br/>
              <w:t xml:space="preserve">i Soliwoda </w:t>
            </w:r>
            <w:r w:rsidRPr="0068666F">
              <w:rPr>
                <w:rFonts w:ascii="Times New Roman" w:eastAsia="CIDFont+F4" w:hAnsi="Times New Roman" w:cs="Times New Roman"/>
                <w:sz w:val="16"/>
                <w:szCs w:val="16"/>
              </w:rPr>
              <w:br/>
              <w:t>(2021)</w:t>
            </w:r>
          </w:p>
        </w:tc>
        <w:tc>
          <w:tcPr>
            <w:tcW w:w="648" w:type="pct"/>
          </w:tcPr>
          <w:p w14:paraId="61ADBE59"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bCs/>
                <w:sz w:val="16"/>
                <w:szCs w:val="16"/>
              </w:rPr>
              <w:t>ubezpieczenia subsydiowane</w:t>
            </w:r>
          </w:p>
        </w:tc>
        <w:tc>
          <w:tcPr>
            <w:tcW w:w="838" w:type="pct"/>
          </w:tcPr>
          <w:p w14:paraId="616C40B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sz w:val="16"/>
                <w:szCs w:val="16"/>
              </w:rPr>
              <w:t xml:space="preserve"> - posiadanie dotowanego ubezpieczenia upraw i/ lub zwierząt</w:t>
            </w:r>
          </w:p>
        </w:tc>
        <w:tc>
          <w:tcPr>
            <w:tcW w:w="950" w:type="pct"/>
          </w:tcPr>
          <w:p w14:paraId="10FC556D"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położenie gospodarstwa rolnego (według typologii regionów FADN), </w:t>
            </w:r>
          </w:p>
          <w:p w14:paraId="3B65E401"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przychody ze sprzedaży brutto, </w:t>
            </w:r>
          </w:p>
          <w:p w14:paraId="4EE8D70D"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powierzchnia użytków rolnych zgłoszonych do płatności obszarowych (w ha), </w:t>
            </w:r>
          </w:p>
          <w:p w14:paraId="558EDBA6"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typ produkcji, </w:t>
            </w:r>
          </w:p>
          <w:p w14:paraId="648D458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percepcja rolników do ubezpieczeń, </w:t>
            </w:r>
          </w:p>
          <w:p w14:paraId="1AB1E85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wdrożenie nowych technologii a postrzeganie ryzyka, </w:t>
            </w:r>
          </w:p>
          <w:p w14:paraId="362A712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znaczenie ubezpieczeń upraw i/ lub zwierząt w strategii zarządzania ryzykiem.</w:t>
            </w:r>
          </w:p>
        </w:tc>
        <w:tc>
          <w:tcPr>
            <w:tcW w:w="1280" w:type="pct"/>
          </w:tcPr>
          <w:p w14:paraId="1544879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przychody ze sprzedaży brutto, (+),</w:t>
            </w:r>
          </w:p>
          <w:p w14:paraId="01128732"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percepcja rolników do ubezpieczeń_wysokość płaconej składki odpowiada zagrożeniom, (+),</w:t>
            </w:r>
          </w:p>
          <w:p w14:paraId="3ED94CC0"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percepcja rolników do ubezpieczeń_ubezpieczają się wyłącznie rolnicy z wysokim ryzykiem, (-),</w:t>
            </w:r>
          </w:p>
          <w:p w14:paraId="3162357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znaczenie ubezpieczeń upraw i/ lub zwierząt w strategii zarządzania ryzykiem_wysokie, (+).</w:t>
            </w:r>
          </w:p>
        </w:tc>
        <w:tc>
          <w:tcPr>
            <w:tcW w:w="768" w:type="pct"/>
          </w:tcPr>
          <w:p w14:paraId="1FA93799"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bCs/>
                <w:sz w:val="16"/>
                <w:szCs w:val="16"/>
              </w:rPr>
              <w:t>model regresji logitowej</w:t>
            </w:r>
          </w:p>
        </w:tc>
      </w:tr>
      <w:tr w:rsidR="0068666F" w:rsidRPr="0068666F" w14:paraId="64151D6E" w14:textId="77777777" w:rsidTr="00C32BAD">
        <w:tc>
          <w:tcPr>
            <w:tcW w:w="516" w:type="pct"/>
          </w:tcPr>
          <w:p w14:paraId="16BEF632" w14:textId="77777777" w:rsidR="0068666F" w:rsidRPr="0068666F" w:rsidRDefault="0068666F" w:rsidP="0068666F">
            <w:pPr>
              <w:jc w:val="center"/>
              <w:rPr>
                <w:rFonts w:ascii="Times New Roman" w:hAnsi="Times New Roman" w:cs="Times New Roman"/>
                <w:sz w:val="16"/>
                <w:szCs w:val="16"/>
              </w:rPr>
            </w:pPr>
            <w:r w:rsidRPr="0068666F">
              <w:rPr>
                <w:rFonts w:ascii="Times New Roman" w:eastAsia="CIDFont+F4" w:hAnsi="Times New Roman" w:cs="Times New Roman"/>
                <w:sz w:val="16"/>
                <w:szCs w:val="16"/>
              </w:rPr>
              <w:t xml:space="preserve">Sihem </w:t>
            </w:r>
            <w:r w:rsidRPr="0068666F">
              <w:rPr>
                <w:rFonts w:ascii="Times New Roman" w:eastAsia="CIDFont+F4" w:hAnsi="Times New Roman" w:cs="Times New Roman"/>
                <w:sz w:val="16"/>
                <w:szCs w:val="16"/>
              </w:rPr>
              <w:br/>
              <w:t>(2019)</w:t>
            </w:r>
          </w:p>
        </w:tc>
        <w:tc>
          <w:tcPr>
            <w:tcW w:w="648" w:type="pct"/>
          </w:tcPr>
          <w:p w14:paraId="36F7A8BE"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bCs/>
                <w:sz w:val="16"/>
                <w:szCs w:val="16"/>
              </w:rPr>
              <w:t>ubezpieczenia subsydiowane</w:t>
            </w:r>
          </w:p>
        </w:tc>
        <w:tc>
          <w:tcPr>
            <w:tcW w:w="838" w:type="pct"/>
          </w:tcPr>
          <w:p w14:paraId="56114CED"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sz w:val="16"/>
                <w:szCs w:val="16"/>
              </w:rPr>
              <w:t xml:space="preserve"> -  planowanie zakupu ubezpieczenia</w:t>
            </w:r>
          </w:p>
        </w:tc>
        <w:tc>
          <w:tcPr>
            <w:tcW w:w="950" w:type="pct"/>
          </w:tcPr>
          <w:p w14:paraId="70C0FA02"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zmienne kulturowe,</w:t>
            </w:r>
          </w:p>
          <w:p w14:paraId="36441DBB"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poziom wykształcenia rolników, </w:t>
            </w:r>
          </w:p>
          <w:p w14:paraId="6E356446"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dopłaty do składki, </w:t>
            </w:r>
          </w:p>
          <w:p w14:paraId="1154CD5D"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powierzchnia upraw,</w:t>
            </w:r>
          </w:p>
          <w:p w14:paraId="7D572D0B"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parametry działania ubezpieczyciela - składka na ubezpieczenie rolnicze, </w:t>
            </w:r>
          </w:p>
          <w:p w14:paraId="1467EB0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parametry działania ubezpieczyciela - ryzyko plonu, </w:t>
            </w:r>
          </w:p>
          <w:p w14:paraId="71B0DC2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region.</w:t>
            </w:r>
          </w:p>
        </w:tc>
        <w:tc>
          <w:tcPr>
            <w:tcW w:w="1280" w:type="pct"/>
          </w:tcPr>
          <w:p w14:paraId="28FA0E12"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poziom wykształcenia rolników,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1BFA9CF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dopłaty do składki,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78653E3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powierzchnia upraw, (+) (***p </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5F10DFE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parametry działania ubezpieczyciela - składka na ubezpieczenie rolnicze,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256AA0F9"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region_Ameryka,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tc>
        <w:tc>
          <w:tcPr>
            <w:tcW w:w="768" w:type="pct"/>
          </w:tcPr>
          <w:p w14:paraId="06AE3432"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sz w:val="16"/>
                <w:szCs w:val="16"/>
              </w:rPr>
              <w:t>model regresji logistycznej</w:t>
            </w:r>
          </w:p>
        </w:tc>
      </w:tr>
      <w:tr w:rsidR="0068666F" w:rsidRPr="007656FE" w14:paraId="6978BBF9" w14:textId="77777777" w:rsidTr="00C32BAD">
        <w:tc>
          <w:tcPr>
            <w:tcW w:w="516" w:type="pct"/>
          </w:tcPr>
          <w:p w14:paraId="1916F8CE"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bCs/>
                <w:sz w:val="16"/>
                <w:szCs w:val="16"/>
              </w:rPr>
              <w:t xml:space="preserve">Namiotko </w:t>
            </w:r>
            <w:r w:rsidRPr="0068666F">
              <w:rPr>
                <w:rFonts w:ascii="Times New Roman" w:hAnsi="Times New Roman" w:cs="Times New Roman"/>
                <w:bCs/>
                <w:sz w:val="16"/>
                <w:szCs w:val="16"/>
              </w:rPr>
              <w:br/>
              <w:t>i in.</w:t>
            </w:r>
            <w:r w:rsidRPr="0068666F">
              <w:rPr>
                <w:rFonts w:ascii="Times New Roman" w:hAnsi="Times New Roman" w:cs="Times New Roman"/>
                <w:bCs/>
                <w:sz w:val="16"/>
                <w:szCs w:val="16"/>
              </w:rPr>
              <w:br/>
              <w:t xml:space="preserve"> (2022)</w:t>
            </w:r>
          </w:p>
        </w:tc>
        <w:tc>
          <w:tcPr>
            <w:tcW w:w="648" w:type="pct"/>
          </w:tcPr>
          <w:p w14:paraId="2153A345"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sz w:val="16"/>
                <w:szCs w:val="16"/>
              </w:rPr>
              <w:t>ubezpieczenie dotowane</w:t>
            </w:r>
          </w:p>
        </w:tc>
        <w:tc>
          <w:tcPr>
            <w:tcW w:w="838" w:type="pct"/>
          </w:tcPr>
          <w:p w14:paraId="20AB5CE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sz w:val="16"/>
                <w:szCs w:val="16"/>
              </w:rPr>
              <w:t xml:space="preserve"> -   </w:t>
            </w:r>
            <w:r w:rsidRPr="0068666F">
              <w:rPr>
                <w:rFonts w:ascii="Times New Roman" w:hAnsi="Times New Roman" w:cs="Times New Roman"/>
                <w:bCs/>
                <w:sz w:val="16"/>
                <w:szCs w:val="16"/>
              </w:rPr>
              <w:t>prawdopodobieństwo zakupu ubezpieczenia upraw</w:t>
            </w:r>
          </w:p>
        </w:tc>
        <w:tc>
          <w:tcPr>
            <w:tcW w:w="950" w:type="pct"/>
          </w:tcPr>
          <w:p w14:paraId="691773F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w:t>
            </w:r>
          </w:p>
          <w:p w14:paraId="43C89C1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aktywa gospodarstwa (w euro), </w:t>
            </w:r>
          </w:p>
          <w:p w14:paraId="0219755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nakłady pracy (w jednostkach rocznej pracy – AWU), </w:t>
            </w:r>
          </w:p>
          <w:p w14:paraId="25B6CFD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użytków rolnych (ha), </w:t>
            </w:r>
          </w:p>
          <w:p w14:paraId="71511B8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udział produkcji roślinnej w całkowitej produkcji, </w:t>
            </w:r>
          </w:p>
          <w:p w14:paraId="4F9A6E3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6</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dochody z innych źródeł (euro), </w:t>
            </w:r>
          </w:p>
          <w:p w14:paraId="7282781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wydatki inwestycyjne, </w:t>
            </w:r>
          </w:p>
          <w:p w14:paraId="1246C55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rolnictwo ekologiczne, </w:t>
            </w:r>
          </w:p>
          <w:p w14:paraId="400DFF36"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lokalizacja na obszarach mniej korzystnych.</w:t>
            </w:r>
          </w:p>
        </w:tc>
        <w:tc>
          <w:tcPr>
            <w:tcW w:w="1280" w:type="pct"/>
          </w:tcPr>
          <w:p w14:paraId="74049B9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wiek rolnika_2008,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r w:rsidRPr="0068666F">
              <w:rPr>
                <w:rFonts w:ascii="Times New Roman" w:hAnsi="Times New Roman" w:cs="Times New Roman"/>
                <w:bCs/>
                <w:sz w:val="16"/>
                <w:szCs w:val="16"/>
              </w:rPr>
              <w:t xml:space="preserve">;_ 2017,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6FD131E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aktywa gospodarstwa (w euro)_2008,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4773C96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udział produkcji roślinnej w całkowitej produkcji,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r w:rsidRPr="0068666F">
              <w:rPr>
                <w:rFonts w:ascii="Times New Roman" w:hAnsi="Times New Roman" w:cs="Times New Roman"/>
                <w:bCs/>
                <w:sz w:val="16"/>
                <w:szCs w:val="16"/>
              </w:rPr>
              <w:t xml:space="preserve"> </w:t>
            </w:r>
          </w:p>
          <w:p w14:paraId="40032D1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wydatki inwestycyjne_2008,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54E5CB0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lokalizacja na obszarach mniej korzystnych_2011;_2017,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tc>
        <w:tc>
          <w:tcPr>
            <w:tcW w:w="768" w:type="pct"/>
          </w:tcPr>
          <w:p w14:paraId="0EAADF88" w14:textId="77777777" w:rsidR="0068666F" w:rsidRPr="0068666F" w:rsidRDefault="0068666F" w:rsidP="0068666F">
            <w:pPr>
              <w:jc w:val="center"/>
              <w:rPr>
                <w:rFonts w:ascii="Times New Roman" w:hAnsi="Times New Roman" w:cs="Times New Roman"/>
                <w:sz w:val="16"/>
                <w:szCs w:val="16"/>
                <w:lang w:val="en-US"/>
              </w:rPr>
            </w:pPr>
            <w:r w:rsidRPr="0068666F">
              <w:rPr>
                <w:rFonts w:ascii="Times New Roman" w:hAnsi="Times New Roman" w:cs="Times New Roman"/>
                <w:sz w:val="16"/>
                <w:szCs w:val="16"/>
                <w:lang w:val="en-US"/>
              </w:rPr>
              <w:t>model regresji logitowej</w:t>
            </w:r>
          </w:p>
          <w:p w14:paraId="4C4E0DEB" w14:textId="77777777" w:rsidR="0068666F" w:rsidRPr="0068666F" w:rsidRDefault="0068666F" w:rsidP="0068666F">
            <w:pPr>
              <w:jc w:val="center"/>
              <w:rPr>
                <w:rFonts w:ascii="Times New Roman" w:hAnsi="Times New Roman" w:cs="Times New Roman"/>
                <w:i/>
                <w:sz w:val="16"/>
                <w:szCs w:val="16"/>
                <w:lang w:val="en-US"/>
              </w:rPr>
            </w:pPr>
            <w:r w:rsidRPr="0068666F">
              <w:rPr>
                <w:rFonts w:ascii="Times New Roman" w:hAnsi="Times New Roman" w:cs="Times New Roman"/>
                <w:bCs/>
                <w:sz w:val="16"/>
                <w:szCs w:val="16"/>
                <w:lang w:val="en-US"/>
              </w:rPr>
              <w:t>Propensity Score Matching</w:t>
            </w:r>
          </w:p>
        </w:tc>
      </w:tr>
      <w:tr w:rsidR="0068666F" w:rsidRPr="007656FE" w14:paraId="2E1A5399" w14:textId="77777777" w:rsidTr="00C32BAD">
        <w:tc>
          <w:tcPr>
            <w:tcW w:w="516" w:type="pct"/>
            <w:vMerge w:val="restart"/>
          </w:tcPr>
          <w:p w14:paraId="57D023DC"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bCs/>
                <w:sz w:val="16"/>
                <w:szCs w:val="16"/>
              </w:rPr>
              <w:t>Bezat-Jarzębowska i Herda-Kopańska (2021)</w:t>
            </w:r>
          </w:p>
        </w:tc>
        <w:tc>
          <w:tcPr>
            <w:tcW w:w="648" w:type="pct"/>
          </w:tcPr>
          <w:p w14:paraId="66FC980B" w14:textId="77777777" w:rsidR="0068666F" w:rsidRPr="0068666F" w:rsidRDefault="0068666F" w:rsidP="0068666F">
            <w:pPr>
              <w:autoSpaceDE w:val="0"/>
              <w:autoSpaceDN w:val="0"/>
              <w:adjustRightInd w:val="0"/>
              <w:jc w:val="center"/>
              <w:rPr>
                <w:rFonts w:ascii="Times New Roman" w:hAnsi="Times New Roman" w:cs="Times New Roman"/>
                <w:sz w:val="16"/>
                <w:szCs w:val="16"/>
              </w:rPr>
            </w:pPr>
            <w:r w:rsidRPr="0068666F">
              <w:rPr>
                <w:rFonts w:ascii="Times New Roman" w:hAnsi="Times New Roman" w:cs="Times New Roman"/>
                <w:sz w:val="16"/>
                <w:szCs w:val="16"/>
              </w:rPr>
              <w:t>ubezpieczenie dotowane</w:t>
            </w:r>
          </w:p>
        </w:tc>
        <w:tc>
          <w:tcPr>
            <w:tcW w:w="838" w:type="pct"/>
          </w:tcPr>
          <w:p w14:paraId="0361D822"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i/>
                <w:sz w:val="16"/>
                <w:szCs w:val="16"/>
                <w:vertAlign w:val="subscript"/>
              </w:rPr>
              <w:t>1</w:t>
            </w:r>
            <w:r w:rsidRPr="0068666F">
              <w:rPr>
                <w:rFonts w:ascii="Times New Roman" w:hAnsi="Times New Roman" w:cs="Times New Roman"/>
                <w:sz w:val="16"/>
                <w:szCs w:val="16"/>
              </w:rPr>
              <w:t xml:space="preserve"> - posiadanie ubezpieczenia</w:t>
            </w:r>
          </w:p>
        </w:tc>
        <w:tc>
          <w:tcPr>
            <w:tcW w:w="950" w:type="pct"/>
          </w:tcPr>
          <w:p w14:paraId="5BAD46AC"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produkcja ekologiczna, </w:t>
            </w:r>
          </w:p>
          <w:p w14:paraId="217D28C6"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obszary o niekorzystnych warunkach gospodarowania, </w:t>
            </w:r>
          </w:p>
          <w:p w14:paraId="59920A2C"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region Polski, </w:t>
            </w:r>
          </w:p>
          <w:p w14:paraId="529D1672"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województwo, </w:t>
            </w:r>
          </w:p>
          <w:p w14:paraId="6F72F2CC"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typ rolniczy gospodarstwa (TF14  typ. FADN),</w:t>
            </w:r>
          </w:p>
          <w:p w14:paraId="27D95EB8"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typ rolniczy gospodarstwa (TF8  typ. FADN),</w:t>
            </w:r>
          </w:p>
          <w:p w14:paraId="59136DD1"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klasa wielkości ekonomicznej gospodarstwa rolnego (ES6 typ. FADN), </w:t>
            </w:r>
          </w:p>
          <w:p w14:paraId="5968D4E0"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klasa wielkości ekonomicznej gospodarstwa rolnego (ES9 typ. FADN), </w:t>
            </w:r>
          </w:p>
          <w:p w14:paraId="25BB6912"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dotacje inwestycyjne, </w:t>
            </w:r>
          </w:p>
          <w:p w14:paraId="21BAAD42"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klasa powierzchni użytków rolnych, </w:t>
            </w:r>
          </w:p>
          <w:p w14:paraId="11958F07"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produkcja ogółem (w zł), </w:t>
            </w:r>
          </w:p>
          <w:p w14:paraId="319CAF0C"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powierzchnia użytków rolnych (w ha), </w:t>
            </w:r>
          </w:p>
          <w:p w14:paraId="62F43F57"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produkcja ogółem na 1 ha użytków rolnych </w:t>
            </w:r>
            <w:r w:rsidRPr="0068666F">
              <w:rPr>
                <w:rFonts w:ascii="Times New Roman" w:hAnsi="Times New Roman" w:cs="Times New Roman"/>
                <w:sz w:val="16"/>
                <w:szCs w:val="16"/>
              </w:rPr>
              <w:br/>
              <w:t xml:space="preserve">(w zł/ha), </w:t>
            </w:r>
          </w:p>
          <w:p w14:paraId="4F2EE098"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produkcja roślinna na 1 ha (w zł/ha), </w:t>
            </w:r>
          </w:p>
          <w:p w14:paraId="546B07F3"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wiek rolnika, </w:t>
            </w:r>
          </w:p>
          <w:p w14:paraId="291CE23A"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wykształcenie rolnika, </w:t>
            </w:r>
          </w:p>
          <w:p w14:paraId="541F8297"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dochód spoza gospodarstwa rolnego (w tys. zł), </w:t>
            </w:r>
          </w:p>
          <w:p w14:paraId="57E1CB8C"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dochód z rodzinnego gospodarstwa rolnego (w tys. zł), </w:t>
            </w:r>
          </w:p>
          <w:p w14:paraId="0C4A9AE5"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średnioroczna wartość kredytów długoterminowych (w tys. zł), </w:t>
            </w:r>
          </w:p>
          <w:p w14:paraId="2524FF49" w14:textId="77777777" w:rsidR="0068666F" w:rsidRPr="0068666F" w:rsidRDefault="0068666F" w:rsidP="0068666F">
            <w:pPr>
              <w:autoSpaceDE w:val="0"/>
              <w:autoSpaceDN w:val="0"/>
              <w:adjustRightInd w:val="0"/>
              <w:rPr>
                <w:rFonts w:ascii="Times New Roman" w:eastAsia="CIDFont+F4"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średnioroczna wartość kredytów krótkoterminowych (w tys. zł).</w:t>
            </w:r>
          </w:p>
        </w:tc>
        <w:tc>
          <w:tcPr>
            <w:tcW w:w="1280" w:type="pct"/>
          </w:tcPr>
          <w:p w14:paraId="176260EC"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produkcja ekologiczna, (-),</w:t>
            </w:r>
          </w:p>
          <w:p w14:paraId="342D0990"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region Polski_Mazowsze i Podlasie;_Małopolska i Pogorze, (-), </w:t>
            </w:r>
          </w:p>
          <w:p w14:paraId="3ED4AC42"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województwo_kujawsko-pomorskie, (+);_podkarpackie, </w:t>
            </w:r>
            <w:r w:rsidRPr="0068666F">
              <w:rPr>
                <w:rFonts w:ascii="Times New Roman" w:hAnsi="Times New Roman" w:cs="Times New Roman"/>
                <w:sz w:val="16"/>
                <w:szCs w:val="16"/>
              </w:rPr>
              <w:lastRenderedPageBreak/>
              <w:t>(+);_śląskie, (+);_warmińsko-mazurskie, (-),</w:t>
            </w:r>
          </w:p>
          <w:p w14:paraId="7FE13CBC"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typ rolniczy gospodarstwa (TF14  typ. FADN), (-),</w:t>
            </w:r>
          </w:p>
          <w:p w14:paraId="7EE3F38D"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klasa wielkości ekonomicznej gospodarstwa rolnego (ES6 typ. FADN)_małe; średnio-małe; średnio-duże; duże, (+),</w:t>
            </w:r>
          </w:p>
          <w:p w14:paraId="0A0360C9"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klasa wielkości ekonomicznej gospodarstwa rolnego (ES9 typ. FADN)_małe, (-),</w:t>
            </w:r>
          </w:p>
          <w:p w14:paraId="3EA4BC89"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sz w:val="16"/>
                <w:szCs w:val="16"/>
              </w:rPr>
              <w:t xml:space="preserve"> </w:t>
            </w: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dotacje inwestycyjne, (+),</w:t>
            </w:r>
          </w:p>
          <w:p w14:paraId="50E1B27A"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powierzchnia użytków rolnych (w ha) _bardzo duże, (+),</w:t>
            </w:r>
          </w:p>
          <w:p w14:paraId="7D88E2EF"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wiek rolnika, (+),</w:t>
            </w:r>
          </w:p>
          <w:p w14:paraId="0776EB41"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wykształcenie rolnika, </w:t>
            </w:r>
          </w:p>
          <w:p w14:paraId="782BDCF9"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dochód spoza gospodarstwa rolnego (w tys. zł), (+),</w:t>
            </w:r>
          </w:p>
          <w:p w14:paraId="45C93DC9"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średnioroczna wartość kredytów długoterminowych (w tys. zł), (+),</w:t>
            </w:r>
          </w:p>
          <w:p w14:paraId="54540F47"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średnioroczna wartość kredytów krótkoterminowych (w tys. zł), (+).</w:t>
            </w:r>
          </w:p>
          <w:p w14:paraId="37DAE6AB" w14:textId="77777777" w:rsidR="0068666F" w:rsidRPr="0068666F" w:rsidRDefault="0068666F" w:rsidP="0068666F">
            <w:pPr>
              <w:autoSpaceDE w:val="0"/>
              <w:autoSpaceDN w:val="0"/>
              <w:adjustRightInd w:val="0"/>
              <w:rPr>
                <w:rFonts w:ascii="Times New Roman" w:hAnsi="Times New Roman" w:cs="Times New Roman"/>
                <w:sz w:val="16"/>
                <w:szCs w:val="16"/>
              </w:rPr>
            </w:pPr>
          </w:p>
          <w:p w14:paraId="63CFF9B9" w14:textId="77777777" w:rsidR="0068666F" w:rsidRPr="0068666F" w:rsidRDefault="0068666F" w:rsidP="0068666F">
            <w:pPr>
              <w:autoSpaceDE w:val="0"/>
              <w:autoSpaceDN w:val="0"/>
              <w:adjustRightInd w:val="0"/>
              <w:rPr>
                <w:rFonts w:ascii="Times New Roman" w:hAnsi="Times New Roman" w:cs="Times New Roman"/>
                <w:sz w:val="16"/>
                <w:szCs w:val="16"/>
              </w:rPr>
            </w:pPr>
          </w:p>
          <w:p w14:paraId="3CAC129D" w14:textId="77777777" w:rsidR="0068666F" w:rsidRPr="0068666F" w:rsidRDefault="0068666F" w:rsidP="0068666F">
            <w:pPr>
              <w:autoSpaceDE w:val="0"/>
              <w:autoSpaceDN w:val="0"/>
              <w:adjustRightInd w:val="0"/>
              <w:rPr>
                <w:rFonts w:ascii="Times New Roman" w:hAnsi="Times New Roman" w:cs="Times New Roman"/>
                <w:sz w:val="16"/>
                <w:szCs w:val="16"/>
              </w:rPr>
            </w:pPr>
          </w:p>
          <w:p w14:paraId="3052D3CC" w14:textId="77777777" w:rsidR="0068666F" w:rsidRPr="0068666F" w:rsidRDefault="0068666F" w:rsidP="0068666F">
            <w:pPr>
              <w:autoSpaceDE w:val="0"/>
              <w:autoSpaceDN w:val="0"/>
              <w:adjustRightInd w:val="0"/>
              <w:rPr>
                <w:rFonts w:ascii="Times New Roman" w:hAnsi="Times New Roman" w:cs="Times New Roman"/>
                <w:i/>
                <w:sz w:val="16"/>
                <w:szCs w:val="16"/>
              </w:rPr>
            </w:pPr>
          </w:p>
        </w:tc>
        <w:tc>
          <w:tcPr>
            <w:tcW w:w="768" w:type="pct"/>
          </w:tcPr>
          <w:p w14:paraId="74940CE0" w14:textId="77777777" w:rsidR="0068666F" w:rsidRPr="0068666F" w:rsidRDefault="0068666F" w:rsidP="0068666F">
            <w:pPr>
              <w:autoSpaceDE w:val="0"/>
              <w:autoSpaceDN w:val="0"/>
              <w:adjustRightInd w:val="0"/>
              <w:jc w:val="center"/>
              <w:rPr>
                <w:rFonts w:ascii="Times New Roman" w:hAnsi="Times New Roman" w:cs="Times New Roman"/>
                <w:sz w:val="16"/>
                <w:szCs w:val="16"/>
                <w:lang w:val="en-US"/>
              </w:rPr>
            </w:pPr>
            <w:r w:rsidRPr="0068666F">
              <w:rPr>
                <w:rFonts w:ascii="Times New Roman" w:hAnsi="Times New Roman" w:cs="Times New Roman"/>
                <w:sz w:val="16"/>
                <w:szCs w:val="16"/>
                <w:lang w:val="en-US"/>
              </w:rPr>
              <w:lastRenderedPageBreak/>
              <w:t>model regresji logitowej</w:t>
            </w:r>
          </w:p>
          <w:p w14:paraId="6EBEF06C" w14:textId="77777777" w:rsidR="0068666F" w:rsidRPr="0068666F" w:rsidRDefault="0068666F" w:rsidP="0068666F">
            <w:pPr>
              <w:autoSpaceDE w:val="0"/>
              <w:autoSpaceDN w:val="0"/>
              <w:adjustRightInd w:val="0"/>
              <w:jc w:val="center"/>
              <w:rPr>
                <w:rFonts w:ascii="Times New Roman" w:hAnsi="Times New Roman" w:cs="Times New Roman"/>
                <w:sz w:val="16"/>
                <w:szCs w:val="16"/>
                <w:lang w:val="en-US"/>
              </w:rPr>
            </w:pPr>
            <w:r w:rsidRPr="0068666F">
              <w:rPr>
                <w:rFonts w:ascii="Times New Roman" w:hAnsi="Times New Roman" w:cs="Times New Roman"/>
                <w:bCs/>
                <w:sz w:val="16"/>
                <w:szCs w:val="16"/>
                <w:lang w:val="en-US"/>
              </w:rPr>
              <w:t>Propensity Score Matching</w:t>
            </w:r>
          </w:p>
        </w:tc>
      </w:tr>
      <w:tr w:rsidR="0068666F" w:rsidRPr="0068666F" w14:paraId="3137FE05" w14:textId="77777777" w:rsidTr="00C32BAD">
        <w:tc>
          <w:tcPr>
            <w:tcW w:w="516" w:type="pct"/>
            <w:vMerge/>
          </w:tcPr>
          <w:p w14:paraId="4305F1DE" w14:textId="77777777" w:rsidR="0068666F" w:rsidRPr="0068666F" w:rsidRDefault="0068666F" w:rsidP="0068666F">
            <w:pPr>
              <w:jc w:val="center"/>
              <w:rPr>
                <w:rFonts w:ascii="Times New Roman" w:hAnsi="Times New Roman" w:cs="Times New Roman"/>
                <w:bCs/>
                <w:sz w:val="16"/>
                <w:szCs w:val="16"/>
                <w:lang w:val="en-US"/>
              </w:rPr>
            </w:pPr>
          </w:p>
        </w:tc>
        <w:tc>
          <w:tcPr>
            <w:tcW w:w="648" w:type="pct"/>
          </w:tcPr>
          <w:p w14:paraId="561CB0F5" w14:textId="77777777" w:rsidR="0068666F" w:rsidRPr="0068666F" w:rsidRDefault="0068666F" w:rsidP="0068666F">
            <w:pPr>
              <w:autoSpaceDE w:val="0"/>
              <w:autoSpaceDN w:val="0"/>
              <w:adjustRightInd w:val="0"/>
              <w:jc w:val="center"/>
              <w:rPr>
                <w:rFonts w:ascii="Times New Roman" w:hAnsi="Times New Roman" w:cs="Times New Roman"/>
                <w:i/>
                <w:sz w:val="16"/>
                <w:szCs w:val="16"/>
                <w:lang w:val="en-US"/>
              </w:rPr>
            </w:pPr>
          </w:p>
        </w:tc>
        <w:tc>
          <w:tcPr>
            <w:tcW w:w="838" w:type="pct"/>
          </w:tcPr>
          <w:p w14:paraId="25BD82A5"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i/>
                <w:sz w:val="16"/>
                <w:szCs w:val="16"/>
                <w:vertAlign w:val="subscript"/>
              </w:rPr>
              <w:t>2</w:t>
            </w:r>
            <w:r w:rsidRPr="0068666F">
              <w:rPr>
                <w:rFonts w:ascii="Times New Roman" w:hAnsi="Times New Roman" w:cs="Times New Roman"/>
                <w:sz w:val="16"/>
                <w:szCs w:val="16"/>
              </w:rPr>
              <w:t xml:space="preserve"> - posiadanie ubezpieczenia</w:t>
            </w:r>
          </w:p>
        </w:tc>
        <w:tc>
          <w:tcPr>
            <w:tcW w:w="950" w:type="pct"/>
          </w:tcPr>
          <w:p w14:paraId="7249AD09"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region Polski,</w:t>
            </w:r>
          </w:p>
          <w:p w14:paraId="0F801BD9"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województwo, </w:t>
            </w:r>
          </w:p>
          <w:p w14:paraId="40B904C3"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typ rolniczy gospodarstwa (TF14 typ. FADN),</w:t>
            </w:r>
          </w:p>
          <w:p w14:paraId="14F877C5"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typ rolniczy gospodarstwa (TF8 typ. FADN),</w:t>
            </w:r>
          </w:p>
          <w:p w14:paraId="1B178C9F"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klasa wielkości ekonomicznej gospodarstwa rolnego (ES6 typ. FADN), </w:t>
            </w:r>
          </w:p>
          <w:p w14:paraId="717A713F"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klasa powierzchni użytków rolnych, </w:t>
            </w:r>
          </w:p>
          <w:p w14:paraId="015774A7"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produkcja ogółem (w zł), </w:t>
            </w:r>
          </w:p>
          <w:p w14:paraId="1322DA66"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powierzchnia użytków rolnych (w ha), </w:t>
            </w:r>
          </w:p>
          <w:p w14:paraId="3B214995"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produkcja ogółem na 1 ha użytków rolnych (w zł/ha), </w:t>
            </w:r>
          </w:p>
          <w:p w14:paraId="0710A5E6"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rPr>
              <w:t xml:space="preserve">- wiek rolnika, </w:t>
            </w:r>
          </w:p>
          <w:p w14:paraId="24B90C5F"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wykształcenie rolnika, </w:t>
            </w:r>
          </w:p>
          <w:p w14:paraId="6A1C6B9B"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dochód z rodzinnego gospodarstwa rolnego (w tys. zł),</w:t>
            </w:r>
          </w:p>
          <w:p w14:paraId="5F590401"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13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wystąpienie klęski żywiołowej w ciągu 5 ostatnich lat,</w:t>
            </w:r>
          </w:p>
          <w:p w14:paraId="74FB8D60"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korzystanie z pomocy finansowej z gminy w razie wystąpienia klęski żywiołowej w ciągu 5 ostatnich lat,</w:t>
            </w:r>
          </w:p>
          <w:p w14:paraId="716B951B"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korzystanie z pomocy rzeczowej z gminy w razie wystąpienia klęski żywiołowej w ciągu 5 ostatnich lat,</w:t>
            </w:r>
          </w:p>
          <w:p w14:paraId="4744291D"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korzystanie z ulgi w podatku rolnym w razie wystąpienia klęski żywiołowej w ciągu 5 ostatnich lat,</w:t>
            </w:r>
          </w:p>
          <w:p w14:paraId="1CEA2490"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korzystanie z ulgi w czynszu dzierżawnym </w:t>
            </w:r>
            <w:r w:rsidRPr="0068666F">
              <w:rPr>
                <w:rFonts w:ascii="Times New Roman" w:hAnsi="Times New Roman" w:cs="Times New Roman"/>
                <w:sz w:val="16"/>
                <w:szCs w:val="16"/>
              </w:rPr>
              <w:br/>
              <w:t>z KOWR) w razie wystąpienia klęski żywiołowej w ciągu 5 ostatnich lat,</w:t>
            </w:r>
          </w:p>
          <w:p w14:paraId="5D8978C9"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korzystanie z pomocy doraźnej państwa w ciągu 5 ostatnich lat,</w:t>
            </w:r>
          </w:p>
          <w:p w14:paraId="7DEB9401"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korzystanie z kredytu klęskowego w razie wystąpienia klęski żywiołowe w ciągu 5 ostatnich lat,</w:t>
            </w:r>
          </w:p>
          <w:p w14:paraId="5199D429"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20</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podejście rolnika do ryzyka,</w:t>
            </w:r>
          </w:p>
          <w:p w14:paraId="156D1505"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podejście rolnika do zaciągania zobowiązań kredytowych,</w:t>
            </w:r>
          </w:p>
          <w:p w14:paraId="14CC186B"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utrzymywanie rezerw gotówkowych,</w:t>
            </w:r>
          </w:p>
          <w:p w14:paraId="74D16BCD"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wdrażanie nowych technologii i odmian roślin,</w:t>
            </w:r>
          </w:p>
          <w:p w14:paraId="21219AC0"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dopuszczenie wąskiej specjalizacji w produkcji,</w:t>
            </w:r>
          </w:p>
          <w:p w14:paraId="213A7438"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planowanie wydatków.</w:t>
            </w:r>
          </w:p>
        </w:tc>
        <w:tc>
          <w:tcPr>
            <w:tcW w:w="1280" w:type="pct"/>
          </w:tcPr>
          <w:p w14:paraId="5A895239"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województwo_opolskie, (+);_wielkopolskie, (+);_łódzkie (-);_mazowieckie, (-),</w:t>
            </w:r>
          </w:p>
          <w:p w14:paraId="6124324A"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typ rolniczy gospodarstwa (TF14 typ. FADN)_uprawy ogrodnicze;_bydłomleczne;_bydło mięsne i hodowlane;_wielostronne, (-),</w:t>
            </w:r>
          </w:p>
          <w:p w14:paraId="44AA3C11"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klasa wielkości ekonomicznej gospodarstwa rolnego (ES6 typ. FADN)_średnio-małe, (+),</w:t>
            </w:r>
          </w:p>
          <w:p w14:paraId="51CF2354"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produkcja ogółem (w zł), (+),</w:t>
            </w:r>
          </w:p>
          <w:p w14:paraId="128B2E7A"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dochód z rodzinnego gospodarstwa rolnego (w tys. zł), (-),</w:t>
            </w:r>
          </w:p>
          <w:p w14:paraId="0082B373"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sz w:val="16"/>
                <w:szCs w:val="16"/>
              </w:rPr>
              <w:t xml:space="preserve"> </w:t>
            </w: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korzystanie z pomocy finansowej z gminy w razie wystąpienia klęski żywiołowej w ciągu 5 ostatnich lat, (+),</w:t>
            </w:r>
          </w:p>
          <w:p w14:paraId="312AEDF0"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23</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wdrażanie nowych technologii i odmian roślin, (+),</w:t>
            </w:r>
          </w:p>
          <w:p w14:paraId="56F6DBA4" w14:textId="77777777" w:rsidR="0068666F" w:rsidRPr="0068666F" w:rsidRDefault="0068666F" w:rsidP="0068666F">
            <w:pPr>
              <w:autoSpaceDE w:val="0"/>
              <w:autoSpaceDN w:val="0"/>
              <w:adjustRightInd w:val="0"/>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dopuszczenie wąskiej specjalizacji w produkcji, (-).</w:t>
            </w:r>
          </w:p>
          <w:p w14:paraId="5755048C" w14:textId="77777777" w:rsidR="0068666F" w:rsidRPr="0068666F" w:rsidRDefault="0068666F" w:rsidP="0068666F">
            <w:pPr>
              <w:autoSpaceDE w:val="0"/>
              <w:autoSpaceDN w:val="0"/>
              <w:adjustRightInd w:val="0"/>
              <w:rPr>
                <w:rFonts w:ascii="Times New Roman" w:hAnsi="Times New Roman" w:cs="Times New Roman"/>
                <w:sz w:val="16"/>
                <w:szCs w:val="16"/>
              </w:rPr>
            </w:pPr>
          </w:p>
          <w:p w14:paraId="739C4879" w14:textId="77777777" w:rsidR="0068666F" w:rsidRPr="0068666F" w:rsidRDefault="0068666F" w:rsidP="0068666F">
            <w:pPr>
              <w:autoSpaceDE w:val="0"/>
              <w:autoSpaceDN w:val="0"/>
              <w:adjustRightInd w:val="0"/>
              <w:rPr>
                <w:rFonts w:ascii="Times New Roman" w:hAnsi="Times New Roman" w:cs="Times New Roman"/>
                <w:sz w:val="16"/>
                <w:szCs w:val="16"/>
              </w:rPr>
            </w:pPr>
          </w:p>
          <w:p w14:paraId="4D952D16" w14:textId="77777777" w:rsidR="0068666F" w:rsidRPr="0068666F" w:rsidRDefault="0068666F" w:rsidP="0068666F">
            <w:pPr>
              <w:autoSpaceDE w:val="0"/>
              <w:autoSpaceDN w:val="0"/>
              <w:adjustRightInd w:val="0"/>
              <w:rPr>
                <w:rFonts w:ascii="Times New Roman" w:hAnsi="Times New Roman" w:cs="Times New Roman"/>
                <w:sz w:val="16"/>
                <w:szCs w:val="16"/>
              </w:rPr>
            </w:pPr>
          </w:p>
          <w:p w14:paraId="6EEF8AD1" w14:textId="77777777" w:rsidR="0068666F" w:rsidRPr="0068666F" w:rsidRDefault="0068666F" w:rsidP="0068666F">
            <w:pPr>
              <w:autoSpaceDE w:val="0"/>
              <w:autoSpaceDN w:val="0"/>
              <w:adjustRightInd w:val="0"/>
              <w:rPr>
                <w:rFonts w:ascii="Times New Roman" w:hAnsi="Times New Roman" w:cs="Times New Roman"/>
                <w:sz w:val="16"/>
                <w:szCs w:val="16"/>
              </w:rPr>
            </w:pPr>
          </w:p>
          <w:p w14:paraId="76AD6E5B" w14:textId="77777777" w:rsidR="0068666F" w:rsidRPr="0068666F" w:rsidRDefault="0068666F" w:rsidP="0068666F">
            <w:pPr>
              <w:autoSpaceDE w:val="0"/>
              <w:autoSpaceDN w:val="0"/>
              <w:adjustRightInd w:val="0"/>
              <w:rPr>
                <w:rFonts w:ascii="Times New Roman" w:hAnsi="Times New Roman" w:cs="Times New Roman"/>
                <w:i/>
                <w:sz w:val="16"/>
                <w:szCs w:val="16"/>
              </w:rPr>
            </w:pPr>
          </w:p>
        </w:tc>
        <w:tc>
          <w:tcPr>
            <w:tcW w:w="768" w:type="pct"/>
          </w:tcPr>
          <w:p w14:paraId="766F91C4" w14:textId="77777777" w:rsidR="0068666F" w:rsidRPr="0068666F" w:rsidRDefault="0068666F" w:rsidP="0068666F">
            <w:pPr>
              <w:autoSpaceDE w:val="0"/>
              <w:autoSpaceDN w:val="0"/>
              <w:adjustRightInd w:val="0"/>
              <w:jc w:val="center"/>
              <w:rPr>
                <w:rFonts w:ascii="Times New Roman" w:hAnsi="Times New Roman" w:cs="Times New Roman"/>
                <w:i/>
                <w:sz w:val="16"/>
                <w:szCs w:val="16"/>
              </w:rPr>
            </w:pPr>
          </w:p>
        </w:tc>
      </w:tr>
      <w:tr w:rsidR="0068666F" w:rsidRPr="0068666F" w14:paraId="5F224313" w14:textId="77777777" w:rsidTr="00C32BAD">
        <w:tc>
          <w:tcPr>
            <w:tcW w:w="516" w:type="pct"/>
          </w:tcPr>
          <w:p w14:paraId="4C18DC5C"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bCs/>
                <w:sz w:val="16"/>
                <w:szCs w:val="16"/>
              </w:rPr>
              <w:t xml:space="preserve">Youngiune </w:t>
            </w:r>
            <w:r w:rsidRPr="0068666F">
              <w:rPr>
                <w:rFonts w:ascii="Times New Roman" w:hAnsi="Times New Roman" w:cs="Times New Roman"/>
                <w:bCs/>
                <w:sz w:val="16"/>
                <w:szCs w:val="16"/>
              </w:rPr>
              <w:br/>
              <w:t xml:space="preserve">i in. </w:t>
            </w:r>
            <w:r w:rsidRPr="0068666F">
              <w:rPr>
                <w:rFonts w:ascii="Times New Roman" w:hAnsi="Times New Roman" w:cs="Times New Roman"/>
                <w:bCs/>
                <w:sz w:val="16"/>
                <w:szCs w:val="16"/>
              </w:rPr>
              <w:br/>
              <w:t>(2018)</w:t>
            </w:r>
          </w:p>
        </w:tc>
        <w:tc>
          <w:tcPr>
            <w:tcW w:w="648" w:type="pct"/>
          </w:tcPr>
          <w:p w14:paraId="70CA8764"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sz w:val="16"/>
                <w:szCs w:val="16"/>
              </w:rPr>
              <w:t>ubezpieczenie dotowane</w:t>
            </w:r>
          </w:p>
        </w:tc>
        <w:tc>
          <w:tcPr>
            <w:tcW w:w="838" w:type="pct"/>
          </w:tcPr>
          <w:p w14:paraId="24B8FC9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sz w:val="16"/>
                <w:szCs w:val="16"/>
              </w:rPr>
              <w:t xml:space="preserve"> - </w:t>
            </w:r>
            <w:r w:rsidRPr="0068666F">
              <w:rPr>
                <w:rFonts w:ascii="Times New Roman" w:hAnsi="Times New Roman" w:cs="Times New Roman"/>
                <w:bCs/>
                <w:sz w:val="16"/>
                <w:szCs w:val="16"/>
              </w:rPr>
              <w:t>ubezpieczenie upraw</w:t>
            </w:r>
          </w:p>
        </w:tc>
        <w:tc>
          <w:tcPr>
            <w:tcW w:w="950" w:type="pct"/>
          </w:tcPr>
          <w:p w14:paraId="67BF110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w:t>
            </w:r>
          </w:p>
          <w:p w14:paraId="27FD5A7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liczba lat prowadzonej działalności, </w:t>
            </w:r>
          </w:p>
          <w:p w14:paraId="3D854D8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stosunek nakładów pracy w produkcji roślinnej do nakładów pracy w produkcji zwierzęcej,</w:t>
            </w:r>
          </w:p>
          <w:p w14:paraId="3DFCA90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gruntów, </w:t>
            </w:r>
          </w:p>
          <w:p w14:paraId="20EE7CF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upraw, </w:t>
            </w:r>
          </w:p>
          <w:p w14:paraId="783BF0E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dochód pozarolniczy, </w:t>
            </w:r>
          </w:p>
          <w:p w14:paraId="2E94E4F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logarytm naturalny z całkowitej powierzchni upraw, </w:t>
            </w:r>
          </w:p>
          <w:p w14:paraId="211FDF79"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wskaźnik zadłużenia aktywów.</w:t>
            </w:r>
          </w:p>
        </w:tc>
        <w:tc>
          <w:tcPr>
            <w:tcW w:w="1280" w:type="pct"/>
          </w:tcPr>
          <w:p w14:paraId="5ECCEA5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Ubezpieczone w przyszłym roku:</w:t>
            </w:r>
          </w:p>
          <w:p w14:paraId="7646ED1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1A024AE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liczba lat prowadzonej działalności,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65000E3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stosunek nakładów pracy w produkcji roślinnej do nakładów pracy w produkcji zwierzęcej,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4E2EBB8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5</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upraw,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71DC4E6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Liczba lat ubezpieczenia w ciągu następnych 3 lat:</w:t>
            </w:r>
          </w:p>
          <w:p w14:paraId="2BB8C00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69AAA02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liczba lat prowadzonej działalności,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51CE13E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stosunek nakładów pracy w produkcji roślinnej do nakładów pracy w produkcji zwierzęcej,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69DED07F"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wskaźnik zadłużenia aktywów,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23F185D5" w14:textId="77777777" w:rsidR="0068666F" w:rsidRPr="0068666F" w:rsidRDefault="0068666F" w:rsidP="0068666F">
            <w:pPr>
              <w:rPr>
                <w:rFonts w:ascii="Times New Roman" w:hAnsi="Times New Roman" w:cs="Times New Roman"/>
                <w:sz w:val="16"/>
                <w:szCs w:val="16"/>
              </w:rPr>
            </w:pPr>
          </w:p>
          <w:p w14:paraId="03A8133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Liczba lat ubezpieczenia w ciągu następnych 5 lat:</w:t>
            </w:r>
          </w:p>
          <w:p w14:paraId="61F6393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3DFCCB3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liczba lat prowadzonej działalności,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260CE29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stosunek nakładów pracy w produkcji roślinnej do nakładów pracy w produkcji zwierzęcej,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tc>
        <w:tc>
          <w:tcPr>
            <w:tcW w:w="768" w:type="pct"/>
          </w:tcPr>
          <w:p w14:paraId="575D53A8" w14:textId="77777777" w:rsidR="0068666F" w:rsidRPr="0068666F" w:rsidRDefault="0068666F" w:rsidP="0068666F">
            <w:pPr>
              <w:jc w:val="center"/>
              <w:rPr>
                <w:rFonts w:ascii="Times New Roman" w:hAnsi="Times New Roman" w:cs="Times New Roman"/>
                <w:bCs/>
                <w:sz w:val="16"/>
                <w:szCs w:val="16"/>
              </w:rPr>
            </w:pPr>
            <w:r w:rsidRPr="0068666F">
              <w:rPr>
                <w:rFonts w:ascii="Times New Roman" w:hAnsi="Times New Roman" w:cs="Times New Roman"/>
                <w:bCs/>
                <w:sz w:val="16"/>
                <w:szCs w:val="16"/>
              </w:rPr>
              <w:lastRenderedPageBreak/>
              <w:t>dynamiczny model panelowy</w:t>
            </w:r>
          </w:p>
          <w:p w14:paraId="325F3298" w14:textId="77777777" w:rsidR="0068666F" w:rsidRPr="0068666F" w:rsidRDefault="0068666F" w:rsidP="0068666F">
            <w:pPr>
              <w:jc w:val="center"/>
              <w:rPr>
                <w:rFonts w:ascii="Times New Roman" w:hAnsi="Times New Roman" w:cs="Times New Roman"/>
                <w:bCs/>
                <w:sz w:val="16"/>
                <w:szCs w:val="16"/>
              </w:rPr>
            </w:pPr>
            <w:r w:rsidRPr="0068666F">
              <w:rPr>
                <w:rFonts w:ascii="Times New Roman" w:hAnsi="Times New Roman" w:cs="Times New Roman"/>
                <w:bCs/>
                <w:sz w:val="16"/>
                <w:szCs w:val="16"/>
              </w:rPr>
              <w:t>modele duration - model trwania, model nieparametryczny, krzywą przeżycia Kaplana-Meiera i model półparametryczny, model proporcjonalnego zagrożenia Coxa</w:t>
            </w:r>
          </w:p>
          <w:p w14:paraId="0924AD8A"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bCs/>
                <w:sz w:val="16"/>
                <w:szCs w:val="16"/>
              </w:rPr>
              <w:t>Propensity Score Matching</w:t>
            </w:r>
          </w:p>
        </w:tc>
      </w:tr>
      <w:tr w:rsidR="0068666F" w:rsidRPr="007656FE" w14:paraId="00AA4C07" w14:textId="77777777" w:rsidTr="00C32BAD">
        <w:tc>
          <w:tcPr>
            <w:tcW w:w="516" w:type="pct"/>
          </w:tcPr>
          <w:p w14:paraId="407415BB"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bCs/>
                <w:sz w:val="16"/>
                <w:szCs w:val="16"/>
              </w:rPr>
              <w:t>Ifft i in. (2015)</w:t>
            </w:r>
          </w:p>
        </w:tc>
        <w:tc>
          <w:tcPr>
            <w:tcW w:w="648" w:type="pct"/>
          </w:tcPr>
          <w:p w14:paraId="40727B01"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sz w:val="16"/>
                <w:szCs w:val="16"/>
              </w:rPr>
              <w:t>ubezpieczenie dotowane</w:t>
            </w:r>
          </w:p>
        </w:tc>
        <w:tc>
          <w:tcPr>
            <w:tcW w:w="838" w:type="pct"/>
          </w:tcPr>
          <w:p w14:paraId="02E5A790"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sz w:val="16"/>
                <w:szCs w:val="16"/>
              </w:rPr>
              <w:t xml:space="preserve"> - </w:t>
            </w:r>
            <w:r w:rsidRPr="0068666F">
              <w:rPr>
                <w:rFonts w:ascii="Times New Roman" w:hAnsi="Times New Roman" w:cs="Times New Roman"/>
                <w:bCs/>
                <w:sz w:val="16"/>
                <w:szCs w:val="16"/>
              </w:rPr>
              <w:t>skłonności do zakupu federalnego ubezpieczenia upraw</w:t>
            </w:r>
          </w:p>
        </w:tc>
        <w:tc>
          <w:tcPr>
            <w:tcW w:w="950" w:type="pct"/>
          </w:tcPr>
          <w:p w14:paraId="3F59FCC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gospodarstwa, </w:t>
            </w:r>
          </w:p>
          <w:p w14:paraId="7A424FD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udział gruntów ornych, </w:t>
            </w:r>
          </w:p>
          <w:p w14:paraId="5CFE69E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stosunek posiadanych do dzierżawionych gruntów, </w:t>
            </w:r>
          </w:p>
          <w:p w14:paraId="2732ECE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dochody pozarolnicze, </w:t>
            </w:r>
          </w:p>
          <w:p w14:paraId="67B68BF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wiek rolnika,</w:t>
            </w:r>
          </w:p>
          <w:p w14:paraId="61256CB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wykształcenie rolnika, </w:t>
            </w:r>
          </w:p>
          <w:p w14:paraId="73C848F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typ produkcji, </w:t>
            </w:r>
          </w:p>
          <w:p w14:paraId="65A5586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region geograficzny, </w:t>
            </w:r>
          </w:p>
          <w:p w14:paraId="133CFAFA"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wielość sprzedaży.</w:t>
            </w:r>
          </w:p>
        </w:tc>
        <w:tc>
          <w:tcPr>
            <w:tcW w:w="1280" w:type="pct"/>
          </w:tcPr>
          <w:p w14:paraId="25750BF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udział gruntów ornych,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1658864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wykształcenie rolnika,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5D2333B1"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wielość sprzedaży,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2A83037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typ produkcji_pszenica;_orzeszki ziemne,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 xml:space="preserve">0.1);_uprawy ogólne;_trzoda chlewna, </w:t>
            </w:r>
            <w:r w:rsidRPr="0068666F">
              <w:rPr>
                <w:rFonts w:ascii="Times New Roman" w:hAnsi="Times New Roman" w:cs="Times New Roman"/>
                <w:bCs/>
                <w:sz w:val="16"/>
                <w:szCs w:val="16"/>
              </w:rPr>
              <w:t xml:space="preserve">(+)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0.05);_warzywa;_szkółki i szklarnie;_bydło mięsne, (+) (***p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tc>
        <w:tc>
          <w:tcPr>
            <w:tcW w:w="768" w:type="pct"/>
          </w:tcPr>
          <w:p w14:paraId="7F28B0DC" w14:textId="77777777" w:rsidR="0068666F" w:rsidRPr="0068666F" w:rsidRDefault="0068666F" w:rsidP="0068666F">
            <w:pPr>
              <w:jc w:val="center"/>
              <w:rPr>
                <w:rFonts w:ascii="Times New Roman" w:hAnsi="Times New Roman" w:cs="Times New Roman"/>
                <w:sz w:val="16"/>
                <w:szCs w:val="16"/>
                <w:lang w:val="en-US"/>
              </w:rPr>
            </w:pPr>
            <w:r w:rsidRPr="0068666F">
              <w:rPr>
                <w:rFonts w:ascii="Times New Roman" w:hAnsi="Times New Roman" w:cs="Times New Roman"/>
                <w:sz w:val="16"/>
                <w:szCs w:val="16"/>
                <w:lang w:val="en-US"/>
              </w:rPr>
              <w:t>model regresji logitowej</w:t>
            </w:r>
          </w:p>
          <w:p w14:paraId="5715F6CF" w14:textId="77777777" w:rsidR="0068666F" w:rsidRPr="0068666F" w:rsidRDefault="0068666F" w:rsidP="0068666F">
            <w:pPr>
              <w:jc w:val="center"/>
              <w:rPr>
                <w:rFonts w:ascii="Times New Roman" w:hAnsi="Times New Roman" w:cs="Times New Roman"/>
                <w:i/>
                <w:sz w:val="16"/>
                <w:szCs w:val="16"/>
                <w:lang w:val="en-US"/>
              </w:rPr>
            </w:pPr>
            <w:r w:rsidRPr="0068666F">
              <w:rPr>
                <w:rFonts w:ascii="Times New Roman" w:hAnsi="Times New Roman" w:cs="Times New Roman"/>
                <w:bCs/>
                <w:sz w:val="16"/>
                <w:szCs w:val="16"/>
                <w:lang w:val="en-US"/>
              </w:rPr>
              <w:t>Propensity Score Matching</w:t>
            </w:r>
          </w:p>
        </w:tc>
      </w:tr>
      <w:tr w:rsidR="0068666F" w:rsidRPr="007656FE" w14:paraId="09ADB25D" w14:textId="77777777" w:rsidTr="00C32BAD">
        <w:tc>
          <w:tcPr>
            <w:tcW w:w="516" w:type="pct"/>
          </w:tcPr>
          <w:p w14:paraId="20336071"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bCs/>
                <w:sz w:val="16"/>
                <w:szCs w:val="16"/>
              </w:rPr>
              <w:t>Bao i in. (2022)</w:t>
            </w:r>
          </w:p>
        </w:tc>
        <w:tc>
          <w:tcPr>
            <w:tcW w:w="648" w:type="pct"/>
          </w:tcPr>
          <w:p w14:paraId="6E0795DB"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sz w:val="16"/>
                <w:szCs w:val="16"/>
              </w:rPr>
              <w:t>ubezpieczenie dotowane</w:t>
            </w:r>
          </w:p>
        </w:tc>
        <w:tc>
          <w:tcPr>
            <w:tcW w:w="838" w:type="pct"/>
          </w:tcPr>
          <w:p w14:paraId="340CF0DA"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sz w:val="16"/>
                <w:szCs w:val="16"/>
              </w:rPr>
              <w:t xml:space="preserve"> -  </w:t>
            </w:r>
            <w:r w:rsidRPr="0068666F">
              <w:rPr>
                <w:rFonts w:ascii="Times New Roman" w:hAnsi="Times New Roman" w:cs="Times New Roman"/>
                <w:bCs/>
                <w:sz w:val="16"/>
                <w:szCs w:val="16"/>
              </w:rPr>
              <w:t>prawdopodobieństwa zakupu ubezpieczenia</w:t>
            </w:r>
          </w:p>
        </w:tc>
        <w:tc>
          <w:tcPr>
            <w:tcW w:w="950" w:type="pct"/>
          </w:tcPr>
          <w:p w14:paraId="6F80A7D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płeć, </w:t>
            </w:r>
          </w:p>
          <w:p w14:paraId="35B402B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wiek rolnika,</w:t>
            </w:r>
          </w:p>
          <w:p w14:paraId="55D8895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wykształcenie rolnika, </w:t>
            </w:r>
          </w:p>
          <w:p w14:paraId="6F1968D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okres prowadzenia działalności rolniczej,</w:t>
            </w:r>
          </w:p>
          <w:p w14:paraId="3CD77CE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użytkowanej ziemi, </w:t>
            </w:r>
          </w:p>
          <w:p w14:paraId="31DECB4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roczny dochód pieniężny</w:t>
            </w:r>
          </w:p>
          <w:p w14:paraId="4B29798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postrzeganie ryzyka, </w:t>
            </w:r>
          </w:p>
          <w:p w14:paraId="1128DB6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świadomość zmian klimatu, </w:t>
            </w:r>
          </w:p>
          <w:p w14:paraId="67750B2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skłonność rolnika do kontynuowania działalności rolniczej, </w:t>
            </w:r>
          </w:p>
          <w:p w14:paraId="103AAF9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awersji do ryzyka, </w:t>
            </w:r>
          </w:p>
          <w:p w14:paraId="366FF3F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lokalizacji gospodarstwa rolnego,</w:t>
            </w:r>
          </w:p>
          <w:p w14:paraId="7FEE89E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własność ziemi.</w:t>
            </w:r>
          </w:p>
        </w:tc>
        <w:tc>
          <w:tcPr>
            <w:tcW w:w="1280" w:type="pct"/>
          </w:tcPr>
          <w:p w14:paraId="7D2DD1A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61D04F5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wykształcenie rolnika,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0F801FC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własność ziemi,</w:t>
            </w:r>
            <w:r w:rsidRPr="0068666F">
              <w:rPr>
                <w:rFonts w:ascii="Times New Roman" w:hAnsi="Times New Roman" w:cs="Times New Roman"/>
                <w:bCs/>
                <w:sz w:val="16"/>
                <w:szCs w:val="16"/>
              </w:rPr>
              <w:t xml:space="preserve">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414F31F0"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postrzeganie ryzyka,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163BA39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awersji do ryzyka,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08FEFAA6"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lokalizacji gospodarstwa rolnego_powiat 1,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 xml:space="preserve">0.1);_powiat 2, </w:t>
            </w:r>
            <w:r w:rsidRPr="0068666F">
              <w:rPr>
                <w:rFonts w:ascii="Times New Roman" w:hAnsi="Times New Roman" w:cs="Times New Roman"/>
                <w:bCs/>
                <w:sz w:val="16"/>
                <w:szCs w:val="16"/>
              </w:rPr>
              <w:t xml:space="preserve">(+)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38E26748" w14:textId="77777777" w:rsidR="0068666F" w:rsidRPr="0068666F" w:rsidRDefault="0068666F" w:rsidP="0068666F">
            <w:pPr>
              <w:rPr>
                <w:rFonts w:ascii="Times New Roman" w:hAnsi="Times New Roman" w:cs="Times New Roman"/>
                <w:bCs/>
                <w:sz w:val="16"/>
                <w:szCs w:val="16"/>
              </w:rPr>
            </w:pPr>
          </w:p>
          <w:p w14:paraId="60A0F8BD" w14:textId="77777777" w:rsidR="0068666F" w:rsidRPr="0068666F" w:rsidRDefault="0068666F" w:rsidP="0068666F">
            <w:pPr>
              <w:rPr>
                <w:rFonts w:ascii="Times New Roman" w:hAnsi="Times New Roman" w:cs="Times New Roman"/>
                <w:i/>
                <w:sz w:val="16"/>
                <w:szCs w:val="16"/>
              </w:rPr>
            </w:pPr>
          </w:p>
        </w:tc>
        <w:tc>
          <w:tcPr>
            <w:tcW w:w="768" w:type="pct"/>
          </w:tcPr>
          <w:p w14:paraId="1A7364B9" w14:textId="77777777" w:rsidR="0068666F" w:rsidRPr="0068666F" w:rsidRDefault="0068666F" w:rsidP="0068666F">
            <w:pPr>
              <w:jc w:val="center"/>
              <w:rPr>
                <w:rFonts w:ascii="Times New Roman" w:hAnsi="Times New Roman" w:cs="Times New Roman"/>
                <w:sz w:val="16"/>
                <w:szCs w:val="16"/>
                <w:lang w:val="en-US"/>
              </w:rPr>
            </w:pPr>
            <w:r w:rsidRPr="0068666F">
              <w:rPr>
                <w:rFonts w:ascii="Times New Roman" w:hAnsi="Times New Roman" w:cs="Times New Roman"/>
                <w:sz w:val="16"/>
                <w:szCs w:val="16"/>
                <w:lang w:val="en-US"/>
              </w:rPr>
              <w:t>model regresji logitowej</w:t>
            </w:r>
          </w:p>
          <w:p w14:paraId="57EBBC90" w14:textId="77777777" w:rsidR="0068666F" w:rsidRPr="0068666F" w:rsidRDefault="0068666F" w:rsidP="0068666F">
            <w:pPr>
              <w:jc w:val="center"/>
              <w:rPr>
                <w:rFonts w:ascii="Times New Roman" w:hAnsi="Times New Roman" w:cs="Times New Roman"/>
                <w:i/>
                <w:sz w:val="16"/>
                <w:szCs w:val="16"/>
                <w:lang w:val="en-US"/>
              </w:rPr>
            </w:pPr>
            <w:r w:rsidRPr="0068666F">
              <w:rPr>
                <w:rFonts w:ascii="Times New Roman" w:hAnsi="Times New Roman" w:cs="Times New Roman"/>
                <w:bCs/>
                <w:sz w:val="16"/>
                <w:szCs w:val="16"/>
                <w:lang w:val="en-US"/>
              </w:rPr>
              <w:t>Propensity Score Matching</w:t>
            </w:r>
          </w:p>
        </w:tc>
      </w:tr>
      <w:tr w:rsidR="0068666F" w:rsidRPr="007656FE" w14:paraId="08C0809E" w14:textId="77777777" w:rsidTr="00C32BAD">
        <w:tc>
          <w:tcPr>
            <w:tcW w:w="516" w:type="pct"/>
          </w:tcPr>
          <w:p w14:paraId="67A0494A"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sz w:val="16"/>
                <w:szCs w:val="16"/>
              </w:rPr>
              <w:t>Aditya i in. (2018)</w:t>
            </w:r>
          </w:p>
        </w:tc>
        <w:tc>
          <w:tcPr>
            <w:tcW w:w="648" w:type="pct"/>
          </w:tcPr>
          <w:p w14:paraId="0B287BDF"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sz w:val="16"/>
                <w:szCs w:val="16"/>
              </w:rPr>
              <w:t>ubezpieczenie dotowane</w:t>
            </w:r>
          </w:p>
        </w:tc>
        <w:tc>
          <w:tcPr>
            <w:tcW w:w="838" w:type="pct"/>
          </w:tcPr>
          <w:p w14:paraId="2B24C14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Y</w:t>
            </w:r>
            <w:r w:rsidRPr="0068666F">
              <w:rPr>
                <w:rFonts w:ascii="Times New Roman" w:hAnsi="Times New Roman" w:cs="Times New Roman"/>
                <w:sz w:val="16"/>
                <w:szCs w:val="16"/>
              </w:rPr>
              <w:t xml:space="preserve"> – </w:t>
            </w:r>
            <w:r w:rsidRPr="0068666F">
              <w:rPr>
                <w:rFonts w:ascii="Times New Roman" w:hAnsi="Times New Roman" w:cs="Times New Roman"/>
                <w:bCs/>
                <w:sz w:val="16"/>
                <w:szCs w:val="16"/>
              </w:rPr>
              <w:t>ubezpieczenie upraw</w:t>
            </w:r>
          </w:p>
          <w:p w14:paraId="3C177B2A" w14:textId="77777777" w:rsidR="0068666F" w:rsidRPr="0068666F" w:rsidRDefault="0068666F" w:rsidP="0068666F">
            <w:pPr>
              <w:rPr>
                <w:rFonts w:ascii="Times New Roman" w:hAnsi="Times New Roman" w:cs="Times New Roman"/>
                <w:bCs/>
                <w:sz w:val="16"/>
                <w:szCs w:val="16"/>
              </w:rPr>
            </w:pPr>
          </w:p>
          <w:p w14:paraId="6BDCC0D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Y</w:t>
            </w:r>
            <w:r w:rsidRPr="0068666F">
              <w:rPr>
                <w:rFonts w:ascii="Times New Roman" w:hAnsi="Times New Roman" w:cs="Times New Roman"/>
                <w:i/>
                <w:sz w:val="16"/>
                <w:szCs w:val="16"/>
                <w:vertAlign w:val="subscript"/>
              </w:rPr>
              <w:t>1</w:t>
            </w:r>
            <w:r w:rsidRPr="0068666F">
              <w:rPr>
                <w:rFonts w:ascii="Times New Roman" w:hAnsi="Times New Roman" w:cs="Times New Roman"/>
                <w:i/>
                <w:sz w:val="16"/>
                <w:szCs w:val="16"/>
              </w:rPr>
              <w:t xml:space="preserve"> - </w:t>
            </w:r>
            <w:r w:rsidRPr="0068666F">
              <w:rPr>
                <w:rFonts w:ascii="Times New Roman" w:hAnsi="Times New Roman" w:cs="Times New Roman"/>
                <w:bCs/>
                <w:sz w:val="16"/>
                <w:szCs w:val="16"/>
              </w:rPr>
              <w:t>ubezpieczenie upraw_brak stałych efektów regionalnych</w:t>
            </w:r>
          </w:p>
          <w:p w14:paraId="0EDED5F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Y</w:t>
            </w:r>
            <w:r w:rsidRPr="0068666F">
              <w:rPr>
                <w:rFonts w:ascii="Times New Roman" w:hAnsi="Times New Roman" w:cs="Times New Roman"/>
                <w:i/>
                <w:sz w:val="16"/>
                <w:szCs w:val="16"/>
                <w:vertAlign w:val="subscript"/>
              </w:rPr>
              <w:t>2</w:t>
            </w:r>
            <w:r w:rsidRPr="0068666F">
              <w:rPr>
                <w:rFonts w:ascii="Times New Roman" w:hAnsi="Times New Roman" w:cs="Times New Roman"/>
                <w:i/>
                <w:sz w:val="16"/>
                <w:szCs w:val="16"/>
              </w:rPr>
              <w:t xml:space="preserve"> - </w:t>
            </w:r>
            <w:r w:rsidRPr="0068666F">
              <w:rPr>
                <w:rFonts w:ascii="Times New Roman" w:hAnsi="Times New Roman" w:cs="Times New Roman"/>
                <w:bCs/>
                <w:sz w:val="16"/>
                <w:szCs w:val="16"/>
              </w:rPr>
              <w:t>ubezpieczenie upraw_stałe efekty regionalne agroklimatyczne</w:t>
            </w:r>
          </w:p>
          <w:p w14:paraId="15C43BA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Y</w:t>
            </w:r>
            <w:r w:rsidRPr="0068666F">
              <w:rPr>
                <w:rFonts w:ascii="Times New Roman" w:hAnsi="Times New Roman" w:cs="Times New Roman"/>
                <w:i/>
                <w:sz w:val="16"/>
                <w:szCs w:val="16"/>
                <w:vertAlign w:val="subscript"/>
              </w:rPr>
              <w:t>1</w:t>
            </w:r>
            <w:r w:rsidRPr="0068666F">
              <w:rPr>
                <w:rFonts w:ascii="Times New Roman" w:hAnsi="Times New Roman" w:cs="Times New Roman"/>
                <w:i/>
                <w:sz w:val="16"/>
                <w:szCs w:val="16"/>
              </w:rPr>
              <w:t xml:space="preserve"> - </w:t>
            </w:r>
            <w:r w:rsidRPr="0068666F">
              <w:rPr>
                <w:rFonts w:ascii="Times New Roman" w:hAnsi="Times New Roman" w:cs="Times New Roman"/>
                <w:bCs/>
                <w:sz w:val="16"/>
                <w:szCs w:val="16"/>
              </w:rPr>
              <w:t>ubezpieczenie upraw_stałe efekty stanowe</w:t>
            </w:r>
          </w:p>
          <w:p w14:paraId="243243DA" w14:textId="77777777" w:rsidR="0068666F" w:rsidRPr="0068666F" w:rsidRDefault="0068666F" w:rsidP="0068666F">
            <w:pPr>
              <w:rPr>
                <w:rFonts w:ascii="Times New Roman" w:hAnsi="Times New Roman" w:cs="Times New Roman"/>
                <w:bCs/>
                <w:sz w:val="16"/>
                <w:szCs w:val="16"/>
              </w:rPr>
            </w:pPr>
          </w:p>
          <w:p w14:paraId="3761BA2B" w14:textId="77777777" w:rsidR="0068666F" w:rsidRPr="0068666F" w:rsidRDefault="0068666F" w:rsidP="0068666F">
            <w:pPr>
              <w:rPr>
                <w:rFonts w:ascii="Times New Roman" w:hAnsi="Times New Roman" w:cs="Times New Roman"/>
                <w:sz w:val="16"/>
                <w:szCs w:val="16"/>
              </w:rPr>
            </w:pPr>
          </w:p>
        </w:tc>
        <w:tc>
          <w:tcPr>
            <w:tcW w:w="950" w:type="pct"/>
          </w:tcPr>
          <w:p w14:paraId="3B2FD16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płeć, </w:t>
            </w:r>
          </w:p>
          <w:p w14:paraId="3480FE5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wykształcenie rolnika, </w:t>
            </w:r>
          </w:p>
          <w:p w14:paraId="53AAF42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w:t>
            </w:r>
          </w:p>
          <w:p w14:paraId="60644E4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uczestnictwo w szkoleniach w zakresie rolnictwa, </w:t>
            </w:r>
          </w:p>
          <w:p w14:paraId="031B23A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przynależność do grupy społecznej (kasty), </w:t>
            </w:r>
          </w:p>
          <w:p w14:paraId="43328F4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wielkość gospodarstwa domowego rolnika, </w:t>
            </w:r>
          </w:p>
          <w:p w14:paraId="05B0AFE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UR, </w:t>
            </w:r>
          </w:p>
          <w:p w14:paraId="6659187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dzierżawionych gruntów, </w:t>
            </w:r>
          </w:p>
          <w:p w14:paraId="030C8E7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działalność rolnicza jako główne źródło utrzymania, </w:t>
            </w:r>
          </w:p>
          <w:p w14:paraId="13C2EB3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całkowita wartość produkcji, </w:t>
            </w:r>
          </w:p>
          <w:p w14:paraId="37C5568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doświadczenie ze stratami w uprawach, </w:t>
            </w:r>
          </w:p>
          <w:p w14:paraId="2894309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nawadnianie, </w:t>
            </w:r>
          </w:p>
          <w:p w14:paraId="5819AEC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dotacja do składek, </w:t>
            </w:r>
          </w:p>
          <w:p w14:paraId="6C530DE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niedobór opadów,</w:t>
            </w:r>
          </w:p>
          <w:p w14:paraId="4948B87F"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15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procent strat poniesionych w uprawach.</w:t>
            </w:r>
          </w:p>
        </w:tc>
        <w:tc>
          <w:tcPr>
            <w:tcW w:w="1280" w:type="pct"/>
          </w:tcPr>
          <w:p w14:paraId="05DAC3D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lastRenderedPageBreak/>
              <w:t>Czynniki determinujące posiadanie ubezpieczenia upraw _model 1:</w:t>
            </w:r>
          </w:p>
          <w:p w14:paraId="3498EC6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płeć,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69B2BDBA"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uczestnictwo w szkoleniach w zakresie rolnictwa,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09258840"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wielkość gospodarstwa domowego rolnika,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0.1),</w:t>
            </w:r>
          </w:p>
          <w:p w14:paraId="7FE8C681"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UR,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2014391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dzierżawionych gruntów,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42DF663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działalność rolnicza jako główne źródło utrzymania,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0F607E82"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doświadczenie ze stratami w uprawach,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03E1FBC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niedobór opadów,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0F83A2E9" w14:textId="77777777" w:rsidR="0068666F" w:rsidRPr="0068666F" w:rsidRDefault="0068666F" w:rsidP="0068666F">
            <w:pPr>
              <w:rPr>
                <w:rFonts w:ascii="Times New Roman" w:hAnsi="Times New Roman" w:cs="Times New Roman"/>
                <w:bCs/>
                <w:sz w:val="16"/>
                <w:szCs w:val="16"/>
              </w:rPr>
            </w:pPr>
          </w:p>
          <w:p w14:paraId="480D73E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Czynniki determinujące posiadanie ubezpieczenia upraw _model 2:</w:t>
            </w:r>
          </w:p>
          <w:p w14:paraId="4725162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wykształcenie rolnika_umiejętność pisania i czytania;_średnie,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74D0965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uczestnictwo w szkoleniach w zakresie rolnictwa,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012440DB"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UR,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66D8BC5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dzierżawionych gruntów,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23BE4AF2"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działalność rolnicza jako główne źródło utrzymania,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564DF61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całkowita wartość produkcji,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07E69179"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doświadczenie ze stratami w uprawach,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33677C8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niedobór opadów,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24209837" w14:textId="77777777" w:rsidR="0068666F" w:rsidRPr="0068666F" w:rsidRDefault="0068666F" w:rsidP="0068666F">
            <w:pPr>
              <w:rPr>
                <w:rFonts w:ascii="Times New Roman" w:hAnsi="Times New Roman" w:cs="Times New Roman"/>
                <w:bCs/>
                <w:sz w:val="16"/>
                <w:szCs w:val="16"/>
              </w:rPr>
            </w:pPr>
          </w:p>
          <w:p w14:paraId="117C3BA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Czynniki determinujące posiadanie ubezpieczenia upraw _model 3:</w:t>
            </w:r>
          </w:p>
          <w:p w14:paraId="6609BFB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wykształcenie rolnika_umiejętność pisania i czytania;_średnie,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1F0DFE2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uczestnictwo w szkoleniach w zakresie rolnictwa,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76DC942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UR,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072CA8E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dzierżawionych gruntów,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0.01),</w:t>
            </w:r>
          </w:p>
          <w:p w14:paraId="5757C4B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działalność rolnicza jako główne źródło utrzymania,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5D2349F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10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całkowita wartość produkcji,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 xml:space="preserve">&lt; </w:t>
            </w:r>
            <w:r w:rsidRPr="0068666F">
              <w:rPr>
                <w:rFonts w:ascii="Times New Roman" w:hAnsi="Times New Roman" w:cs="Times New Roman"/>
                <w:sz w:val="16"/>
                <w:szCs w:val="16"/>
              </w:rPr>
              <w:t>0.05),</w:t>
            </w:r>
          </w:p>
          <w:p w14:paraId="2DD8A71A"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doświadczenie ze stratami w uprawach,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6B8F504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niedobór opadów,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tc>
        <w:tc>
          <w:tcPr>
            <w:tcW w:w="768" w:type="pct"/>
          </w:tcPr>
          <w:p w14:paraId="7407D111" w14:textId="77777777" w:rsidR="0068666F" w:rsidRPr="0068666F" w:rsidRDefault="0068666F" w:rsidP="0068666F">
            <w:pPr>
              <w:jc w:val="center"/>
              <w:rPr>
                <w:rFonts w:ascii="Times New Roman" w:hAnsi="Times New Roman" w:cs="Times New Roman"/>
                <w:sz w:val="16"/>
                <w:szCs w:val="16"/>
                <w:lang w:val="en-US"/>
              </w:rPr>
            </w:pPr>
            <w:r w:rsidRPr="0068666F">
              <w:rPr>
                <w:rFonts w:ascii="Times New Roman" w:hAnsi="Times New Roman" w:cs="Times New Roman"/>
                <w:sz w:val="16"/>
                <w:szCs w:val="16"/>
                <w:lang w:val="en-US"/>
              </w:rPr>
              <w:lastRenderedPageBreak/>
              <w:t>model regresji probitowej</w:t>
            </w:r>
          </w:p>
          <w:p w14:paraId="6AEC5D34" w14:textId="77777777" w:rsidR="0068666F" w:rsidRPr="0068666F" w:rsidRDefault="0068666F" w:rsidP="0068666F">
            <w:pPr>
              <w:jc w:val="center"/>
              <w:rPr>
                <w:rFonts w:ascii="Times New Roman" w:hAnsi="Times New Roman" w:cs="Times New Roman"/>
                <w:i/>
                <w:sz w:val="16"/>
                <w:szCs w:val="16"/>
                <w:lang w:val="en-US"/>
              </w:rPr>
            </w:pPr>
            <w:r w:rsidRPr="0068666F">
              <w:rPr>
                <w:rFonts w:ascii="Times New Roman" w:hAnsi="Times New Roman" w:cs="Times New Roman"/>
                <w:bCs/>
                <w:sz w:val="16"/>
                <w:szCs w:val="16"/>
                <w:lang w:val="en-US"/>
              </w:rPr>
              <w:t>Propensity Score Matching</w:t>
            </w:r>
          </w:p>
        </w:tc>
      </w:tr>
      <w:tr w:rsidR="0068666F" w:rsidRPr="007656FE" w14:paraId="118E098D" w14:textId="77777777" w:rsidTr="00C32BAD">
        <w:tc>
          <w:tcPr>
            <w:tcW w:w="516" w:type="pct"/>
          </w:tcPr>
          <w:p w14:paraId="5C12D017"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bCs/>
                <w:sz w:val="16"/>
                <w:szCs w:val="16"/>
              </w:rPr>
              <w:t>Silaban i Harmini (2022)</w:t>
            </w:r>
          </w:p>
        </w:tc>
        <w:tc>
          <w:tcPr>
            <w:tcW w:w="648" w:type="pct"/>
          </w:tcPr>
          <w:p w14:paraId="58C5E004"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sz w:val="16"/>
                <w:szCs w:val="16"/>
              </w:rPr>
              <w:t>ubezpieczenie dotowane</w:t>
            </w:r>
          </w:p>
        </w:tc>
        <w:tc>
          <w:tcPr>
            <w:tcW w:w="838" w:type="pct"/>
          </w:tcPr>
          <w:p w14:paraId="3A2FD53E"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sz w:val="16"/>
                <w:szCs w:val="16"/>
              </w:rPr>
              <w:t xml:space="preserve"> - </w:t>
            </w:r>
            <w:r w:rsidRPr="0068666F">
              <w:rPr>
                <w:rFonts w:ascii="Times New Roman" w:hAnsi="Times New Roman" w:cs="Times New Roman"/>
                <w:bCs/>
                <w:sz w:val="16"/>
                <w:szCs w:val="16"/>
              </w:rPr>
              <w:t xml:space="preserve">decyzja o uczestnictwie </w:t>
            </w:r>
            <w:r w:rsidRPr="0068666F">
              <w:rPr>
                <w:rFonts w:ascii="Times New Roman" w:hAnsi="Times New Roman" w:cs="Times New Roman"/>
                <w:bCs/>
                <w:sz w:val="16"/>
                <w:szCs w:val="16"/>
              </w:rPr>
              <w:br/>
              <w:t xml:space="preserve">w programie ubezpieczenia upraw </w:t>
            </w:r>
          </w:p>
        </w:tc>
        <w:tc>
          <w:tcPr>
            <w:tcW w:w="950" w:type="pct"/>
          </w:tcPr>
          <w:p w14:paraId="5814728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wiek rolnika,</w:t>
            </w:r>
          </w:p>
          <w:p w14:paraId="237B92E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wykształcenie rolnika, </w:t>
            </w:r>
          </w:p>
          <w:p w14:paraId="56C0195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percepcja rolników spadku produkcji z powodu zmiany klimatu, </w:t>
            </w:r>
          </w:p>
          <w:p w14:paraId="2298DB8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ziemi uprawianej przez rolników (ha), </w:t>
            </w:r>
          </w:p>
          <w:p w14:paraId="5D2A710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własność ziemi, </w:t>
            </w:r>
          </w:p>
          <w:p w14:paraId="403E1E96"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udział w szkoleniach dotyczących programu ubezpieczeń, </w:t>
            </w:r>
          </w:p>
          <w:p w14:paraId="2A28378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produkcja (kg),</w:t>
            </w:r>
          </w:p>
          <w:p w14:paraId="63E8455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dochód z gospodarstwa rolnego.</w:t>
            </w:r>
          </w:p>
        </w:tc>
        <w:tc>
          <w:tcPr>
            <w:tcW w:w="1280" w:type="pct"/>
          </w:tcPr>
          <w:p w14:paraId="60B8CCA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wykształcenie rolnika,</w:t>
            </w:r>
          </w:p>
          <w:p w14:paraId="2C902FC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percepcja rolników spadku produkcji z powodu zmiany klimatu,  </w:t>
            </w:r>
          </w:p>
          <w:p w14:paraId="3285007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ziemi uprawianej przez rolników (ha), </w:t>
            </w:r>
          </w:p>
          <w:p w14:paraId="336EB62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udział w szkoleniach dotyczących programu ubezpieczeń, </w:t>
            </w:r>
          </w:p>
          <w:p w14:paraId="394F04D5"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dochód z gospodarstwa rolnego.</w:t>
            </w:r>
          </w:p>
          <w:p w14:paraId="2779333A"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bCs/>
                <w:sz w:val="16"/>
                <w:szCs w:val="16"/>
              </w:rPr>
              <w:t xml:space="preserve">(+)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0.05),</w:t>
            </w:r>
          </w:p>
        </w:tc>
        <w:tc>
          <w:tcPr>
            <w:tcW w:w="768" w:type="pct"/>
          </w:tcPr>
          <w:p w14:paraId="6FAEF55C" w14:textId="77777777" w:rsidR="0068666F" w:rsidRPr="0068666F" w:rsidRDefault="0068666F" w:rsidP="0068666F">
            <w:pPr>
              <w:jc w:val="center"/>
              <w:rPr>
                <w:rFonts w:ascii="Times New Roman" w:hAnsi="Times New Roman" w:cs="Times New Roman"/>
                <w:sz w:val="16"/>
                <w:szCs w:val="16"/>
                <w:lang w:val="en-US"/>
              </w:rPr>
            </w:pPr>
            <w:r w:rsidRPr="0068666F">
              <w:rPr>
                <w:rFonts w:ascii="Times New Roman" w:hAnsi="Times New Roman" w:cs="Times New Roman"/>
                <w:sz w:val="16"/>
                <w:szCs w:val="16"/>
                <w:lang w:val="en-US"/>
              </w:rPr>
              <w:t>model regresji logitowej</w:t>
            </w:r>
          </w:p>
          <w:p w14:paraId="2607BA97" w14:textId="77777777" w:rsidR="0068666F" w:rsidRPr="0068666F" w:rsidRDefault="0068666F" w:rsidP="0068666F">
            <w:pPr>
              <w:jc w:val="center"/>
              <w:rPr>
                <w:rFonts w:ascii="Times New Roman" w:hAnsi="Times New Roman" w:cs="Times New Roman"/>
                <w:i/>
                <w:sz w:val="16"/>
                <w:szCs w:val="16"/>
                <w:lang w:val="en-US"/>
              </w:rPr>
            </w:pPr>
            <w:r w:rsidRPr="0068666F">
              <w:rPr>
                <w:rFonts w:ascii="Times New Roman" w:hAnsi="Times New Roman" w:cs="Times New Roman"/>
                <w:bCs/>
                <w:sz w:val="16"/>
                <w:szCs w:val="16"/>
                <w:lang w:val="en-US"/>
              </w:rPr>
              <w:t>Propensity Score Matching</w:t>
            </w:r>
          </w:p>
        </w:tc>
      </w:tr>
      <w:tr w:rsidR="0068666F" w:rsidRPr="007656FE" w14:paraId="677FD37E" w14:textId="77777777" w:rsidTr="00C32BAD">
        <w:tc>
          <w:tcPr>
            <w:tcW w:w="516" w:type="pct"/>
          </w:tcPr>
          <w:p w14:paraId="11111FC5"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bCs/>
                <w:sz w:val="16"/>
                <w:szCs w:val="16"/>
              </w:rPr>
              <w:t xml:space="preserve">Yanuarti </w:t>
            </w:r>
            <w:r w:rsidRPr="0068666F">
              <w:rPr>
                <w:rFonts w:ascii="Times New Roman" w:hAnsi="Times New Roman" w:cs="Times New Roman"/>
                <w:bCs/>
                <w:sz w:val="16"/>
                <w:szCs w:val="16"/>
              </w:rPr>
              <w:br/>
              <w:t xml:space="preserve">i in. </w:t>
            </w:r>
            <w:r w:rsidRPr="0068666F">
              <w:rPr>
                <w:rFonts w:ascii="Times New Roman" w:hAnsi="Times New Roman" w:cs="Times New Roman"/>
                <w:bCs/>
                <w:sz w:val="16"/>
                <w:szCs w:val="16"/>
              </w:rPr>
              <w:br/>
              <w:t>(2019)</w:t>
            </w:r>
          </w:p>
        </w:tc>
        <w:tc>
          <w:tcPr>
            <w:tcW w:w="648" w:type="pct"/>
          </w:tcPr>
          <w:p w14:paraId="58FC8F39"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sz w:val="16"/>
                <w:szCs w:val="16"/>
              </w:rPr>
              <w:t>ubezpieczenie dotowane</w:t>
            </w:r>
          </w:p>
        </w:tc>
        <w:tc>
          <w:tcPr>
            <w:tcW w:w="838" w:type="pct"/>
          </w:tcPr>
          <w:p w14:paraId="6C0F628F"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sz w:val="16"/>
                <w:szCs w:val="16"/>
              </w:rPr>
              <w:t xml:space="preserve"> - </w:t>
            </w:r>
            <w:r w:rsidRPr="0068666F">
              <w:rPr>
                <w:rFonts w:ascii="Times New Roman" w:hAnsi="Times New Roman" w:cs="Times New Roman"/>
                <w:bCs/>
                <w:sz w:val="16"/>
                <w:szCs w:val="16"/>
              </w:rPr>
              <w:t>zakupu ubezpieczenia</w:t>
            </w:r>
          </w:p>
        </w:tc>
        <w:tc>
          <w:tcPr>
            <w:tcW w:w="950" w:type="pct"/>
          </w:tcPr>
          <w:p w14:paraId="2544F486" w14:textId="77777777" w:rsidR="0068666F" w:rsidRPr="0068666F" w:rsidRDefault="0068666F" w:rsidP="0068666F">
            <w:pPr>
              <w:tabs>
                <w:tab w:val="left" w:pos="1419"/>
              </w:tabs>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poziom awersji do ryzyka, </w:t>
            </w:r>
          </w:p>
          <w:p w14:paraId="616573CC" w14:textId="77777777" w:rsidR="0068666F" w:rsidRPr="0068666F" w:rsidRDefault="0068666F" w:rsidP="0068666F">
            <w:pPr>
              <w:tabs>
                <w:tab w:val="left" w:pos="1419"/>
              </w:tabs>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w:t>
            </w:r>
          </w:p>
          <w:p w14:paraId="0C183F04" w14:textId="77777777" w:rsidR="0068666F" w:rsidRPr="0068666F" w:rsidRDefault="0068666F" w:rsidP="0068666F">
            <w:pPr>
              <w:tabs>
                <w:tab w:val="left" w:pos="1419"/>
              </w:tabs>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doświadczenie rolnicze, </w:t>
            </w:r>
          </w:p>
          <w:p w14:paraId="19363121" w14:textId="77777777" w:rsidR="0068666F" w:rsidRPr="0068666F" w:rsidRDefault="0068666F" w:rsidP="0068666F">
            <w:pPr>
              <w:tabs>
                <w:tab w:val="left" w:pos="1419"/>
              </w:tabs>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gruntów uprawnych w ha, </w:t>
            </w:r>
          </w:p>
          <w:p w14:paraId="4F078D10" w14:textId="77777777" w:rsidR="0068666F" w:rsidRPr="0068666F" w:rsidRDefault="0068666F" w:rsidP="0068666F">
            <w:pPr>
              <w:tabs>
                <w:tab w:val="left" w:pos="1419"/>
              </w:tabs>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nieudane zbiory z powodu ataku szkodników.</w:t>
            </w:r>
          </w:p>
        </w:tc>
        <w:tc>
          <w:tcPr>
            <w:tcW w:w="1280" w:type="pct"/>
          </w:tcPr>
          <w:p w14:paraId="6FBB82FD" w14:textId="77777777" w:rsidR="0068666F" w:rsidRPr="0068666F" w:rsidRDefault="0068666F" w:rsidP="0068666F">
            <w:pPr>
              <w:tabs>
                <w:tab w:val="left" w:pos="1419"/>
              </w:tabs>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poziom awersji do ryzyka,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0.05),</w:t>
            </w:r>
          </w:p>
          <w:p w14:paraId="079D1E7F" w14:textId="77777777" w:rsidR="0068666F" w:rsidRPr="0068666F" w:rsidRDefault="0068666F" w:rsidP="0068666F">
            <w:pPr>
              <w:tabs>
                <w:tab w:val="left" w:pos="1419"/>
              </w:tabs>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 </w:t>
            </w:r>
            <w:r w:rsidRPr="0068666F">
              <w:rPr>
                <w:rFonts w:ascii="Times New Roman" w:hAnsi="Times New Roman" w:cs="Times New Roman"/>
                <w:sz w:val="16"/>
                <w:szCs w:val="16"/>
              </w:rPr>
              <w:t xml:space="preserve">(*p </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0.1),</w:t>
            </w:r>
          </w:p>
          <w:p w14:paraId="31A7A7E8" w14:textId="77777777" w:rsidR="0068666F" w:rsidRPr="0068666F" w:rsidRDefault="0068666F" w:rsidP="0068666F">
            <w:pPr>
              <w:tabs>
                <w:tab w:val="left" w:pos="1419"/>
              </w:tabs>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doświadczenie rolnicze,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0.05),</w:t>
            </w:r>
          </w:p>
          <w:p w14:paraId="07E14AD9" w14:textId="77777777" w:rsidR="0068666F" w:rsidRPr="0068666F" w:rsidRDefault="0068666F" w:rsidP="0068666F">
            <w:pPr>
              <w:tabs>
                <w:tab w:val="left" w:pos="1419"/>
              </w:tabs>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powierzchnia gruntów uprawnych w ha,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0.05),</w:t>
            </w:r>
          </w:p>
          <w:p w14:paraId="690118F5" w14:textId="77777777" w:rsidR="0068666F" w:rsidRPr="0068666F" w:rsidRDefault="0068666F" w:rsidP="0068666F">
            <w:pPr>
              <w:tabs>
                <w:tab w:val="left" w:pos="1419"/>
              </w:tabs>
              <w:rPr>
                <w:rFonts w:ascii="Times New Roman" w:hAnsi="Times New Roman" w:cs="Times New Roman"/>
                <w:i/>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nieudane zbiory z powodu ataku szkodników,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0.05).</w:t>
            </w:r>
          </w:p>
        </w:tc>
        <w:tc>
          <w:tcPr>
            <w:tcW w:w="768" w:type="pct"/>
          </w:tcPr>
          <w:p w14:paraId="6A275CB2" w14:textId="77777777" w:rsidR="0068666F" w:rsidRPr="0068666F" w:rsidRDefault="0068666F" w:rsidP="0068666F">
            <w:pPr>
              <w:tabs>
                <w:tab w:val="left" w:pos="1419"/>
              </w:tabs>
              <w:jc w:val="center"/>
              <w:rPr>
                <w:rFonts w:ascii="Times New Roman" w:hAnsi="Times New Roman" w:cs="Times New Roman"/>
                <w:sz w:val="16"/>
                <w:szCs w:val="16"/>
                <w:lang w:val="en-US"/>
              </w:rPr>
            </w:pPr>
            <w:r w:rsidRPr="0068666F">
              <w:rPr>
                <w:rFonts w:ascii="Times New Roman" w:hAnsi="Times New Roman" w:cs="Times New Roman"/>
                <w:sz w:val="16"/>
                <w:szCs w:val="16"/>
                <w:lang w:val="en-US"/>
              </w:rPr>
              <w:t>model regresji logitowej</w:t>
            </w:r>
          </w:p>
          <w:p w14:paraId="031C15E0" w14:textId="77777777" w:rsidR="0068666F" w:rsidRPr="0068666F" w:rsidRDefault="0068666F" w:rsidP="0068666F">
            <w:pPr>
              <w:tabs>
                <w:tab w:val="left" w:pos="1419"/>
              </w:tabs>
              <w:jc w:val="center"/>
              <w:rPr>
                <w:rFonts w:ascii="Times New Roman" w:hAnsi="Times New Roman" w:cs="Times New Roman"/>
                <w:i/>
                <w:sz w:val="16"/>
                <w:szCs w:val="16"/>
                <w:lang w:val="en-US"/>
              </w:rPr>
            </w:pPr>
            <w:r w:rsidRPr="0068666F">
              <w:rPr>
                <w:rFonts w:ascii="Times New Roman" w:hAnsi="Times New Roman" w:cs="Times New Roman"/>
                <w:bCs/>
                <w:sz w:val="16"/>
                <w:szCs w:val="16"/>
                <w:lang w:val="en-US"/>
              </w:rPr>
              <w:t>Propensity Score Matching</w:t>
            </w:r>
          </w:p>
        </w:tc>
      </w:tr>
      <w:tr w:rsidR="0068666F" w:rsidRPr="007656FE" w14:paraId="22434348" w14:textId="77777777" w:rsidTr="00C32BAD">
        <w:tc>
          <w:tcPr>
            <w:tcW w:w="516" w:type="pct"/>
          </w:tcPr>
          <w:p w14:paraId="2DE16D8E"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bCs/>
                <w:sz w:val="16"/>
                <w:szCs w:val="16"/>
              </w:rPr>
              <w:t>Shaibu i in. (2016)</w:t>
            </w:r>
          </w:p>
        </w:tc>
        <w:tc>
          <w:tcPr>
            <w:tcW w:w="648" w:type="pct"/>
          </w:tcPr>
          <w:p w14:paraId="3C34B6D4"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sz w:val="16"/>
                <w:szCs w:val="16"/>
              </w:rPr>
              <w:t>ubezpieczenie dotowane</w:t>
            </w:r>
          </w:p>
        </w:tc>
        <w:tc>
          <w:tcPr>
            <w:tcW w:w="838" w:type="pct"/>
          </w:tcPr>
          <w:p w14:paraId="4D56BF7A"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Y</w:t>
            </w:r>
            <w:r w:rsidRPr="0068666F">
              <w:rPr>
                <w:rFonts w:ascii="Times New Roman" w:hAnsi="Times New Roman" w:cs="Times New Roman"/>
                <w:sz w:val="16"/>
                <w:szCs w:val="16"/>
              </w:rPr>
              <w:t xml:space="preserve"> - </w:t>
            </w:r>
            <w:r w:rsidRPr="0068666F">
              <w:rPr>
                <w:rFonts w:ascii="Times New Roman" w:hAnsi="Times New Roman" w:cs="Times New Roman"/>
                <w:bCs/>
                <w:sz w:val="16"/>
                <w:szCs w:val="16"/>
              </w:rPr>
              <w:t>decyzja o zakupie ubezpieczenia</w:t>
            </w:r>
          </w:p>
        </w:tc>
        <w:tc>
          <w:tcPr>
            <w:tcW w:w="950" w:type="pct"/>
          </w:tcPr>
          <w:p w14:paraId="13FC8AB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doświadczenie w rolnictwie, </w:t>
            </w:r>
          </w:p>
          <w:p w14:paraId="5A61FDF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wielkość gospodarstwa, </w:t>
            </w:r>
          </w:p>
          <w:p w14:paraId="7C59FAF9"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stan cywilny, </w:t>
            </w:r>
          </w:p>
          <w:p w14:paraId="22FE0C6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kontakt z doradztwem rolniczym, </w:t>
            </w:r>
          </w:p>
          <w:p w14:paraId="072EC5A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dostęp do kredytów, </w:t>
            </w:r>
          </w:p>
          <w:p w14:paraId="28606EC8"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wiek rolnika.</w:t>
            </w:r>
          </w:p>
        </w:tc>
        <w:tc>
          <w:tcPr>
            <w:tcW w:w="1280" w:type="pct"/>
          </w:tcPr>
          <w:p w14:paraId="1686B87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lastRenderedPageBreak/>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doświadczenie w rolnictwie, </w:t>
            </w:r>
          </w:p>
          <w:p w14:paraId="495F5D7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stan cywilny, </w:t>
            </w:r>
          </w:p>
          <w:p w14:paraId="6A9236F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kontakt z doradztwem rolniczym, </w:t>
            </w:r>
          </w:p>
          <w:p w14:paraId="065452B1"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dostęp do kredytów.</w:t>
            </w:r>
          </w:p>
          <w:p w14:paraId="6BF50E6A" w14:textId="77777777" w:rsidR="0068666F" w:rsidRPr="0068666F" w:rsidRDefault="0068666F" w:rsidP="0068666F">
            <w:pPr>
              <w:rPr>
                <w:rFonts w:ascii="Times New Roman" w:hAnsi="Times New Roman" w:cs="Times New Roman"/>
                <w:i/>
                <w:sz w:val="16"/>
                <w:szCs w:val="16"/>
              </w:rPr>
            </w:pPr>
            <w:r w:rsidRPr="0068666F">
              <w:rPr>
                <w:rFonts w:ascii="Times New Roman" w:hAnsi="Times New Roman" w:cs="Times New Roman"/>
                <w:bCs/>
                <w:sz w:val="16"/>
                <w:szCs w:val="16"/>
              </w:rPr>
              <w:t xml:space="preserve">(+)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0.1)</w:t>
            </w:r>
          </w:p>
        </w:tc>
        <w:tc>
          <w:tcPr>
            <w:tcW w:w="768" w:type="pct"/>
          </w:tcPr>
          <w:p w14:paraId="3336E89A" w14:textId="77777777" w:rsidR="0068666F" w:rsidRPr="0068666F" w:rsidRDefault="0068666F" w:rsidP="0068666F">
            <w:pPr>
              <w:jc w:val="center"/>
              <w:rPr>
                <w:rFonts w:ascii="Times New Roman" w:hAnsi="Times New Roman" w:cs="Times New Roman"/>
                <w:sz w:val="16"/>
                <w:szCs w:val="16"/>
                <w:lang w:val="en-US"/>
              </w:rPr>
            </w:pPr>
            <w:r w:rsidRPr="0068666F">
              <w:rPr>
                <w:rFonts w:ascii="Times New Roman" w:hAnsi="Times New Roman" w:cs="Times New Roman"/>
                <w:sz w:val="16"/>
                <w:szCs w:val="16"/>
                <w:lang w:val="en-US"/>
              </w:rPr>
              <w:t>model regresji probitowej</w:t>
            </w:r>
          </w:p>
          <w:p w14:paraId="5C862B98" w14:textId="77777777" w:rsidR="0068666F" w:rsidRPr="0068666F" w:rsidRDefault="0068666F" w:rsidP="0068666F">
            <w:pPr>
              <w:jc w:val="center"/>
              <w:rPr>
                <w:rFonts w:ascii="Times New Roman" w:hAnsi="Times New Roman" w:cs="Times New Roman"/>
                <w:i/>
                <w:sz w:val="16"/>
                <w:szCs w:val="16"/>
                <w:lang w:val="en-US"/>
              </w:rPr>
            </w:pPr>
            <w:r w:rsidRPr="0068666F">
              <w:rPr>
                <w:rFonts w:ascii="Times New Roman" w:hAnsi="Times New Roman" w:cs="Times New Roman"/>
                <w:bCs/>
                <w:sz w:val="16"/>
                <w:szCs w:val="16"/>
                <w:lang w:val="en-US"/>
              </w:rPr>
              <w:t>Propensity Score Matching</w:t>
            </w:r>
          </w:p>
        </w:tc>
      </w:tr>
      <w:tr w:rsidR="0068666F" w:rsidRPr="007656FE" w14:paraId="633C17A4" w14:textId="77777777" w:rsidTr="00C32BAD">
        <w:tc>
          <w:tcPr>
            <w:tcW w:w="516" w:type="pct"/>
          </w:tcPr>
          <w:p w14:paraId="0978EB90" w14:textId="77777777" w:rsidR="0068666F" w:rsidRPr="0068666F" w:rsidRDefault="0068666F" w:rsidP="0068666F">
            <w:pPr>
              <w:jc w:val="center"/>
              <w:rPr>
                <w:rFonts w:ascii="Times New Roman" w:hAnsi="Times New Roman" w:cs="Times New Roman"/>
                <w:sz w:val="16"/>
                <w:szCs w:val="16"/>
              </w:rPr>
            </w:pPr>
            <w:r w:rsidRPr="0068666F">
              <w:rPr>
                <w:rFonts w:ascii="Times New Roman" w:hAnsi="Times New Roman" w:cs="Times New Roman"/>
                <w:bCs/>
                <w:sz w:val="16"/>
                <w:szCs w:val="16"/>
              </w:rPr>
              <w:t>Juan i in. (2019)</w:t>
            </w:r>
          </w:p>
        </w:tc>
        <w:tc>
          <w:tcPr>
            <w:tcW w:w="648" w:type="pct"/>
          </w:tcPr>
          <w:p w14:paraId="7EF1B4F2" w14:textId="77777777" w:rsidR="0068666F" w:rsidRPr="0068666F" w:rsidRDefault="0068666F" w:rsidP="0068666F">
            <w:pPr>
              <w:jc w:val="center"/>
              <w:rPr>
                <w:rFonts w:ascii="Times New Roman" w:hAnsi="Times New Roman" w:cs="Times New Roman"/>
                <w:i/>
                <w:sz w:val="16"/>
                <w:szCs w:val="16"/>
              </w:rPr>
            </w:pPr>
            <w:r w:rsidRPr="0068666F">
              <w:rPr>
                <w:rFonts w:ascii="Times New Roman" w:hAnsi="Times New Roman" w:cs="Times New Roman"/>
                <w:sz w:val="16"/>
                <w:szCs w:val="16"/>
              </w:rPr>
              <w:t>ubezpieczenie dotowane</w:t>
            </w:r>
          </w:p>
        </w:tc>
        <w:tc>
          <w:tcPr>
            <w:tcW w:w="838" w:type="pct"/>
          </w:tcPr>
          <w:p w14:paraId="19B7AC9D"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Y</w:t>
            </w:r>
            <w:r w:rsidRPr="0068666F">
              <w:rPr>
                <w:rFonts w:ascii="Times New Roman" w:hAnsi="Times New Roman" w:cs="Times New Roman"/>
                <w:sz w:val="16"/>
                <w:szCs w:val="16"/>
              </w:rPr>
              <w:t xml:space="preserve"> - </w:t>
            </w:r>
            <w:r w:rsidRPr="0068666F">
              <w:rPr>
                <w:rFonts w:ascii="Times New Roman" w:hAnsi="Times New Roman" w:cs="Times New Roman"/>
                <w:bCs/>
                <w:sz w:val="16"/>
                <w:szCs w:val="16"/>
              </w:rPr>
              <w:t>decyzja o zakupie ubezpieczenia</w:t>
            </w:r>
          </w:p>
          <w:p w14:paraId="3665D0E3" w14:textId="77777777" w:rsidR="0068666F" w:rsidRPr="0068666F" w:rsidRDefault="0068666F" w:rsidP="0068666F">
            <w:pPr>
              <w:rPr>
                <w:rFonts w:ascii="Times New Roman" w:hAnsi="Times New Roman" w:cs="Times New Roman"/>
                <w:i/>
                <w:sz w:val="16"/>
                <w:szCs w:val="16"/>
              </w:rPr>
            </w:pPr>
          </w:p>
          <w:p w14:paraId="7B0B63B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Y</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rPr>
              <w:t xml:space="preserve"> - </w:t>
            </w:r>
            <w:r w:rsidRPr="0068666F">
              <w:rPr>
                <w:rFonts w:ascii="Times New Roman" w:hAnsi="Times New Roman" w:cs="Times New Roman"/>
                <w:bCs/>
                <w:sz w:val="16"/>
                <w:szCs w:val="16"/>
              </w:rPr>
              <w:t>decyzja o zakupie ubezpieczenia_tylko na wypadek klęsk żywiołowych</w:t>
            </w:r>
          </w:p>
          <w:p w14:paraId="7EFE2A3D" w14:textId="77777777" w:rsidR="0068666F" w:rsidRPr="0068666F" w:rsidRDefault="0068666F" w:rsidP="0068666F">
            <w:pPr>
              <w:rPr>
                <w:rFonts w:ascii="Times New Roman" w:hAnsi="Times New Roman" w:cs="Times New Roman"/>
                <w:i/>
                <w:sz w:val="16"/>
                <w:szCs w:val="16"/>
              </w:rPr>
            </w:pPr>
          </w:p>
          <w:p w14:paraId="77A76B9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Y</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rPr>
              <w:t xml:space="preserve"> - </w:t>
            </w:r>
            <w:r w:rsidRPr="0068666F">
              <w:rPr>
                <w:rFonts w:ascii="Times New Roman" w:hAnsi="Times New Roman" w:cs="Times New Roman"/>
                <w:bCs/>
                <w:sz w:val="16"/>
                <w:szCs w:val="16"/>
              </w:rPr>
              <w:t>decyzja o zakupie ubezpieczenia_od wielu ryzyk</w:t>
            </w:r>
          </w:p>
          <w:p w14:paraId="6CD8067A" w14:textId="77777777" w:rsidR="0068666F" w:rsidRPr="0068666F" w:rsidRDefault="0068666F" w:rsidP="0068666F">
            <w:pPr>
              <w:rPr>
                <w:rFonts w:ascii="Times New Roman" w:hAnsi="Times New Roman" w:cs="Times New Roman"/>
                <w:sz w:val="16"/>
                <w:szCs w:val="16"/>
              </w:rPr>
            </w:pPr>
          </w:p>
        </w:tc>
        <w:tc>
          <w:tcPr>
            <w:tcW w:w="950" w:type="pct"/>
          </w:tcPr>
          <w:p w14:paraId="367D6930"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plony z dwóch poprzednich lat, </w:t>
            </w:r>
          </w:p>
          <w:p w14:paraId="04391B7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zdolności poznawcze rolnika, </w:t>
            </w:r>
          </w:p>
          <w:p w14:paraId="1DDEC96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płeć, </w:t>
            </w:r>
          </w:p>
          <w:p w14:paraId="06E1E20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w:t>
            </w:r>
          </w:p>
          <w:p w14:paraId="22A88C9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wykształcenie rolnika,</w:t>
            </w:r>
          </w:p>
          <w:p w14:paraId="37276915"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6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wielkość gospodarstwa domowego, </w:t>
            </w:r>
          </w:p>
          <w:p w14:paraId="7DF722B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7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topografia terenu, </w:t>
            </w:r>
          </w:p>
          <w:p w14:paraId="0CFCC43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8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rodzaj upraw, </w:t>
            </w:r>
          </w:p>
          <w:p w14:paraId="580143AE"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dywersyfikacja upraw, </w:t>
            </w:r>
          </w:p>
          <w:p w14:paraId="438E5D2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wykształcenie rolnika,</w:t>
            </w:r>
          </w:p>
          <w:p w14:paraId="47986D1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dostęp do dróg, </w:t>
            </w:r>
          </w:p>
          <w:p w14:paraId="3D9D2574"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awersja do ryzyka, </w:t>
            </w:r>
          </w:p>
          <w:p w14:paraId="50B2ABC8"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region,</w:t>
            </w:r>
          </w:p>
          <w:p w14:paraId="7174ECEC"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inwentarz żywy.</w:t>
            </w:r>
          </w:p>
        </w:tc>
        <w:tc>
          <w:tcPr>
            <w:tcW w:w="1280" w:type="pct"/>
          </w:tcPr>
          <w:p w14:paraId="2DB20EB3"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sz w:val="16"/>
                <w:szCs w:val="16"/>
              </w:rPr>
              <w:t>Ubezpieczenie upraw tylko na wypadek klęsk żywiołowych:</w:t>
            </w:r>
          </w:p>
          <w:p w14:paraId="22EAB156"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plony z dwóch poprzednich lat,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20A1EE96"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wiek rolnika,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0.1),</w:t>
            </w:r>
          </w:p>
          <w:p w14:paraId="7F4AA8C3"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9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dywersyfikacja upraw, </w:t>
            </w:r>
          </w:p>
          <w:p w14:paraId="6E392A7C"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bCs/>
                <w:sz w:val="16"/>
                <w:szCs w:val="16"/>
              </w:rPr>
              <w:t xml:space="preserve">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0.1).</w:t>
            </w:r>
          </w:p>
          <w:p w14:paraId="221FDBBF"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11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dostęp do dróg,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0.1),</w:t>
            </w:r>
          </w:p>
          <w:p w14:paraId="3B3DFC3D" w14:textId="77777777" w:rsidR="0068666F" w:rsidRPr="0068666F" w:rsidRDefault="0068666F" w:rsidP="0068666F">
            <w:pPr>
              <w:rPr>
                <w:rFonts w:ascii="Times New Roman" w:hAnsi="Times New Roman" w:cs="Times New Roman"/>
                <w:bCs/>
                <w:sz w:val="16"/>
                <w:szCs w:val="16"/>
              </w:rPr>
            </w:pPr>
          </w:p>
          <w:p w14:paraId="54027F6F"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sz w:val="16"/>
                <w:szCs w:val="16"/>
              </w:rPr>
              <w:t>Ubezpieczenie upraw od wielu ryzyk:</w:t>
            </w:r>
          </w:p>
          <w:p w14:paraId="7EDFA5E7"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zdolności poznawcze rolnika,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0.05),</w:t>
            </w:r>
          </w:p>
          <w:p w14:paraId="64EC944A"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5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wykształcenie rolnika,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0.1),</w:t>
            </w:r>
          </w:p>
          <w:p w14:paraId="6301C102" w14:textId="77777777" w:rsidR="0068666F" w:rsidRPr="0068666F" w:rsidRDefault="0068666F" w:rsidP="0068666F">
            <w:pPr>
              <w:rPr>
                <w:rFonts w:ascii="Times New Roman" w:hAnsi="Times New Roman" w:cs="Times New Roman"/>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14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inwentarz żywy, </w:t>
            </w:r>
            <w:r w:rsidRPr="0068666F">
              <w:rPr>
                <w:rFonts w:ascii="Times New Roman" w:hAnsi="Times New Roman" w:cs="Times New Roman"/>
                <w:bCs/>
                <w:sz w:val="16"/>
                <w:szCs w:val="16"/>
              </w:rPr>
              <w:t xml:space="preserve">(+)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0.05),</w:t>
            </w:r>
          </w:p>
          <w:p w14:paraId="555659AB"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12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 xml:space="preserve">awersja do ryzyka, (-)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0.05),</w:t>
            </w:r>
          </w:p>
          <w:p w14:paraId="6CBADD32" w14:textId="77777777" w:rsidR="0068666F" w:rsidRPr="0068666F" w:rsidRDefault="0068666F" w:rsidP="0068666F">
            <w:pPr>
              <w:rPr>
                <w:rFonts w:ascii="Times New Roman" w:hAnsi="Times New Roman" w:cs="Times New Roman"/>
                <w:bCs/>
                <w:sz w:val="16"/>
                <w:szCs w:val="16"/>
              </w:rPr>
            </w:pPr>
            <w:r w:rsidRPr="0068666F">
              <w:rPr>
                <w:rFonts w:ascii="Times New Roman" w:hAnsi="Times New Roman" w:cs="Times New Roman"/>
                <w:i/>
                <w:sz w:val="16"/>
                <w:szCs w:val="16"/>
              </w:rPr>
              <w:t>x</w:t>
            </w:r>
            <w:r w:rsidRPr="0068666F">
              <w:rPr>
                <w:rFonts w:ascii="Times New Roman" w:hAnsi="Times New Roman" w:cs="Times New Roman"/>
                <w:i/>
                <w:sz w:val="16"/>
                <w:szCs w:val="16"/>
                <w:vertAlign w:val="subscript"/>
              </w:rPr>
              <w:t xml:space="preserve">13 </w:t>
            </w:r>
            <w:r w:rsidRPr="0068666F">
              <w:rPr>
                <w:rFonts w:ascii="Times New Roman" w:hAnsi="Times New Roman" w:cs="Times New Roman"/>
                <w:sz w:val="16"/>
                <w:szCs w:val="16"/>
                <w:vertAlign w:val="subscript"/>
              </w:rPr>
              <w:t xml:space="preserve"> </w:t>
            </w:r>
            <w:r w:rsidRPr="0068666F">
              <w:rPr>
                <w:rFonts w:ascii="Times New Roman" w:hAnsi="Times New Roman" w:cs="Times New Roman"/>
                <w:sz w:val="16"/>
                <w:szCs w:val="16"/>
              </w:rPr>
              <w:t xml:space="preserve">- </w:t>
            </w:r>
            <w:r w:rsidRPr="0068666F">
              <w:rPr>
                <w:rFonts w:ascii="Times New Roman" w:hAnsi="Times New Roman" w:cs="Times New Roman"/>
                <w:bCs/>
                <w:sz w:val="16"/>
                <w:szCs w:val="16"/>
              </w:rPr>
              <w:t>region, (-),</w:t>
            </w:r>
            <w:r w:rsidRPr="0068666F">
              <w:rPr>
                <w:rFonts w:ascii="Times New Roman" w:hAnsi="Times New Roman" w:cs="Times New Roman"/>
                <w:sz w:val="16"/>
                <w:szCs w:val="16"/>
              </w:rPr>
              <w:t>(***p</w:t>
            </w:r>
            <w:r w:rsidRPr="0068666F">
              <w:rPr>
                <w:rFonts w:ascii="Times New Roman" w:eastAsia="RMTMI" w:hAnsi="Times New Roman" w:cs="Times New Roman"/>
                <w:sz w:val="16"/>
                <w:szCs w:val="16"/>
              </w:rPr>
              <w:t>&lt;</w:t>
            </w:r>
            <w:r w:rsidRPr="0068666F">
              <w:rPr>
                <w:rFonts w:ascii="Times New Roman" w:hAnsi="Times New Roman" w:cs="Times New Roman"/>
                <w:sz w:val="16"/>
                <w:szCs w:val="16"/>
              </w:rPr>
              <w:t>0.01).</w:t>
            </w:r>
          </w:p>
          <w:p w14:paraId="57C4AC77" w14:textId="77777777" w:rsidR="0068666F" w:rsidRPr="0068666F" w:rsidRDefault="0068666F" w:rsidP="0068666F">
            <w:pPr>
              <w:rPr>
                <w:rFonts w:ascii="Times New Roman" w:hAnsi="Times New Roman" w:cs="Times New Roman"/>
                <w:i/>
                <w:sz w:val="16"/>
                <w:szCs w:val="16"/>
              </w:rPr>
            </w:pPr>
          </w:p>
        </w:tc>
        <w:tc>
          <w:tcPr>
            <w:tcW w:w="768" w:type="pct"/>
          </w:tcPr>
          <w:p w14:paraId="2F194140" w14:textId="77777777" w:rsidR="0068666F" w:rsidRPr="0068666F" w:rsidRDefault="0068666F" w:rsidP="0068666F">
            <w:pPr>
              <w:jc w:val="center"/>
              <w:rPr>
                <w:rFonts w:ascii="Times New Roman" w:hAnsi="Times New Roman" w:cs="Times New Roman"/>
                <w:sz w:val="16"/>
                <w:szCs w:val="16"/>
                <w:lang w:val="en-US"/>
              </w:rPr>
            </w:pPr>
            <w:r w:rsidRPr="0068666F">
              <w:rPr>
                <w:rFonts w:ascii="Times New Roman" w:hAnsi="Times New Roman" w:cs="Times New Roman"/>
                <w:sz w:val="16"/>
                <w:szCs w:val="16"/>
                <w:lang w:val="en-US"/>
              </w:rPr>
              <w:t>model regresji logitowej</w:t>
            </w:r>
          </w:p>
          <w:p w14:paraId="76E8FCED" w14:textId="77777777" w:rsidR="0068666F" w:rsidRPr="0068666F" w:rsidRDefault="0068666F" w:rsidP="0068666F">
            <w:pPr>
              <w:jc w:val="center"/>
              <w:rPr>
                <w:rFonts w:ascii="Times New Roman" w:hAnsi="Times New Roman" w:cs="Times New Roman"/>
                <w:i/>
                <w:sz w:val="16"/>
                <w:szCs w:val="16"/>
                <w:lang w:val="en-US"/>
              </w:rPr>
            </w:pPr>
            <w:r w:rsidRPr="0068666F">
              <w:rPr>
                <w:rFonts w:ascii="Times New Roman" w:hAnsi="Times New Roman" w:cs="Times New Roman"/>
                <w:bCs/>
                <w:sz w:val="16"/>
                <w:szCs w:val="16"/>
                <w:lang w:val="en-US"/>
              </w:rPr>
              <w:t>Propensity Score Matching</w:t>
            </w:r>
          </w:p>
        </w:tc>
      </w:tr>
    </w:tbl>
    <w:p w14:paraId="1363DF0C" w14:textId="77777777" w:rsidR="0068666F" w:rsidRPr="00F36D2D" w:rsidRDefault="0068666F" w:rsidP="0068666F">
      <w:pPr>
        <w:spacing w:after="200" w:line="276" w:lineRule="auto"/>
        <w:rPr>
          <w:rFonts w:ascii="Times New Roman" w:eastAsia="Times New Roman" w:hAnsi="Times New Roman" w:cs="Times New Roman"/>
          <w:i/>
          <w:iCs/>
          <w:kern w:val="0"/>
          <w:lang w:val="en-US" w:eastAsia="pl-PL"/>
          <w14:ligatures w14:val="none"/>
        </w:rPr>
      </w:pPr>
      <w:r w:rsidRPr="00F36D2D">
        <w:rPr>
          <w:rFonts w:ascii="Times New Roman" w:eastAsia="Times New Roman" w:hAnsi="Times New Roman" w:cs="Times New Roman"/>
          <w:i/>
          <w:iCs/>
          <w:kern w:val="0"/>
          <w:lang w:val="en-US" w:eastAsia="pl-PL"/>
          <w14:ligatures w14:val="none"/>
        </w:rPr>
        <w:t>Źródło: opracowanie własne.</w:t>
      </w:r>
    </w:p>
    <w:p w14:paraId="76C471B8" w14:textId="77777777" w:rsidR="0068666F" w:rsidRDefault="0068666F">
      <w:pPr>
        <w:rPr>
          <w:rFonts w:ascii="Times New Roman" w:hAnsi="Times New Roman" w:cs="Times New Roman"/>
          <w:sz w:val="28"/>
          <w:szCs w:val="28"/>
        </w:rPr>
      </w:pPr>
      <w:r>
        <w:rPr>
          <w:rFonts w:ascii="Times New Roman" w:hAnsi="Times New Roman" w:cs="Times New Roman"/>
          <w:sz w:val="28"/>
          <w:szCs w:val="28"/>
        </w:rPr>
        <w:br w:type="page"/>
      </w:r>
    </w:p>
    <w:p w14:paraId="70243670" w14:textId="5BB926C9" w:rsidR="002B3215" w:rsidRPr="002B3215" w:rsidRDefault="002B3215" w:rsidP="002B3215">
      <w:pPr>
        <w:pStyle w:val="Akapitzlist"/>
        <w:numPr>
          <w:ilvl w:val="0"/>
          <w:numId w:val="57"/>
        </w:numPr>
        <w:spacing w:line="264" w:lineRule="auto"/>
        <w:jc w:val="both"/>
        <w:rPr>
          <w:rFonts w:ascii="Times New Roman" w:hAnsi="Times New Roman" w:cs="Times New Roman"/>
          <w:b/>
          <w:bCs/>
          <w:sz w:val="28"/>
          <w:szCs w:val="28"/>
        </w:rPr>
      </w:pPr>
      <w:r w:rsidRPr="002B3215">
        <w:rPr>
          <w:rFonts w:ascii="Times New Roman" w:hAnsi="Times New Roman" w:cs="Times New Roman"/>
          <w:b/>
          <w:bCs/>
          <w:sz w:val="28"/>
          <w:szCs w:val="28"/>
        </w:rPr>
        <w:lastRenderedPageBreak/>
        <w:t>Źródła danych i informacji oraz próby badawcze</w:t>
      </w:r>
    </w:p>
    <w:p w14:paraId="09B50E27" w14:textId="38496372" w:rsidR="00994156" w:rsidRDefault="00994156" w:rsidP="00994156">
      <w:pPr>
        <w:spacing w:line="264" w:lineRule="auto"/>
        <w:ind w:firstLine="709"/>
        <w:jc w:val="both"/>
        <w:rPr>
          <w:rFonts w:ascii="Times New Roman" w:hAnsi="Times New Roman" w:cs="Times New Roman"/>
          <w:sz w:val="28"/>
          <w:szCs w:val="28"/>
        </w:rPr>
      </w:pPr>
      <w:r w:rsidRPr="00A86755">
        <w:rPr>
          <w:rFonts w:ascii="Times New Roman" w:hAnsi="Times New Roman" w:cs="Times New Roman"/>
          <w:sz w:val="28"/>
          <w:szCs w:val="28"/>
        </w:rPr>
        <w:t>Zgromadzenie danych</w:t>
      </w:r>
      <w:r>
        <w:rPr>
          <w:rFonts w:ascii="Times New Roman" w:hAnsi="Times New Roman" w:cs="Times New Roman"/>
          <w:sz w:val="28"/>
          <w:szCs w:val="28"/>
        </w:rPr>
        <w:t xml:space="preserve"> na potrzeby ewaluacji zazwyczaj stanowi największą pozycję w jej budżecie, o czym bardzo często się zapomina (Vermeersch i in., 2012). Dlatego powinno się rygorystycznie</w:t>
      </w:r>
      <w:r w:rsidRPr="00A86755">
        <w:rPr>
          <w:rFonts w:ascii="Times New Roman" w:hAnsi="Times New Roman" w:cs="Times New Roman"/>
          <w:sz w:val="28"/>
          <w:szCs w:val="28"/>
        </w:rPr>
        <w:t xml:space="preserve"> </w:t>
      </w:r>
      <w:r>
        <w:rPr>
          <w:rFonts w:ascii="Times New Roman" w:hAnsi="Times New Roman" w:cs="Times New Roman"/>
          <w:sz w:val="28"/>
          <w:szCs w:val="28"/>
        </w:rPr>
        <w:t>przestrzegać zasadę, iż zbieramy tylko te dane i informacje, które są potrzebne do obliczenia wskaźników ewaluacyjnych, udzielenia odpowiedzi na postawione na wstępie pytania oraz oszacowania efektów interwencji w ramach ewaluacji wpływu (Duflo i in., 2007). Zawsze też ta faza w planie ewaluacji wraz z konstrukcją prób badawczych powinna być poprzedzona staranną analizą kosztów i korzyści oraz ryzyk.</w:t>
      </w:r>
    </w:p>
    <w:p w14:paraId="01ECA0D3" w14:textId="77777777" w:rsidR="00994156" w:rsidRDefault="00994156" w:rsidP="00994156">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Jak to już pisano wcześniej, łańcuch wynikowy, który jest graficzną reprezentacją teorii zmiany, jest bardzo dobrą ramą do projektowania procesów pozyskiwania i przetwarzania danych. Przypomnijmy, że najprostszy łańcuch tego typu zawiera następujące ogniwa/elementy:</w:t>
      </w:r>
    </w:p>
    <w:p w14:paraId="6DE26A09" w14:textId="77777777" w:rsidR="00994156" w:rsidRPr="008744E4" w:rsidRDefault="00994156" w:rsidP="00994156">
      <w:pPr>
        <w:pStyle w:val="Akapitzlist"/>
        <w:numPr>
          <w:ilvl w:val="0"/>
          <w:numId w:val="71"/>
        </w:numPr>
        <w:spacing w:line="264" w:lineRule="auto"/>
        <w:ind w:left="567" w:hanging="567"/>
        <w:jc w:val="both"/>
        <w:rPr>
          <w:rFonts w:ascii="Times New Roman" w:hAnsi="Times New Roman" w:cs="Times New Roman"/>
          <w:sz w:val="28"/>
          <w:szCs w:val="28"/>
        </w:rPr>
      </w:pPr>
      <w:r w:rsidRPr="008744E4">
        <w:rPr>
          <w:rFonts w:ascii="Times New Roman" w:hAnsi="Times New Roman" w:cs="Times New Roman"/>
          <w:sz w:val="28"/>
          <w:szCs w:val="28"/>
        </w:rPr>
        <w:t>nakłady (wejście),</w:t>
      </w:r>
    </w:p>
    <w:p w14:paraId="220ABBA2" w14:textId="77777777" w:rsidR="00994156" w:rsidRPr="008744E4" w:rsidRDefault="00994156" w:rsidP="00994156">
      <w:pPr>
        <w:pStyle w:val="Akapitzlist"/>
        <w:numPr>
          <w:ilvl w:val="0"/>
          <w:numId w:val="71"/>
        </w:numPr>
        <w:spacing w:line="264" w:lineRule="auto"/>
        <w:ind w:left="567" w:hanging="567"/>
        <w:jc w:val="both"/>
        <w:rPr>
          <w:rFonts w:ascii="Times New Roman" w:hAnsi="Times New Roman" w:cs="Times New Roman"/>
          <w:sz w:val="28"/>
          <w:szCs w:val="28"/>
        </w:rPr>
      </w:pPr>
      <w:r w:rsidRPr="008744E4">
        <w:rPr>
          <w:rFonts w:ascii="Times New Roman" w:hAnsi="Times New Roman" w:cs="Times New Roman"/>
          <w:sz w:val="28"/>
          <w:szCs w:val="28"/>
        </w:rPr>
        <w:t>aktywności (działania),</w:t>
      </w:r>
    </w:p>
    <w:p w14:paraId="10CCF0AC" w14:textId="77777777" w:rsidR="00994156" w:rsidRPr="008744E4" w:rsidRDefault="00994156" w:rsidP="00994156">
      <w:pPr>
        <w:pStyle w:val="Akapitzlist"/>
        <w:numPr>
          <w:ilvl w:val="0"/>
          <w:numId w:val="71"/>
        </w:numPr>
        <w:spacing w:line="264" w:lineRule="auto"/>
        <w:ind w:left="567" w:hanging="567"/>
        <w:jc w:val="both"/>
        <w:rPr>
          <w:rFonts w:ascii="Times New Roman" w:hAnsi="Times New Roman" w:cs="Times New Roman"/>
          <w:sz w:val="28"/>
          <w:szCs w:val="28"/>
        </w:rPr>
      </w:pPr>
      <w:r w:rsidRPr="008744E4">
        <w:rPr>
          <w:rFonts w:ascii="Times New Roman" w:hAnsi="Times New Roman" w:cs="Times New Roman"/>
          <w:sz w:val="28"/>
          <w:szCs w:val="28"/>
        </w:rPr>
        <w:t>produkty,</w:t>
      </w:r>
    </w:p>
    <w:p w14:paraId="2139C084" w14:textId="77777777" w:rsidR="00994156" w:rsidRPr="008744E4" w:rsidRDefault="00994156" w:rsidP="00994156">
      <w:pPr>
        <w:pStyle w:val="Akapitzlist"/>
        <w:numPr>
          <w:ilvl w:val="0"/>
          <w:numId w:val="71"/>
        </w:numPr>
        <w:spacing w:line="264" w:lineRule="auto"/>
        <w:ind w:left="567" w:hanging="567"/>
        <w:jc w:val="both"/>
        <w:rPr>
          <w:rFonts w:ascii="Times New Roman" w:hAnsi="Times New Roman" w:cs="Times New Roman"/>
          <w:sz w:val="28"/>
          <w:szCs w:val="28"/>
        </w:rPr>
      </w:pPr>
      <w:r w:rsidRPr="008744E4">
        <w:rPr>
          <w:rFonts w:ascii="Times New Roman" w:hAnsi="Times New Roman" w:cs="Times New Roman"/>
          <w:sz w:val="28"/>
          <w:szCs w:val="28"/>
        </w:rPr>
        <w:t xml:space="preserve">wyniki, </w:t>
      </w:r>
      <w:r>
        <w:rPr>
          <w:rFonts w:ascii="Times New Roman" w:hAnsi="Times New Roman" w:cs="Times New Roman"/>
          <w:sz w:val="28"/>
          <w:szCs w:val="28"/>
        </w:rPr>
        <w:t>w</w:t>
      </w:r>
      <w:r w:rsidRPr="008744E4">
        <w:rPr>
          <w:rFonts w:ascii="Times New Roman" w:hAnsi="Times New Roman" w:cs="Times New Roman"/>
          <w:sz w:val="28"/>
          <w:szCs w:val="28"/>
        </w:rPr>
        <w:t>yniki finalne.</w:t>
      </w:r>
    </w:p>
    <w:p w14:paraId="3F9B4D1D" w14:textId="77777777" w:rsidR="00994156" w:rsidRDefault="00994156" w:rsidP="00994156">
      <w:pPr>
        <w:spacing w:line="264" w:lineRule="auto"/>
        <w:jc w:val="both"/>
        <w:rPr>
          <w:rFonts w:ascii="Times New Roman" w:hAnsi="Times New Roman" w:cs="Times New Roman"/>
          <w:sz w:val="28"/>
          <w:szCs w:val="28"/>
        </w:rPr>
      </w:pPr>
      <w:r>
        <w:rPr>
          <w:rFonts w:ascii="Times New Roman" w:hAnsi="Times New Roman" w:cs="Times New Roman"/>
          <w:sz w:val="28"/>
          <w:szCs w:val="28"/>
        </w:rPr>
        <w:t>Każde z nich powinno zostać opisane wskaźnikami i indeksami, a pytania ewaluacyjne, jako pewien rodzaj hipotez badawczych, powinny dać głębszy wgląd w mechanizmy rządzące interwencją i ułatwiać identyfikację zależności przyczynowo-skutkowych.</w:t>
      </w:r>
    </w:p>
    <w:p w14:paraId="43EA1E1D" w14:textId="77777777" w:rsidR="00994156" w:rsidRDefault="00994156" w:rsidP="00994156">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Jako zasadę w ewaluacji powinno się przyjmować, że w pierwszym rzędzie wykonujemy już istniejące (tzw. dane zestawne) źródła danych, najlepiej dostępne w oficjalnych statystykach państwowych, rejestrach i bazach danych (Meyer, 2022; Zierke, 2022). Na ogół jednak i takie dane wymagać będą mniejszych lub większych dostosowań na potrzeby ewaluacji. Mimo wszystko i tak taka strategia będzie efektywniejsza kosztowo w porównaniu do ich gromadzenia od nowa.</w:t>
      </w:r>
    </w:p>
    <w:p w14:paraId="07920A71" w14:textId="77777777" w:rsidR="00994156" w:rsidRDefault="00994156" w:rsidP="00994156">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Niestety, prawie zawsze ogólnie dostępne źródła danych nie są wystarczające dla ewaluatorów, bo w przypadku ewaluacji wpływu trzeba dysponować dodatkowymi informacjami dotyczącymi okresów przed i po interwencji. Problem z reguły się komplikuje przez to, że proces zbierania dodatkowych danych wymagać będzie skonstruowania odpowiednich narzędzi i wylosowania prób badawczych, przeprowadzenia pilotaży ankiet i sondaży, wykonania badań właściwych w terenie, kontroli jakości oraz odpowiednich procedur ich przetwarzania i archiwizowania. Bardzo istotnym wymogiem dobrej jakości ewaluacji jest stosowanie takich samych procedur w odniesieniu do grup jednostek badanych i kontrolnych. </w:t>
      </w:r>
      <w:r>
        <w:rPr>
          <w:rFonts w:ascii="Times New Roman" w:hAnsi="Times New Roman" w:cs="Times New Roman"/>
          <w:sz w:val="28"/>
          <w:szCs w:val="28"/>
        </w:rPr>
        <w:lastRenderedPageBreak/>
        <w:t>Złożoność pozyskiwania danych dodatkowych często jest tak duża i może generować znaczne ryzyka, że ewaluatorzy czynności z tym związane zlecają podmiotom wyspecjalizowanym w tej dziedzinie (Gertler i in., 2016). W konsekwencji rosną jednak koszty badań ewaluacyjnych.</w:t>
      </w:r>
    </w:p>
    <w:p w14:paraId="08A7449B" w14:textId="77777777" w:rsidR="00994156" w:rsidRDefault="00994156" w:rsidP="00994156">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Szczególnych kompetencji wymaga konstruowanie prób badawczych jako narzędzia niezbędnego do gromadzenia danych w badaniach ewaluacyjnych (Glewwe i Todd, 2022).</w:t>
      </w:r>
    </w:p>
    <w:p w14:paraId="13FFA097" w14:textId="77777777" w:rsidR="00994156" w:rsidRDefault="00994156" w:rsidP="00994156">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W literaturze przedmiotu powszechnie czynności z tym związane określa się angielskim słowem „</w:t>
      </w:r>
      <w:r w:rsidRPr="00C41AD9">
        <w:rPr>
          <w:rFonts w:ascii="Times New Roman" w:hAnsi="Times New Roman" w:cs="Times New Roman"/>
          <w:i/>
          <w:iCs/>
          <w:sz w:val="28"/>
          <w:szCs w:val="28"/>
        </w:rPr>
        <w:t>sampling</w:t>
      </w:r>
      <w:r>
        <w:rPr>
          <w:rFonts w:ascii="Times New Roman" w:hAnsi="Times New Roman" w:cs="Times New Roman"/>
          <w:sz w:val="28"/>
          <w:szCs w:val="28"/>
        </w:rPr>
        <w:t>”. Natomiast procedury statystyczne zorientowane na ustalenie wielkości prób jednostek, gwarantujących wysoką precyzję oszacowań efektów interwencji, występują pod nazwą „</w:t>
      </w:r>
      <w:r w:rsidRPr="00C41AD9">
        <w:rPr>
          <w:rFonts w:ascii="Times New Roman" w:hAnsi="Times New Roman" w:cs="Times New Roman"/>
          <w:i/>
          <w:iCs/>
          <w:sz w:val="28"/>
          <w:szCs w:val="28"/>
        </w:rPr>
        <w:t>power calculations</w:t>
      </w:r>
      <w:r>
        <w:rPr>
          <w:rFonts w:ascii="Times New Roman" w:hAnsi="Times New Roman" w:cs="Times New Roman"/>
          <w:sz w:val="28"/>
          <w:szCs w:val="28"/>
        </w:rPr>
        <w:t xml:space="preserve">”. </w:t>
      </w:r>
      <w:r w:rsidRPr="00C41AD9">
        <w:rPr>
          <w:rFonts w:ascii="Times New Roman" w:hAnsi="Times New Roman" w:cs="Times New Roman"/>
          <w:sz w:val="28"/>
          <w:szCs w:val="28"/>
        </w:rPr>
        <w:t xml:space="preserve">Kolejne ważne pojęcie to </w:t>
      </w:r>
      <w:r w:rsidRPr="00C41AD9">
        <w:rPr>
          <w:rFonts w:ascii="Times New Roman" w:hAnsi="Times New Roman" w:cs="Times New Roman"/>
          <w:i/>
          <w:iCs/>
          <w:sz w:val="28"/>
          <w:szCs w:val="28"/>
        </w:rPr>
        <w:t>the minimum detectable effec</w:t>
      </w:r>
      <w:r w:rsidRPr="00C41AD9">
        <w:rPr>
          <w:rFonts w:ascii="Times New Roman" w:hAnsi="Times New Roman" w:cs="Times New Roman"/>
          <w:sz w:val="28"/>
          <w:szCs w:val="28"/>
        </w:rPr>
        <w:t>t (MDE), czyli ta</w:t>
      </w:r>
      <w:r>
        <w:rPr>
          <w:rFonts w:ascii="Times New Roman" w:hAnsi="Times New Roman" w:cs="Times New Roman"/>
          <w:sz w:val="28"/>
          <w:szCs w:val="28"/>
        </w:rPr>
        <w:t>ka wielkość próby badawczej, która pozwoli określić akceptowalne różnice zmiennych wynikowych między próbą badaną i kontrolną, oczywiście przy zadanej mocy i istotności statystycznej (Glewwe i Todd, 2022). Spełnienie tego warunku głównie przesądza o walidacji wewnętrznej (dostarczanie adekwatnych oszacowań efektów interwencji w sytuacji kontrfaktycznej dzięki właściwej próbie kontrolnej) i walidacji zewnętrznej ewaluacji, tj. dopasowaniu próby do populacji generalnej, co pozwala na uogólnienie wyników z próby na całą populację (Leeuw i in., 2008). Jako ogólną rekomendację przyjmuje się tu, że większe próby poprawiają MDE oraz obydwa typy walidacji, co wprost wynika z logiki centralnego twierdzenia granicznego. Jednakże wiąże się to z wyższymi kosztami. Stąd także i w tym przypadku potrzebna jest bardzo dogłębna analiza kosztów i korzyści oraz ryzyk.</w:t>
      </w:r>
    </w:p>
    <w:p w14:paraId="50C06FC3" w14:textId="77777777" w:rsidR="00994156" w:rsidRDefault="00994156" w:rsidP="00994156">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Ogólnie rekomenduje się, by próby badane i kontrolne w ewaluacji były jednakowo liczne, ale nie należy tego absolutyzować. Zawsze trzeba na pierwszym miejscu stawiać jakość ewaluacji oraz precyzję oszacowań efektów interwencji. W ewaluacji kontrfaktycznej ogromnie ważną sprawą jest przy tym jednak konstrukcja grupy kontrolnej. Zaleca się tu przestrzeganie  w tym momencie trzech zasad:</w:t>
      </w:r>
    </w:p>
    <w:p w14:paraId="018C5A72" w14:textId="77777777" w:rsidR="00994156" w:rsidRDefault="00994156" w:rsidP="00994156">
      <w:pPr>
        <w:pStyle w:val="Akapitzlist"/>
        <w:numPr>
          <w:ilvl w:val="0"/>
          <w:numId w:val="72"/>
        </w:numPr>
        <w:spacing w:line="264" w:lineRule="auto"/>
        <w:ind w:left="567" w:hanging="567"/>
        <w:jc w:val="both"/>
        <w:rPr>
          <w:rFonts w:ascii="Times New Roman" w:hAnsi="Times New Roman" w:cs="Times New Roman"/>
          <w:sz w:val="28"/>
          <w:szCs w:val="28"/>
        </w:rPr>
      </w:pPr>
      <w:r>
        <w:rPr>
          <w:rFonts w:ascii="Times New Roman" w:hAnsi="Times New Roman" w:cs="Times New Roman"/>
          <w:sz w:val="28"/>
          <w:szCs w:val="28"/>
        </w:rPr>
        <w:t>Średnie wartości charakterystyk obydwu grup muszą być identyczne przed interwencją. Na szczęście, nie oznacza to, że poszczególne jednostki w obydwu grupach muszą być takie same.</w:t>
      </w:r>
    </w:p>
    <w:p w14:paraId="00766949" w14:textId="77777777" w:rsidR="00994156" w:rsidRDefault="00994156" w:rsidP="00994156">
      <w:pPr>
        <w:pStyle w:val="Akapitzlist"/>
        <w:numPr>
          <w:ilvl w:val="0"/>
          <w:numId w:val="72"/>
        </w:numPr>
        <w:spacing w:line="264" w:lineRule="auto"/>
        <w:ind w:left="567" w:hanging="567"/>
        <w:jc w:val="both"/>
        <w:rPr>
          <w:rFonts w:ascii="Times New Roman" w:hAnsi="Times New Roman" w:cs="Times New Roman"/>
          <w:sz w:val="28"/>
          <w:szCs w:val="28"/>
        </w:rPr>
      </w:pPr>
      <w:r>
        <w:rPr>
          <w:rFonts w:ascii="Times New Roman" w:hAnsi="Times New Roman" w:cs="Times New Roman"/>
          <w:sz w:val="28"/>
          <w:szCs w:val="28"/>
        </w:rPr>
        <w:t>Fakt interwencji nie może wpływać ani bezpośrednio, ani pośrednio na grupę kontrolną.</w:t>
      </w:r>
    </w:p>
    <w:p w14:paraId="59B1CCE4" w14:textId="77777777" w:rsidR="00994156" w:rsidRDefault="00994156" w:rsidP="00994156">
      <w:pPr>
        <w:pStyle w:val="Akapitzlist"/>
        <w:numPr>
          <w:ilvl w:val="0"/>
          <w:numId w:val="72"/>
        </w:numPr>
        <w:spacing w:line="264"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Wyniki jednostek w grupie kontrolnej powinny się zmieniać w podobny sposób jak tych w grupie badanej, jeśli obydwie uczestniczyły w programie albo </w:t>
      </w:r>
      <w:r>
        <w:rPr>
          <w:rFonts w:ascii="Times New Roman" w:hAnsi="Times New Roman" w:cs="Times New Roman"/>
          <w:sz w:val="28"/>
          <w:szCs w:val="28"/>
        </w:rPr>
        <w:lastRenderedPageBreak/>
        <w:t>nie. Innymi słowy, obydwie grupy powinny jednakowo reagować na interwencję.</w:t>
      </w:r>
    </w:p>
    <w:p w14:paraId="150E3516" w14:textId="77777777" w:rsidR="00994156" w:rsidRPr="00CE3E53" w:rsidRDefault="00994156" w:rsidP="00994156">
      <w:pPr>
        <w:spacing w:line="264" w:lineRule="auto"/>
        <w:jc w:val="both"/>
        <w:rPr>
          <w:rFonts w:ascii="Times New Roman" w:hAnsi="Times New Roman" w:cs="Times New Roman"/>
          <w:sz w:val="28"/>
          <w:szCs w:val="28"/>
        </w:rPr>
      </w:pPr>
      <w:r>
        <w:rPr>
          <w:rFonts w:ascii="Times New Roman" w:hAnsi="Times New Roman" w:cs="Times New Roman"/>
          <w:sz w:val="28"/>
          <w:szCs w:val="28"/>
        </w:rPr>
        <w:t>Gdy warunki te są spełnione, różnica wyników między obydwoma grupami będzie tylko efektem samej interwencji (Gertler i in., 2016).</w:t>
      </w:r>
    </w:p>
    <w:p w14:paraId="5D174796" w14:textId="77777777" w:rsidR="00994156" w:rsidRDefault="00994156" w:rsidP="00994156">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Warto pamiętać również i o tym, że średni wynik przyczynowy będzie bardziej zbliżony do rzeczywistego, jeśli obydwie grupy będą większe, gdyż wtedy maleje wariancja. Dzieje się tak niezależnie od zastosowanego mechanizmu alokacji jednostek do grup (Imbens i Rubin, 2015). W losowaniu dowolnej próby badawczej każdorazowo trzeba ustalić interesującą ewaluatora populację generalną jednostek, których charakterystyki chce on rozpoznać, określić schemat jej pobierania oraz wykonać </w:t>
      </w:r>
      <w:r w:rsidRPr="000629DC">
        <w:rPr>
          <w:rFonts w:ascii="Times New Roman" w:hAnsi="Times New Roman" w:cs="Times New Roman"/>
          <w:i/>
          <w:iCs/>
          <w:sz w:val="28"/>
          <w:szCs w:val="28"/>
        </w:rPr>
        <w:t>power calculations</w:t>
      </w:r>
      <w:r>
        <w:rPr>
          <w:rFonts w:ascii="Times New Roman" w:hAnsi="Times New Roman" w:cs="Times New Roman"/>
          <w:sz w:val="28"/>
          <w:szCs w:val="28"/>
        </w:rPr>
        <w:t xml:space="preserve"> (Glewwe i Todd, 2022). Jeśli schemat nie pokrywa się precyzyjnie z populacją generalną, pojawia się błąd pokrycia (</w:t>
      </w:r>
      <w:r w:rsidRPr="00CC1534">
        <w:rPr>
          <w:rFonts w:ascii="Times New Roman" w:hAnsi="Times New Roman" w:cs="Times New Roman"/>
          <w:i/>
          <w:iCs/>
          <w:sz w:val="28"/>
          <w:szCs w:val="28"/>
        </w:rPr>
        <w:t>a coverage bias</w:t>
      </w:r>
      <w:r>
        <w:rPr>
          <w:rFonts w:ascii="Times New Roman" w:hAnsi="Times New Roman" w:cs="Times New Roman"/>
          <w:sz w:val="28"/>
          <w:szCs w:val="28"/>
        </w:rPr>
        <w:t>). Skutkuje on tym, że nasza ewaluacja nie spełnia kryterium walidacji zewnętrznej (McKanziv i Rosenzweig, 2012). Jest to jedno ze źródeł ryzyka w badaniach ewaluacyjnych.</w:t>
      </w:r>
    </w:p>
    <w:p w14:paraId="612220FA" w14:textId="77777777" w:rsidR="00994156" w:rsidRDefault="00994156" w:rsidP="00994156">
      <w:pPr>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O ile to możliwe, to ewaluatorzy powinni priorytetowo traktować probabilistyczne zasady konstruowania prób badawczych, tj. takie, w których każda jednostka wylosowana ma dobrze zdefiniowane prawdopodobieństwo. W ślad za tym wyróżnia się trzy typy takich prób:</w:t>
      </w:r>
    </w:p>
    <w:p w14:paraId="75580EB4" w14:textId="77777777" w:rsidR="00994156" w:rsidRPr="005E5B89" w:rsidRDefault="00994156" w:rsidP="00994156">
      <w:pPr>
        <w:pStyle w:val="Akapitzlist"/>
        <w:numPr>
          <w:ilvl w:val="0"/>
          <w:numId w:val="73"/>
        </w:numPr>
        <w:spacing w:line="264" w:lineRule="auto"/>
        <w:ind w:left="567" w:hanging="567"/>
        <w:jc w:val="both"/>
        <w:rPr>
          <w:rFonts w:ascii="Times New Roman" w:hAnsi="Times New Roman" w:cs="Times New Roman"/>
          <w:sz w:val="28"/>
          <w:szCs w:val="28"/>
        </w:rPr>
      </w:pPr>
      <w:r w:rsidRPr="005E5B89">
        <w:rPr>
          <w:rFonts w:ascii="Times New Roman" w:hAnsi="Times New Roman" w:cs="Times New Roman"/>
          <w:sz w:val="28"/>
          <w:szCs w:val="28"/>
        </w:rPr>
        <w:t>Losowe, w których każda jednostka w populacji generalnej ma takie samo prawdopodobieństwo znalezienia się w próbie.</w:t>
      </w:r>
    </w:p>
    <w:p w14:paraId="4E390135" w14:textId="77777777" w:rsidR="00994156" w:rsidRPr="005E5B89" w:rsidRDefault="00994156" w:rsidP="00994156">
      <w:pPr>
        <w:pStyle w:val="Akapitzlist"/>
        <w:numPr>
          <w:ilvl w:val="0"/>
          <w:numId w:val="73"/>
        </w:numPr>
        <w:spacing w:line="264" w:lineRule="auto"/>
        <w:ind w:left="567" w:hanging="567"/>
        <w:jc w:val="both"/>
        <w:rPr>
          <w:rFonts w:ascii="Times New Roman" w:hAnsi="Times New Roman" w:cs="Times New Roman"/>
          <w:sz w:val="28"/>
          <w:szCs w:val="28"/>
        </w:rPr>
      </w:pPr>
      <w:r w:rsidRPr="005E5B89">
        <w:rPr>
          <w:rFonts w:ascii="Times New Roman" w:hAnsi="Times New Roman" w:cs="Times New Roman"/>
          <w:sz w:val="28"/>
          <w:szCs w:val="28"/>
        </w:rPr>
        <w:t>Warstwowe. Tu populację dzieli się najpierw na grupy (warstwy), a następnie pobiera się losowo jednostki w obrębie grup. Schemat ten stosuje się zazwyczaj wtedy, gdy ewaluator kieruje się tzw. nadpróbkowaniem, a więc chce głębiej poznać interesujące go zjawisko, a populacja generaln</w:t>
      </w:r>
      <w:r>
        <w:rPr>
          <w:rFonts w:ascii="Times New Roman" w:hAnsi="Times New Roman" w:cs="Times New Roman"/>
          <w:sz w:val="28"/>
          <w:szCs w:val="28"/>
        </w:rPr>
        <w:t>a</w:t>
      </w:r>
      <w:r w:rsidRPr="005E5B89">
        <w:rPr>
          <w:rFonts w:ascii="Times New Roman" w:hAnsi="Times New Roman" w:cs="Times New Roman"/>
          <w:sz w:val="28"/>
          <w:szCs w:val="28"/>
        </w:rPr>
        <w:t xml:space="preserve"> nie jest zbyt liczna.</w:t>
      </w:r>
    </w:p>
    <w:p w14:paraId="7BF024CB" w14:textId="77777777" w:rsidR="00994156" w:rsidRDefault="00994156" w:rsidP="00994156">
      <w:pPr>
        <w:pStyle w:val="Akapitzlist"/>
        <w:numPr>
          <w:ilvl w:val="0"/>
          <w:numId w:val="73"/>
        </w:numPr>
        <w:spacing w:line="264" w:lineRule="auto"/>
        <w:ind w:left="567" w:hanging="567"/>
        <w:jc w:val="both"/>
        <w:rPr>
          <w:rFonts w:ascii="Times New Roman" w:hAnsi="Times New Roman" w:cs="Times New Roman"/>
          <w:sz w:val="28"/>
          <w:szCs w:val="28"/>
        </w:rPr>
      </w:pPr>
      <w:r w:rsidRPr="005E5B89">
        <w:rPr>
          <w:rFonts w:ascii="Times New Roman" w:hAnsi="Times New Roman" w:cs="Times New Roman"/>
          <w:sz w:val="28"/>
          <w:szCs w:val="28"/>
        </w:rPr>
        <w:t>Klastrowe. W tym przypadku najpierw losuje się klastry, a później jednostki w ich ramach (Thompson, 2002).</w:t>
      </w:r>
    </w:p>
    <w:p w14:paraId="46C07815" w14:textId="77777777" w:rsidR="00994156" w:rsidRDefault="00994156" w:rsidP="00994156">
      <w:pPr>
        <w:spacing w:line="264"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W wielu ewaluacjach korzysta się jednak z prób nielosowych a więc celowych. Rzecz jasna, pojawia się wówczas </w:t>
      </w:r>
      <w:r w:rsidRPr="001E06F2">
        <w:rPr>
          <w:rFonts w:ascii="Times New Roman" w:hAnsi="Times New Roman" w:cs="Times New Roman"/>
          <w:i/>
          <w:iCs/>
          <w:sz w:val="28"/>
          <w:szCs w:val="28"/>
        </w:rPr>
        <w:t>a coverage bias</w:t>
      </w:r>
      <w:r>
        <w:rPr>
          <w:rFonts w:ascii="Times New Roman" w:hAnsi="Times New Roman" w:cs="Times New Roman"/>
          <w:sz w:val="28"/>
          <w:szCs w:val="28"/>
        </w:rPr>
        <w:t xml:space="preserve"> i trudno wtedy mówić o obydwu ww. typach walidacji. Z sytuacją tą mamy zazwyczaj do czynienia w badaniach quasi eksperymentalnych, a więc m.in. w przypadku PSM i DID, czyli narzędziach przewidzianych do ewaluacji dotowanych ubezpieczeń upraw i zwierząt w Polsce. W tym miejscu trzeba bardzo mocno podkreślić, żeby nie mylić losowania prób badawczych z randomizacją przydzielania jednostek do grup badanych i kontrolnych. Ta pierwsza procedura nie czyni dwóch grup nie dających się porównywać porównywalnymi. Inaczej jest natomiast w przypadku </w:t>
      </w:r>
      <w:r>
        <w:rPr>
          <w:rFonts w:ascii="Times New Roman" w:hAnsi="Times New Roman" w:cs="Times New Roman"/>
          <w:sz w:val="28"/>
          <w:szCs w:val="28"/>
        </w:rPr>
        <w:lastRenderedPageBreak/>
        <w:t>randomizacji, która teoretycznie rzecz biorąc, daje podstawy do walidacji wewnętrznej i zewnętrznej wyników ewaluacji (Vermeersch i in., 2012).</w:t>
      </w:r>
    </w:p>
    <w:p w14:paraId="60CB8CAD" w14:textId="77777777" w:rsidR="00994156" w:rsidRDefault="00994156" w:rsidP="00994156">
      <w:pPr>
        <w:spacing w:line="264" w:lineRule="auto"/>
        <w:ind w:firstLine="567"/>
        <w:jc w:val="both"/>
        <w:rPr>
          <w:rFonts w:ascii="Times New Roman" w:hAnsi="Times New Roman" w:cs="Times New Roman"/>
          <w:sz w:val="28"/>
          <w:szCs w:val="28"/>
        </w:rPr>
      </w:pPr>
      <w:r w:rsidRPr="00C64C95">
        <w:rPr>
          <w:rFonts w:ascii="Times New Roman" w:hAnsi="Times New Roman" w:cs="Times New Roman"/>
          <w:i/>
          <w:iCs/>
          <w:sz w:val="28"/>
          <w:szCs w:val="28"/>
        </w:rPr>
        <w:t>Power calculations</w:t>
      </w:r>
      <w:r>
        <w:rPr>
          <w:rFonts w:ascii="Times New Roman" w:hAnsi="Times New Roman" w:cs="Times New Roman"/>
          <w:sz w:val="28"/>
          <w:szCs w:val="28"/>
        </w:rPr>
        <w:t>, czyli wyznaczenie minimalnej wielkości próby badawczej niezbędnej dla precyzyjnego oszacowania efektów w ewolucji wpływu, konkretyzowanego w sposób syntetyczny za pomocą MDE, ściśle wiąże się z możliwością wystąpienia dwóch błędów: I i II typu (Gertler i in., 2016). Pierwszy nazywany też fałszywym błędem dodatnim występuje, gdy ewaluator uznał, że interwencja dała oczekiwane efekty (odrzucił hipotezę zerową braku wpływu), choć w rzeczywistości nie miały one miejsca (hipoteza zerowa była poprawna). Znany w statystyce poziom istotności α jest prawdopodobieństwem popełnienia tego błędu. Im α jest niższe, tym mniejsze zagrożenie tym błędem. Błąd II typu, znany również jako błąd fałszywie negatywny, ma miejsce w ewaluacji wpływu, gdy ewaluator doszedł do wniosku, że program nie przyniósł oczekiwanych efektów, ale faktycznie było inaczej. Stąd power jest prawdopodobieństwem wykrycia wpływu, jeśli on rzeczywiście się pojawił. Ewaluacja ma zatem wyższą power, im niższe jest ryzyko niewykrycia rzeczywistych efektów programu. Innymi słowy, miarą popełnienia błędu II jest różnica 1 minus power. Generalnie większe próby badawcze minimalizują ryzyko popełnienia błędu II, który ma bardzo negatywne następstwa w polityce, gdyż pochopnie możemy zrezygnować ze społecznie korzystnych interwencji.</w:t>
      </w:r>
    </w:p>
    <w:p w14:paraId="0B002655" w14:textId="37C6C47B" w:rsidR="0055342F" w:rsidRPr="0055342F" w:rsidRDefault="0055342F" w:rsidP="0055342F">
      <w:pPr>
        <w:spacing w:line="259" w:lineRule="auto"/>
        <w:ind w:firstLine="709"/>
        <w:jc w:val="both"/>
        <w:rPr>
          <w:rFonts w:ascii="Times New Roman" w:eastAsia="Aptos" w:hAnsi="Times New Roman" w:cs="Times New Roman"/>
          <w:sz w:val="28"/>
          <w:szCs w:val="28"/>
        </w:rPr>
      </w:pPr>
      <w:r w:rsidRPr="0055342F">
        <w:rPr>
          <w:rFonts w:ascii="Times New Roman" w:eastAsia="Aptos" w:hAnsi="Times New Roman" w:cs="Times New Roman"/>
          <w:sz w:val="28"/>
          <w:szCs w:val="28"/>
        </w:rPr>
        <w:t>W tabeli 1</w:t>
      </w:r>
      <w:r w:rsidR="00362471">
        <w:rPr>
          <w:rFonts w:ascii="Times New Roman" w:eastAsia="Aptos" w:hAnsi="Times New Roman" w:cs="Times New Roman"/>
          <w:sz w:val="28"/>
          <w:szCs w:val="28"/>
        </w:rPr>
        <w:t>3</w:t>
      </w:r>
      <w:r w:rsidRPr="0055342F">
        <w:rPr>
          <w:rFonts w:ascii="Times New Roman" w:eastAsia="Aptos" w:hAnsi="Times New Roman" w:cs="Times New Roman"/>
          <w:sz w:val="28"/>
          <w:szCs w:val="28"/>
        </w:rPr>
        <w:t xml:space="preserve"> zestawiono kluczowe źródła danych, które zostaną wykorzystane w ewaluacji systemu dotowanych ubezpieczeń upraw i zwierząt gospodarskich. W przypadku bazy Polskiego FADN, obejmującej gospodarstwa  osób fizycznych zbiór zmiennych dotyczących udziału tych podmiotów w systemie dotowanych ubezpieczeń upraw i żywego inwentarza nie jest zbyt obszerny. Niemniej jednak, pozwala on  na sporządzenie podstawowych analiz  ilościowych. Zmienne dotyczące ubezpieczeń upraw i zwierząt gospodarskich z bazy Polskiego FADN mogą mieć charakter kosztowy (np. płacona składka), jak i przychodowy (np. odszkodowanie z tytułu materializacji  ryzyka ujętego w polisie ubezpieczeniowej). Baza gospodarstw osób prawnych ma charakter pomocniczy z uwagi na niewielką liczebność tej próby rocznie. </w:t>
      </w:r>
      <w:r w:rsidRPr="0055342F">
        <w:rPr>
          <w:rFonts w:ascii="Times New Roman" w:eastAsia="Aptos" w:hAnsi="Times New Roman" w:cs="Times New Roman"/>
          <w:i/>
          <w:iCs/>
          <w:sz w:val="28"/>
          <w:szCs w:val="28"/>
        </w:rPr>
        <w:t>Ergo</w:t>
      </w:r>
      <w:r w:rsidRPr="0055342F">
        <w:rPr>
          <w:rFonts w:ascii="Times New Roman" w:eastAsia="Aptos" w:hAnsi="Times New Roman" w:cs="Times New Roman"/>
          <w:sz w:val="28"/>
          <w:szCs w:val="28"/>
        </w:rPr>
        <w:t>, podstawowym źródłem danych do  badań empirycznych będą zasoby Polskiego FADN w zakresie gospodarstw osób fizycznych. Dane ilościowe z bazy FADN mogą powiązane z danymi jakościowymi uzyskanymi metodą sondażu diagnostycznego.</w:t>
      </w:r>
    </w:p>
    <w:p w14:paraId="1FCB34B1" w14:textId="77777777" w:rsidR="0055342F" w:rsidRDefault="0055342F" w:rsidP="0055342F">
      <w:pPr>
        <w:spacing w:line="259" w:lineRule="auto"/>
        <w:rPr>
          <w:rFonts w:ascii="Times New Roman" w:eastAsia="Aptos" w:hAnsi="Times New Roman" w:cs="Times New Roman"/>
          <w:sz w:val="28"/>
          <w:szCs w:val="28"/>
        </w:rPr>
      </w:pPr>
    </w:p>
    <w:p w14:paraId="61816AED" w14:textId="77777777" w:rsidR="006D0C39" w:rsidRPr="0055342F" w:rsidRDefault="006D0C39" w:rsidP="0055342F">
      <w:pPr>
        <w:spacing w:line="259" w:lineRule="auto"/>
        <w:rPr>
          <w:rFonts w:ascii="Times New Roman" w:eastAsia="Aptos" w:hAnsi="Times New Roman" w:cs="Times New Roman"/>
          <w:sz w:val="28"/>
          <w:szCs w:val="28"/>
        </w:rPr>
      </w:pPr>
    </w:p>
    <w:p w14:paraId="51B12B6A" w14:textId="5F6C6C09" w:rsidR="0055342F" w:rsidRPr="0055342F" w:rsidRDefault="0055342F" w:rsidP="0055342F">
      <w:pPr>
        <w:spacing w:line="259" w:lineRule="auto"/>
        <w:rPr>
          <w:rFonts w:ascii="Times New Roman" w:eastAsia="Aptos" w:hAnsi="Times New Roman" w:cs="Times New Roman"/>
          <w:sz w:val="28"/>
          <w:szCs w:val="28"/>
        </w:rPr>
      </w:pPr>
      <w:r w:rsidRPr="0055342F">
        <w:rPr>
          <w:rFonts w:ascii="Times New Roman" w:eastAsia="Aptos" w:hAnsi="Times New Roman" w:cs="Times New Roman"/>
          <w:b/>
          <w:bCs/>
          <w:sz w:val="28"/>
          <w:szCs w:val="28"/>
        </w:rPr>
        <w:lastRenderedPageBreak/>
        <w:t>Tabela 1</w:t>
      </w:r>
      <w:r w:rsidR="00362471">
        <w:rPr>
          <w:rFonts w:ascii="Times New Roman" w:eastAsia="Aptos" w:hAnsi="Times New Roman" w:cs="Times New Roman"/>
          <w:b/>
          <w:bCs/>
          <w:sz w:val="28"/>
          <w:szCs w:val="28"/>
        </w:rPr>
        <w:t>3</w:t>
      </w:r>
      <w:r w:rsidRPr="0055342F">
        <w:rPr>
          <w:rFonts w:ascii="Times New Roman" w:eastAsia="Aptos" w:hAnsi="Times New Roman" w:cs="Times New Roman"/>
          <w:b/>
          <w:bCs/>
          <w:sz w:val="28"/>
          <w:szCs w:val="28"/>
        </w:rPr>
        <w:t>.</w:t>
      </w:r>
      <w:r w:rsidRPr="0055342F">
        <w:rPr>
          <w:rFonts w:ascii="Times New Roman" w:eastAsia="Aptos" w:hAnsi="Times New Roman" w:cs="Times New Roman"/>
          <w:sz w:val="28"/>
          <w:szCs w:val="28"/>
        </w:rPr>
        <w:t xml:space="preserve">  Źródła danych w ewaluacji systemu dotowanych ubezpieczeń upraw i zwierząt gospodarskich</w:t>
      </w:r>
    </w:p>
    <w:tbl>
      <w:tblPr>
        <w:tblStyle w:val="Tabela-Siatka"/>
        <w:tblW w:w="0" w:type="auto"/>
        <w:tblLook w:val="04A0" w:firstRow="1" w:lastRow="0" w:firstColumn="1" w:lastColumn="0" w:noHBand="0" w:noVBand="1"/>
      </w:tblPr>
      <w:tblGrid>
        <w:gridCol w:w="1555"/>
        <w:gridCol w:w="4486"/>
        <w:gridCol w:w="3021"/>
      </w:tblGrid>
      <w:tr w:rsidR="0055342F" w:rsidRPr="0055342F" w14:paraId="0FA1CC53" w14:textId="77777777" w:rsidTr="0055342F">
        <w:trPr>
          <w:trHeight w:val="625"/>
        </w:trPr>
        <w:tc>
          <w:tcPr>
            <w:tcW w:w="1555" w:type="dxa"/>
            <w:shd w:val="clear" w:color="auto" w:fill="D9D9D9"/>
            <w:vAlign w:val="center"/>
          </w:tcPr>
          <w:p w14:paraId="14DB556E" w14:textId="75CE1544" w:rsidR="0055342F" w:rsidRPr="0055342F" w:rsidRDefault="0055342F" w:rsidP="0055342F">
            <w:pPr>
              <w:jc w:val="center"/>
              <w:rPr>
                <w:rFonts w:ascii="Times New Roman" w:eastAsia="Aptos" w:hAnsi="Times New Roman" w:cs="Times New Roman"/>
                <w:b/>
                <w:bCs/>
              </w:rPr>
            </w:pPr>
            <w:r w:rsidRPr="0055342F">
              <w:rPr>
                <w:rFonts w:ascii="Times New Roman" w:eastAsia="Aptos" w:hAnsi="Times New Roman" w:cs="Times New Roman"/>
                <w:b/>
                <w:bCs/>
              </w:rPr>
              <w:t xml:space="preserve">Źródło </w:t>
            </w:r>
            <w:r w:rsidR="008C1529">
              <w:rPr>
                <w:rFonts w:ascii="Times New Roman" w:eastAsia="Aptos" w:hAnsi="Times New Roman" w:cs="Times New Roman"/>
                <w:b/>
                <w:bCs/>
              </w:rPr>
              <w:br/>
            </w:r>
            <w:r w:rsidRPr="0055342F">
              <w:rPr>
                <w:rFonts w:ascii="Times New Roman" w:eastAsia="Aptos" w:hAnsi="Times New Roman" w:cs="Times New Roman"/>
                <w:b/>
                <w:bCs/>
              </w:rPr>
              <w:t>danych</w:t>
            </w:r>
          </w:p>
        </w:tc>
        <w:tc>
          <w:tcPr>
            <w:tcW w:w="4486" w:type="dxa"/>
            <w:shd w:val="clear" w:color="auto" w:fill="D9D9D9"/>
            <w:vAlign w:val="center"/>
          </w:tcPr>
          <w:p w14:paraId="3D692139" w14:textId="77777777" w:rsidR="0055342F" w:rsidRPr="0055342F" w:rsidRDefault="0055342F" w:rsidP="0055342F">
            <w:pPr>
              <w:jc w:val="center"/>
              <w:rPr>
                <w:rFonts w:ascii="Times New Roman" w:eastAsia="Aptos" w:hAnsi="Times New Roman" w:cs="Times New Roman"/>
                <w:b/>
                <w:bCs/>
              </w:rPr>
            </w:pPr>
            <w:r w:rsidRPr="0055342F">
              <w:rPr>
                <w:rFonts w:ascii="Times New Roman" w:eastAsia="Aptos" w:hAnsi="Times New Roman" w:cs="Times New Roman"/>
                <w:b/>
                <w:bCs/>
              </w:rPr>
              <w:t>Zakres</w:t>
            </w:r>
          </w:p>
        </w:tc>
        <w:tc>
          <w:tcPr>
            <w:tcW w:w="3021" w:type="dxa"/>
            <w:shd w:val="clear" w:color="auto" w:fill="D9D9D9"/>
            <w:vAlign w:val="center"/>
          </w:tcPr>
          <w:p w14:paraId="052C4D65" w14:textId="77777777" w:rsidR="0055342F" w:rsidRPr="0055342F" w:rsidRDefault="0055342F" w:rsidP="0055342F">
            <w:pPr>
              <w:jc w:val="center"/>
              <w:rPr>
                <w:rFonts w:ascii="Times New Roman" w:eastAsia="Aptos" w:hAnsi="Times New Roman" w:cs="Times New Roman"/>
                <w:b/>
                <w:bCs/>
              </w:rPr>
            </w:pPr>
            <w:r w:rsidRPr="0055342F">
              <w:rPr>
                <w:rFonts w:ascii="Times New Roman" w:eastAsia="Aptos" w:hAnsi="Times New Roman" w:cs="Times New Roman"/>
                <w:b/>
                <w:bCs/>
              </w:rPr>
              <w:t>Uwagi</w:t>
            </w:r>
          </w:p>
        </w:tc>
      </w:tr>
      <w:tr w:rsidR="0055342F" w:rsidRPr="0055342F" w14:paraId="6A9AAA9B" w14:textId="77777777" w:rsidTr="00415D4B">
        <w:tc>
          <w:tcPr>
            <w:tcW w:w="1555" w:type="dxa"/>
          </w:tcPr>
          <w:p w14:paraId="4D283B35" w14:textId="77777777" w:rsidR="0055342F" w:rsidRPr="0055342F" w:rsidRDefault="0055342F" w:rsidP="0055342F">
            <w:pPr>
              <w:rPr>
                <w:rFonts w:ascii="Times New Roman" w:eastAsia="Aptos" w:hAnsi="Times New Roman" w:cs="Times New Roman"/>
              </w:rPr>
            </w:pPr>
            <w:r w:rsidRPr="0055342F">
              <w:rPr>
                <w:rFonts w:ascii="Times New Roman" w:eastAsia="Aptos" w:hAnsi="Times New Roman" w:cs="Times New Roman"/>
              </w:rPr>
              <w:t>Komisja Nadzoru Finansowego (KNF)</w:t>
            </w:r>
          </w:p>
        </w:tc>
        <w:tc>
          <w:tcPr>
            <w:tcW w:w="4486" w:type="dxa"/>
          </w:tcPr>
          <w:p w14:paraId="1B743CCB" w14:textId="77777777" w:rsidR="0055342F" w:rsidRPr="0055342F" w:rsidRDefault="0055342F" w:rsidP="0055342F">
            <w:pPr>
              <w:rPr>
                <w:rFonts w:ascii="Times New Roman" w:eastAsia="Aptos" w:hAnsi="Times New Roman" w:cs="Times New Roman"/>
                <w:u w:val="single"/>
              </w:rPr>
            </w:pPr>
            <w:r w:rsidRPr="0055342F">
              <w:rPr>
                <w:rFonts w:ascii="Times New Roman" w:eastAsia="Aptos" w:hAnsi="Times New Roman" w:cs="Times New Roman"/>
                <w:u w:val="single"/>
              </w:rPr>
              <w:t>Sprawozdawczość zakładów ubezpieczeń (ZU):</w:t>
            </w:r>
          </w:p>
          <w:p w14:paraId="554CF7BC" w14:textId="77777777" w:rsidR="0055342F" w:rsidRPr="0055342F" w:rsidRDefault="0055342F" w:rsidP="0055342F">
            <w:pPr>
              <w:numPr>
                <w:ilvl w:val="0"/>
                <w:numId w:val="79"/>
              </w:numPr>
              <w:contextualSpacing/>
              <w:rPr>
                <w:rFonts w:ascii="Times New Roman" w:eastAsia="Aptos" w:hAnsi="Times New Roman" w:cs="Times New Roman"/>
              </w:rPr>
            </w:pPr>
            <w:r w:rsidRPr="0055342F">
              <w:rPr>
                <w:rFonts w:ascii="Times New Roman" w:eastAsia="Aptos" w:hAnsi="Times New Roman" w:cs="Times New Roman"/>
              </w:rPr>
              <w:t>sprawozdania finansowe,</w:t>
            </w:r>
          </w:p>
          <w:p w14:paraId="04C8C5C9" w14:textId="77777777" w:rsidR="0055342F" w:rsidRPr="0055342F" w:rsidRDefault="0055342F" w:rsidP="0055342F">
            <w:pPr>
              <w:numPr>
                <w:ilvl w:val="0"/>
                <w:numId w:val="79"/>
              </w:numPr>
              <w:contextualSpacing/>
              <w:rPr>
                <w:rFonts w:ascii="Times New Roman" w:eastAsia="Aptos" w:hAnsi="Times New Roman" w:cs="Times New Roman"/>
              </w:rPr>
            </w:pPr>
            <w:r w:rsidRPr="0055342F">
              <w:rPr>
                <w:rFonts w:ascii="Times New Roman" w:eastAsia="Aptos" w:hAnsi="Times New Roman" w:cs="Times New Roman"/>
              </w:rPr>
              <w:t>sprawozdania statystyczne,</w:t>
            </w:r>
          </w:p>
          <w:p w14:paraId="2558655F" w14:textId="77777777" w:rsidR="0055342F" w:rsidRPr="0055342F" w:rsidRDefault="0055342F" w:rsidP="0055342F">
            <w:pPr>
              <w:numPr>
                <w:ilvl w:val="0"/>
                <w:numId w:val="79"/>
              </w:numPr>
              <w:contextualSpacing/>
              <w:rPr>
                <w:rFonts w:ascii="Times New Roman" w:eastAsia="Aptos" w:hAnsi="Times New Roman" w:cs="Times New Roman"/>
              </w:rPr>
            </w:pPr>
            <w:r w:rsidRPr="0055342F">
              <w:rPr>
                <w:rFonts w:ascii="Times New Roman" w:eastAsia="Aptos" w:hAnsi="Times New Roman" w:cs="Times New Roman"/>
              </w:rPr>
              <w:t>informacje o ryzykach,</w:t>
            </w:r>
          </w:p>
          <w:p w14:paraId="4B35AD93" w14:textId="77777777" w:rsidR="0055342F" w:rsidRPr="0055342F" w:rsidRDefault="0055342F" w:rsidP="0055342F">
            <w:pPr>
              <w:numPr>
                <w:ilvl w:val="0"/>
                <w:numId w:val="79"/>
              </w:numPr>
              <w:contextualSpacing/>
              <w:rPr>
                <w:rFonts w:ascii="Times New Roman" w:eastAsia="Aptos" w:hAnsi="Times New Roman" w:cs="Times New Roman"/>
              </w:rPr>
            </w:pPr>
            <w:r w:rsidRPr="0055342F">
              <w:rPr>
                <w:rFonts w:ascii="Times New Roman" w:eastAsia="Aptos" w:hAnsi="Times New Roman" w:cs="Times New Roman"/>
              </w:rPr>
              <w:t>raporty dotyczące reasekuracji,</w:t>
            </w:r>
          </w:p>
          <w:p w14:paraId="6550C5DA" w14:textId="77777777" w:rsidR="0055342F" w:rsidRPr="0055342F" w:rsidRDefault="0055342F" w:rsidP="0055342F">
            <w:pPr>
              <w:numPr>
                <w:ilvl w:val="0"/>
                <w:numId w:val="79"/>
              </w:numPr>
              <w:contextualSpacing/>
              <w:rPr>
                <w:rFonts w:ascii="Times New Roman" w:eastAsia="Aptos" w:hAnsi="Times New Roman" w:cs="Times New Roman"/>
              </w:rPr>
            </w:pPr>
            <w:r w:rsidRPr="0055342F">
              <w:rPr>
                <w:rFonts w:ascii="Times New Roman" w:eastAsia="Aptos" w:hAnsi="Times New Roman" w:cs="Times New Roman"/>
              </w:rPr>
              <w:t>dodatkowe raporty.</w:t>
            </w:r>
          </w:p>
        </w:tc>
        <w:tc>
          <w:tcPr>
            <w:tcW w:w="3021" w:type="dxa"/>
          </w:tcPr>
          <w:p w14:paraId="66C33A26" w14:textId="77777777" w:rsidR="0055342F" w:rsidRPr="0055342F" w:rsidRDefault="0055342F" w:rsidP="0055342F">
            <w:pPr>
              <w:rPr>
                <w:rFonts w:ascii="Times New Roman" w:eastAsia="Aptos" w:hAnsi="Times New Roman" w:cs="Times New Roman"/>
              </w:rPr>
            </w:pPr>
            <w:r w:rsidRPr="0055342F">
              <w:rPr>
                <w:rFonts w:ascii="Times New Roman" w:eastAsia="Aptos" w:hAnsi="Times New Roman" w:cs="Times New Roman"/>
              </w:rPr>
              <w:t>Źródło danych o charakterze uzupełniającym, uszczegółowiające charakterystykę strony podażowej rynku.</w:t>
            </w:r>
          </w:p>
        </w:tc>
      </w:tr>
      <w:tr w:rsidR="0055342F" w:rsidRPr="0055342F" w14:paraId="645CB893" w14:textId="77777777" w:rsidTr="00415D4B">
        <w:tc>
          <w:tcPr>
            <w:tcW w:w="1555" w:type="dxa"/>
          </w:tcPr>
          <w:p w14:paraId="4A8FDE3D" w14:textId="77777777" w:rsidR="0055342F" w:rsidRPr="0055342F" w:rsidRDefault="0055342F" w:rsidP="0055342F">
            <w:pPr>
              <w:rPr>
                <w:rFonts w:ascii="Times New Roman" w:eastAsia="Aptos" w:hAnsi="Times New Roman" w:cs="Times New Roman"/>
              </w:rPr>
            </w:pPr>
            <w:r w:rsidRPr="0055342F">
              <w:rPr>
                <w:rFonts w:ascii="Times New Roman" w:eastAsia="Aptos" w:hAnsi="Times New Roman" w:cs="Times New Roman"/>
              </w:rPr>
              <w:t>Polska Izba Ubezpieczeń (PIU)</w:t>
            </w:r>
          </w:p>
        </w:tc>
        <w:tc>
          <w:tcPr>
            <w:tcW w:w="4486" w:type="dxa"/>
          </w:tcPr>
          <w:p w14:paraId="0C4DB383" w14:textId="77777777" w:rsidR="0055342F" w:rsidRPr="0055342F" w:rsidRDefault="0055342F" w:rsidP="0055342F">
            <w:pPr>
              <w:rPr>
                <w:rFonts w:ascii="Times New Roman" w:eastAsia="Aptos" w:hAnsi="Times New Roman" w:cs="Times New Roman"/>
                <w:u w:val="single"/>
              </w:rPr>
            </w:pPr>
            <w:r w:rsidRPr="0055342F">
              <w:rPr>
                <w:rFonts w:ascii="Times New Roman" w:eastAsia="Aptos" w:hAnsi="Times New Roman" w:cs="Times New Roman"/>
                <w:u w:val="single"/>
              </w:rPr>
              <w:t>Publikacje dostępne na stronie www PIU:</w:t>
            </w:r>
          </w:p>
          <w:p w14:paraId="1BEC6AE7" w14:textId="77777777" w:rsidR="0055342F" w:rsidRPr="0055342F" w:rsidRDefault="0055342F" w:rsidP="0055342F">
            <w:pPr>
              <w:numPr>
                <w:ilvl w:val="0"/>
                <w:numId w:val="78"/>
              </w:numPr>
              <w:contextualSpacing/>
              <w:rPr>
                <w:rFonts w:ascii="Times New Roman" w:eastAsia="Aptos" w:hAnsi="Times New Roman" w:cs="Times New Roman"/>
              </w:rPr>
            </w:pPr>
            <w:r w:rsidRPr="0055342F">
              <w:rPr>
                <w:rFonts w:ascii="Times New Roman" w:eastAsia="Aptos" w:hAnsi="Times New Roman" w:cs="Times New Roman"/>
              </w:rPr>
              <w:t>Analizy i opracowania,</w:t>
            </w:r>
          </w:p>
          <w:p w14:paraId="57CDF03D" w14:textId="77777777" w:rsidR="0055342F" w:rsidRPr="0055342F" w:rsidRDefault="0055342F" w:rsidP="0055342F">
            <w:pPr>
              <w:numPr>
                <w:ilvl w:val="0"/>
                <w:numId w:val="78"/>
              </w:numPr>
              <w:contextualSpacing/>
              <w:rPr>
                <w:rFonts w:ascii="Times New Roman" w:eastAsia="Aptos" w:hAnsi="Times New Roman" w:cs="Times New Roman"/>
              </w:rPr>
            </w:pPr>
            <w:r w:rsidRPr="0055342F">
              <w:rPr>
                <w:rFonts w:ascii="Times New Roman" w:eastAsia="Aptos" w:hAnsi="Times New Roman" w:cs="Times New Roman"/>
              </w:rPr>
              <w:t>Raport,</w:t>
            </w:r>
          </w:p>
          <w:p w14:paraId="12864993" w14:textId="77777777" w:rsidR="0055342F" w:rsidRPr="0055342F" w:rsidRDefault="0055342F" w:rsidP="0055342F">
            <w:pPr>
              <w:numPr>
                <w:ilvl w:val="0"/>
                <w:numId w:val="78"/>
              </w:numPr>
              <w:contextualSpacing/>
              <w:rPr>
                <w:rFonts w:ascii="Times New Roman" w:eastAsia="Aptos" w:hAnsi="Times New Roman" w:cs="Times New Roman"/>
              </w:rPr>
            </w:pPr>
            <w:r w:rsidRPr="0055342F">
              <w:rPr>
                <w:rFonts w:ascii="Times New Roman" w:eastAsia="Aptos" w:hAnsi="Times New Roman" w:cs="Times New Roman"/>
              </w:rPr>
              <w:t>Raport roczny PIU,</w:t>
            </w:r>
          </w:p>
          <w:p w14:paraId="44C15814" w14:textId="77777777" w:rsidR="0055342F" w:rsidRPr="0055342F" w:rsidRDefault="0055342F" w:rsidP="0055342F">
            <w:pPr>
              <w:numPr>
                <w:ilvl w:val="0"/>
                <w:numId w:val="78"/>
              </w:numPr>
              <w:contextualSpacing/>
              <w:rPr>
                <w:rFonts w:ascii="Times New Roman" w:eastAsia="Aptos" w:hAnsi="Times New Roman" w:cs="Times New Roman"/>
                <w:i/>
                <w:iCs/>
              </w:rPr>
            </w:pPr>
            <w:r w:rsidRPr="0055342F">
              <w:rPr>
                <w:rFonts w:ascii="Times New Roman" w:eastAsia="Aptos" w:hAnsi="Times New Roman" w:cs="Times New Roman"/>
                <w:i/>
                <w:iCs/>
              </w:rPr>
              <w:t>Wiadomości Ubezpieczeniowe,</w:t>
            </w:r>
          </w:p>
          <w:p w14:paraId="485CE2A3" w14:textId="77777777" w:rsidR="0055342F" w:rsidRPr="0055342F" w:rsidRDefault="0055342F" w:rsidP="0055342F">
            <w:pPr>
              <w:numPr>
                <w:ilvl w:val="0"/>
                <w:numId w:val="78"/>
              </w:numPr>
              <w:contextualSpacing/>
              <w:rPr>
                <w:rFonts w:ascii="Times New Roman" w:eastAsia="Aptos" w:hAnsi="Times New Roman" w:cs="Times New Roman"/>
              </w:rPr>
            </w:pPr>
            <w:r w:rsidRPr="0055342F">
              <w:rPr>
                <w:rFonts w:ascii="Times New Roman" w:eastAsia="Aptos" w:hAnsi="Times New Roman" w:cs="Times New Roman"/>
              </w:rPr>
              <w:t>inne wydawnictwa.</w:t>
            </w:r>
          </w:p>
          <w:p w14:paraId="2E6F6C38" w14:textId="77777777" w:rsidR="0055342F" w:rsidRPr="0055342F" w:rsidRDefault="0055342F" w:rsidP="0055342F">
            <w:pPr>
              <w:rPr>
                <w:rFonts w:ascii="Times New Roman" w:eastAsia="Aptos" w:hAnsi="Times New Roman" w:cs="Times New Roman"/>
              </w:rPr>
            </w:pPr>
            <w:r w:rsidRPr="0055342F">
              <w:rPr>
                <w:rFonts w:ascii="Times New Roman" w:eastAsia="Aptos" w:hAnsi="Times New Roman" w:cs="Times New Roman"/>
              </w:rPr>
              <w:t>Baza statystyczna  jest dostępna tylko dla zrzeszonych ZU.</w:t>
            </w:r>
          </w:p>
        </w:tc>
        <w:tc>
          <w:tcPr>
            <w:tcW w:w="3021" w:type="dxa"/>
          </w:tcPr>
          <w:p w14:paraId="0397747E" w14:textId="77777777" w:rsidR="0055342F" w:rsidRPr="0055342F" w:rsidRDefault="0055342F" w:rsidP="0055342F">
            <w:pPr>
              <w:rPr>
                <w:rFonts w:ascii="Times New Roman" w:eastAsia="Aptos" w:hAnsi="Times New Roman" w:cs="Times New Roman"/>
              </w:rPr>
            </w:pPr>
            <w:r w:rsidRPr="0055342F">
              <w:rPr>
                <w:rFonts w:ascii="Times New Roman" w:eastAsia="Aptos" w:hAnsi="Times New Roman" w:cs="Times New Roman"/>
              </w:rPr>
              <w:t>Baza statystyczną dla zrzeszonych ZU jest istotna dla oceny systemu dotowanych ubezpieczeń upraw i zwierząt gospodarskich. W przypadku trudności z dostępem do niej niezbędne będzie wsparcie DB MRiRW.</w:t>
            </w:r>
          </w:p>
        </w:tc>
      </w:tr>
      <w:tr w:rsidR="0055342F" w:rsidRPr="0055342F" w14:paraId="379B492C" w14:textId="77777777" w:rsidTr="00415D4B">
        <w:tc>
          <w:tcPr>
            <w:tcW w:w="1555" w:type="dxa"/>
          </w:tcPr>
          <w:p w14:paraId="5421BF16" w14:textId="77777777" w:rsidR="0055342F" w:rsidRPr="0055342F" w:rsidRDefault="0055342F" w:rsidP="0055342F">
            <w:pPr>
              <w:rPr>
                <w:rFonts w:ascii="Times New Roman" w:eastAsia="Aptos" w:hAnsi="Times New Roman" w:cs="Times New Roman"/>
              </w:rPr>
            </w:pPr>
            <w:r w:rsidRPr="0055342F">
              <w:rPr>
                <w:rFonts w:ascii="Times New Roman" w:eastAsia="Aptos" w:hAnsi="Times New Roman" w:cs="Times New Roman"/>
              </w:rPr>
              <w:t>Ministerstwo Rolnictwa i Rozwoju Wsi (MRiRW)</w:t>
            </w:r>
          </w:p>
        </w:tc>
        <w:tc>
          <w:tcPr>
            <w:tcW w:w="4486" w:type="dxa"/>
          </w:tcPr>
          <w:p w14:paraId="2DAC871C" w14:textId="77777777" w:rsidR="0055342F" w:rsidRPr="0055342F" w:rsidRDefault="0055342F" w:rsidP="0055342F">
            <w:pPr>
              <w:rPr>
                <w:rFonts w:ascii="Times New Roman" w:eastAsia="Aptos" w:hAnsi="Times New Roman" w:cs="Times New Roman"/>
                <w:u w:val="single"/>
              </w:rPr>
            </w:pPr>
            <w:r w:rsidRPr="0055342F">
              <w:rPr>
                <w:rFonts w:ascii="Times New Roman" w:eastAsia="Aptos" w:hAnsi="Times New Roman" w:cs="Times New Roman"/>
                <w:u w:val="single"/>
              </w:rPr>
              <w:t>Własna baza danych:</w:t>
            </w:r>
          </w:p>
          <w:p w14:paraId="4EC80806" w14:textId="77777777" w:rsidR="0055342F" w:rsidRPr="0055342F" w:rsidRDefault="0055342F" w:rsidP="0055342F">
            <w:pPr>
              <w:rPr>
                <w:rFonts w:ascii="Times New Roman" w:eastAsia="Aptos" w:hAnsi="Times New Roman" w:cs="Times New Roman"/>
              </w:rPr>
            </w:pPr>
            <w:r w:rsidRPr="0055342F">
              <w:rPr>
                <w:rFonts w:ascii="Times New Roman" w:eastAsia="Aptos" w:hAnsi="Times New Roman" w:cs="Times New Roman"/>
              </w:rPr>
              <w:t>•  liczba umów ubezpieczenia upraw rolnych i zwierząt.</w:t>
            </w:r>
          </w:p>
          <w:p w14:paraId="6AE8B9A0" w14:textId="77777777" w:rsidR="0055342F" w:rsidRPr="0055342F" w:rsidRDefault="0055342F" w:rsidP="0055342F">
            <w:pPr>
              <w:rPr>
                <w:rFonts w:ascii="Times New Roman" w:eastAsia="Aptos" w:hAnsi="Times New Roman" w:cs="Times New Roman"/>
              </w:rPr>
            </w:pPr>
            <w:r w:rsidRPr="0055342F">
              <w:rPr>
                <w:rFonts w:ascii="Times New Roman" w:eastAsia="Aptos" w:hAnsi="Times New Roman" w:cs="Times New Roman"/>
              </w:rPr>
              <w:t>•  suma ubezpieczenia upraw rolnych i zwierząt,</w:t>
            </w:r>
          </w:p>
          <w:p w14:paraId="7D261B18" w14:textId="77777777" w:rsidR="0055342F" w:rsidRPr="0055342F" w:rsidRDefault="0055342F" w:rsidP="0055342F">
            <w:pPr>
              <w:rPr>
                <w:rFonts w:ascii="Times New Roman" w:eastAsia="Aptos" w:hAnsi="Times New Roman" w:cs="Times New Roman"/>
              </w:rPr>
            </w:pPr>
            <w:r w:rsidRPr="0055342F">
              <w:rPr>
                <w:rFonts w:ascii="Times New Roman" w:eastAsia="Aptos" w:hAnsi="Times New Roman" w:cs="Times New Roman"/>
              </w:rPr>
              <w:t>•  wysokość składek należnych  ZU,w tym kwota dotacji na dopłaty do składek.</w:t>
            </w:r>
          </w:p>
          <w:p w14:paraId="39EA5E2E" w14:textId="77777777" w:rsidR="0055342F" w:rsidRPr="0055342F" w:rsidRDefault="0055342F" w:rsidP="0055342F">
            <w:pPr>
              <w:rPr>
                <w:rFonts w:ascii="Times New Roman" w:eastAsia="Aptos" w:hAnsi="Times New Roman" w:cs="Times New Roman"/>
              </w:rPr>
            </w:pPr>
            <w:r w:rsidRPr="0055342F">
              <w:rPr>
                <w:rFonts w:ascii="Times New Roman" w:eastAsia="Aptos" w:hAnsi="Times New Roman" w:cs="Times New Roman"/>
              </w:rPr>
              <w:t>•  powierzchnia ubezpieczonych upraw rolnych, w tym różne rodzaje upraw,</w:t>
            </w:r>
          </w:p>
          <w:p w14:paraId="6F2BEB4A" w14:textId="77777777" w:rsidR="0055342F" w:rsidRPr="0055342F" w:rsidRDefault="0055342F" w:rsidP="0055342F">
            <w:pPr>
              <w:rPr>
                <w:rFonts w:ascii="Times New Roman" w:eastAsia="Aptos" w:hAnsi="Times New Roman" w:cs="Times New Roman"/>
              </w:rPr>
            </w:pPr>
            <w:r w:rsidRPr="0055342F">
              <w:rPr>
                <w:rFonts w:ascii="Times New Roman" w:eastAsia="Aptos" w:hAnsi="Times New Roman" w:cs="Times New Roman"/>
              </w:rPr>
              <w:t>•  liczba ubezpieczonych zwierząt gospodarskich, w tym  w podziale na różne gatunki.</w:t>
            </w:r>
          </w:p>
        </w:tc>
        <w:tc>
          <w:tcPr>
            <w:tcW w:w="3021" w:type="dxa"/>
          </w:tcPr>
          <w:p w14:paraId="02EE7B42" w14:textId="77777777" w:rsidR="0055342F" w:rsidRPr="0055342F" w:rsidRDefault="0055342F" w:rsidP="0055342F">
            <w:pPr>
              <w:rPr>
                <w:rFonts w:ascii="Times New Roman" w:eastAsia="Aptos" w:hAnsi="Times New Roman" w:cs="Times New Roman"/>
              </w:rPr>
            </w:pPr>
            <w:r w:rsidRPr="0055342F">
              <w:rPr>
                <w:rFonts w:ascii="Times New Roman" w:eastAsia="Aptos" w:hAnsi="Times New Roman" w:cs="Times New Roman"/>
              </w:rPr>
              <w:t>Baza MRiRW ma kluczowe znaczenie z punktu widzenia oceny ZU korzystających z dotacji. Problemem jest ograniczona dostępność danych przed 2009 r.</w:t>
            </w:r>
          </w:p>
          <w:p w14:paraId="11FB52BE" w14:textId="77777777" w:rsidR="0055342F" w:rsidRPr="0055342F" w:rsidRDefault="0055342F" w:rsidP="0055342F">
            <w:pPr>
              <w:rPr>
                <w:rFonts w:ascii="Times New Roman" w:eastAsia="Aptos" w:hAnsi="Times New Roman" w:cs="Times New Roman"/>
              </w:rPr>
            </w:pPr>
          </w:p>
          <w:p w14:paraId="71A20C9A" w14:textId="77777777" w:rsidR="0055342F" w:rsidRPr="0055342F" w:rsidRDefault="0055342F" w:rsidP="0055342F">
            <w:pPr>
              <w:rPr>
                <w:rFonts w:ascii="Times New Roman" w:eastAsia="Aptos" w:hAnsi="Times New Roman" w:cs="Times New Roman"/>
              </w:rPr>
            </w:pPr>
          </w:p>
          <w:p w14:paraId="70CA6F05" w14:textId="77777777" w:rsidR="0055342F" w:rsidRPr="0055342F" w:rsidRDefault="0055342F" w:rsidP="0055342F">
            <w:pPr>
              <w:rPr>
                <w:rFonts w:ascii="Times New Roman" w:eastAsia="Aptos" w:hAnsi="Times New Roman" w:cs="Times New Roman"/>
              </w:rPr>
            </w:pPr>
          </w:p>
          <w:p w14:paraId="2112156B" w14:textId="77777777" w:rsidR="0055342F" w:rsidRPr="0055342F" w:rsidRDefault="0055342F" w:rsidP="0055342F">
            <w:pPr>
              <w:rPr>
                <w:rFonts w:ascii="Times New Roman" w:eastAsia="Aptos" w:hAnsi="Times New Roman" w:cs="Times New Roman"/>
              </w:rPr>
            </w:pPr>
          </w:p>
          <w:p w14:paraId="4DCC746D" w14:textId="77777777" w:rsidR="0055342F" w:rsidRPr="0055342F" w:rsidRDefault="0055342F" w:rsidP="0055342F">
            <w:pPr>
              <w:rPr>
                <w:rFonts w:ascii="Times New Roman" w:eastAsia="Aptos" w:hAnsi="Times New Roman" w:cs="Times New Roman"/>
              </w:rPr>
            </w:pPr>
          </w:p>
        </w:tc>
      </w:tr>
      <w:tr w:rsidR="0055342F" w:rsidRPr="0055342F" w14:paraId="3908FAE2" w14:textId="77777777" w:rsidTr="00415D4B">
        <w:tc>
          <w:tcPr>
            <w:tcW w:w="1555" w:type="dxa"/>
          </w:tcPr>
          <w:p w14:paraId="184414CB" w14:textId="77777777" w:rsidR="0055342F" w:rsidRPr="0055342F" w:rsidRDefault="0055342F" w:rsidP="0055342F">
            <w:pPr>
              <w:rPr>
                <w:rFonts w:ascii="Times New Roman" w:eastAsia="Aptos" w:hAnsi="Times New Roman" w:cs="Times New Roman"/>
                <w:lang w:val="en-US"/>
              </w:rPr>
            </w:pPr>
            <w:r w:rsidRPr="0055342F">
              <w:rPr>
                <w:rFonts w:ascii="Times New Roman" w:eastAsia="Aptos" w:hAnsi="Times New Roman" w:cs="Times New Roman"/>
                <w:lang w:val="en-US"/>
              </w:rPr>
              <w:t>Polski FADN (Farm Accountancy Data Network)</w:t>
            </w:r>
          </w:p>
        </w:tc>
        <w:tc>
          <w:tcPr>
            <w:tcW w:w="4486" w:type="dxa"/>
          </w:tcPr>
          <w:p w14:paraId="06DE7103" w14:textId="77777777" w:rsidR="0055342F" w:rsidRPr="0055342F" w:rsidRDefault="0055342F" w:rsidP="0055342F">
            <w:pPr>
              <w:rPr>
                <w:rFonts w:ascii="Times New Roman" w:eastAsia="Aptos" w:hAnsi="Times New Roman" w:cs="Times New Roman"/>
                <w:u w:val="single"/>
              </w:rPr>
            </w:pPr>
            <w:r w:rsidRPr="0055342F">
              <w:rPr>
                <w:rFonts w:ascii="Times New Roman" w:eastAsia="Aptos" w:hAnsi="Times New Roman" w:cs="Times New Roman"/>
                <w:u w:val="single"/>
              </w:rPr>
              <w:t>Gospodarstwa osób fizycznych:</w:t>
            </w:r>
          </w:p>
          <w:p w14:paraId="1EA23B96" w14:textId="77777777" w:rsidR="0055342F" w:rsidRPr="0055342F" w:rsidRDefault="0055342F" w:rsidP="0055342F">
            <w:pPr>
              <w:numPr>
                <w:ilvl w:val="0"/>
                <w:numId w:val="80"/>
              </w:numPr>
              <w:ind w:left="314" w:hanging="314"/>
              <w:contextualSpacing/>
              <w:rPr>
                <w:rFonts w:ascii="Times New Roman" w:eastAsia="Aptos" w:hAnsi="Times New Roman" w:cs="Times New Roman"/>
              </w:rPr>
            </w:pPr>
            <w:r w:rsidRPr="0055342F">
              <w:rPr>
                <w:rFonts w:ascii="Times New Roman" w:eastAsia="Aptos" w:hAnsi="Times New Roman" w:cs="Times New Roman"/>
              </w:rPr>
              <w:t xml:space="preserve">dotacje otrzymane do ubezpieczeń upraw, </w:t>
            </w:r>
          </w:p>
          <w:p w14:paraId="50D4A582" w14:textId="77777777" w:rsidR="0055342F" w:rsidRPr="0055342F" w:rsidRDefault="0055342F" w:rsidP="0055342F">
            <w:pPr>
              <w:numPr>
                <w:ilvl w:val="0"/>
                <w:numId w:val="80"/>
              </w:numPr>
              <w:ind w:left="314" w:hanging="314"/>
              <w:contextualSpacing/>
              <w:rPr>
                <w:rFonts w:ascii="Times New Roman" w:eastAsia="Aptos" w:hAnsi="Times New Roman" w:cs="Times New Roman"/>
              </w:rPr>
            </w:pPr>
            <w:r w:rsidRPr="0055342F">
              <w:rPr>
                <w:rFonts w:ascii="Times New Roman" w:eastAsia="Aptos" w:hAnsi="Times New Roman" w:cs="Times New Roman"/>
              </w:rPr>
              <w:t xml:space="preserve">dotacje przyznane do ubezpieczeń upraw, </w:t>
            </w:r>
          </w:p>
          <w:p w14:paraId="08DE5907" w14:textId="77777777" w:rsidR="0055342F" w:rsidRPr="0055342F" w:rsidRDefault="0055342F" w:rsidP="0055342F">
            <w:pPr>
              <w:numPr>
                <w:ilvl w:val="0"/>
                <w:numId w:val="80"/>
              </w:numPr>
              <w:ind w:left="314" w:hanging="314"/>
              <w:contextualSpacing/>
              <w:rPr>
                <w:rFonts w:ascii="Times New Roman" w:eastAsia="Aptos" w:hAnsi="Times New Roman" w:cs="Times New Roman"/>
              </w:rPr>
            </w:pPr>
            <w:r w:rsidRPr="0055342F">
              <w:rPr>
                <w:rFonts w:ascii="Times New Roman" w:eastAsia="Aptos" w:hAnsi="Times New Roman" w:cs="Times New Roman"/>
              </w:rPr>
              <w:t xml:space="preserve">dotacje otrzymane do ubezpieczeń zwierząt, </w:t>
            </w:r>
          </w:p>
          <w:p w14:paraId="550A0B21" w14:textId="77777777" w:rsidR="0055342F" w:rsidRPr="0055342F" w:rsidRDefault="0055342F" w:rsidP="0055342F">
            <w:pPr>
              <w:numPr>
                <w:ilvl w:val="0"/>
                <w:numId w:val="80"/>
              </w:numPr>
              <w:ind w:left="314" w:hanging="314"/>
              <w:contextualSpacing/>
              <w:rPr>
                <w:rFonts w:ascii="Times New Roman" w:eastAsia="Aptos" w:hAnsi="Times New Roman" w:cs="Times New Roman"/>
              </w:rPr>
            </w:pPr>
            <w:r w:rsidRPr="0055342F">
              <w:rPr>
                <w:rFonts w:ascii="Times New Roman" w:eastAsia="Aptos" w:hAnsi="Times New Roman" w:cs="Times New Roman"/>
              </w:rPr>
              <w:t>dotacje przyznane do ubezpieczeń zwierząt,</w:t>
            </w:r>
          </w:p>
          <w:p w14:paraId="7D59C38E" w14:textId="77777777" w:rsidR="0055342F" w:rsidRPr="0055342F" w:rsidRDefault="0055342F" w:rsidP="0055342F">
            <w:pPr>
              <w:numPr>
                <w:ilvl w:val="0"/>
                <w:numId w:val="80"/>
              </w:numPr>
              <w:ind w:left="314" w:hanging="314"/>
              <w:contextualSpacing/>
              <w:rPr>
                <w:rFonts w:ascii="Times New Roman" w:eastAsia="Aptos" w:hAnsi="Times New Roman" w:cs="Times New Roman"/>
              </w:rPr>
            </w:pPr>
            <w:r w:rsidRPr="0055342F">
              <w:rPr>
                <w:rFonts w:ascii="Times New Roman" w:eastAsia="Aptos" w:hAnsi="Times New Roman" w:cs="Times New Roman"/>
              </w:rPr>
              <w:t>składka za ubezpieczeń konkretnych upraw,</w:t>
            </w:r>
          </w:p>
          <w:p w14:paraId="77B0253B" w14:textId="77777777" w:rsidR="0055342F" w:rsidRPr="0055342F" w:rsidRDefault="0055342F" w:rsidP="0055342F">
            <w:pPr>
              <w:numPr>
                <w:ilvl w:val="0"/>
                <w:numId w:val="80"/>
              </w:numPr>
              <w:ind w:left="314" w:hanging="314"/>
              <w:contextualSpacing/>
              <w:rPr>
                <w:rFonts w:ascii="Times New Roman" w:eastAsia="Aptos" w:hAnsi="Times New Roman" w:cs="Times New Roman"/>
              </w:rPr>
            </w:pPr>
            <w:r w:rsidRPr="0055342F">
              <w:rPr>
                <w:rFonts w:ascii="Times New Roman" w:eastAsia="Aptos" w:hAnsi="Times New Roman" w:cs="Times New Roman"/>
              </w:rPr>
              <w:t>składka za ubezpieczeń konkretnych zwierząt,</w:t>
            </w:r>
          </w:p>
          <w:p w14:paraId="3B913202" w14:textId="77777777" w:rsidR="0055342F" w:rsidRPr="0055342F" w:rsidRDefault="0055342F" w:rsidP="0055342F">
            <w:pPr>
              <w:numPr>
                <w:ilvl w:val="0"/>
                <w:numId w:val="80"/>
              </w:numPr>
              <w:ind w:left="314" w:hanging="314"/>
              <w:contextualSpacing/>
              <w:rPr>
                <w:rFonts w:ascii="Times New Roman" w:eastAsia="Aptos" w:hAnsi="Times New Roman" w:cs="Times New Roman"/>
              </w:rPr>
            </w:pPr>
            <w:r w:rsidRPr="0055342F">
              <w:rPr>
                <w:rFonts w:ascii="Times New Roman" w:eastAsia="Aptos" w:hAnsi="Times New Roman" w:cs="Times New Roman"/>
              </w:rPr>
              <w:t xml:space="preserve">odszkodowanie za straty konkretnych upraw, </w:t>
            </w:r>
          </w:p>
          <w:p w14:paraId="4C384E05" w14:textId="77777777" w:rsidR="0055342F" w:rsidRPr="0055342F" w:rsidRDefault="0055342F" w:rsidP="0055342F">
            <w:pPr>
              <w:numPr>
                <w:ilvl w:val="0"/>
                <w:numId w:val="80"/>
              </w:numPr>
              <w:ind w:left="314" w:hanging="314"/>
              <w:contextualSpacing/>
              <w:rPr>
                <w:rFonts w:ascii="Times New Roman" w:eastAsia="Aptos" w:hAnsi="Times New Roman" w:cs="Times New Roman"/>
              </w:rPr>
            </w:pPr>
            <w:r w:rsidRPr="0055342F">
              <w:rPr>
                <w:rFonts w:ascii="Times New Roman" w:eastAsia="Aptos" w:hAnsi="Times New Roman" w:cs="Times New Roman"/>
              </w:rPr>
              <w:t>odszkodowanie za straty konkretnych zwierząt,</w:t>
            </w:r>
          </w:p>
          <w:p w14:paraId="2715E0BF" w14:textId="77777777" w:rsidR="0055342F" w:rsidRPr="0055342F" w:rsidRDefault="0055342F" w:rsidP="0055342F">
            <w:pPr>
              <w:numPr>
                <w:ilvl w:val="0"/>
                <w:numId w:val="80"/>
              </w:numPr>
              <w:ind w:left="314" w:hanging="314"/>
              <w:contextualSpacing/>
              <w:rPr>
                <w:rFonts w:ascii="Times New Roman" w:eastAsia="Aptos" w:hAnsi="Times New Roman" w:cs="Times New Roman"/>
              </w:rPr>
            </w:pPr>
            <w:r w:rsidRPr="0055342F">
              <w:rPr>
                <w:rFonts w:ascii="Times New Roman" w:eastAsia="Aptos" w:hAnsi="Times New Roman" w:cs="Times New Roman"/>
              </w:rPr>
              <w:t>ubezpieczenia rolnicze,</w:t>
            </w:r>
          </w:p>
          <w:p w14:paraId="0D5BCB71" w14:textId="77777777" w:rsidR="0055342F" w:rsidRPr="0055342F" w:rsidRDefault="0055342F" w:rsidP="0055342F">
            <w:pPr>
              <w:numPr>
                <w:ilvl w:val="0"/>
                <w:numId w:val="80"/>
              </w:numPr>
              <w:ind w:left="314" w:hanging="314"/>
              <w:contextualSpacing/>
              <w:rPr>
                <w:rFonts w:ascii="Times New Roman" w:eastAsia="Aptos" w:hAnsi="Times New Roman" w:cs="Times New Roman"/>
              </w:rPr>
            </w:pPr>
            <w:r w:rsidRPr="0055342F">
              <w:rPr>
                <w:rFonts w:ascii="Times New Roman" w:eastAsia="Aptos" w:hAnsi="Times New Roman" w:cs="Times New Roman"/>
              </w:rPr>
              <w:t>odszkodowania (bez odszkodowania za zwierzęta),</w:t>
            </w:r>
          </w:p>
          <w:p w14:paraId="15986F8B" w14:textId="77777777" w:rsidR="0055342F" w:rsidRPr="0055342F" w:rsidRDefault="0055342F" w:rsidP="0055342F">
            <w:pPr>
              <w:numPr>
                <w:ilvl w:val="0"/>
                <w:numId w:val="80"/>
              </w:numPr>
              <w:ind w:left="314" w:hanging="314"/>
              <w:contextualSpacing/>
              <w:rPr>
                <w:rFonts w:ascii="Times New Roman" w:eastAsia="Aptos" w:hAnsi="Times New Roman" w:cs="Times New Roman"/>
              </w:rPr>
            </w:pPr>
            <w:r w:rsidRPr="0055342F">
              <w:rPr>
                <w:rFonts w:ascii="Times New Roman" w:eastAsia="Aptos" w:hAnsi="Times New Roman" w:cs="Times New Roman"/>
              </w:rPr>
              <w:t>dotacje do ubezpieczeń upraw i zwierząt.</w:t>
            </w:r>
          </w:p>
          <w:p w14:paraId="13FBD189" w14:textId="77777777" w:rsidR="0055342F" w:rsidRPr="0055342F" w:rsidRDefault="0055342F" w:rsidP="0055342F">
            <w:pPr>
              <w:rPr>
                <w:rFonts w:ascii="Times New Roman" w:eastAsia="Aptos" w:hAnsi="Times New Roman" w:cs="Times New Roman"/>
              </w:rPr>
            </w:pPr>
          </w:p>
        </w:tc>
        <w:tc>
          <w:tcPr>
            <w:tcW w:w="3021" w:type="dxa"/>
          </w:tcPr>
          <w:p w14:paraId="3EA2246D" w14:textId="77777777" w:rsidR="0055342F" w:rsidRPr="0055342F" w:rsidRDefault="0055342F" w:rsidP="0055342F">
            <w:pPr>
              <w:rPr>
                <w:rFonts w:ascii="Times New Roman" w:eastAsia="Aptos" w:hAnsi="Times New Roman" w:cs="Times New Roman"/>
              </w:rPr>
            </w:pPr>
            <w:r w:rsidRPr="0055342F">
              <w:rPr>
                <w:rFonts w:ascii="Times New Roman" w:eastAsia="Aptos" w:hAnsi="Times New Roman" w:cs="Times New Roman"/>
              </w:rPr>
              <w:t>Występują liczne ograniczenia prawne związane np. z brakiem możliwości zestawień dla grup o liczebności poniżej 15 gospodarstw.</w:t>
            </w:r>
          </w:p>
          <w:p w14:paraId="6D5C3127" w14:textId="77777777" w:rsidR="0055342F" w:rsidRPr="0055342F" w:rsidRDefault="0055342F" w:rsidP="0055342F">
            <w:pPr>
              <w:rPr>
                <w:rFonts w:ascii="Times New Roman" w:eastAsia="Aptos" w:hAnsi="Times New Roman" w:cs="Times New Roman"/>
              </w:rPr>
            </w:pPr>
            <w:r w:rsidRPr="0055342F">
              <w:rPr>
                <w:rFonts w:ascii="Times New Roman" w:eastAsia="Aptos" w:hAnsi="Times New Roman" w:cs="Times New Roman"/>
              </w:rPr>
              <w:t>Zakres danych dotyczących osób prawnych jest ograniczony i obejmuje okres od 2014 r.:</w:t>
            </w:r>
          </w:p>
          <w:p w14:paraId="04D690EB" w14:textId="77777777" w:rsidR="0055342F" w:rsidRPr="0055342F" w:rsidRDefault="0055342F" w:rsidP="0055342F">
            <w:pPr>
              <w:ind w:left="369" w:hanging="284"/>
              <w:rPr>
                <w:rFonts w:ascii="Times New Roman" w:eastAsia="Aptos" w:hAnsi="Times New Roman" w:cs="Times New Roman"/>
              </w:rPr>
            </w:pPr>
            <w:r w:rsidRPr="0055342F">
              <w:rPr>
                <w:rFonts w:ascii="Times New Roman" w:eastAsia="Aptos" w:hAnsi="Times New Roman" w:cs="Times New Roman"/>
              </w:rPr>
              <w:t>•</w:t>
            </w:r>
            <w:r w:rsidRPr="0055342F">
              <w:rPr>
                <w:rFonts w:ascii="Times New Roman" w:eastAsia="Aptos" w:hAnsi="Times New Roman" w:cs="Times New Roman"/>
              </w:rPr>
              <w:tab/>
              <w:t>ubezpieczenia rolnicze (w zł),</w:t>
            </w:r>
          </w:p>
          <w:p w14:paraId="368242A4" w14:textId="77777777" w:rsidR="0055342F" w:rsidRPr="0055342F" w:rsidRDefault="0055342F" w:rsidP="0055342F">
            <w:pPr>
              <w:ind w:left="369" w:hanging="284"/>
              <w:rPr>
                <w:rFonts w:ascii="Times New Roman" w:eastAsia="Aptos" w:hAnsi="Times New Roman" w:cs="Times New Roman"/>
              </w:rPr>
            </w:pPr>
            <w:r w:rsidRPr="0055342F">
              <w:rPr>
                <w:rFonts w:ascii="Times New Roman" w:eastAsia="Aptos" w:hAnsi="Times New Roman" w:cs="Times New Roman"/>
              </w:rPr>
              <w:t>•</w:t>
            </w:r>
            <w:r w:rsidRPr="0055342F">
              <w:rPr>
                <w:rFonts w:ascii="Times New Roman" w:eastAsia="Aptos" w:hAnsi="Times New Roman" w:cs="Times New Roman"/>
              </w:rPr>
              <w:tab/>
              <w:t>odszkodowania (bez odszkodowania za zwierzęta) (w zł),</w:t>
            </w:r>
          </w:p>
          <w:p w14:paraId="3E435B0E" w14:textId="77777777" w:rsidR="0055342F" w:rsidRPr="0055342F" w:rsidRDefault="0055342F" w:rsidP="0055342F">
            <w:pPr>
              <w:ind w:left="369" w:hanging="284"/>
              <w:rPr>
                <w:rFonts w:ascii="Times New Roman" w:eastAsia="Aptos" w:hAnsi="Times New Roman" w:cs="Times New Roman"/>
              </w:rPr>
            </w:pPr>
            <w:r w:rsidRPr="0055342F">
              <w:rPr>
                <w:rFonts w:ascii="Times New Roman" w:eastAsia="Aptos" w:hAnsi="Times New Roman" w:cs="Times New Roman"/>
              </w:rPr>
              <w:t>•</w:t>
            </w:r>
            <w:r w:rsidRPr="0055342F">
              <w:rPr>
                <w:rFonts w:ascii="Times New Roman" w:eastAsia="Aptos" w:hAnsi="Times New Roman" w:cs="Times New Roman"/>
              </w:rPr>
              <w:tab/>
              <w:t>dotacje do ubezpieczeń upraw i zwierząt (w zł).</w:t>
            </w:r>
          </w:p>
        </w:tc>
      </w:tr>
    </w:tbl>
    <w:p w14:paraId="288D7EEE" w14:textId="77777777" w:rsidR="0055342F" w:rsidRPr="0055342F" w:rsidRDefault="0055342F" w:rsidP="0055342F">
      <w:pPr>
        <w:spacing w:line="259" w:lineRule="auto"/>
        <w:rPr>
          <w:rFonts w:ascii="Times New Roman" w:eastAsia="Aptos" w:hAnsi="Times New Roman" w:cs="Times New Roman"/>
          <w:i/>
          <w:iCs/>
        </w:rPr>
      </w:pPr>
      <w:r w:rsidRPr="0055342F">
        <w:rPr>
          <w:rFonts w:ascii="Times New Roman" w:eastAsia="Aptos" w:hAnsi="Times New Roman" w:cs="Times New Roman"/>
          <w:i/>
          <w:iCs/>
        </w:rPr>
        <w:t>Źródło: opracowanie własne.</w:t>
      </w:r>
    </w:p>
    <w:p w14:paraId="6BC72BBA" w14:textId="7ACEAA90" w:rsidR="0076547B" w:rsidRPr="0076547B" w:rsidRDefault="0076547B" w:rsidP="0076547B">
      <w:pPr>
        <w:spacing w:line="264" w:lineRule="auto"/>
        <w:jc w:val="both"/>
        <w:rPr>
          <w:rFonts w:ascii="Times New Roman" w:eastAsia="Aptos" w:hAnsi="Times New Roman" w:cs="Times New Roman"/>
          <w:sz w:val="28"/>
          <w:szCs w:val="28"/>
        </w:rPr>
      </w:pPr>
      <w:r w:rsidRPr="0076547B">
        <w:rPr>
          <w:rFonts w:ascii="Times New Roman" w:eastAsia="Aptos" w:hAnsi="Times New Roman" w:cs="Times New Roman"/>
          <w:sz w:val="28"/>
          <w:szCs w:val="28"/>
        </w:rPr>
        <w:t xml:space="preserve">Badania  ekonometryczne obejmować będą populację gospodarstw rolnych znajdujących się w polu obserwacji systemu FADN (System Zbierania i Wykorzystywania Danych Rachunkowych z Gospodarstw Rolnych). Zbiór ten obejmuje </w:t>
      </w:r>
      <w:r w:rsidRPr="0076547B">
        <w:rPr>
          <w:rFonts w:ascii="Times New Roman" w:eastAsia="Aptos" w:hAnsi="Times New Roman" w:cs="Times New Roman"/>
          <w:sz w:val="28"/>
          <w:szCs w:val="28"/>
        </w:rPr>
        <w:lastRenderedPageBreak/>
        <w:t>gospodarstwa o standardowej produkcji (Standard Output) powyżej 4 tys. euro. Gospodarstw takich jest w Polsce 749,6 tys. i wytwarzają one blisko 95% krajowej produkcji rolniczej, dysponują 88% powierzchni użytków rolnych, a także utrzymują 98% jednostek przeliczeniowych zwierząt</w:t>
      </w:r>
      <w:r w:rsidRPr="0076547B">
        <w:rPr>
          <w:rFonts w:ascii="Times New Roman" w:eastAsia="Aptos" w:hAnsi="Times New Roman" w:cs="Times New Roman"/>
          <w:sz w:val="28"/>
          <w:szCs w:val="28"/>
          <w:vertAlign w:val="superscript"/>
        </w:rPr>
        <w:footnoteReference w:id="3"/>
      </w:r>
      <w:r w:rsidRPr="0076547B">
        <w:rPr>
          <w:rFonts w:ascii="Times New Roman" w:eastAsia="Aptos" w:hAnsi="Times New Roman" w:cs="Times New Roman"/>
          <w:sz w:val="28"/>
          <w:szCs w:val="28"/>
        </w:rPr>
        <w:t xml:space="preserve">. Próba badawcza „zasilająca” FADN w dane liczy 12 tys. gospodarstw.  Należy zaznaczyć, że w związku z przekształceniem FADN w FSDN (Farm Sustainability Data Network) przewiduje się zwiększenie liczby zmiennych ekonomiczno-produkcyjnych, społecznych i środowiskowych, charakteryzujących gospodarstwa rolne  kosztem zmniejszenie liczebności tej próby. Badaniami sondażowymi  objęta zostanie próba gospodarstw prowadzących rachunkowość rolną w ramach Polskiego FADN. </w:t>
      </w:r>
      <w:r w:rsidRPr="0076547B">
        <w:rPr>
          <w:rFonts w:ascii="Times New Roman" w:eastAsia="Aptos" w:hAnsi="Times New Roman" w:cs="Times New Roman"/>
          <w:sz w:val="28"/>
          <w:szCs w:val="28"/>
          <w:u w:val="single"/>
        </w:rPr>
        <w:t>Z uwagi na przekształcenia systemu FADN nie jest możliwe obecnie wyznaczenie liczebności do badań własnych sondażowych</w:t>
      </w:r>
      <w:r w:rsidRPr="0076547B">
        <w:rPr>
          <w:rFonts w:ascii="Times New Roman" w:eastAsia="Aptos" w:hAnsi="Times New Roman" w:cs="Times New Roman"/>
          <w:sz w:val="28"/>
          <w:szCs w:val="28"/>
        </w:rPr>
        <w:t>. Istotę konstrukcji próby badawczej przedstawiono na rysunku 1</w:t>
      </w:r>
      <w:r w:rsidR="00410F75">
        <w:rPr>
          <w:rFonts w:ascii="Times New Roman" w:eastAsia="Aptos" w:hAnsi="Times New Roman" w:cs="Times New Roman"/>
          <w:sz w:val="28"/>
          <w:szCs w:val="28"/>
        </w:rPr>
        <w:t>6</w:t>
      </w:r>
      <w:r w:rsidRPr="0076547B">
        <w:rPr>
          <w:rFonts w:ascii="Times New Roman" w:eastAsia="Aptos" w:hAnsi="Times New Roman" w:cs="Times New Roman"/>
          <w:sz w:val="28"/>
          <w:szCs w:val="28"/>
        </w:rPr>
        <w:t>.</w:t>
      </w:r>
    </w:p>
    <w:p w14:paraId="52E57C13" w14:textId="7111181B" w:rsidR="0076547B" w:rsidRPr="0076547B" w:rsidRDefault="0076547B" w:rsidP="0076547B">
      <w:pPr>
        <w:spacing w:before="120" w:after="0" w:line="264" w:lineRule="auto"/>
        <w:jc w:val="both"/>
        <w:rPr>
          <w:rFonts w:ascii="Times New Roman" w:eastAsia="Aptos" w:hAnsi="Times New Roman" w:cs="Times New Roman"/>
          <w:szCs w:val="28"/>
        </w:rPr>
      </w:pPr>
      <w:r w:rsidRPr="0079156C">
        <w:rPr>
          <w:rFonts w:ascii="Aptos" w:eastAsia="Aptos" w:hAnsi="Aptos" w:cs="Times New Roman"/>
          <w:b/>
          <w:bCs/>
          <w:noProof/>
          <w:sz w:val="22"/>
          <w:szCs w:val="22"/>
        </w:rPr>
        <mc:AlternateContent>
          <mc:Choice Requires="wpg">
            <w:drawing>
              <wp:anchor distT="0" distB="0" distL="114300" distR="114300" simplePos="0" relativeHeight="251778048" behindDoc="0" locked="0" layoutInCell="1" allowOverlap="1" wp14:anchorId="5112E318" wp14:editId="5C9EE609">
                <wp:simplePos x="0" y="0"/>
                <wp:positionH relativeFrom="margin">
                  <wp:posOffset>-1905</wp:posOffset>
                </wp:positionH>
                <wp:positionV relativeFrom="paragraph">
                  <wp:posOffset>363855</wp:posOffset>
                </wp:positionV>
                <wp:extent cx="5864860" cy="2065020"/>
                <wp:effectExtent l="0" t="0" r="21590" b="11430"/>
                <wp:wrapTopAndBottom/>
                <wp:docPr id="1671042952" name="Grupa 1671042952"/>
                <wp:cNvGraphicFramePr/>
                <a:graphic xmlns:a="http://schemas.openxmlformats.org/drawingml/2006/main">
                  <a:graphicData uri="http://schemas.microsoft.com/office/word/2010/wordprocessingGroup">
                    <wpg:wgp>
                      <wpg:cNvGrpSpPr/>
                      <wpg:grpSpPr bwMode="auto">
                        <a:xfrm>
                          <a:off x="0" y="0"/>
                          <a:ext cx="5864860" cy="2065020"/>
                          <a:chOff x="0" y="0"/>
                          <a:chExt cx="58648" cy="23431"/>
                        </a:xfrm>
                      </wpg:grpSpPr>
                      <wps:wsp>
                        <wps:cNvPr id="2089829965" name="Elipsa 4"/>
                        <wps:cNvSpPr>
                          <a:spLocks noChangeArrowheads="1"/>
                        </wps:cNvSpPr>
                        <wps:spPr bwMode="auto">
                          <a:xfrm>
                            <a:off x="27905" y="4840"/>
                            <a:ext cx="14574" cy="14763"/>
                          </a:xfrm>
                          <a:prstGeom prst="ellipse">
                            <a:avLst/>
                          </a:prstGeom>
                          <a:solidFill>
                            <a:srgbClr val="FFC000"/>
                          </a:solidFill>
                          <a:ln w="9525">
                            <a:solidFill>
                              <a:srgbClr val="000000"/>
                            </a:solidFill>
                            <a:round/>
                            <a:headEnd/>
                            <a:tailEnd/>
                          </a:ln>
                        </wps:spPr>
                        <wps:txbx>
                          <w:txbxContent>
                            <w:p w14:paraId="683288D6" w14:textId="77777777" w:rsidR="0076547B" w:rsidRDefault="0076547B" w:rsidP="0076547B">
                              <w:pPr>
                                <w:spacing w:line="240" w:lineRule="auto"/>
                                <w:jc w:val="center"/>
                                <w:rPr>
                                  <w:rFonts w:ascii="Times New Roman" w:hAnsi="Times New Roman" w:cs="Times New Roman"/>
                                  <w:sz w:val="18"/>
                                  <w:szCs w:val="18"/>
                                </w:rPr>
                              </w:pPr>
                              <w:r>
                                <w:rPr>
                                  <w:rFonts w:ascii="Times New Roman" w:hAnsi="Times New Roman" w:cs="Times New Roman"/>
                                  <w:sz w:val="18"/>
                                  <w:szCs w:val="18"/>
                                </w:rPr>
                                <w:t>Próba badawcza FADN:</w:t>
                              </w:r>
                            </w:p>
                            <w:p w14:paraId="75B857D9" w14:textId="77777777" w:rsidR="0076547B" w:rsidRDefault="0076547B" w:rsidP="0076547B">
                              <w:pPr>
                                <w:spacing w:line="240" w:lineRule="auto"/>
                                <w:jc w:val="center"/>
                                <w:rPr>
                                  <w:rFonts w:ascii="Times New Roman" w:hAnsi="Times New Roman" w:cs="Times New Roman"/>
                                  <w:b/>
                                  <w:sz w:val="18"/>
                                  <w:szCs w:val="18"/>
                                </w:rPr>
                              </w:pPr>
                              <w:r>
                                <w:rPr>
                                  <w:rFonts w:ascii="Times New Roman" w:hAnsi="Times New Roman" w:cs="Times New Roman"/>
                                  <w:b/>
                                  <w:sz w:val="18"/>
                                  <w:szCs w:val="18"/>
                                </w:rPr>
                                <w:t>Liczba obiektów: 12 tys.</w:t>
                              </w:r>
                            </w:p>
                            <w:p w14:paraId="3C0F256E" w14:textId="77777777" w:rsidR="0076547B" w:rsidRDefault="0076547B" w:rsidP="0076547B">
                              <w:pPr>
                                <w:jc w:val="center"/>
                                <w:rPr>
                                  <w:b/>
                                  <w:sz w:val="18"/>
                                  <w:szCs w:val="18"/>
                                </w:rPr>
                              </w:pPr>
                            </w:p>
                          </w:txbxContent>
                        </wps:txbx>
                        <wps:bodyPr rot="0" vert="horz" wrap="square" lIns="91440" tIns="45720" rIns="91440" bIns="45720" anchor="t" anchorCtr="0" upright="1">
                          <a:noAutofit/>
                        </wps:bodyPr>
                      </wps:wsp>
                      <wps:wsp>
                        <wps:cNvPr id="829450975" name="Elipsa 3"/>
                        <wps:cNvSpPr>
                          <a:spLocks noChangeArrowheads="1"/>
                        </wps:cNvSpPr>
                        <wps:spPr bwMode="auto">
                          <a:xfrm>
                            <a:off x="47695" y="7168"/>
                            <a:ext cx="10953" cy="10573"/>
                          </a:xfrm>
                          <a:prstGeom prst="ellipse">
                            <a:avLst/>
                          </a:prstGeom>
                          <a:solidFill>
                            <a:srgbClr val="E97132">
                              <a:lumMod val="20000"/>
                              <a:lumOff val="80000"/>
                            </a:srgbClr>
                          </a:solidFill>
                          <a:ln w="9525">
                            <a:solidFill>
                              <a:srgbClr val="000000"/>
                            </a:solidFill>
                            <a:round/>
                            <a:headEnd/>
                            <a:tailEnd/>
                          </a:ln>
                        </wps:spPr>
                        <wps:txbx>
                          <w:txbxContent>
                            <w:p w14:paraId="3FE300F0" w14:textId="77777777" w:rsidR="0076547B" w:rsidRDefault="0076547B" w:rsidP="0076547B">
                              <w:pPr>
                                <w:spacing w:after="0" w:line="240" w:lineRule="auto"/>
                                <w:jc w:val="center"/>
                                <w:rPr>
                                  <w:rFonts w:ascii="Times New Roman" w:hAnsi="Times New Roman" w:cs="Times New Roman"/>
                                  <w:b/>
                                  <w:sz w:val="16"/>
                                  <w:szCs w:val="16"/>
                                </w:rPr>
                              </w:pPr>
                            </w:p>
                            <w:p w14:paraId="02A7DC45" w14:textId="77777777" w:rsidR="0076547B" w:rsidRPr="008A5022" w:rsidRDefault="0076547B" w:rsidP="0076547B">
                              <w:pPr>
                                <w:spacing w:after="0" w:line="240" w:lineRule="auto"/>
                                <w:jc w:val="center"/>
                                <w:rPr>
                                  <w:rFonts w:ascii="Times New Roman" w:hAnsi="Times New Roman" w:cs="Times New Roman"/>
                                  <w:b/>
                                  <w:sz w:val="16"/>
                                  <w:szCs w:val="16"/>
                                </w:rPr>
                              </w:pPr>
                              <w:r w:rsidRPr="008A5022">
                                <w:rPr>
                                  <w:rFonts w:ascii="Times New Roman" w:hAnsi="Times New Roman" w:cs="Times New Roman"/>
                                  <w:b/>
                                  <w:sz w:val="16"/>
                                  <w:szCs w:val="16"/>
                                </w:rPr>
                                <w:t xml:space="preserve">Próba badawcza (badania </w:t>
                              </w:r>
                              <w:r w:rsidRPr="008A5022">
                                <w:rPr>
                                  <w:rFonts w:ascii="Times New Roman" w:hAnsi="Times New Roman" w:cs="Times New Roman"/>
                                  <w:b/>
                                  <w:sz w:val="16"/>
                                  <w:szCs w:val="16"/>
                                </w:rPr>
                                <w:br/>
                                <w:t>własne).</w:t>
                              </w:r>
                            </w:p>
                            <w:p w14:paraId="7CB9F7D0" w14:textId="77777777" w:rsidR="0076547B" w:rsidRPr="0076547B" w:rsidRDefault="0076547B" w:rsidP="0076547B">
                              <w:pPr>
                                <w:jc w:val="center"/>
                                <w:rPr>
                                  <w:b/>
                                  <w:color w:val="F2CEED"/>
                                  <w:sz w:val="18"/>
                                  <w:szCs w:val="18"/>
                                </w:rPr>
                              </w:pPr>
                            </w:p>
                          </w:txbxContent>
                        </wps:txbx>
                        <wps:bodyPr rot="0" vert="horz" wrap="square" lIns="0" tIns="0" rIns="0" bIns="0" anchor="ctr" anchorCtr="0" upright="1">
                          <a:noAutofit/>
                        </wps:bodyPr>
                      </wps:wsp>
                      <wps:wsp>
                        <wps:cNvPr id="1290552519" name="Strzałka w prawo 1"/>
                        <wps:cNvSpPr>
                          <a:spLocks noChangeArrowheads="1"/>
                        </wps:cNvSpPr>
                        <wps:spPr bwMode="auto">
                          <a:xfrm>
                            <a:off x="23595" y="9070"/>
                            <a:ext cx="3620" cy="5239"/>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047530" name="Strzałka w prawo 2"/>
                        <wps:cNvSpPr>
                          <a:spLocks noChangeArrowheads="1"/>
                        </wps:cNvSpPr>
                        <wps:spPr bwMode="auto">
                          <a:xfrm>
                            <a:off x="43379" y="9070"/>
                            <a:ext cx="3619" cy="5239"/>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1094524" name="Elipsa 5"/>
                        <wps:cNvSpPr>
                          <a:spLocks noChangeArrowheads="1"/>
                        </wps:cNvSpPr>
                        <wps:spPr bwMode="auto">
                          <a:xfrm>
                            <a:off x="0" y="0"/>
                            <a:ext cx="22860" cy="23431"/>
                          </a:xfrm>
                          <a:prstGeom prst="ellipse">
                            <a:avLst/>
                          </a:prstGeom>
                          <a:solidFill>
                            <a:srgbClr val="FFFF00"/>
                          </a:solidFill>
                          <a:ln w="9525">
                            <a:solidFill>
                              <a:srgbClr val="000000"/>
                            </a:solidFill>
                            <a:round/>
                            <a:headEnd/>
                            <a:tailEnd/>
                          </a:ln>
                        </wps:spPr>
                        <wps:txbx>
                          <w:txbxContent>
                            <w:p w14:paraId="0A3DDE29" w14:textId="77777777" w:rsidR="0076547B" w:rsidRDefault="0076547B" w:rsidP="0076547B">
                              <w:pPr>
                                <w:jc w:val="center"/>
                                <w:rPr>
                                  <w:rFonts w:ascii="Times New Roman" w:hAnsi="Times New Roman" w:cs="Times New Roman"/>
                                  <w:sz w:val="18"/>
                                  <w:szCs w:val="18"/>
                                </w:rPr>
                              </w:pPr>
                            </w:p>
                            <w:p w14:paraId="02807010" w14:textId="77777777" w:rsidR="0076547B" w:rsidRDefault="0076547B" w:rsidP="0076547B">
                              <w:pPr>
                                <w:jc w:val="center"/>
                                <w:rPr>
                                  <w:rFonts w:ascii="Times New Roman" w:hAnsi="Times New Roman" w:cs="Times New Roman"/>
                                  <w:b/>
                                  <w:sz w:val="18"/>
                                  <w:szCs w:val="18"/>
                                </w:rPr>
                              </w:pPr>
                              <w:r>
                                <w:rPr>
                                  <w:rFonts w:ascii="Times New Roman" w:hAnsi="Times New Roman" w:cs="Times New Roman"/>
                                  <w:sz w:val="18"/>
                                  <w:szCs w:val="18"/>
                                </w:rPr>
                                <w:t>Towarowe gospodarstwa rolne w Polsce w polu obserwacji FADN – dolny próg wielkości ekonomicznej</w:t>
                              </w:r>
                              <w:r>
                                <w:rPr>
                                  <w:rFonts w:ascii="Times New Roman" w:hAnsi="Times New Roman" w:cs="Times New Roman"/>
                                  <w:b/>
                                  <w:sz w:val="18"/>
                                  <w:szCs w:val="18"/>
                                </w:rPr>
                                <w:t>: 4000 euro</w:t>
                              </w:r>
                            </w:p>
                            <w:p w14:paraId="1457CCE3" w14:textId="77777777" w:rsidR="0076547B" w:rsidRDefault="0076547B" w:rsidP="0076547B">
                              <w:pPr>
                                <w:jc w:val="center"/>
                                <w:rPr>
                                  <w:rFonts w:ascii="Times New Roman" w:hAnsi="Times New Roman" w:cs="Times New Roman"/>
                                  <w:b/>
                                  <w:sz w:val="18"/>
                                  <w:szCs w:val="18"/>
                                </w:rPr>
                              </w:pPr>
                              <w:r>
                                <w:rPr>
                                  <w:rFonts w:ascii="Times New Roman" w:hAnsi="Times New Roman" w:cs="Times New Roman"/>
                                  <w:b/>
                                  <w:sz w:val="18"/>
                                  <w:szCs w:val="18"/>
                                </w:rPr>
                                <w:t xml:space="preserve">Liczba gospodarstw: </w:t>
                              </w:r>
                              <w:r>
                                <w:rPr>
                                  <w:rFonts w:ascii="Times New Roman" w:hAnsi="Times New Roman" w:cs="Times New Roman"/>
                                  <w:b/>
                                  <w:sz w:val="18"/>
                                  <w:szCs w:val="18"/>
                                </w:rPr>
                                <w:br/>
                                <w:t> 749,6 tys.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112E318" id="Grupa 1671042952" o:spid="_x0000_s1163" style="position:absolute;left:0;text-align:left;margin-left:-.15pt;margin-top:28.65pt;width:461.8pt;height:162.6pt;z-index:251778048;mso-position-horizontal-relative:margin;mso-height-relative:margin" coordsize="58648,23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">
                <v:oval id="Elipsa 4" o:spid="_x0000_s1164" style="position:absolute;left:27905;top:4840;width:14574;height:1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" fillcolor="#ffc000">
                  <v:textbox>
                    <w:txbxContent>
                      <w:p w14:paraId="683288D6" w14:textId="77777777" w:rsidR="0076547B" w:rsidRDefault="0076547B" w:rsidP="0076547B">
                        <w:pPr>
                          <w:spacing w:line="240" w:lineRule="auto"/>
                          <w:jc w:val="center"/>
                          <w:rPr>
                            <w:rFonts w:ascii="Times New Roman" w:hAnsi="Times New Roman" w:cs="Times New Roman"/>
                            <w:sz w:val="18"/>
                            <w:szCs w:val="18"/>
                          </w:rPr>
                        </w:pPr>
                        <w:r>
                          <w:rPr>
                            <w:rFonts w:ascii="Times New Roman" w:hAnsi="Times New Roman" w:cs="Times New Roman"/>
                            <w:sz w:val="18"/>
                            <w:szCs w:val="18"/>
                          </w:rPr>
                          <w:t>Próba badawcza FADN:</w:t>
                        </w:r>
                      </w:p>
                      <w:p w14:paraId="75B857D9" w14:textId="77777777" w:rsidR="0076547B" w:rsidRDefault="0076547B" w:rsidP="0076547B">
                        <w:pPr>
                          <w:spacing w:line="240" w:lineRule="auto"/>
                          <w:jc w:val="center"/>
                          <w:rPr>
                            <w:rFonts w:ascii="Times New Roman" w:hAnsi="Times New Roman" w:cs="Times New Roman"/>
                            <w:b/>
                            <w:sz w:val="18"/>
                            <w:szCs w:val="18"/>
                          </w:rPr>
                        </w:pPr>
                        <w:r>
                          <w:rPr>
                            <w:rFonts w:ascii="Times New Roman" w:hAnsi="Times New Roman" w:cs="Times New Roman"/>
                            <w:b/>
                            <w:sz w:val="18"/>
                            <w:szCs w:val="18"/>
                          </w:rPr>
                          <w:t>Liczba obiektów: 12 tys.</w:t>
                        </w:r>
                      </w:p>
                      <w:p w14:paraId="3C0F256E" w14:textId="77777777" w:rsidR="0076547B" w:rsidRDefault="0076547B" w:rsidP="0076547B">
                        <w:pPr>
                          <w:jc w:val="center"/>
                          <w:rPr>
                            <w:b/>
                            <w:sz w:val="18"/>
                            <w:szCs w:val="18"/>
                          </w:rPr>
                        </w:pPr>
                      </w:p>
                    </w:txbxContent>
                  </v:textbox>
                </v:oval>
                <v:oval id="Elipsa 3" o:spid="_x0000_s1165" style="position:absolute;left:47695;top:7168;width:10953;height:10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" fillcolor="#fbe3d6">
                  <v:textbox inset="0,0,0,0">
                    <w:txbxContent>
                      <w:p w14:paraId="3FE300F0" w14:textId="77777777" w:rsidR="0076547B" w:rsidRDefault="0076547B" w:rsidP="0076547B">
                        <w:pPr>
                          <w:spacing w:after="0" w:line="240" w:lineRule="auto"/>
                          <w:jc w:val="center"/>
                          <w:rPr>
                            <w:rFonts w:ascii="Times New Roman" w:hAnsi="Times New Roman" w:cs="Times New Roman"/>
                            <w:b/>
                            <w:sz w:val="16"/>
                            <w:szCs w:val="16"/>
                          </w:rPr>
                        </w:pPr>
                      </w:p>
                      <w:p w14:paraId="02A7DC45" w14:textId="77777777" w:rsidR="0076547B" w:rsidRPr="008A5022" w:rsidRDefault="0076547B" w:rsidP="0076547B">
                        <w:pPr>
                          <w:spacing w:after="0" w:line="240" w:lineRule="auto"/>
                          <w:jc w:val="center"/>
                          <w:rPr>
                            <w:rFonts w:ascii="Times New Roman" w:hAnsi="Times New Roman" w:cs="Times New Roman"/>
                            <w:b/>
                            <w:sz w:val="16"/>
                            <w:szCs w:val="16"/>
                          </w:rPr>
                        </w:pPr>
                        <w:r w:rsidRPr="008A5022">
                          <w:rPr>
                            <w:rFonts w:ascii="Times New Roman" w:hAnsi="Times New Roman" w:cs="Times New Roman"/>
                            <w:b/>
                            <w:sz w:val="16"/>
                            <w:szCs w:val="16"/>
                          </w:rPr>
                          <w:t xml:space="preserve">Próba badawcza (badania </w:t>
                        </w:r>
                        <w:r w:rsidRPr="008A5022">
                          <w:rPr>
                            <w:rFonts w:ascii="Times New Roman" w:hAnsi="Times New Roman" w:cs="Times New Roman"/>
                            <w:b/>
                            <w:sz w:val="16"/>
                            <w:szCs w:val="16"/>
                          </w:rPr>
                          <w:br/>
                          <w:t>własne).</w:t>
                        </w:r>
                      </w:p>
                      <w:p w14:paraId="7CB9F7D0" w14:textId="77777777" w:rsidR="0076547B" w:rsidRPr="0076547B" w:rsidRDefault="0076547B" w:rsidP="0076547B">
                        <w:pPr>
                          <w:jc w:val="center"/>
                          <w:rPr>
                            <w:b/>
                            <w:color w:val="F2CEED"/>
                            <w:sz w:val="18"/>
                            <w:szCs w:val="18"/>
                          </w:rPr>
                        </w:pP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1" o:spid="_x0000_s1166" type="#_x0000_t13" style="position:absolute;left:23595;top:9070;width:3620;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"/>
                <v:shape id="Strzałka w prawo 2" o:spid="_x0000_s1167" type="#_x0000_t13" style="position:absolute;left:43379;top:9070;width:3619;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"/>
                <v:oval id="Elipsa 5" o:spid="_x0000_s1168" style="position:absolute;width:22860;height:2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" fillcolor="yellow">
                  <v:textbox>
                    <w:txbxContent>
                      <w:p w14:paraId="0A3DDE29" w14:textId="77777777" w:rsidR="0076547B" w:rsidRDefault="0076547B" w:rsidP="0076547B">
                        <w:pPr>
                          <w:jc w:val="center"/>
                          <w:rPr>
                            <w:rFonts w:ascii="Times New Roman" w:hAnsi="Times New Roman" w:cs="Times New Roman"/>
                            <w:sz w:val="18"/>
                            <w:szCs w:val="18"/>
                          </w:rPr>
                        </w:pPr>
                      </w:p>
                      <w:p w14:paraId="02807010" w14:textId="77777777" w:rsidR="0076547B" w:rsidRDefault="0076547B" w:rsidP="0076547B">
                        <w:pPr>
                          <w:jc w:val="center"/>
                          <w:rPr>
                            <w:rFonts w:ascii="Times New Roman" w:hAnsi="Times New Roman" w:cs="Times New Roman"/>
                            <w:b/>
                            <w:sz w:val="18"/>
                            <w:szCs w:val="18"/>
                          </w:rPr>
                        </w:pPr>
                        <w:r>
                          <w:rPr>
                            <w:rFonts w:ascii="Times New Roman" w:hAnsi="Times New Roman" w:cs="Times New Roman"/>
                            <w:sz w:val="18"/>
                            <w:szCs w:val="18"/>
                          </w:rPr>
                          <w:t>Towarowe gospodarstwa rolne w Polsce w polu obserwacji FADN – dolny próg wielkości ekonomicznej</w:t>
                        </w:r>
                        <w:r>
                          <w:rPr>
                            <w:rFonts w:ascii="Times New Roman" w:hAnsi="Times New Roman" w:cs="Times New Roman"/>
                            <w:b/>
                            <w:sz w:val="18"/>
                            <w:szCs w:val="18"/>
                          </w:rPr>
                          <w:t>: 4000 euro</w:t>
                        </w:r>
                      </w:p>
                      <w:p w14:paraId="1457CCE3" w14:textId="77777777" w:rsidR="0076547B" w:rsidRDefault="0076547B" w:rsidP="0076547B">
                        <w:pPr>
                          <w:jc w:val="center"/>
                          <w:rPr>
                            <w:rFonts w:ascii="Times New Roman" w:hAnsi="Times New Roman" w:cs="Times New Roman"/>
                            <w:b/>
                            <w:sz w:val="18"/>
                            <w:szCs w:val="18"/>
                          </w:rPr>
                        </w:pPr>
                        <w:r>
                          <w:rPr>
                            <w:rFonts w:ascii="Times New Roman" w:hAnsi="Times New Roman" w:cs="Times New Roman"/>
                            <w:b/>
                            <w:sz w:val="18"/>
                            <w:szCs w:val="18"/>
                          </w:rPr>
                          <w:t xml:space="preserve">Liczba gospodarstw: </w:t>
                        </w:r>
                        <w:r>
                          <w:rPr>
                            <w:rFonts w:ascii="Times New Roman" w:hAnsi="Times New Roman" w:cs="Times New Roman"/>
                            <w:b/>
                            <w:sz w:val="18"/>
                            <w:szCs w:val="18"/>
                          </w:rPr>
                          <w:br/>
                          <w:t> 749,6 tys.</w:t>
                        </w:r>
                      </w:p>
                    </w:txbxContent>
                  </v:textbox>
                </v:oval>
                <w10:wrap type="topAndBottom" anchorx="margin"/>
              </v:group>
            </w:pict>
          </mc:Fallback>
        </mc:AlternateContent>
      </w:r>
      <w:r w:rsidRPr="0079156C">
        <w:rPr>
          <w:rFonts w:ascii="Times New Roman" w:eastAsia="Aptos" w:hAnsi="Times New Roman" w:cs="Times New Roman"/>
          <w:b/>
          <w:bCs/>
          <w:szCs w:val="28"/>
        </w:rPr>
        <w:t>Rysunek 1</w:t>
      </w:r>
      <w:r w:rsidR="00410F75">
        <w:rPr>
          <w:rFonts w:ascii="Times New Roman" w:eastAsia="Aptos" w:hAnsi="Times New Roman" w:cs="Times New Roman"/>
          <w:b/>
          <w:bCs/>
          <w:szCs w:val="28"/>
        </w:rPr>
        <w:t>6</w:t>
      </w:r>
      <w:r w:rsidRPr="0079156C">
        <w:rPr>
          <w:rFonts w:ascii="Times New Roman" w:eastAsia="Aptos" w:hAnsi="Times New Roman" w:cs="Times New Roman"/>
          <w:b/>
          <w:bCs/>
          <w:szCs w:val="28"/>
        </w:rPr>
        <w:t>.</w:t>
      </w:r>
      <w:r w:rsidRPr="0076547B">
        <w:rPr>
          <w:rFonts w:ascii="Times New Roman" w:eastAsia="Aptos" w:hAnsi="Times New Roman" w:cs="Times New Roman"/>
          <w:szCs w:val="28"/>
        </w:rPr>
        <w:t xml:space="preserve">  Konstrukcja próby badawczej </w:t>
      </w:r>
    </w:p>
    <w:p w14:paraId="48D5C855" w14:textId="77777777" w:rsidR="0076547B" w:rsidRPr="0076547B" w:rsidRDefault="0076547B" w:rsidP="0076547B">
      <w:pPr>
        <w:spacing w:after="0" w:line="264" w:lineRule="auto"/>
        <w:rPr>
          <w:rFonts w:ascii="Times New Roman" w:eastAsia="Aptos" w:hAnsi="Times New Roman" w:cs="Times New Roman"/>
          <w:sz w:val="28"/>
          <w:szCs w:val="28"/>
        </w:rPr>
      </w:pPr>
    </w:p>
    <w:p w14:paraId="4C734024" w14:textId="77777777" w:rsidR="0076547B" w:rsidRPr="0076547B" w:rsidRDefault="0076547B" w:rsidP="0076547B">
      <w:pPr>
        <w:spacing w:after="120" w:line="264" w:lineRule="auto"/>
        <w:jc w:val="both"/>
        <w:rPr>
          <w:rFonts w:ascii="Times New Roman" w:eastAsia="Aptos" w:hAnsi="Times New Roman" w:cs="Times New Roman"/>
          <w:iCs/>
          <w:szCs w:val="22"/>
        </w:rPr>
      </w:pPr>
      <w:r w:rsidRPr="0079156C">
        <w:rPr>
          <w:rFonts w:ascii="Times New Roman" w:eastAsia="Aptos" w:hAnsi="Times New Roman" w:cs="Times New Roman"/>
          <w:i/>
          <w:szCs w:val="22"/>
        </w:rPr>
        <w:t>Źródło: adaptacja Wąs, A., Sulewski, P., Kobus, P., Majewski, E., Pogodzińska, K., Kulawik, J., Soliwoda, M., Kurdyś-Kujawska, A., Osuch, D., Kagan, A., &amp; Herda-Kopańska, J. (2020).</w:t>
      </w:r>
      <w:r w:rsidRPr="0076547B">
        <w:rPr>
          <w:rFonts w:ascii="Times New Roman" w:eastAsia="Aptos" w:hAnsi="Times New Roman" w:cs="Times New Roman"/>
          <w:iCs/>
          <w:szCs w:val="22"/>
        </w:rPr>
        <w:t xml:space="preserve"> </w:t>
      </w:r>
      <w:r w:rsidRPr="0076547B">
        <w:rPr>
          <w:rFonts w:ascii="Times New Roman" w:eastAsia="Aptos" w:hAnsi="Times New Roman" w:cs="Times New Roman"/>
          <w:i/>
          <w:szCs w:val="22"/>
        </w:rPr>
        <w:t>Percepcja ryzyka przez rolników, jego źródeł i nastawień do niego oraz preferencji dotyczących instrumentów i strategii zarządzania nim – wyniki badań ankietowych</w:t>
      </w:r>
      <w:r w:rsidRPr="0076547B">
        <w:rPr>
          <w:rFonts w:ascii="Times New Roman" w:eastAsia="Aptos" w:hAnsi="Times New Roman" w:cs="Times New Roman"/>
          <w:iCs/>
          <w:szCs w:val="22"/>
        </w:rPr>
        <w:t xml:space="preserve">. W M. Soliwoda (red.), </w:t>
      </w:r>
      <w:r w:rsidRPr="0076547B">
        <w:rPr>
          <w:rFonts w:ascii="Times New Roman" w:eastAsia="Aptos" w:hAnsi="Times New Roman" w:cs="Times New Roman"/>
          <w:i/>
          <w:szCs w:val="22"/>
        </w:rPr>
        <w:t xml:space="preserve">Identyfikacja podstaw, przemian i problemów ubezpieczeń rolnych </w:t>
      </w:r>
      <w:r w:rsidRPr="0076547B">
        <w:rPr>
          <w:rFonts w:ascii="Times New Roman" w:eastAsia="Aptos" w:hAnsi="Times New Roman" w:cs="Times New Roman"/>
          <w:iCs/>
          <w:szCs w:val="22"/>
        </w:rPr>
        <w:t>(s. 552–654).</w:t>
      </w:r>
    </w:p>
    <w:p w14:paraId="7C70880E" w14:textId="77777777" w:rsidR="0076547B" w:rsidRPr="0076547B" w:rsidRDefault="0076547B" w:rsidP="0076547B">
      <w:pPr>
        <w:spacing w:after="0" w:line="264" w:lineRule="auto"/>
        <w:ind w:firstLine="709"/>
        <w:jc w:val="both"/>
        <w:rPr>
          <w:rFonts w:ascii="Times New Roman" w:eastAsia="Aptos" w:hAnsi="Times New Roman" w:cs="Times New Roman"/>
          <w:sz w:val="28"/>
        </w:rPr>
      </w:pPr>
      <w:r w:rsidRPr="0076547B">
        <w:rPr>
          <w:rFonts w:ascii="Times New Roman" w:eastAsia="Aptos" w:hAnsi="Times New Roman" w:cs="Times New Roman"/>
          <w:sz w:val="28"/>
        </w:rPr>
        <w:t>Obiekty do badań ankietowych wybrane zostaną przy zastosowaniu procedury doboru warstwowo-losowego, w którym uwzględniono:</w:t>
      </w:r>
    </w:p>
    <w:p w14:paraId="04207F45" w14:textId="77777777" w:rsidR="0076547B" w:rsidRPr="0076547B" w:rsidRDefault="0076547B" w:rsidP="0076547B">
      <w:pPr>
        <w:numPr>
          <w:ilvl w:val="0"/>
          <w:numId w:val="74"/>
        </w:numPr>
        <w:spacing w:after="0" w:line="264" w:lineRule="auto"/>
        <w:ind w:left="426" w:hanging="426"/>
        <w:contextualSpacing/>
        <w:jc w:val="both"/>
        <w:rPr>
          <w:rFonts w:ascii="Times New Roman" w:eastAsia="Aptos" w:hAnsi="Times New Roman" w:cs="Times New Roman"/>
          <w:sz w:val="28"/>
        </w:rPr>
      </w:pPr>
      <w:r w:rsidRPr="0076547B">
        <w:rPr>
          <w:rFonts w:ascii="Times New Roman" w:eastAsia="Aptos" w:hAnsi="Times New Roman" w:cs="Times New Roman"/>
          <w:sz w:val="28"/>
        </w:rPr>
        <w:t>4 warstwy ze względu na kryterium specjalizacji,</w:t>
      </w:r>
    </w:p>
    <w:p w14:paraId="6DBF290B" w14:textId="77777777" w:rsidR="0076547B" w:rsidRPr="0076547B" w:rsidRDefault="0076547B" w:rsidP="0076547B">
      <w:pPr>
        <w:numPr>
          <w:ilvl w:val="0"/>
          <w:numId w:val="74"/>
        </w:numPr>
        <w:spacing w:after="0" w:line="264" w:lineRule="auto"/>
        <w:ind w:left="426" w:hanging="426"/>
        <w:contextualSpacing/>
        <w:jc w:val="both"/>
        <w:rPr>
          <w:rFonts w:ascii="Times New Roman" w:eastAsia="Aptos" w:hAnsi="Times New Roman" w:cs="Times New Roman"/>
          <w:sz w:val="28"/>
        </w:rPr>
      </w:pPr>
      <w:r w:rsidRPr="0076547B">
        <w:rPr>
          <w:rFonts w:ascii="Times New Roman" w:eastAsia="Aptos" w:hAnsi="Times New Roman" w:cs="Times New Roman"/>
          <w:sz w:val="28"/>
        </w:rPr>
        <w:t>3 warstwy ze względu na kryterium wielkości ekonomicznej mierzonej wielkością standardowej produkcji (Standard Output),</w:t>
      </w:r>
    </w:p>
    <w:p w14:paraId="599686ED" w14:textId="77777777" w:rsidR="0076547B" w:rsidRPr="0076547B" w:rsidRDefault="0076547B" w:rsidP="0076547B">
      <w:pPr>
        <w:numPr>
          <w:ilvl w:val="0"/>
          <w:numId w:val="74"/>
        </w:numPr>
        <w:spacing w:after="0" w:line="264" w:lineRule="auto"/>
        <w:ind w:left="426" w:hanging="426"/>
        <w:contextualSpacing/>
        <w:jc w:val="both"/>
        <w:rPr>
          <w:rFonts w:ascii="Times New Roman" w:eastAsia="Aptos" w:hAnsi="Times New Roman" w:cs="Times New Roman"/>
          <w:sz w:val="28"/>
        </w:rPr>
      </w:pPr>
      <w:r w:rsidRPr="0076547B">
        <w:rPr>
          <w:rFonts w:ascii="Times New Roman" w:eastAsia="Aptos" w:hAnsi="Times New Roman" w:cs="Times New Roman"/>
          <w:sz w:val="28"/>
        </w:rPr>
        <w:t>4 warstwy odpowiadające regionom FADN.</w:t>
      </w:r>
    </w:p>
    <w:p w14:paraId="7EC31CB8" w14:textId="77777777" w:rsidR="0076547B" w:rsidRPr="0076547B" w:rsidRDefault="0076547B" w:rsidP="0076547B">
      <w:pPr>
        <w:spacing w:after="0" w:line="264" w:lineRule="auto"/>
        <w:jc w:val="both"/>
        <w:rPr>
          <w:rFonts w:ascii="Times New Roman" w:eastAsia="Aptos" w:hAnsi="Times New Roman" w:cs="Times New Roman"/>
          <w:sz w:val="28"/>
        </w:rPr>
      </w:pPr>
      <w:r w:rsidRPr="0076547B">
        <w:rPr>
          <w:rFonts w:ascii="Times New Roman" w:eastAsia="Aptos" w:hAnsi="Times New Roman" w:cs="Times New Roman"/>
          <w:sz w:val="28"/>
        </w:rPr>
        <w:lastRenderedPageBreak/>
        <w:t>Liczebność badanych gospodarstw w poszczególnych warstwach określona zostanie za pomocą metody Neymana</w:t>
      </w:r>
      <w:r w:rsidRPr="0076547B">
        <w:rPr>
          <w:rFonts w:ascii="Times New Roman" w:eastAsia="Aptos" w:hAnsi="Times New Roman" w:cs="Times New Roman"/>
          <w:sz w:val="28"/>
        </w:rPr>
        <w:fldChar w:fldCharType="begin"/>
      </w:r>
      <w:r w:rsidRPr="0076547B">
        <w:rPr>
          <w:rFonts w:ascii="Times New Roman" w:eastAsia="Aptos" w:hAnsi="Times New Roman" w:cs="Times New Roman"/>
          <w:sz w:val="28"/>
        </w:rPr>
        <w:instrText xml:space="preserve"> ADDIN ZOTERO_ITEM CSL_CITATION {"citationID":"ulzSsA1x","properties":{"formattedCitation":"(FADN, 2008; Neyman, 1934)","plainCitation":"(FADN, 2008; Neyman, 1934)","noteIndex":0},"citationItems":[{"id":82,"uris":["http://zotero.org/users/5720284/items/UNRECW8K"],"uri":["http://zotero.org/users/5720284/items/UNRECW8K"],"itemData":{"id":82,"type":"article","publisher":"IERiGŻ-PIB, Warszawa","title":"Plan wyboru próby gospodarstw rolnych Polskiego FADN 2008 (Plan of sampling for Polish FADN)","author":[{"family":"FADN","given":""}],"issued":{"date-parts":[["2008"]]}}},{"id":83,"uris":["http://zotero.org/users/5720284/items/XKQPJAR7"],"uri":["http://zotero.org/users/5720284/items/XKQPJAR7"],"itemData":{"id":83,"type":"article-journal","archive":"JSTOR","container-title":"Journal of the Royal Statistical Society","DOI":"10.2307/2342192","ISSN":"0952-8385","issue":"4","page":"558-625","source":"JSTOR","title":"On the Two Different Aspects of the Representative Method: The Method of Stratified Sampling and the Method of Purposive Selection","title-short":"On the Two Different Aspects of the Representative Method","volume":"97","author":[{"family":"Neyman","given":"Jerzy"}],"issued":{"date-parts":[["1934"]]}}}],"schema":"https://github.com/citation-style-language/schema/raw/master/csl-citation.json"} </w:instrText>
      </w:r>
      <w:r w:rsidRPr="0076547B">
        <w:rPr>
          <w:rFonts w:ascii="Times New Roman" w:eastAsia="Aptos" w:hAnsi="Times New Roman" w:cs="Times New Roman"/>
          <w:sz w:val="28"/>
        </w:rPr>
        <w:fldChar w:fldCharType="separate"/>
      </w:r>
      <w:r w:rsidRPr="0076547B">
        <w:rPr>
          <w:rFonts w:ascii="Times New Roman" w:eastAsia="Aptos" w:hAnsi="Times New Roman" w:cs="Times New Roman"/>
          <w:sz w:val="28"/>
        </w:rPr>
        <w:fldChar w:fldCharType="end"/>
      </w:r>
      <w:r w:rsidRPr="0076547B">
        <w:rPr>
          <w:rFonts w:ascii="Times New Roman" w:eastAsia="Aptos" w:hAnsi="Times New Roman" w:cs="Times New Roman"/>
          <w:sz w:val="28"/>
        </w:rPr>
        <w:t xml:space="preserve"> w sposób analogiczny do stosowanego przy ustalaniu liczebności próby FADN</w:t>
      </w:r>
      <w:r w:rsidRPr="0076547B">
        <w:rPr>
          <w:rFonts w:ascii="Times New Roman" w:eastAsia="Aptos" w:hAnsi="Times New Roman" w:cs="Times New Roman"/>
          <w:sz w:val="28"/>
          <w:vertAlign w:val="superscript"/>
        </w:rPr>
        <w:footnoteReference w:id="4"/>
      </w:r>
      <w:r w:rsidRPr="0076547B">
        <w:rPr>
          <w:rFonts w:ascii="Times New Roman" w:eastAsia="Aptos" w:hAnsi="Times New Roman" w:cs="Times New Roman"/>
          <w:sz w:val="28"/>
        </w:rPr>
        <w:t>:</w:t>
      </w:r>
    </w:p>
    <w:p w14:paraId="1E31AAE5" w14:textId="77777777" w:rsidR="0076547B" w:rsidRPr="0076547B" w:rsidRDefault="0076547B" w:rsidP="0076547B">
      <w:pPr>
        <w:spacing w:after="0" w:line="264" w:lineRule="auto"/>
        <w:jc w:val="both"/>
        <w:rPr>
          <w:rFonts w:ascii="Times New Roman" w:eastAsia="Aptos" w:hAnsi="Times New Roman" w:cs="Times New Roman"/>
          <w:sz w:val="28"/>
        </w:rPr>
      </w:pPr>
    </w:p>
    <w:p w14:paraId="7275C3F8" w14:textId="77777777" w:rsidR="0076547B" w:rsidRPr="0076547B" w:rsidRDefault="0076547B" w:rsidP="0076547B">
      <w:pPr>
        <w:spacing w:after="0" w:line="264" w:lineRule="auto"/>
        <w:ind w:firstLine="426"/>
        <w:jc w:val="center"/>
        <w:rPr>
          <w:rFonts w:ascii="Times New Roman" w:eastAsia="Aptos" w:hAnsi="Times New Roman" w:cs="Times New Roman"/>
          <w:sz w:val="28"/>
          <w:lang w:val="sv-SE"/>
        </w:rPr>
      </w:pPr>
      <w:r w:rsidRPr="0076547B">
        <w:rPr>
          <w:rFonts w:ascii="Times New Roman" w:eastAsia="Aptos" w:hAnsi="Times New Roman" w:cs="Times New Roman"/>
          <w:sz w:val="28"/>
          <w:lang w:val="sv-SE"/>
        </w:rPr>
        <w:t>n</w:t>
      </w:r>
      <w:r w:rsidRPr="0076547B">
        <w:rPr>
          <w:rFonts w:ascii="Times New Roman" w:eastAsia="Aptos" w:hAnsi="Times New Roman" w:cs="Times New Roman"/>
          <w:sz w:val="28"/>
          <w:vertAlign w:val="subscript"/>
          <w:lang w:val="sv-SE"/>
        </w:rPr>
        <w:t>h</w:t>
      </w:r>
      <w:r w:rsidRPr="0076547B">
        <w:rPr>
          <w:rFonts w:ascii="Times New Roman" w:eastAsia="Aptos" w:hAnsi="Times New Roman" w:cs="Times New Roman"/>
          <w:sz w:val="28"/>
          <w:lang w:val="sv-SE"/>
        </w:rPr>
        <w:t xml:space="preserve"> = n </w:t>
      </w:r>
      <m:oMath>
        <m:f>
          <m:fPr>
            <m:ctrlPr>
              <w:rPr>
                <w:rFonts w:ascii="Cambria Math" w:eastAsia="Aptos" w:hAnsi="Cambria Math" w:cs="Times New Roman"/>
                <w:sz w:val="28"/>
              </w:rPr>
            </m:ctrlPr>
          </m:fPr>
          <m:num>
            <m:sSub>
              <m:sSubPr>
                <m:ctrlPr>
                  <w:rPr>
                    <w:rFonts w:ascii="Cambria Math" w:eastAsia="Aptos" w:hAnsi="Cambria Math" w:cs="Times New Roman"/>
                    <w:sz w:val="28"/>
                  </w:rPr>
                </m:ctrlPr>
              </m:sSubPr>
              <m:e>
                <m:r>
                  <m:rPr>
                    <m:sty m:val="p"/>
                  </m:rPr>
                  <w:rPr>
                    <w:rFonts w:ascii="Cambria Math" w:eastAsia="Aptos" w:hAnsi="Cambria Math" w:cs="Times New Roman"/>
                    <w:sz w:val="28"/>
                    <w:lang w:val="sv-SE"/>
                  </w:rPr>
                  <m:t>N</m:t>
                </m:r>
              </m:e>
              <m:sub>
                <m:r>
                  <m:rPr>
                    <m:sty m:val="p"/>
                  </m:rPr>
                  <w:rPr>
                    <w:rFonts w:ascii="Cambria Math" w:eastAsia="Aptos" w:hAnsi="Cambria Math" w:cs="Times New Roman"/>
                    <w:sz w:val="28"/>
                    <w:lang w:val="sv-SE"/>
                  </w:rPr>
                  <m:t>h</m:t>
                </m:r>
              </m:sub>
            </m:sSub>
            <m:sSub>
              <m:sSubPr>
                <m:ctrlPr>
                  <w:rPr>
                    <w:rFonts w:ascii="Cambria Math" w:eastAsia="Aptos" w:hAnsi="Cambria Math" w:cs="Times New Roman"/>
                    <w:sz w:val="28"/>
                  </w:rPr>
                </m:ctrlPr>
              </m:sSubPr>
              <m:e>
                <m:r>
                  <m:rPr>
                    <m:sty m:val="p"/>
                  </m:rPr>
                  <w:rPr>
                    <w:rFonts w:ascii="Cambria Math" w:eastAsia="Aptos" w:hAnsi="Cambria Math" w:cs="Times New Roman"/>
                    <w:sz w:val="28"/>
                  </w:rPr>
                  <m:t>σ</m:t>
                </m:r>
              </m:e>
              <m:sub>
                <m:r>
                  <m:rPr>
                    <m:sty m:val="p"/>
                  </m:rPr>
                  <w:rPr>
                    <w:rFonts w:ascii="Cambria Math" w:eastAsia="Aptos" w:hAnsi="Cambria Math" w:cs="Times New Roman"/>
                    <w:sz w:val="28"/>
                    <w:lang w:val="sv-SE"/>
                  </w:rPr>
                  <m:t>h</m:t>
                </m:r>
              </m:sub>
            </m:sSub>
          </m:num>
          <m:den>
            <m:nary>
              <m:naryPr>
                <m:chr m:val="∑"/>
                <m:limLoc m:val="undOvr"/>
                <m:ctrlPr>
                  <w:rPr>
                    <w:rFonts w:ascii="Cambria Math" w:eastAsia="Aptos" w:hAnsi="Cambria Math" w:cs="Times New Roman"/>
                    <w:sz w:val="28"/>
                  </w:rPr>
                </m:ctrlPr>
              </m:naryPr>
              <m:sub>
                <m:r>
                  <m:rPr>
                    <m:sty m:val="p"/>
                  </m:rPr>
                  <w:rPr>
                    <w:rFonts w:ascii="Cambria Math" w:eastAsia="Aptos" w:hAnsi="Cambria Math" w:cs="Times New Roman"/>
                    <w:sz w:val="28"/>
                    <w:lang w:val="sv-SE"/>
                  </w:rPr>
                  <m:t>k=1</m:t>
                </m:r>
              </m:sub>
              <m:sup>
                <m:r>
                  <m:rPr>
                    <m:sty m:val="p"/>
                  </m:rPr>
                  <w:rPr>
                    <w:rFonts w:ascii="Cambria Math" w:eastAsia="Aptos" w:hAnsi="Cambria Math" w:cs="Times New Roman"/>
                    <w:sz w:val="28"/>
                    <w:lang w:val="sv-SE"/>
                  </w:rPr>
                  <m:t>L</m:t>
                </m:r>
              </m:sup>
              <m:e>
                <m:sSub>
                  <m:sSubPr>
                    <m:ctrlPr>
                      <w:rPr>
                        <w:rFonts w:ascii="Cambria Math" w:eastAsia="Aptos" w:hAnsi="Cambria Math" w:cs="Times New Roman"/>
                        <w:sz w:val="28"/>
                      </w:rPr>
                    </m:ctrlPr>
                  </m:sSubPr>
                  <m:e>
                    <m:r>
                      <m:rPr>
                        <m:sty m:val="p"/>
                      </m:rPr>
                      <w:rPr>
                        <w:rFonts w:ascii="Cambria Math" w:eastAsia="Aptos" w:hAnsi="Cambria Math" w:cs="Times New Roman"/>
                        <w:sz w:val="28"/>
                        <w:lang w:val="sv-SE"/>
                      </w:rPr>
                      <m:t>N</m:t>
                    </m:r>
                  </m:e>
                  <m:sub>
                    <m:r>
                      <m:rPr>
                        <m:sty m:val="p"/>
                      </m:rPr>
                      <w:rPr>
                        <w:rFonts w:ascii="Cambria Math" w:eastAsia="Aptos" w:hAnsi="Cambria Math" w:cs="Times New Roman"/>
                        <w:sz w:val="28"/>
                        <w:lang w:val="sv-SE"/>
                      </w:rPr>
                      <m:t>k</m:t>
                    </m:r>
                  </m:sub>
                </m:sSub>
                <m:sSub>
                  <m:sSubPr>
                    <m:ctrlPr>
                      <w:rPr>
                        <w:rFonts w:ascii="Cambria Math" w:eastAsia="Aptos" w:hAnsi="Cambria Math" w:cs="Times New Roman"/>
                        <w:sz w:val="28"/>
                      </w:rPr>
                    </m:ctrlPr>
                  </m:sSubPr>
                  <m:e>
                    <m:r>
                      <m:rPr>
                        <m:sty m:val="p"/>
                      </m:rPr>
                      <w:rPr>
                        <w:rFonts w:ascii="Cambria Math" w:eastAsia="Aptos" w:hAnsi="Cambria Math" w:cs="Times New Roman"/>
                        <w:sz w:val="28"/>
                      </w:rPr>
                      <m:t>σ</m:t>
                    </m:r>
                  </m:e>
                  <m:sub>
                    <m:r>
                      <m:rPr>
                        <m:sty m:val="p"/>
                      </m:rPr>
                      <w:rPr>
                        <w:rFonts w:ascii="Cambria Math" w:eastAsia="Aptos" w:hAnsi="Cambria Math" w:cs="Times New Roman"/>
                        <w:sz w:val="28"/>
                        <w:lang w:val="sv-SE"/>
                      </w:rPr>
                      <m:t>k</m:t>
                    </m:r>
                  </m:sub>
                </m:sSub>
              </m:e>
            </m:nary>
          </m:den>
        </m:f>
      </m:oMath>
    </w:p>
    <w:p w14:paraId="2AEBE473" w14:textId="77777777" w:rsidR="0076547B" w:rsidRPr="0076547B" w:rsidRDefault="0076547B" w:rsidP="0076547B">
      <w:pPr>
        <w:spacing w:after="0" w:line="264" w:lineRule="auto"/>
        <w:ind w:firstLine="426"/>
        <w:jc w:val="both"/>
        <w:rPr>
          <w:rFonts w:ascii="Times New Roman" w:eastAsia="Aptos" w:hAnsi="Times New Roman" w:cs="Times New Roman"/>
          <w:sz w:val="28"/>
          <w:lang w:val="sv-SE"/>
        </w:rPr>
      </w:pPr>
    </w:p>
    <w:p w14:paraId="36A7E439" w14:textId="77777777" w:rsidR="0076547B" w:rsidRPr="0076547B" w:rsidRDefault="0076547B" w:rsidP="0076547B">
      <w:pPr>
        <w:spacing w:after="0" w:line="264" w:lineRule="auto"/>
        <w:ind w:left="426" w:hanging="426"/>
        <w:jc w:val="both"/>
        <w:rPr>
          <w:rFonts w:ascii="Times New Roman" w:eastAsia="Aptos" w:hAnsi="Times New Roman" w:cs="Times New Roman"/>
          <w:sz w:val="28"/>
        </w:rPr>
      </w:pPr>
      <w:r w:rsidRPr="0076547B">
        <w:rPr>
          <w:rFonts w:ascii="Times New Roman" w:eastAsia="Aptos" w:hAnsi="Times New Roman" w:cs="Times New Roman"/>
          <w:sz w:val="28"/>
        </w:rPr>
        <w:t>gdzie: n</w:t>
      </w:r>
      <w:r w:rsidRPr="0076547B">
        <w:rPr>
          <w:rFonts w:ascii="Times New Roman" w:eastAsia="Aptos" w:hAnsi="Times New Roman" w:cs="Times New Roman"/>
          <w:sz w:val="28"/>
          <w:vertAlign w:val="subscript"/>
        </w:rPr>
        <w:t>h</w:t>
      </w:r>
      <w:r w:rsidRPr="0076547B">
        <w:rPr>
          <w:rFonts w:ascii="Times New Roman" w:eastAsia="Aptos" w:hAnsi="Times New Roman" w:cs="Times New Roman"/>
          <w:sz w:val="28"/>
        </w:rPr>
        <w:t xml:space="preserve"> - liczebność próby w warstwie h,</w:t>
      </w:r>
    </w:p>
    <w:p w14:paraId="61EB2D61" w14:textId="77777777" w:rsidR="0076547B" w:rsidRPr="0076547B" w:rsidRDefault="0076547B" w:rsidP="0076547B">
      <w:pPr>
        <w:spacing w:after="0" w:line="264" w:lineRule="auto"/>
        <w:ind w:left="426" w:hanging="426"/>
        <w:jc w:val="both"/>
        <w:rPr>
          <w:rFonts w:ascii="Times New Roman" w:eastAsia="Aptos" w:hAnsi="Times New Roman" w:cs="Times New Roman"/>
          <w:sz w:val="28"/>
        </w:rPr>
      </w:pPr>
      <w:r w:rsidRPr="0076547B">
        <w:rPr>
          <w:rFonts w:ascii="Times New Roman" w:eastAsia="Aptos" w:hAnsi="Times New Roman" w:cs="Times New Roman"/>
          <w:sz w:val="28"/>
        </w:rPr>
        <w:t>n - liczebność próby,</w:t>
      </w:r>
    </w:p>
    <w:p w14:paraId="1638D7CE" w14:textId="77777777" w:rsidR="0076547B" w:rsidRPr="0076547B" w:rsidRDefault="0076547B" w:rsidP="0076547B">
      <w:pPr>
        <w:spacing w:after="0" w:line="264" w:lineRule="auto"/>
        <w:ind w:left="426" w:hanging="426"/>
        <w:jc w:val="both"/>
        <w:rPr>
          <w:rFonts w:ascii="Times New Roman" w:eastAsia="Aptos" w:hAnsi="Times New Roman" w:cs="Times New Roman"/>
          <w:sz w:val="28"/>
        </w:rPr>
      </w:pPr>
      <w:r w:rsidRPr="0076547B">
        <w:rPr>
          <w:rFonts w:ascii="Times New Roman" w:eastAsia="Aptos" w:hAnsi="Times New Roman" w:cs="Times New Roman"/>
          <w:sz w:val="28"/>
        </w:rPr>
        <w:t>N</w:t>
      </w:r>
      <w:r w:rsidRPr="0076547B">
        <w:rPr>
          <w:rFonts w:ascii="Times New Roman" w:eastAsia="Aptos" w:hAnsi="Times New Roman" w:cs="Times New Roman"/>
          <w:sz w:val="28"/>
          <w:vertAlign w:val="subscript"/>
        </w:rPr>
        <w:t>h</w:t>
      </w:r>
      <w:r w:rsidRPr="0076547B">
        <w:rPr>
          <w:rFonts w:ascii="Times New Roman" w:eastAsia="Aptos" w:hAnsi="Times New Roman" w:cs="Times New Roman"/>
          <w:sz w:val="28"/>
        </w:rPr>
        <w:t xml:space="preserve"> - liczebność populacji w warstwie h,</w:t>
      </w:r>
    </w:p>
    <w:p w14:paraId="1DBBAD17" w14:textId="77777777" w:rsidR="0076547B" w:rsidRPr="0076547B" w:rsidRDefault="0076547B" w:rsidP="0076547B">
      <w:pPr>
        <w:spacing w:after="0" w:line="264" w:lineRule="auto"/>
        <w:ind w:left="426" w:hanging="426"/>
        <w:jc w:val="both"/>
        <w:rPr>
          <w:rFonts w:ascii="Times New Roman" w:eastAsia="Aptos" w:hAnsi="Times New Roman" w:cs="Times New Roman"/>
          <w:sz w:val="28"/>
        </w:rPr>
      </w:pPr>
      <w:r w:rsidRPr="0076547B">
        <w:rPr>
          <w:rFonts w:ascii="Times New Roman" w:eastAsia="Aptos" w:hAnsi="Times New Roman" w:cs="Times New Roman"/>
          <w:sz w:val="28"/>
          <w:lang w:val="el-GR"/>
        </w:rPr>
        <w:t>σ</w:t>
      </w:r>
      <w:r w:rsidRPr="0076547B">
        <w:rPr>
          <w:rFonts w:ascii="Times New Roman" w:eastAsia="Aptos" w:hAnsi="Times New Roman" w:cs="Times New Roman"/>
          <w:sz w:val="28"/>
          <w:vertAlign w:val="subscript"/>
        </w:rPr>
        <w:t>h</w:t>
      </w:r>
      <w:r w:rsidRPr="0076547B">
        <w:rPr>
          <w:rFonts w:ascii="Times New Roman" w:eastAsia="Aptos" w:hAnsi="Times New Roman" w:cs="Times New Roman"/>
          <w:sz w:val="28"/>
        </w:rPr>
        <w:t xml:space="preserve"> - odchylenie standardowe w warstwie h,</w:t>
      </w:r>
    </w:p>
    <w:p w14:paraId="43EC081F" w14:textId="77777777" w:rsidR="0076547B" w:rsidRPr="0076547B" w:rsidRDefault="0076547B" w:rsidP="0076547B">
      <w:pPr>
        <w:spacing w:after="0" w:line="264" w:lineRule="auto"/>
        <w:ind w:left="426" w:hanging="426"/>
        <w:jc w:val="both"/>
        <w:rPr>
          <w:rFonts w:ascii="Times New Roman" w:eastAsia="Aptos" w:hAnsi="Times New Roman" w:cs="Times New Roman"/>
          <w:sz w:val="28"/>
        </w:rPr>
      </w:pPr>
      <w:r w:rsidRPr="0076547B">
        <w:rPr>
          <w:rFonts w:ascii="Times New Roman" w:eastAsia="Aptos" w:hAnsi="Times New Roman" w:cs="Times New Roman"/>
          <w:sz w:val="28"/>
        </w:rPr>
        <w:t>L - liczba warstw.</w:t>
      </w:r>
    </w:p>
    <w:p w14:paraId="51007303" w14:textId="77777777" w:rsidR="0076547B" w:rsidRPr="0076547B" w:rsidRDefault="0076547B" w:rsidP="0076547B">
      <w:pPr>
        <w:spacing w:after="0" w:line="264" w:lineRule="auto"/>
        <w:ind w:firstLine="709"/>
        <w:jc w:val="both"/>
        <w:rPr>
          <w:rFonts w:ascii="Times New Roman" w:eastAsia="Aptos" w:hAnsi="Times New Roman" w:cs="Times New Roman"/>
          <w:sz w:val="28"/>
        </w:rPr>
      </w:pPr>
      <w:r w:rsidRPr="0076547B">
        <w:rPr>
          <w:rFonts w:ascii="Times New Roman" w:eastAsia="Aptos" w:hAnsi="Times New Roman" w:cs="Times New Roman"/>
          <w:sz w:val="28"/>
        </w:rPr>
        <w:t xml:space="preserve">Wyróżnione na podstawie typologii wykorzystywanej do doboru próby FADN </w:t>
      </w:r>
      <w:r w:rsidRPr="0076547B">
        <w:rPr>
          <w:rFonts w:ascii="Times New Roman" w:eastAsia="Aptos" w:hAnsi="Times New Roman" w:cs="Times New Roman"/>
          <w:sz w:val="28"/>
        </w:rPr>
        <w:fldChar w:fldCharType="begin"/>
      </w:r>
      <w:r w:rsidRPr="0076547B">
        <w:rPr>
          <w:rFonts w:ascii="Times New Roman" w:eastAsia="Aptos" w:hAnsi="Times New Roman" w:cs="Times New Roman"/>
          <w:sz w:val="28"/>
        </w:rPr>
        <w:instrText xml:space="preserve"> ADDIN ZOTERO_ITEM CSL_CITATION {"citationID":"EBKxtSHb","properties":{"formattedCitation":"(Floria\\uc0\\u324{}czyk i in., 2019)","plainCitation":"(Floriańczyk i in., 2019)","noteIndex":0},"citationItems":[{"id":678,"uris":["http://zotero.org/users/5720284/items/KTRAKZ68"],"uri":["http://zotero.org/users/5720284/items/KTRAKZ68"],"itemData":{"id":678,"type":"article-journal","container-title":"IERiGŻ","title":"Plan wyboru próby gospodarstw rolnych Polskiego FADN od roku obrachunkowego 2019 wersja z dn. 25.10.2018 roku","author":[{"family":"Floriańczyk","given":"Z"},{"family":"Osuch","given":"D"},{"family":"Bocian","given":"M"},{"family":"Malachowska","given":"B"},{"family":"Cholewa","given":"I"}],"issued":{"date-parts":[["2019"]]}}}],"schema":"https://github.com/citation-style-language/schema/raw/master/csl-citation.json"} </w:instrText>
      </w:r>
      <w:r w:rsidRPr="0076547B">
        <w:rPr>
          <w:rFonts w:ascii="Times New Roman" w:eastAsia="Aptos" w:hAnsi="Times New Roman" w:cs="Times New Roman"/>
          <w:sz w:val="28"/>
        </w:rPr>
        <w:fldChar w:fldCharType="separate"/>
      </w:r>
      <w:r w:rsidRPr="0076547B">
        <w:rPr>
          <w:rFonts w:ascii="Times New Roman" w:eastAsia="Aptos" w:hAnsi="Times New Roman" w:cs="Times New Roman"/>
          <w:sz w:val="28"/>
        </w:rPr>
        <w:fldChar w:fldCharType="end"/>
      </w:r>
      <w:r w:rsidRPr="0076547B">
        <w:rPr>
          <w:rFonts w:ascii="Times New Roman" w:eastAsia="Aptos" w:hAnsi="Times New Roman" w:cs="Times New Roman"/>
          <w:sz w:val="28"/>
        </w:rPr>
        <w:t xml:space="preserve"> warstwy gospodarstw ze względu na kryterium specjalizacji obejmować będą  następujące typy produkcyjne</w:t>
      </w:r>
      <w:r w:rsidRPr="0076547B">
        <w:rPr>
          <w:rFonts w:ascii="Times New Roman" w:eastAsia="Aptos" w:hAnsi="Times New Roman" w:cs="Times New Roman"/>
          <w:sz w:val="28"/>
          <w:vertAlign w:val="superscript"/>
        </w:rPr>
        <w:footnoteReference w:id="5"/>
      </w:r>
      <w:r w:rsidRPr="0076547B">
        <w:rPr>
          <w:rFonts w:ascii="Times New Roman" w:eastAsia="Aptos" w:hAnsi="Times New Roman" w:cs="Times New Roman"/>
          <w:sz w:val="28"/>
        </w:rPr>
        <w:t>:</w:t>
      </w:r>
    </w:p>
    <w:p w14:paraId="19492D8F" w14:textId="77777777" w:rsidR="0076547B" w:rsidRPr="0076547B" w:rsidRDefault="0076547B" w:rsidP="0076547B">
      <w:pPr>
        <w:spacing w:after="0" w:line="264" w:lineRule="auto"/>
        <w:jc w:val="both"/>
        <w:rPr>
          <w:rFonts w:ascii="Times New Roman" w:eastAsia="Aptos" w:hAnsi="Times New Roman" w:cs="Times New Roman"/>
          <w:sz w:val="28"/>
        </w:rPr>
      </w:pPr>
      <w:r w:rsidRPr="0076547B">
        <w:rPr>
          <w:rFonts w:ascii="Times New Roman" w:eastAsia="Aptos" w:hAnsi="Times New Roman" w:cs="Times New Roman"/>
          <w:sz w:val="28"/>
        </w:rPr>
        <w:t>– gospodarstwa roślinne – gospodarstwa specjalizujące się w uprawach polowych (TF1), uprawach ogrodniczych (TF2), uprawach trwałych (TF4);</w:t>
      </w:r>
    </w:p>
    <w:p w14:paraId="276576E8" w14:textId="77777777" w:rsidR="0076547B" w:rsidRPr="0076547B" w:rsidRDefault="0076547B" w:rsidP="0076547B">
      <w:pPr>
        <w:spacing w:after="0" w:line="264" w:lineRule="auto"/>
        <w:jc w:val="both"/>
        <w:rPr>
          <w:rFonts w:ascii="Times New Roman" w:eastAsia="Aptos" w:hAnsi="Times New Roman" w:cs="Times New Roman"/>
          <w:sz w:val="28"/>
        </w:rPr>
      </w:pPr>
      <w:r w:rsidRPr="0076547B">
        <w:rPr>
          <w:rFonts w:ascii="Times New Roman" w:eastAsia="Aptos" w:hAnsi="Times New Roman" w:cs="Times New Roman"/>
          <w:sz w:val="28"/>
        </w:rPr>
        <w:t>– gospodarstwa bydlęce – podmioty specjalizujące się  chowie krów mlecznych (TF5) i zwierząt trawożernych (TF6);</w:t>
      </w:r>
    </w:p>
    <w:p w14:paraId="7A8F5F58" w14:textId="77777777" w:rsidR="0076547B" w:rsidRPr="0076547B" w:rsidRDefault="0076547B" w:rsidP="0076547B">
      <w:pPr>
        <w:spacing w:after="0" w:line="264" w:lineRule="auto"/>
        <w:jc w:val="both"/>
        <w:rPr>
          <w:rFonts w:ascii="Times New Roman" w:eastAsia="Aptos" w:hAnsi="Times New Roman" w:cs="Times New Roman"/>
          <w:sz w:val="28"/>
        </w:rPr>
      </w:pPr>
      <w:r w:rsidRPr="0076547B">
        <w:rPr>
          <w:rFonts w:ascii="Times New Roman" w:eastAsia="Aptos" w:hAnsi="Times New Roman" w:cs="Times New Roman"/>
          <w:sz w:val="28"/>
        </w:rPr>
        <w:t>– gospodarstwa trzodowe –jednostki specjalizujące się w chowie zwierząt żywionych paszami treściwymi (głównie trzody chlewnej TF71 oraz drobiu TF72),</w:t>
      </w:r>
    </w:p>
    <w:p w14:paraId="6949B498" w14:textId="77777777" w:rsidR="0076547B" w:rsidRPr="0076547B" w:rsidRDefault="0076547B" w:rsidP="0076547B">
      <w:pPr>
        <w:spacing w:after="0" w:line="264" w:lineRule="auto"/>
        <w:jc w:val="both"/>
        <w:rPr>
          <w:rFonts w:ascii="Times New Roman" w:eastAsia="Aptos" w:hAnsi="Times New Roman" w:cs="Times New Roman"/>
          <w:sz w:val="28"/>
        </w:rPr>
      </w:pPr>
      <w:r w:rsidRPr="0076547B">
        <w:rPr>
          <w:rFonts w:ascii="Times New Roman" w:eastAsia="Aptos" w:hAnsi="Times New Roman" w:cs="Times New Roman"/>
          <w:sz w:val="28"/>
        </w:rPr>
        <w:t>– gospodarstwa mieszane –gospodarstwa mieszane (TF8).</w:t>
      </w:r>
    </w:p>
    <w:p w14:paraId="4BA20E59" w14:textId="77777777" w:rsidR="0076547B" w:rsidRPr="0076547B" w:rsidRDefault="0076547B" w:rsidP="0076547B">
      <w:pPr>
        <w:spacing w:after="0" w:line="264" w:lineRule="auto"/>
        <w:jc w:val="both"/>
        <w:rPr>
          <w:rFonts w:ascii="Times New Roman" w:eastAsia="Aptos" w:hAnsi="Times New Roman" w:cs="Times New Roman"/>
          <w:sz w:val="28"/>
        </w:rPr>
      </w:pPr>
      <w:r w:rsidRPr="0076547B">
        <w:rPr>
          <w:rFonts w:ascii="Times New Roman" w:eastAsia="Aptos" w:hAnsi="Times New Roman" w:cs="Times New Roman"/>
          <w:sz w:val="28"/>
        </w:rPr>
        <w:t>Ww. typologia została zastosowana  w zadaniu nr 2 projektu badawczo-rozwojowego, współfinansowanego ze środków Narodowego Centrum Badań i Rozwoju, o akronimie UBROL</w:t>
      </w:r>
      <w:r w:rsidRPr="0076547B">
        <w:rPr>
          <w:rFonts w:ascii="Times New Roman" w:eastAsia="Aptos" w:hAnsi="Times New Roman" w:cs="Times New Roman"/>
          <w:sz w:val="28"/>
          <w:vertAlign w:val="superscript"/>
        </w:rPr>
        <w:footnoteReference w:id="6"/>
      </w:r>
      <w:r w:rsidRPr="0076547B">
        <w:rPr>
          <w:rFonts w:ascii="Times New Roman" w:eastAsia="Aptos" w:hAnsi="Times New Roman" w:cs="Times New Roman"/>
          <w:sz w:val="28"/>
        </w:rPr>
        <w:t>.</w:t>
      </w:r>
    </w:p>
    <w:p w14:paraId="230D5216" w14:textId="77777777" w:rsidR="0076547B" w:rsidRPr="0076547B" w:rsidRDefault="0076547B" w:rsidP="0076547B">
      <w:pPr>
        <w:spacing w:after="0" w:line="264" w:lineRule="auto"/>
        <w:ind w:firstLine="709"/>
        <w:jc w:val="both"/>
        <w:rPr>
          <w:rFonts w:ascii="Times New Roman" w:eastAsia="Aptos" w:hAnsi="Times New Roman" w:cs="Times New Roman"/>
          <w:sz w:val="28"/>
        </w:rPr>
      </w:pPr>
      <w:r w:rsidRPr="0076547B">
        <w:rPr>
          <w:rFonts w:ascii="Times New Roman" w:eastAsia="Aptos" w:hAnsi="Times New Roman" w:cs="Times New Roman"/>
          <w:sz w:val="28"/>
        </w:rPr>
        <w:t>Nie jest możliwe powiązanie danych pochodzących z innych baz (wspomnianych w uwagach JRC) z systemem FADN. Można jedynie powiązać dane z badań ankietowych  gospodarstw uczestniczących w FADN z  pozostałymi danymi ilościowymi, zgromadzonymi w tym systemie.</w:t>
      </w:r>
    </w:p>
    <w:p w14:paraId="36CA8C30" w14:textId="26C076FF" w:rsidR="00E1746E" w:rsidRDefault="00E1746E" w:rsidP="00E1746E">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Z punktu widzenia ewaluacji wpływu fundamentalne znaczenie dla szacowania efektów przyczynowych wszelkich interwencji ma podział niezbędnych danych</w:t>
      </w:r>
      <w:r w:rsidR="0099549F">
        <w:rPr>
          <w:rFonts w:ascii="Times New Roman" w:hAnsi="Times New Roman" w:cs="Times New Roman"/>
          <w:sz w:val="28"/>
          <w:szCs w:val="28"/>
        </w:rPr>
        <w:t xml:space="preserve"> mikro, w którym wyróżnia się następujące ich rodzaje:</w:t>
      </w:r>
    </w:p>
    <w:p w14:paraId="1A67081F" w14:textId="4E0B3E98" w:rsidR="0099549F" w:rsidRDefault="0099549F" w:rsidP="0099549F">
      <w:pPr>
        <w:pStyle w:val="Akapitzlist"/>
        <w:numPr>
          <w:ilvl w:val="0"/>
          <w:numId w:val="75"/>
        </w:numPr>
        <w:ind w:left="426" w:hanging="426"/>
        <w:jc w:val="both"/>
        <w:rPr>
          <w:rFonts w:ascii="Times New Roman" w:hAnsi="Times New Roman" w:cs="Times New Roman"/>
          <w:sz w:val="28"/>
          <w:szCs w:val="28"/>
        </w:rPr>
      </w:pPr>
      <w:r w:rsidRPr="0099549F">
        <w:rPr>
          <w:rFonts w:ascii="Times New Roman" w:hAnsi="Times New Roman" w:cs="Times New Roman"/>
          <w:sz w:val="28"/>
          <w:szCs w:val="28"/>
        </w:rPr>
        <w:t>Przekrojowe (</w:t>
      </w:r>
      <w:r w:rsidRPr="0099549F">
        <w:rPr>
          <w:rFonts w:ascii="Times New Roman" w:hAnsi="Times New Roman" w:cs="Times New Roman"/>
          <w:i/>
          <w:iCs/>
          <w:sz w:val="28"/>
          <w:szCs w:val="28"/>
        </w:rPr>
        <w:t>cross-sectional</w:t>
      </w:r>
      <w:r w:rsidRPr="0099549F">
        <w:rPr>
          <w:rFonts w:ascii="Times New Roman" w:hAnsi="Times New Roman" w:cs="Times New Roman"/>
          <w:sz w:val="28"/>
          <w:szCs w:val="28"/>
        </w:rPr>
        <w:t>, CS), które odnoszą s</w:t>
      </w:r>
      <w:r>
        <w:rPr>
          <w:rFonts w:ascii="Times New Roman" w:hAnsi="Times New Roman" w:cs="Times New Roman"/>
          <w:sz w:val="28"/>
          <w:szCs w:val="28"/>
        </w:rPr>
        <w:t>ię do pojedynczego punktu w czasie.</w:t>
      </w:r>
    </w:p>
    <w:p w14:paraId="1782F07C" w14:textId="563AB6BF" w:rsidR="0099549F" w:rsidRDefault="0099549F" w:rsidP="0099549F">
      <w:pPr>
        <w:pStyle w:val="Akapitzlist"/>
        <w:numPr>
          <w:ilvl w:val="0"/>
          <w:numId w:val="75"/>
        </w:numPr>
        <w:ind w:left="426" w:hanging="426"/>
        <w:jc w:val="both"/>
        <w:rPr>
          <w:rFonts w:ascii="Times New Roman" w:hAnsi="Times New Roman" w:cs="Times New Roman"/>
          <w:sz w:val="28"/>
          <w:szCs w:val="28"/>
        </w:rPr>
      </w:pPr>
      <w:r>
        <w:rPr>
          <w:rFonts w:ascii="Times New Roman" w:hAnsi="Times New Roman" w:cs="Times New Roman"/>
          <w:sz w:val="28"/>
          <w:szCs w:val="28"/>
        </w:rPr>
        <w:t>Powtarzalne dane przekrojowe (</w:t>
      </w:r>
      <w:r w:rsidRPr="0099549F">
        <w:rPr>
          <w:rFonts w:ascii="Times New Roman" w:hAnsi="Times New Roman" w:cs="Times New Roman"/>
          <w:i/>
          <w:iCs/>
          <w:sz w:val="28"/>
          <w:szCs w:val="28"/>
        </w:rPr>
        <w:t>repeated cross-sectional</w:t>
      </w:r>
      <w:r>
        <w:rPr>
          <w:rFonts w:ascii="Times New Roman" w:hAnsi="Times New Roman" w:cs="Times New Roman"/>
          <w:sz w:val="28"/>
          <w:szCs w:val="28"/>
        </w:rPr>
        <w:t>, RCS. W tym przypadku z ustalonej populacji jednostek w kolejnych punktach czasu wybiera się różne ich podzbiorowości. Korzystanie z nich łagodzi</w:t>
      </w:r>
      <w:r w:rsidR="001E24C5">
        <w:rPr>
          <w:rFonts w:ascii="Times New Roman" w:hAnsi="Times New Roman" w:cs="Times New Roman"/>
          <w:sz w:val="28"/>
          <w:szCs w:val="28"/>
        </w:rPr>
        <w:t xml:space="preserve"> dwa podstawowe ograniczenia danych CS: pozwalają one analizować zjawiska wraz z upływem czasu, a więc w sposób dynamiczny; dają głębszy wgląd w dokonujące się zmiany społeczne.</w:t>
      </w:r>
    </w:p>
    <w:p w14:paraId="7662AB73" w14:textId="06B072FD" w:rsidR="001E24C5" w:rsidRDefault="001E24C5" w:rsidP="0099549F">
      <w:pPr>
        <w:pStyle w:val="Akapitzlist"/>
        <w:numPr>
          <w:ilvl w:val="0"/>
          <w:numId w:val="75"/>
        </w:numPr>
        <w:ind w:left="426" w:hanging="426"/>
        <w:jc w:val="both"/>
        <w:rPr>
          <w:rFonts w:ascii="Times New Roman" w:hAnsi="Times New Roman" w:cs="Times New Roman"/>
          <w:sz w:val="28"/>
          <w:szCs w:val="28"/>
        </w:rPr>
      </w:pPr>
      <w:r>
        <w:rPr>
          <w:rFonts w:ascii="Times New Roman" w:hAnsi="Times New Roman" w:cs="Times New Roman"/>
          <w:sz w:val="28"/>
          <w:szCs w:val="28"/>
        </w:rPr>
        <w:t xml:space="preserve">Długookresowe, czyli panelowe oraz odnoszące się do kohort, czyli pewnych grup społecznych, które maja znaczenie dla badań stricte społecznych. W przedmiotowej ewaluacji nie będziemy się jednak nimi zajmować. Dane panelowe z kolei mogą dotyczyć tych samych jednostek w różnych punktach czasu </w:t>
      </w:r>
      <w:r w:rsidR="001250F6">
        <w:rPr>
          <w:rFonts w:ascii="Times New Roman" w:hAnsi="Times New Roman" w:cs="Times New Roman"/>
          <w:sz w:val="28"/>
          <w:szCs w:val="28"/>
        </w:rPr>
        <w:t xml:space="preserve">(panele zbilansowane) oraz zmiennego ich składu podmiotowego (panele niezbilansowane). </w:t>
      </w:r>
      <w:r w:rsidR="00E778DE">
        <w:rPr>
          <w:rFonts w:ascii="Times New Roman" w:hAnsi="Times New Roman" w:cs="Times New Roman"/>
          <w:sz w:val="28"/>
          <w:szCs w:val="28"/>
        </w:rPr>
        <w:t xml:space="preserve">W istocie badania panelowe łączą w sobie charakterystyki CS i typowe dla szeregów czasowych. Stąd często określa się je jako </w:t>
      </w:r>
      <w:r w:rsidR="00E778DE" w:rsidRPr="00E778DE">
        <w:rPr>
          <w:rFonts w:ascii="Times New Roman" w:hAnsi="Times New Roman" w:cs="Times New Roman"/>
          <w:i/>
          <w:iCs/>
          <w:sz w:val="28"/>
          <w:szCs w:val="28"/>
        </w:rPr>
        <w:t>cross-sectional time – series data</w:t>
      </w:r>
      <w:r w:rsidR="00E778DE">
        <w:rPr>
          <w:rFonts w:ascii="Times New Roman" w:hAnsi="Times New Roman" w:cs="Times New Roman"/>
          <w:sz w:val="28"/>
          <w:szCs w:val="28"/>
        </w:rPr>
        <w:t>. Są one najbardziej pożądane w ewolucjach wpływu, ale z reguły są też najbardziej kosztowne do zgromadzenia.</w:t>
      </w:r>
    </w:p>
    <w:p w14:paraId="049DDDF7" w14:textId="77777777" w:rsidR="00C91135" w:rsidRDefault="00E778DE" w:rsidP="0099549F">
      <w:pPr>
        <w:pStyle w:val="Akapitzlist"/>
        <w:numPr>
          <w:ilvl w:val="0"/>
          <w:numId w:val="75"/>
        </w:numPr>
        <w:ind w:left="426" w:hanging="426"/>
        <w:jc w:val="both"/>
        <w:rPr>
          <w:rFonts w:ascii="Times New Roman" w:hAnsi="Times New Roman" w:cs="Times New Roman"/>
          <w:sz w:val="28"/>
          <w:szCs w:val="28"/>
        </w:rPr>
      </w:pPr>
      <w:r>
        <w:rPr>
          <w:rFonts w:ascii="Times New Roman" w:hAnsi="Times New Roman" w:cs="Times New Roman"/>
          <w:sz w:val="28"/>
          <w:szCs w:val="28"/>
        </w:rPr>
        <w:t>Dane retrospektywne.</w:t>
      </w:r>
      <w:r w:rsidR="00C91135">
        <w:rPr>
          <w:rFonts w:ascii="Times New Roman" w:hAnsi="Times New Roman" w:cs="Times New Roman"/>
          <w:sz w:val="28"/>
          <w:szCs w:val="28"/>
        </w:rPr>
        <w:t xml:space="preserve"> Ich wyróżnikiem jest to, że prosi się grupę respondentów o odtworzenie z pamięci pewnych przeszłych zdarzeń, faktów i wielkości dających się jakoś oszacować (Raffery i in., 2015). Mogą one być przydatne do uzyskania odpowiedzi na niektóre pytania ewaluacyjne.</w:t>
      </w:r>
    </w:p>
    <w:p w14:paraId="11104332" w14:textId="7EDAE894" w:rsidR="00E778DE" w:rsidRDefault="00C91135" w:rsidP="00C91135">
      <w:pPr>
        <w:pStyle w:val="Akapitzlist"/>
        <w:ind w:left="426"/>
        <w:jc w:val="both"/>
        <w:rPr>
          <w:rFonts w:ascii="Times New Roman" w:hAnsi="Times New Roman" w:cs="Times New Roman"/>
          <w:sz w:val="28"/>
          <w:szCs w:val="28"/>
        </w:rPr>
      </w:pPr>
      <w:r>
        <w:rPr>
          <w:rFonts w:ascii="Times New Roman" w:hAnsi="Times New Roman" w:cs="Times New Roman"/>
          <w:sz w:val="28"/>
          <w:szCs w:val="28"/>
        </w:rPr>
        <w:t>Dane przekrojowe mogą być podstawą tylko estymacji efektów interwencji za pomocą PSM. W przypadku zaś DID oraz MDID (PSM+DID) najlepsze są panele zbilansowane, ale można tez korzystać z paneli niezbilansowanych oraz RCS (Gertler i in., 2016; Glewwe i Todd, 2022).</w:t>
      </w:r>
      <w:r w:rsidR="00E778DE">
        <w:rPr>
          <w:rFonts w:ascii="Times New Roman" w:hAnsi="Times New Roman" w:cs="Times New Roman"/>
          <w:sz w:val="28"/>
          <w:szCs w:val="28"/>
        </w:rPr>
        <w:t xml:space="preserve"> </w:t>
      </w:r>
    </w:p>
    <w:p w14:paraId="65607434" w14:textId="77777777" w:rsidR="00CF00A1" w:rsidRDefault="00CF00A1" w:rsidP="00CF00A1">
      <w:pPr>
        <w:rPr>
          <w:rFonts w:ascii="Times New Roman" w:hAnsi="Times New Roman" w:cs="Times New Roman"/>
          <w:sz w:val="28"/>
          <w:szCs w:val="28"/>
        </w:rPr>
      </w:pPr>
    </w:p>
    <w:p w14:paraId="5F75FC0A" w14:textId="155516E5" w:rsidR="00CF00A1" w:rsidRDefault="00CF00A1" w:rsidP="00CF00A1">
      <w:pPr>
        <w:pStyle w:val="Akapitzlist"/>
        <w:numPr>
          <w:ilvl w:val="0"/>
          <w:numId w:val="57"/>
        </w:numPr>
        <w:rPr>
          <w:rFonts w:ascii="Times New Roman" w:hAnsi="Times New Roman" w:cs="Times New Roman"/>
          <w:b/>
          <w:bCs/>
          <w:sz w:val="28"/>
          <w:szCs w:val="28"/>
        </w:rPr>
      </w:pPr>
      <w:r w:rsidRPr="00CF00A1">
        <w:rPr>
          <w:rFonts w:ascii="Times New Roman" w:hAnsi="Times New Roman" w:cs="Times New Roman"/>
          <w:b/>
          <w:bCs/>
          <w:sz w:val="28"/>
          <w:szCs w:val="28"/>
        </w:rPr>
        <w:t>Analiza ryzyka badań ewaluacyjnych</w:t>
      </w:r>
    </w:p>
    <w:p w14:paraId="507A988C" w14:textId="77777777" w:rsidR="00B51384" w:rsidRDefault="00B51384" w:rsidP="00B51384">
      <w:pPr>
        <w:ind w:firstLine="708"/>
        <w:jc w:val="both"/>
        <w:rPr>
          <w:rFonts w:ascii="Times New Roman" w:hAnsi="Times New Roman" w:cs="Times New Roman"/>
          <w:sz w:val="28"/>
          <w:szCs w:val="28"/>
        </w:rPr>
      </w:pPr>
      <w:r>
        <w:rPr>
          <w:rFonts w:ascii="Times New Roman" w:hAnsi="Times New Roman" w:cs="Times New Roman"/>
          <w:sz w:val="28"/>
          <w:szCs w:val="28"/>
        </w:rPr>
        <w:t>Ewaluacja, jak każda inna stosowana dyscyplina z obszaru nauk społecznych i działalność praktyczna, obciążona jest różnymi typami ryzyka. Poniżej krótko</w:t>
      </w:r>
      <w:r w:rsidRPr="004B235C">
        <w:rPr>
          <w:rFonts w:ascii="Times New Roman" w:hAnsi="Times New Roman" w:cs="Times New Roman"/>
          <w:sz w:val="28"/>
          <w:szCs w:val="28"/>
        </w:rPr>
        <w:t xml:space="preserve"> </w:t>
      </w:r>
      <w:r>
        <w:rPr>
          <w:rFonts w:ascii="Times New Roman" w:hAnsi="Times New Roman" w:cs="Times New Roman"/>
          <w:sz w:val="28"/>
          <w:szCs w:val="28"/>
        </w:rPr>
        <w:t>się je wymieni, nie pretendując do kompletności ujęcia problemu.</w:t>
      </w:r>
    </w:p>
    <w:p w14:paraId="0A3B0668" w14:textId="77777777" w:rsidR="00B51384" w:rsidRDefault="00B51384" w:rsidP="00B51384">
      <w:pPr>
        <w:pStyle w:val="Akapitzlist"/>
        <w:numPr>
          <w:ilvl w:val="0"/>
          <w:numId w:val="76"/>
        </w:numPr>
        <w:tabs>
          <w:tab w:val="left" w:pos="1928"/>
        </w:tabs>
        <w:ind w:left="426" w:hanging="426"/>
        <w:jc w:val="both"/>
        <w:rPr>
          <w:rFonts w:ascii="Times New Roman" w:hAnsi="Times New Roman" w:cs="Times New Roman"/>
          <w:sz w:val="28"/>
          <w:szCs w:val="28"/>
        </w:rPr>
      </w:pPr>
      <w:r w:rsidRPr="00D721DD">
        <w:rPr>
          <w:rFonts w:ascii="Times New Roman" w:hAnsi="Times New Roman" w:cs="Times New Roman"/>
          <w:sz w:val="28"/>
          <w:szCs w:val="28"/>
        </w:rPr>
        <w:t>Powszechnie w ewaluacji</w:t>
      </w:r>
      <w:r>
        <w:rPr>
          <w:rFonts w:ascii="Times New Roman" w:hAnsi="Times New Roman" w:cs="Times New Roman"/>
          <w:sz w:val="28"/>
          <w:szCs w:val="28"/>
        </w:rPr>
        <w:t xml:space="preserve"> wpływu, ze względów kosztowych, środowiskowych i etyczno-moralnych, wykorzystuje się quasi-eksperymenty. Do </w:t>
      </w:r>
      <w:r>
        <w:rPr>
          <w:rFonts w:ascii="Times New Roman" w:hAnsi="Times New Roman" w:cs="Times New Roman"/>
          <w:sz w:val="28"/>
          <w:szCs w:val="28"/>
        </w:rPr>
        <w:lastRenderedPageBreak/>
        <w:t>narzędzi szczegółowych należą tu przede wszystkim: PSM; różnica-różnic (DID); oraz ich kombinacje; metoda zmiennych instrumentalnych (IV) oraz regresja nieciągłości (RDD). Wspólną ich wadą jest problem z gwarantowaniem zadowalającej walidacji wewnętrznej, tj. poprawności wnioskowania przyczynowego, i nieobciążoność statystyczna szacowanych efektów interwencji. Poza tym niekiedy te szacunki mają tylko charakter lokalny, a więc kwestionować można także ich walidację zewnętrzną, tzn. uogólnialność estymacji efektów interwencji. Zagrożenia te istotnie jednak maleją, gdy skonstruuje się dostatecznie liczne próby badane i kontrolne oraz starannie zaprojektuje i wykona się quasi-eksperymenty.</w:t>
      </w:r>
    </w:p>
    <w:p w14:paraId="15718B91" w14:textId="77777777" w:rsidR="00B51384" w:rsidRDefault="00B51384" w:rsidP="00B51384">
      <w:pPr>
        <w:pStyle w:val="Akapitzlist"/>
        <w:numPr>
          <w:ilvl w:val="0"/>
          <w:numId w:val="76"/>
        </w:numPr>
        <w:tabs>
          <w:tab w:val="left" w:pos="1928"/>
        </w:tabs>
        <w:ind w:left="426" w:hanging="426"/>
        <w:jc w:val="both"/>
        <w:rPr>
          <w:rFonts w:ascii="Times New Roman" w:hAnsi="Times New Roman" w:cs="Times New Roman"/>
          <w:sz w:val="28"/>
          <w:szCs w:val="28"/>
        </w:rPr>
      </w:pPr>
      <w:r>
        <w:rPr>
          <w:rFonts w:ascii="Times New Roman" w:hAnsi="Times New Roman" w:cs="Times New Roman"/>
          <w:sz w:val="28"/>
          <w:szCs w:val="28"/>
        </w:rPr>
        <w:t xml:space="preserve">Wprawdzie zaleca się by schematy losowania jednostek do grup badanych i kontrolnych doprowadzić do najniższych jednostek klasyfikacyjnych, a więc np. pojedynczych gospodarstw rolnych i domowych, ale wówczas trzeba liczyć się z dwoma ryzykami: </w:t>
      </w:r>
      <w:r w:rsidRPr="00445BDC">
        <w:rPr>
          <w:rFonts w:ascii="Times New Roman" w:hAnsi="Times New Roman" w:cs="Times New Roman"/>
          <w:i/>
          <w:iCs/>
          <w:sz w:val="28"/>
          <w:szCs w:val="28"/>
        </w:rPr>
        <w:t>the spillovers</w:t>
      </w:r>
      <w:r>
        <w:rPr>
          <w:rFonts w:ascii="Times New Roman" w:hAnsi="Times New Roman" w:cs="Times New Roman"/>
          <w:sz w:val="28"/>
          <w:szCs w:val="28"/>
        </w:rPr>
        <w:t xml:space="preserve"> i </w:t>
      </w:r>
      <w:r w:rsidRPr="00445BDC">
        <w:rPr>
          <w:rFonts w:ascii="Times New Roman" w:hAnsi="Times New Roman" w:cs="Times New Roman"/>
          <w:i/>
          <w:iCs/>
          <w:sz w:val="28"/>
          <w:szCs w:val="28"/>
        </w:rPr>
        <w:t>an imperfect compliance</w:t>
      </w:r>
      <w:r>
        <w:rPr>
          <w:rFonts w:ascii="Times New Roman" w:hAnsi="Times New Roman" w:cs="Times New Roman"/>
          <w:sz w:val="28"/>
          <w:szCs w:val="28"/>
        </w:rPr>
        <w:t xml:space="preserve">. Pierwsze zmaterializuje się, jeśli grupa kontrolna w sposób bezpośredni i pośredni oddziaływuje na grupę badaną. Z kolei ryzyko drugie może pojawić się, gdy niektóre jednostki z grupy kontrolnej i tak uczestniczą w interwencji, a część z grupy badanej – nie. Jako ogólne remedium rekomenduje się tu oddalenie w przestrzeni jednostek należących do obydwu grup, ale to może zwiększać koszty ewaluacji. Trzeba też dodać w tym miejscu, że metoda zmiennych instrumentalnych (IV) jest specjalnie dedykowana do sytuacji występowania </w:t>
      </w:r>
      <w:r w:rsidRPr="005011A0">
        <w:rPr>
          <w:rFonts w:ascii="Times New Roman" w:hAnsi="Times New Roman" w:cs="Times New Roman"/>
          <w:i/>
          <w:iCs/>
          <w:sz w:val="28"/>
          <w:szCs w:val="28"/>
        </w:rPr>
        <w:t>an imperfect compliance</w:t>
      </w:r>
      <w:r>
        <w:rPr>
          <w:rFonts w:ascii="Times New Roman" w:hAnsi="Times New Roman" w:cs="Times New Roman"/>
          <w:sz w:val="28"/>
          <w:szCs w:val="28"/>
        </w:rPr>
        <w:t>, ale w wersjach najprostszych daje tylko lokalne oszacowania efektów interwencji. To w prostej linii prowadzi do kwestionowania walidacji zewnętrznej takich oszacowań.</w:t>
      </w:r>
    </w:p>
    <w:p w14:paraId="4003ED9A" w14:textId="77777777" w:rsidR="00B51384" w:rsidRDefault="00B51384" w:rsidP="00B51384">
      <w:pPr>
        <w:pStyle w:val="Akapitzlist"/>
        <w:numPr>
          <w:ilvl w:val="0"/>
          <w:numId w:val="76"/>
        </w:numPr>
        <w:tabs>
          <w:tab w:val="left" w:pos="1928"/>
        </w:tabs>
        <w:ind w:left="426" w:hanging="426"/>
        <w:jc w:val="both"/>
        <w:rPr>
          <w:rFonts w:ascii="Times New Roman" w:hAnsi="Times New Roman" w:cs="Times New Roman"/>
          <w:sz w:val="28"/>
          <w:szCs w:val="28"/>
        </w:rPr>
      </w:pPr>
      <w:r>
        <w:rPr>
          <w:rFonts w:ascii="Times New Roman" w:hAnsi="Times New Roman" w:cs="Times New Roman"/>
          <w:sz w:val="28"/>
          <w:szCs w:val="28"/>
        </w:rPr>
        <w:t>Wiele ewaluacji bazuje na retrospekcji i koncepcji czarnej skrzynki, co ogranicza możliwości stosowania podejścia kontrfaktycznego i metodologii wnioskowania przyczynowego. Poza tym taka ewaluacja ma wybitnie charakter kontekstowy, a to redukuje walidację zewnętrzną uzyskiwanych wyników. Korzystanie z metod quasi-eksperymentalnych, w których przyjmuje się szereg mocnych założeń, dodatkowo wpływa również ujemnie na wewnętrzną walidację wyników (Gertler i in., 2016; Giewwe i Todd, 2022).</w:t>
      </w:r>
    </w:p>
    <w:p w14:paraId="71BF0210" w14:textId="77777777" w:rsidR="00B51384" w:rsidRDefault="00B51384" w:rsidP="00B51384">
      <w:pPr>
        <w:pStyle w:val="Akapitzlist"/>
        <w:numPr>
          <w:ilvl w:val="0"/>
          <w:numId w:val="76"/>
        </w:numPr>
        <w:tabs>
          <w:tab w:val="left" w:pos="1928"/>
        </w:tabs>
        <w:ind w:left="426" w:hanging="426"/>
        <w:jc w:val="both"/>
        <w:rPr>
          <w:rFonts w:ascii="Times New Roman" w:hAnsi="Times New Roman" w:cs="Times New Roman"/>
          <w:sz w:val="28"/>
          <w:szCs w:val="28"/>
        </w:rPr>
      </w:pPr>
      <w:r>
        <w:rPr>
          <w:rFonts w:ascii="Times New Roman" w:hAnsi="Times New Roman" w:cs="Times New Roman"/>
          <w:sz w:val="28"/>
          <w:szCs w:val="28"/>
        </w:rPr>
        <w:t>Stosowanie ewaluacji wpływu do operacji niepodanych walidacji generuje ryzyko, że albo zasoby z nią związane zostały niewłaściwie zaangażowane, bo te same wyniki można by uzyskać, wykorzystując prostsze metody, albo potrzebne dostosowania w interwencjach były dokonywane w trakcie ewaluacji. W tym ostatnim przypadku filozofia programu uległa zmianie, co negatywnie musi się przełożyć na użyteczność ewaluacji wpływu.</w:t>
      </w:r>
    </w:p>
    <w:p w14:paraId="47BF06D7" w14:textId="77777777" w:rsidR="00B51384" w:rsidRDefault="00B51384" w:rsidP="00B51384">
      <w:pPr>
        <w:pStyle w:val="Akapitzlist"/>
        <w:numPr>
          <w:ilvl w:val="0"/>
          <w:numId w:val="76"/>
        </w:numPr>
        <w:tabs>
          <w:tab w:val="left" w:pos="1928"/>
        </w:tabs>
        <w:ind w:left="426" w:hanging="426"/>
        <w:jc w:val="both"/>
        <w:rPr>
          <w:rFonts w:ascii="Times New Roman" w:hAnsi="Times New Roman" w:cs="Times New Roman"/>
          <w:sz w:val="28"/>
          <w:szCs w:val="28"/>
        </w:rPr>
      </w:pPr>
      <w:r>
        <w:rPr>
          <w:rFonts w:ascii="Times New Roman" w:hAnsi="Times New Roman" w:cs="Times New Roman"/>
          <w:sz w:val="28"/>
          <w:szCs w:val="28"/>
        </w:rPr>
        <w:lastRenderedPageBreak/>
        <w:t xml:space="preserve">W ewaluacji wpływu wciąż niezadowalająco rozwiązany jest problem </w:t>
      </w:r>
      <w:r w:rsidRPr="009E5711">
        <w:rPr>
          <w:rFonts w:ascii="Times New Roman" w:hAnsi="Times New Roman" w:cs="Times New Roman"/>
          <w:i/>
          <w:iCs/>
          <w:sz w:val="28"/>
          <w:szCs w:val="28"/>
        </w:rPr>
        <w:t>a selection bias</w:t>
      </w:r>
      <w:r>
        <w:rPr>
          <w:rFonts w:ascii="Times New Roman" w:hAnsi="Times New Roman" w:cs="Times New Roman"/>
          <w:sz w:val="28"/>
          <w:szCs w:val="28"/>
        </w:rPr>
        <w:t xml:space="preserve"> w konstrukcji kontrfaktycznych narzędzi wnioskowania przyczynowego i mierzenia efektów interwencji. Ryzyko w tym zawarte ujemnie wpływa na jakość ewaluacji i może w konsekwencji prowadzić do błędnych decyzji politycznych dotyczących kontynuowania lub zaprzestania interwencji (Stockmann (Hrsg.), 2022).</w:t>
      </w:r>
    </w:p>
    <w:p w14:paraId="067636A8" w14:textId="77777777" w:rsidR="00B51384" w:rsidRDefault="00B51384" w:rsidP="00B51384">
      <w:pPr>
        <w:pStyle w:val="Akapitzlist"/>
        <w:numPr>
          <w:ilvl w:val="0"/>
          <w:numId w:val="76"/>
        </w:numPr>
        <w:tabs>
          <w:tab w:val="left" w:pos="1928"/>
        </w:tabs>
        <w:ind w:left="426" w:hanging="426"/>
        <w:jc w:val="both"/>
        <w:rPr>
          <w:rFonts w:ascii="Times New Roman" w:hAnsi="Times New Roman" w:cs="Times New Roman"/>
          <w:sz w:val="28"/>
          <w:szCs w:val="28"/>
        </w:rPr>
      </w:pPr>
      <w:r>
        <w:rPr>
          <w:rFonts w:ascii="Times New Roman" w:hAnsi="Times New Roman" w:cs="Times New Roman"/>
          <w:sz w:val="28"/>
          <w:szCs w:val="28"/>
        </w:rPr>
        <w:t>Efekty interwencji mają różny charakter. Stąd fundamentalne znaczenie ma dobór właściwej koncepcji i metodologii ich mierzenia. Bardzo łatwo popełnić w tej fazie błąd, co negatywnie oddziaływuje na jakość ewaluacji, problematycznym czyni usiłowania walidacji wewnętrznej i zewnętrznej uzyskiwanych rezultatów oraz utrudnia podejmowanie właściwych decyzji politycznych. Pierwotnym źródłem ryzyk jest tu, po pierwsze, częsty brak teorii programu i teorii zmiany jako podstawy naukowej prowadzenia ewaluacji wpływu. A po drugie ewaluatorzy nie zawsze konsekwentnie stosują się do bardzo ogólnej, lecz dobrze ugruntowanej w praktyce ewaluacyjnej rekomendacji, iż najlepszą metodą analizy wpływu jest ta, która jest dobrze dopasowana do kontekstu operacyjnego interwencji oraz wymaga najsłabszych założeń i najmniejszej ilości danych (Gertler i in., 2016; Giewwe i Todd, 2022).</w:t>
      </w:r>
    </w:p>
    <w:p w14:paraId="001B88A0" w14:textId="77777777" w:rsidR="00B51384" w:rsidRDefault="00B51384" w:rsidP="00B51384">
      <w:pPr>
        <w:pStyle w:val="Akapitzlist"/>
        <w:numPr>
          <w:ilvl w:val="0"/>
          <w:numId w:val="76"/>
        </w:numPr>
        <w:tabs>
          <w:tab w:val="left" w:pos="1928"/>
        </w:tabs>
        <w:ind w:left="426" w:hanging="426"/>
        <w:jc w:val="both"/>
        <w:rPr>
          <w:rFonts w:ascii="Times New Roman" w:hAnsi="Times New Roman" w:cs="Times New Roman"/>
          <w:sz w:val="28"/>
          <w:szCs w:val="28"/>
        </w:rPr>
      </w:pPr>
      <w:r>
        <w:rPr>
          <w:rFonts w:ascii="Times New Roman" w:hAnsi="Times New Roman" w:cs="Times New Roman"/>
          <w:sz w:val="28"/>
          <w:szCs w:val="28"/>
        </w:rPr>
        <w:t xml:space="preserve">W fazie gromadzenia dodatkowych danych na potrzeby ewaluacji wpływu często mamy do czynienia z </w:t>
      </w:r>
      <w:r w:rsidRPr="00BC1E48">
        <w:rPr>
          <w:rFonts w:ascii="Times New Roman" w:hAnsi="Times New Roman" w:cs="Times New Roman"/>
          <w:i/>
          <w:iCs/>
          <w:sz w:val="28"/>
          <w:szCs w:val="28"/>
        </w:rPr>
        <w:t>a coverage bias</w:t>
      </w:r>
      <w:r>
        <w:rPr>
          <w:rFonts w:ascii="Times New Roman" w:hAnsi="Times New Roman" w:cs="Times New Roman"/>
          <w:sz w:val="28"/>
          <w:szCs w:val="28"/>
        </w:rPr>
        <w:t xml:space="preserve">, myleniem pojęć </w:t>
      </w:r>
      <w:r w:rsidRPr="00BC1E48">
        <w:rPr>
          <w:rFonts w:ascii="Times New Roman" w:hAnsi="Times New Roman" w:cs="Times New Roman"/>
          <w:i/>
          <w:iCs/>
          <w:sz w:val="28"/>
          <w:szCs w:val="28"/>
        </w:rPr>
        <w:t>the random sampling</w:t>
      </w:r>
      <w:r>
        <w:rPr>
          <w:rFonts w:ascii="Times New Roman" w:hAnsi="Times New Roman" w:cs="Times New Roman"/>
          <w:sz w:val="28"/>
          <w:szCs w:val="28"/>
        </w:rPr>
        <w:t xml:space="preserve"> z </w:t>
      </w:r>
      <w:r w:rsidRPr="00BC1E48">
        <w:rPr>
          <w:rFonts w:ascii="Times New Roman" w:hAnsi="Times New Roman" w:cs="Times New Roman"/>
          <w:i/>
          <w:iCs/>
          <w:sz w:val="28"/>
          <w:szCs w:val="28"/>
        </w:rPr>
        <w:t>the undomized/assignment</w:t>
      </w:r>
      <w:r>
        <w:rPr>
          <w:rFonts w:ascii="Times New Roman" w:hAnsi="Times New Roman" w:cs="Times New Roman"/>
          <w:sz w:val="28"/>
          <w:szCs w:val="28"/>
        </w:rPr>
        <w:t xml:space="preserve"> oraz występowaniem błędów I i II. Łącznie tworzą one zagrożenia dla obydwu typów walidacji wyników ewaluacji i błędnej alokacji zasobów budżetowych. Źródłem  tych ryzyk są niedostatki kompetencji statystycznych wśród ewaluatorów oraz przeznaczenie zbyt niskich środków finansowych na skonstruowanie wystarczających prób badawczych dla precyzyjnego wnioskowania przyczynowego i pomiaru efektów interwencji w warunkach kontrfaktyczności (problem </w:t>
      </w:r>
      <w:r w:rsidRPr="00201295">
        <w:rPr>
          <w:rFonts w:ascii="Times New Roman" w:hAnsi="Times New Roman" w:cs="Times New Roman"/>
          <w:i/>
          <w:iCs/>
          <w:sz w:val="28"/>
          <w:szCs w:val="28"/>
        </w:rPr>
        <w:t>the minimum detectable effect</w:t>
      </w:r>
      <w:r>
        <w:rPr>
          <w:rFonts w:ascii="Times New Roman" w:hAnsi="Times New Roman" w:cs="Times New Roman"/>
          <w:i/>
          <w:iCs/>
          <w:sz w:val="28"/>
          <w:szCs w:val="28"/>
        </w:rPr>
        <w:t>, MDE</w:t>
      </w:r>
      <w:r>
        <w:rPr>
          <w:rFonts w:ascii="Times New Roman" w:hAnsi="Times New Roman" w:cs="Times New Roman"/>
          <w:sz w:val="28"/>
          <w:szCs w:val="28"/>
        </w:rPr>
        <w:t>).</w:t>
      </w:r>
    </w:p>
    <w:p w14:paraId="3B552171" w14:textId="77777777" w:rsidR="00B51384" w:rsidRDefault="00B51384" w:rsidP="00B51384">
      <w:pPr>
        <w:pStyle w:val="Akapitzlist"/>
        <w:numPr>
          <w:ilvl w:val="0"/>
          <w:numId w:val="76"/>
        </w:numPr>
        <w:tabs>
          <w:tab w:val="left" w:pos="1928"/>
        </w:tabs>
        <w:ind w:left="426" w:hanging="426"/>
        <w:jc w:val="both"/>
        <w:rPr>
          <w:rFonts w:ascii="Times New Roman" w:hAnsi="Times New Roman" w:cs="Times New Roman"/>
          <w:sz w:val="28"/>
          <w:szCs w:val="28"/>
        </w:rPr>
      </w:pPr>
      <w:r>
        <w:rPr>
          <w:rFonts w:ascii="Times New Roman" w:hAnsi="Times New Roman" w:cs="Times New Roman"/>
          <w:sz w:val="28"/>
          <w:szCs w:val="28"/>
        </w:rPr>
        <w:t xml:space="preserve">W gromadzeniu danych na potrzeby ewaluacji wpływu nie zawsze przestrzega się zasady, że te same procedury powinny być stosowane zarówno do grupy badanej, jak i kontrolnej. To samo odnosi się do pomiaru wskaźników i indeksów ewaluacyjnych. Najlepsze praktyki ewaluacji wpływu zorientowane są natomiast na utrzymanie minimalnego ubytku jednostek uczestniczących w badaniach panelowych (minimalizacja </w:t>
      </w:r>
      <w:r w:rsidRPr="00C51F98">
        <w:rPr>
          <w:rFonts w:ascii="Times New Roman" w:hAnsi="Times New Roman" w:cs="Times New Roman"/>
          <w:i/>
          <w:iCs/>
          <w:sz w:val="28"/>
          <w:szCs w:val="28"/>
        </w:rPr>
        <w:t>an attrition risk</w:t>
      </w:r>
      <w:r>
        <w:rPr>
          <w:rFonts w:ascii="Times New Roman" w:hAnsi="Times New Roman" w:cs="Times New Roman"/>
          <w:sz w:val="28"/>
          <w:szCs w:val="28"/>
        </w:rPr>
        <w:t>).</w:t>
      </w:r>
    </w:p>
    <w:p w14:paraId="4BF0B22F" w14:textId="77777777" w:rsidR="00B51384" w:rsidRDefault="00B51384" w:rsidP="00B51384">
      <w:pPr>
        <w:pStyle w:val="Akapitzlist"/>
        <w:numPr>
          <w:ilvl w:val="0"/>
          <w:numId w:val="76"/>
        </w:numPr>
        <w:tabs>
          <w:tab w:val="left" w:pos="1928"/>
        </w:tabs>
        <w:ind w:left="426" w:hanging="426"/>
        <w:jc w:val="both"/>
        <w:rPr>
          <w:rFonts w:ascii="Times New Roman" w:hAnsi="Times New Roman" w:cs="Times New Roman"/>
          <w:sz w:val="28"/>
          <w:szCs w:val="28"/>
        </w:rPr>
      </w:pPr>
      <w:r>
        <w:rPr>
          <w:rFonts w:ascii="Times New Roman" w:hAnsi="Times New Roman" w:cs="Times New Roman"/>
          <w:sz w:val="28"/>
          <w:szCs w:val="28"/>
        </w:rPr>
        <w:t xml:space="preserve">W ewaluacjach wykonywanych na zlecenie ewaluatorzy mogą znajdować się pod naciskiem ze strony zamawiających na uzyskanie określonych efektów. </w:t>
      </w:r>
      <w:r>
        <w:rPr>
          <w:rFonts w:ascii="Times New Roman" w:hAnsi="Times New Roman" w:cs="Times New Roman"/>
          <w:sz w:val="28"/>
          <w:szCs w:val="28"/>
        </w:rPr>
        <w:lastRenderedPageBreak/>
        <w:t>Konfrontowani oni są wtedy ze złożonymi dylematami etyczno-moralnymi (Giewwe i Todd, 2022).</w:t>
      </w:r>
    </w:p>
    <w:p w14:paraId="6BF09DE6" w14:textId="77777777" w:rsidR="00B51384" w:rsidRDefault="00B51384" w:rsidP="00B51384">
      <w:pPr>
        <w:pStyle w:val="Akapitzlist"/>
        <w:numPr>
          <w:ilvl w:val="0"/>
          <w:numId w:val="76"/>
        </w:numPr>
        <w:tabs>
          <w:tab w:val="left" w:pos="1928"/>
        </w:tabs>
        <w:ind w:left="426" w:hanging="426"/>
        <w:jc w:val="both"/>
        <w:rPr>
          <w:rFonts w:ascii="Times New Roman" w:hAnsi="Times New Roman" w:cs="Times New Roman"/>
          <w:sz w:val="28"/>
          <w:szCs w:val="28"/>
        </w:rPr>
      </w:pPr>
      <w:r>
        <w:rPr>
          <w:rFonts w:ascii="Times New Roman" w:hAnsi="Times New Roman" w:cs="Times New Roman"/>
          <w:sz w:val="28"/>
          <w:szCs w:val="28"/>
        </w:rPr>
        <w:t>Ewaluacje często wykonywane są w wąskiej perspektywie technokratycznej. Może to zawężać zbiór punktów widzenia na skuteczność i efektywność oraz wpływy interwencji. Przeciwieństwem jest ewaluacja partycypacyjna, w której już w momencie konstruowania jej planu włącza się kluczowych interesariuszy. To uspołecznienie ewaluacji poszerza płaszczyzny analizowania mechanizmów i efektów interwencji oraz ułatwia wdrażanie często kontrowersyjnych rekomendacji (Gertler i in., 2016; Giewwe i Todd, 2022; Stockmann (Hrsg.; 2022).</w:t>
      </w:r>
    </w:p>
    <w:p w14:paraId="08E65ED1" w14:textId="77777777" w:rsidR="00B51384" w:rsidRDefault="00B51384" w:rsidP="00B51384">
      <w:pPr>
        <w:pStyle w:val="Akapitzlist"/>
        <w:numPr>
          <w:ilvl w:val="0"/>
          <w:numId w:val="76"/>
        </w:numPr>
        <w:tabs>
          <w:tab w:val="left" w:pos="1928"/>
        </w:tabs>
        <w:ind w:left="426" w:hanging="426"/>
        <w:jc w:val="both"/>
        <w:rPr>
          <w:rFonts w:ascii="Times New Roman" w:hAnsi="Times New Roman" w:cs="Times New Roman"/>
          <w:sz w:val="28"/>
          <w:szCs w:val="28"/>
        </w:rPr>
      </w:pPr>
      <w:r>
        <w:rPr>
          <w:rFonts w:ascii="Times New Roman" w:hAnsi="Times New Roman" w:cs="Times New Roman"/>
          <w:sz w:val="28"/>
          <w:szCs w:val="28"/>
        </w:rPr>
        <w:t>Jeśli ewaluatorzy stosują różne metody, to otrzymywane wyniki powinny być poddane triangulacji naukowej. Raczej rzadko się to praktykuje, co utrudnia obiektywizację rezultatów i rekomendacji formułowanych na bazie ewaluacji.</w:t>
      </w:r>
    </w:p>
    <w:p w14:paraId="6ECA129A" w14:textId="5D798ECD" w:rsidR="00ED0538" w:rsidRPr="00ED0538" w:rsidRDefault="00ED0538" w:rsidP="00ED0538">
      <w:pPr>
        <w:spacing w:line="259" w:lineRule="auto"/>
        <w:ind w:firstLine="709"/>
        <w:jc w:val="both"/>
        <w:rPr>
          <w:rFonts w:ascii="Aptos" w:eastAsia="Aptos" w:hAnsi="Aptos" w:cs="Times New Roman"/>
          <w:sz w:val="22"/>
          <w:szCs w:val="22"/>
        </w:rPr>
      </w:pPr>
      <w:r w:rsidRPr="00ED0538">
        <w:rPr>
          <w:rFonts w:ascii="Times New Roman" w:eastAsia="Aptos" w:hAnsi="Times New Roman" w:cs="Times New Roman"/>
          <w:sz w:val="28"/>
          <w:szCs w:val="28"/>
        </w:rPr>
        <w:t>W tabeli 1</w:t>
      </w:r>
      <w:r w:rsidR="00362471">
        <w:rPr>
          <w:rFonts w:ascii="Times New Roman" w:eastAsia="Aptos" w:hAnsi="Times New Roman" w:cs="Times New Roman"/>
          <w:sz w:val="28"/>
          <w:szCs w:val="28"/>
        </w:rPr>
        <w:t>4</w:t>
      </w:r>
      <w:r w:rsidRPr="00ED0538">
        <w:rPr>
          <w:rFonts w:ascii="Times New Roman" w:eastAsia="Aptos" w:hAnsi="Times New Roman" w:cs="Times New Roman"/>
          <w:sz w:val="28"/>
          <w:szCs w:val="28"/>
        </w:rPr>
        <w:t xml:space="preserve"> przestawiono etapy procesu zarządzania ryzykiem w projektach ewaluacyjnych. Bardzo istotną odgrywa pierwszy jej etap, mianowicie identyfikacja ryzyka, która bardzo znacząco wpływa na dalszy przebieg ewaluacji.</w:t>
      </w:r>
    </w:p>
    <w:p w14:paraId="68F8CD80" w14:textId="4CD2FD6B" w:rsidR="00ED0538" w:rsidRPr="00ED0538" w:rsidRDefault="00ED0538" w:rsidP="00ED0538">
      <w:pPr>
        <w:spacing w:line="259" w:lineRule="auto"/>
        <w:rPr>
          <w:rFonts w:ascii="Times New Roman" w:eastAsia="Aptos" w:hAnsi="Times New Roman" w:cs="Times New Roman"/>
          <w:sz w:val="28"/>
          <w:szCs w:val="28"/>
        </w:rPr>
      </w:pPr>
      <w:r w:rsidRPr="0079156C">
        <w:rPr>
          <w:rFonts w:ascii="Times New Roman" w:eastAsia="Aptos" w:hAnsi="Times New Roman" w:cs="Times New Roman"/>
          <w:b/>
          <w:bCs/>
          <w:sz w:val="28"/>
          <w:szCs w:val="28"/>
        </w:rPr>
        <w:t>Tabela 1</w:t>
      </w:r>
      <w:r w:rsidR="00AE589D">
        <w:rPr>
          <w:rFonts w:ascii="Times New Roman" w:eastAsia="Aptos" w:hAnsi="Times New Roman" w:cs="Times New Roman"/>
          <w:b/>
          <w:bCs/>
          <w:sz w:val="28"/>
          <w:szCs w:val="28"/>
        </w:rPr>
        <w:t>4</w:t>
      </w:r>
      <w:r w:rsidR="0079156C" w:rsidRPr="0079156C">
        <w:rPr>
          <w:rFonts w:ascii="Times New Roman" w:eastAsia="Aptos" w:hAnsi="Times New Roman" w:cs="Times New Roman"/>
          <w:b/>
          <w:bCs/>
          <w:sz w:val="28"/>
          <w:szCs w:val="28"/>
        </w:rPr>
        <w:t>.</w:t>
      </w:r>
      <w:r w:rsidRPr="00ED0538">
        <w:rPr>
          <w:rFonts w:ascii="Times New Roman" w:eastAsia="Aptos" w:hAnsi="Times New Roman" w:cs="Times New Roman"/>
          <w:sz w:val="28"/>
          <w:szCs w:val="28"/>
        </w:rPr>
        <w:t xml:space="preserve">  Proces zarządzania ryzykiem i jego etapy w projektach ewaluacyjnych</w:t>
      </w:r>
    </w:p>
    <w:tbl>
      <w:tblPr>
        <w:tblStyle w:val="Tabela-Siatka"/>
        <w:tblW w:w="5000" w:type="pct"/>
        <w:tblLook w:val="04A0" w:firstRow="1" w:lastRow="0" w:firstColumn="1" w:lastColumn="0" w:noHBand="0" w:noVBand="1"/>
      </w:tblPr>
      <w:tblGrid>
        <w:gridCol w:w="3253"/>
        <w:gridCol w:w="5809"/>
      </w:tblGrid>
      <w:tr w:rsidR="00ED0538" w:rsidRPr="00ED0538" w14:paraId="77912557" w14:textId="77777777" w:rsidTr="00ED0538">
        <w:tc>
          <w:tcPr>
            <w:tcW w:w="1795" w:type="pct"/>
            <w:shd w:val="clear" w:color="auto" w:fill="D9D9D9"/>
            <w:vAlign w:val="center"/>
            <w:hideMark/>
          </w:tcPr>
          <w:p w14:paraId="2BF0A8FA" w14:textId="77777777" w:rsidR="00ED0538" w:rsidRPr="00ED0538" w:rsidRDefault="00ED0538" w:rsidP="00ED0538">
            <w:pPr>
              <w:jc w:val="center"/>
              <w:rPr>
                <w:rFonts w:ascii="Times New Roman" w:eastAsia="Aptos" w:hAnsi="Times New Roman" w:cs="Times New Roman"/>
                <w:b/>
                <w:bCs/>
              </w:rPr>
            </w:pPr>
            <w:r w:rsidRPr="00ED0538">
              <w:rPr>
                <w:rFonts w:ascii="Times New Roman" w:eastAsia="Aptos" w:hAnsi="Times New Roman" w:cs="Times New Roman"/>
                <w:b/>
                <w:bCs/>
              </w:rPr>
              <w:t>Etap zarządzanie  ryzykiem w procesach ewaluacyjnch</w:t>
            </w:r>
          </w:p>
        </w:tc>
        <w:tc>
          <w:tcPr>
            <w:tcW w:w="3205" w:type="pct"/>
            <w:shd w:val="clear" w:color="auto" w:fill="D9D9D9"/>
            <w:vAlign w:val="center"/>
            <w:hideMark/>
          </w:tcPr>
          <w:p w14:paraId="4A8F53DD" w14:textId="77777777" w:rsidR="00ED0538" w:rsidRPr="00ED0538" w:rsidRDefault="00ED0538" w:rsidP="00ED0538">
            <w:pPr>
              <w:jc w:val="center"/>
              <w:rPr>
                <w:rFonts w:ascii="Times New Roman" w:eastAsia="Aptos" w:hAnsi="Times New Roman" w:cs="Times New Roman"/>
                <w:b/>
                <w:bCs/>
              </w:rPr>
            </w:pPr>
            <w:r w:rsidRPr="00ED0538">
              <w:rPr>
                <w:rFonts w:ascii="Times New Roman" w:eastAsia="Aptos" w:hAnsi="Times New Roman" w:cs="Times New Roman"/>
                <w:b/>
                <w:bCs/>
              </w:rPr>
              <w:t>Wyszczególnienie</w:t>
            </w:r>
          </w:p>
        </w:tc>
      </w:tr>
      <w:tr w:rsidR="00ED0538" w:rsidRPr="00ED0538" w14:paraId="4574B7ED" w14:textId="77777777" w:rsidTr="00200B69">
        <w:tc>
          <w:tcPr>
            <w:tcW w:w="1795" w:type="pct"/>
            <w:hideMark/>
          </w:tcPr>
          <w:p w14:paraId="16527591" w14:textId="77777777" w:rsidR="00ED0538" w:rsidRPr="00ED0538" w:rsidRDefault="00ED0538" w:rsidP="00ED0538">
            <w:pPr>
              <w:rPr>
                <w:rFonts w:ascii="Times New Roman" w:eastAsia="Aptos" w:hAnsi="Times New Roman" w:cs="Times New Roman"/>
              </w:rPr>
            </w:pPr>
            <w:r w:rsidRPr="00ED0538">
              <w:rPr>
                <w:rFonts w:ascii="Times New Roman" w:eastAsia="Aptos" w:hAnsi="Times New Roman" w:cs="Times New Roman"/>
                <w:b/>
                <w:bCs/>
              </w:rPr>
              <w:t>1. Identyfikacja ryzyka</w:t>
            </w:r>
          </w:p>
        </w:tc>
        <w:tc>
          <w:tcPr>
            <w:tcW w:w="3205" w:type="pct"/>
            <w:hideMark/>
          </w:tcPr>
          <w:p w14:paraId="7474F1FF" w14:textId="77777777" w:rsidR="00ED0538" w:rsidRPr="00ED0538" w:rsidRDefault="00ED0538" w:rsidP="00ED0538">
            <w:pPr>
              <w:rPr>
                <w:rFonts w:ascii="Times New Roman" w:eastAsia="Aptos" w:hAnsi="Times New Roman" w:cs="Times New Roman"/>
              </w:rPr>
            </w:pPr>
            <w:r w:rsidRPr="00ED0538">
              <w:rPr>
                <w:rFonts w:ascii="Times New Roman" w:eastAsia="Aptos" w:hAnsi="Times New Roman" w:cs="Times New Roman"/>
              </w:rPr>
              <w:t>Określenie i opisanie potencjalnych ryzyk, które mogą wpłynąć na badania ewaluacyjne.</w:t>
            </w:r>
          </w:p>
        </w:tc>
      </w:tr>
      <w:tr w:rsidR="00ED0538" w:rsidRPr="00ED0538" w14:paraId="5C44368F" w14:textId="77777777" w:rsidTr="00200B69">
        <w:tc>
          <w:tcPr>
            <w:tcW w:w="1795" w:type="pct"/>
            <w:hideMark/>
          </w:tcPr>
          <w:p w14:paraId="29C0D558" w14:textId="77777777" w:rsidR="00ED0538" w:rsidRPr="00ED0538" w:rsidRDefault="00ED0538" w:rsidP="00ED0538">
            <w:pPr>
              <w:rPr>
                <w:rFonts w:ascii="Times New Roman" w:eastAsia="Aptos" w:hAnsi="Times New Roman" w:cs="Times New Roman"/>
              </w:rPr>
            </w:pPr>
            <w:r w:rsidRPr="00ED0538">
              <w:rPr>
                <w:rFonts w:ascii="Times New Roman" w:eastAsia="Aptos" w:hAnsi="Times New Roman" w:cs="Times New Roman"/>
                <w:b/>
                <w:bCs/>
              </w:rPr>
              <w:t>2. Analiza ryzyka</w:t>
            </w:r>
          </w:p>
        </w:tc>
        <w:tc>
          <w:tcPr>
            <w:tcW w:w="3205" w:type="pct"/>
            <w:hideMark/>
          </w:tcPr>
          <w:p w14:paraId="65C54711" w14:textId="77777777" w:rsidR="00ED0538" w:rsidRPr="00ED0538" w:rsidRDefault="00ED0538" w:rsidP="00ED0538">
            <w:pPr>
              <w:rPr>
                <w:rFonts w:ascii="Times New Roman" w:eastAsia="Aptos" w:hAnsi="Times New Roman" w:cs="Times New Roman"/>
              </w:rPr>
            </w:pPr>
            <w:r w:rsidRPr="00ED0538">
              <w:rPr>
                <w:rFonts w:ascii="Times New Roman" w:eastAsia="Aptos" w:hAnsi="Times New Roman" w:cs="Times New Roman"/>
              </w:rPr>
              <w:t>Ocena prawdopodobieństwa wystąpienia zidentyfikowanych ryzyk oraz ich potencjalnego wpływu na badania.</w:t>
            </w:r>
          </w:p>
        </w:tc>
      </w:tr>
      <w:tr w:rsidR="00ED0538" w:rsidRPr="00ED0538" w14:paraId="74287FAE" w14:textId="77777777" w:rsidTr="00200B69">
        <w:tc>
          <w:tcPr>
            <w:tcW w:w="1795" w:type="pct"/>
            <w:hideMark/>
          </w:tcPr>
          <w:p w14:paraId="3FEDEE8E" w14:textId="77777777" w:rsidR="00ED0538" w:rsidRPr="00ED0538" w:rsidRDefault="00ED0538" w:rsidP="00ED0538">
            <w:pPr>
              <w:rPr>
                <w:rFonts w:ascii="Times New Roman" w:eastAsia="Aptos" w:hAnsi="Times New Roman" w:cs="Times New Roman"/>
              </w:rPr>
            </w:pPr>
            <w:r w:rsidRPr="00ED0538">
              <w:rPr>
                <w:rFonts w:ascii="Times New Roman" w:eastAsia="Aptos" w:hAnsi="Times New Roman" w:cs="Times New Roman"/>
                <w:b/>
                <w:bCs/>
              </w:rPr>
              <w:t>3. Ocena ryzyka</w:t>
            </w:r>
          </w:p>
        </w:tc>
        <w:tc>
          <w:tcPr>
            <w:tcW w:w="3205" w:type="pct"/>
            <w:hideMark/>
          </w:tcPr>
          <w:p w14:paraId="25E598ED" w14:textId="77777777" w:rsidR="00ED0538" w:rsidRPr="00ED0538" w:rsidRDefault="00ED0538" w:rsidP="00ED0538">
            <w:pPr>
              <w:rPr>
                <w:rFonts w:ascii="Times New Roman" w:eastAsia="Aptos" w:hAnsi="Times New Roman" w:cs="Times New Roman"/>
              </w:rPr>
            </w:pPr>
            <w:r w:rsidRPr="00ED0538">
              <w:rPr>
                <w:rFonts w:ascii="Times New Roman" w:eastAsia="Aptos" w:hAnsi="Times New Roman" w:cs="Times New Roman"/>
              </w:rPr>
              <w:t>Priorytetyzacja ryzyk na podstawie ich prawdopodobieństwa i potencjalnych konsekwencji.</w:t>
            </w:r>
          </w:p>
        </w:tc>
      </w:tr>
      <w:tr w:rsidR="00ED0538" w:rsidRPr="00ED0538" w14:paraId="51657CF0" w14:textId="77777777" w:rsidTr="00200B69">
        <w:tc>
          <w:tcPr>
            <w:tcW w:w="1795" w:type="pct"/>
            <w:hideMark/>
          </w:tcPr>
          <w:p w14:paraId="50B73045" w14:textId="77777777" w:rsidR="00ED0538" w:rsidRPr="00ED0538" w:rsidRDefault="00ED0538" w:rsidP="00ED0538">
            <w:pPr>
              <w:rPr>
                <w:rFonts w:ascii="Times New Roman" w:eastAsia="Aptos" w:hAnsi="Times New Roman" w:cs="Times New Roman"/>
              </w:rPr>
            </w:pPr>
            <w:r w:rsidRPr="00ED0538">
              <w:rPr>
                <w:rFonts w:ascii="Times New Roman" w:eastAsia="Aptos" w:hAnsi="Times New Roman" w:cs="Times New Roman"/>
                <w:b/>
                <w:bCs/>
              </w:rPr>
              <w:t>4. Planowanie reakcji</w:t>
            </w:r>
          </w:p>
        </w:tc>
        <w:tc>
          <w:tcPr>
            <w:tcW w:w="3205" w:type="pct"/>
            <w:hideMark/>
          </w:tcPr>
          <w:p w14:paraId="1EC39CDD" w14:textId="77777777" w:rsidR="00ED0538" w:rsidRPr="00ED0538" w:rsidRDefault="00ED0538" w:rsidP="00ED0538">
            <w:pPr>
              <w:rPr>
                <w:rFonts w:ascii="Times New Roman" w:eastAsia="Aptos" w:hAnsi="Times New Roman" w:cs="Times New Roman"/>
              </w:rPr>
            </w:pPr>
            <w:r w:rsidRPr="00ED0538">
              <w:rPr>
                <w:rFonts w:ascii="Times New Roman" w:eastAsia="Aptos" w:hAnsi="Times New Roman" w:cs="Times New Roman"/>
              </w:rPr>
              <w:t>Opracowanie strategii i planów reagowania na zidentyfikowane i oceniane ryzyko, w tym działania zapobiegawcze.</w:t>
            </w:r>
          </w:p>
        </w:tc>
      </w:tr>
      <w:tr w:rsidR="00ED0538" w:rsidRPr="00ED0538" w14:paraId="5EDA962D" w14:textId="77777777" w:rsidTr="00200B69">
        <w:tc>
          <w:tcPr>
            <w:tcW w:w="1795" w:type="pct"/>
            <w:hideMark/>
          </w:tcPr>
          <w:p w14:paraId="3D76D4EF" w14:textId="77777777" w:rsidR="00ED0538" w:rsidRPr="00ED0538" w:rsidRDefault="00ED0538" w:rsidP="00ED0538">
            <w:pPr>
              <w:rPr>
                <w:rFonts w:ascii="Times New Roman" w:eastAsia="Aptos" w:hAnsi="Times New Roman" w:cs="Times New Roman"/>
              </w:rPr>
            </w:pPr>
            <w:r w:rsidRPr="00ED0538">
              <w:rPr>
                <w:rFonts w:ascii="Times New Roman" w:eastAsia="Aptos" w:hAnsi="Times New Roman" w:cs="Times New Roman"/>
                <w:b/>
                <w:bCs/>
              </w:rPr>
              <w:t>5. Monitorowanie i kontrola</w:t>
            </w:r>
          </w:p>
        </w:tc>
        <w:tc>
          <w:tcPr>
            <w:tcW w:w="3205" w:type="pct"/>
            <w:hideMark/>
          </w:tcPr>
          <w:p w14:paraId="12D3B52F" w14:textId="77777777" w:rsidR="00ED0538" w:rsidRPr="00ED0538" w:rsidRDefault="00ED0538" w:rsidP="00ED0538">
            <w:pPr>
              <w:rPr>
                <w:rFonts w:ascii="Times New Roman" w:eastAsia="Aptos" w:hAnsi="Times New Roman" w:cs="Times New Roman"/>
              </w:rPr>
            </w:pPr>
            <w:r w:rsidRPr="00ED0538">
              <w:rPr>
                <w:rFonts w:ascii="Times New Roman" w:eastAsia="Aptos" w:hAnsi="Times New Roman" w:cs="Times New Roman"/>
              </w:rPr>
              <w:t>Ciągłe monitorowanie ryzyk oraz skuteczności wprowadzonych działań, aktualizacja planów w miarę potrzeby.</w:t>
            </w:r>
          </w:p>
        </w:tc>
      </w:tr>
      <w:tr w:rsidR="00ED0538" w:rsidRPr="00ED0538" w14:paraId="05557E99" w14:textId="77777777" w:rsidTr="00200B69">
        <w:tc>
          <w:tcPr>
            <w:tcW w:w="1795" w:type="pct"/>
            <w:hideMark/>
          </w:tcPr>
          <w:p w14:paraId="02C02ED8" w14:textId="77777777" w:rsidR="00ED0538" w:rsidRPr="00ED0538" w:rsidRDefault="00ED0538" w:rsidP="00ED0538">
            <w:pPr>
              <w:rPr>
                <w:rFonts w:ascii="Times New Roman" w:eastAsia="Aptos" w:hAnsi="Times New Roman" w:cs="Times New Roman"/>
              </w:rPr>
            </w:pPr>
            <w:r w:rsidRPr="00ED0538">
              <w:rPr>
                <w:rFonts w:ascii="Times New Roman" w:eastAsia="Aptos" w:hAnsi="Times New Roman" w:cs="Times New Roman"/>
                <w:b/>
                <w:bCs/>
              </w:rPr>
              <w:t>6. Dokumentowanie (raportowanie).</w:t>
            </w:r>
          </w:p>
        </w:tc>
        <w:tc>
          <w:tcPr>
            <w:tcW w:w="3205" w:type="pct"/>
            <w:hideMark/>
          </w:tcPr>
          <w:p w14:paraId="21D1B690" w14:textId="77777777" w:rsidR="00ED0538" w:rsidRPr="00ED0538" w:rsidRDefault="00ED0538" w:rsidP="00ED0538">
            <w:pPr>
              <w:rPr>
                <w:rFonts w:ascii="Times New Roman" w:eastAsia="Aptos" w:hAnsi="Times New Roman" w:cs="Times New Roman"/>
              </w:rPr>
            </w:pPr>
            <w:r w:rsidRPr="00ED0538">
              <w:rPr>
                <w:rFonts w:ascii="Times New Roman" w:eastAsia="Aptos" w:hAnsi="Times New Roman" w:cs="Times New Roman"/>
              </w:rPr>
              <w:t>Rejestrowanie wszystkich etapów analizy ryzyka oraz podjętych działań w celu zapewnienia jasności i audytowalności procesu.</w:t>
            </w:r>
          </w:p>
        </w:tc>
      </w:tr>
    </w:tbl>
    <w:p w14:paraId="3BE65440" w14:textId="77777777" w:rsidR="00ED0538" w:rsidRPr="00F80C67" w:rsidRDefault="00ED0538" w:rsidP="00ED0538">
      <w:pPr>
        <w:spacing w:line="259" w:lineRule="auto"/>
        <w:rPr>
          <w:rFonts w:ascii="Times New Roman" w:eastAsia="Aptos" w:hAnsi="Times New Roman" w:cs="Times New Roman"/>
          <w:i/>
          <w:iCs/>
        </w:rPr>
      </w:pPr>
      <w:r w:rsidRPr="00F80C67">
        <w:rPr>
          <w:rFonts w:ascii="Times New Roman" w:eastAsia="Aptos" w:hAnsi="Times New Roman" w:cs="Times New Roman"/>
          <w:i/>
          <w:iCs/>
        </w:rPr>
        <w:t>Źródło: adaptacja Hubbard (2009) i ISO (2018).</w:t>
      </w:r>
    </w:p>
    <w:p w14:paraId="0E3AFC96" w14:textId="77777777" w:rsidR="00ED0538" w:rsidRPr="00ED0538" w:rsidRDefault="00ED0538" w:rsidP="00ED0538">
      <w:pPr>
        <w:spacing w:line="259" w:lineRule="auto"/>
        <w:rPr>
          <w:rFonts w:ascii="Aptos" w:eastAsia="Aptos" w:hAnsi="Aptos" w:cs="Times New Roman"/>
          <w:sz w:val="22"/>
          <w:szCs w:val="22"/>
        </w:rPr>
      </w:pPr>
    </w:p>
    <w:p w14:paraId="07F8B819" w14:textId="51B2004C" w:rsidR="00ED0538" w:rsidRPr="00ED0538" w:rsidRDefault="00ED0538" w:rsidP="00ED0538">
      <w:pPr>
        <w:spacing w:line="259" w:lineRule="auto"/>
        <w:ind w:firstLine="709"/>
        <w:jc w:val="both"/>
        <w:rPr>
          <w:rFonts w:ascii="Times New Roman" w:eastAsia="Aptos" w:hAnsi="Times New Roman" w:cs="Times New Roman"/>
          <w:sz w:val="28"/>
          <w:szCs w:val="28"/>
        </w:rPr>
      </w:pPr>
      <w:r w:rsidRPr="00ED0538">
        <w:rPr>
          <w:rFonts w:ascii="Times New Roman" w:eastAsia="Aptos" w:hAnsi="Times New Roman" w:cs="Times New Roman"/>
          <w:sz w:val="28"/>
          <w:szCs w:val="28"/>
        </w:rPr>
        <w:t xml:space="preserve">W tabeli  </w:t>
      </w:r>
      <w:r w:rsidR="00AE589D">
        <w:rPr>
          <w:rFonts w:ascii="Times New Roman" w:eastAsia="Aptos" w:hAnsi="Times New Roman" w:cs="Times New Roman"/>
          <w:sz w:val="28"/>
          <w:szCs w:val="28"/>
        </w:rPr>
        <w:t>15</w:t>
      </w:r>
      <w:r w:rsidRPr="00ED0538">
        <w:rPr>
          <w:rFonts w:ascii="Times New Roman" w:eastAsia="Aptos" w:hAnsi="Times New Roman" w:cs="Times New Roman"/>
          <w:sz w:val="28"/>
          <w:szCs w:val="28"/>
        </w:rPr>
        <w:t xml:space="preserve">  przestawiono szczegółową charakterystykę  potencjalnych typów  ryzyka w badaniach ewaluacyjnych dotyczących dotowanych ubezpieczeń rolnych i żywego inwentarza.</w:t>
      </w:r>
    </w:p>
    <w:p w14:paraId="6BBB53FF" w14:textId="77777777" w:rsidR="00ED0538" w:rsidRPr="00ED0538" w:rsidRDefault="00ED0538" w:rsidP="00ED0538">
      <w:pPr>
        <w:spacing w:line="259" w:lineRule="auto"/>
        <w:rPr>
          <w:rFonts w:ascii="Times New Roman" w:eastAsia="Aptos" w:hAnsi="Times New Roman" w:cs="Times New Roman"/>
          <w:sz w:val="28"/>
          <w:szCs w:val="28"/>
        </w:rPr>
      </w:pPr>
    </w:p>
    <w:p w14:paraId="0C925154" w14:textId="77777777" w:rsidR="00ED0538" w:rsidRDefault="00ED0538" w:rsidP="00ED0538">
      <w:pPr>
        <w:spacing w:line="259" w:lineRule="auto"/>
        <w:rPr>
          <w:rFonts w:ascii="Times New Roman" w:eastAsia="Aptos" w:hAnsi="Times New Roman" w:cs="Times New Roman"/>
          <w:sz w:val="28"/>
          <w:szCs w:val="28"/>
        </w:rPr>
      </w:pPr>
    </w:p>
    <w:p w14:paraId="33C5B6F0" w14:textId="4E66378D" w:rsidR="00ED0538" w:rsidRPr="00ED0538" w:rsidRDefault="00ED0538" w:rsidP="00ED0538">
      <w:pPr>
        <w:spacing w:line="259" w:lineRule="auto"/>
        <w:rPr>
          <w:rFonts w:ascii="Times New Roman" w:eastAsia="Aptos" w:hAnsi="Times New Roman" w:cs="Times New Roman"/>
          <w:sz w:val="28"/>
          <w:szCs w:val="28"/>
        </w:rPr>
      </w:pPr>
      <w:r w:rsidRPr="0079156C">
        <w:rPr>
          <w:rFonts w:ascii="Times New Roman" w:eastAsia="Aptos" w:hAnsi="Times New Roman" w:cs="Times New Roman"/>
          <w:b/>
          <w:bCs/>
          <w:sz w:val="28"/>
          <w:szCs w:val="28"/>
        </w:rPr>
        <w:lastRenderedPageBreak/>
        <w:t xml:space="preserve">Tabela </w:t>
      </w:r>
      <w:r w:rsidR="00AE589D">
        <w:rPr>
          <w:rFonts w:ascii="Times New Roman" w:eastAsia="Aptos" w:hAnsi="Times New Roman" w:cs="Times New Roman"/>
          <w:b/>
          <w:bCs/>
          <w:sz w:val="28"/>
          <w:szCs w:val="28"/>
        </w:rPr>
        <w:t>15</w:t>
      </w:r>
      <w:r w:rsidRPr="0079156C">
        <w:rPr>
          <w:rFonts w:ascii="Times New Roman" w:eastAsia="Aptos" w:hAnsi="Times New Roman" w:cs="Times New Roman"/>
          <w:b/>
          <w:bCs/>
          <w:sz w:val="28"/>
          <w:szCs w:val="28"/>
        </w:rPr>
        <w:t>.</w:t>
      </w:r>
      <w:r w:rsidRPr="00ED0538">
        <w:rPr>
          <w:rFonts w:ascii="Times New Roman" w:eastAsia="Aptos" w:hAnsi="Times New Roman" w:cs="Times New Roman"/>
          <w:sz w:val="28"/>
          <w:szCs w:val="28"/>
        </w:rPr>
        <w:t xml:space="preserve"> Typy ryzyka w badaniach ewaluacyjnych dotyczących systemu dotowanych ubezpieczeń  rolnych i zwierząt gospodarskich</w:t>
      </w:r>
    </w:p>
    <w:tbl>
      <w:tblPr>
        <w:tblStyle w:val="Tabela-Siatka"/>
        <w:tblW w:w="0" w:type="auto"/>
        <w:tblLook w:val="04A0" w:firstRow="1" w:lastRow="0" w:firstColumn="1" w:lastColumn="0" w:noHBand="0" w:noVBand="1"/>
      </w:tblPr>
      <w:tblGrid>
        <w:gridCol w:w="1807"/>
        <w:gridCol w:w="1883"/>
        <w:gridCol w:w="3990"/>
        <w:gridCol w:w="1382"/>
      </w:tblGrid>
      <w:tr w:rsidR="00ED0538" w:rsidRPr="00ED0538" w14:paraId="196A4868" w14:textId="77777777" w:rsidTr="00ED0538">
        <w:tc>
          <w:tcPr>
            <w:tcW w:w="1807" w:type="dxa"/>
            <w:shd w:val="clear" w:color="auto" w:fill="D9D9D9"/>
            <w:vAlign w:val="center"/>
          </w:tcPr>
          <w:p w14:paraId="4307ED9A" w14:textId="52A75272" w:rsidR="00ED0538" w:rsidRPr="00ED0538" w:rsidRDefault="00ED0538" w:rsidP="00ED0538">
            <w:pPr>
              <w:jc w:val="center"/>
              <w:rPr>
                <w:rFonts w:ascii="Times New Roman" w:eastAsia="Aptos" w:hAnsi="Times New Roman" w:cs="Times New Roman"/>
                <w:b/>
                <w:bCs/>
                <w:sz w:val="20"/>
                <w:szCs w:val="20"/>
              </w:rPr>
            </w:pPr>
            <w:r w:rsidRPr="00ED0538">
              <w:rPr>
                <w:rFonts w:ascii="Times New Roman" w:eastAsia="Aptos" w:hAnsi="Times New Roman" w:cs="Times New Roman"/>
                <w:b/>
                <w:bCs/>
                <w:sz w:val="20"/>
                <w:szCs w:val="20"/>
              </w:rPr>
              <w:t xml:space="preserve">Obszar procesu </w:t>
            </w:r>
            <w:r w:rsidR="002D430C" w:rsidRPr="00ED0538">
              <w:rPr>
                <w:rFonts w:ascii="Times New Roman" w:eastAsia="Aptos" w:hAnsi="Times New Roman" w:cs="Times New Roman"/>
                <w:b/>
                <w:bCs/>
                <w:sz w:val="20"/>
                <w:szCs w:val="20"/>
              </w:rPr>
              <w:t>ewaluacji</w:t>
            </w:r>
          </w:p>
        </w:tc>
        <w:tc>
          <w:tcPr>
            <w:tcW w:w="1883" w:type="dxa"/>
            <w:shd w:val="clear" w:color="auto" w:fill="D9D9D9"/>
            <w:vAlign w:val="center"/>
          </w:tcPr>
          <w:p w14:paraId="223313AD" w14:textId="77777777" w:rsidR="00ED0538" w:rsidRPr="00ED0538" w:rsidRDefault="00ED0538" w:rsidP="00ED0538">
            <w:pPr>
              <w:jc w:val="center"/>
              <w:rPr>
                <w:rFonts w:ascii="Times New Roman" w:eastAsia="Aptos" w:hAnsi="Times New Roman" w:cs="Times New Roman"/>
                <w:b/>
                <w:bCs/>
                <w:sz w:val="20"/>
                <w:szCs w:val="20"/>
              </w:rPr>
            </w:pPr>
            <w:r w:rsidRPr="00ED0538">
              <w:rPr>
                <w:rFonts w:ascii="Times New Roman" w:eastAsia="Aptos" w:hAnsi="Times New Roman" w:cs="Times New Roman"/>
                <w:b/>
                <w:bCs/>
                <w:sz w:val="20"/>
                <w:szCs w:val="20"/>
              </w:rPr>
              <w:t>Rodzaj ryzyka</w:t>
            </w:r>
          </w:p>
        </w:tc>
        <w:tc>
          <w:tcPr>
            <w:tcW w:w="3990" w:type="dxa"/>
            <w:shd w:val="clear" w:color="auto" w:fill="D9D9D9"/>
            <w:vAlign w:val="center"/>
          </w:tcPr>
          <w:p w14:paraId="1C868873" w14:textId="77777777" w:rsidR="00ED0538" w:rsidRPr="00ED0538" w:rsidRDefault="00ED0538" w:rsidP="00ED0538">
            <w:pPr>
              <w:jc w:val="center"/>
              <w:rPr>
                <w:rFonts w:ascii="Times New Roman" w:eastAsia="Aptos" w:hAnsi="Times New Roman" w:cs="Times New Roman"/>
                <w:b/>
                <w:bCs/>
                <w:sz w:val="20"/>
                <w:szCs w:val="20"/>
              </w:rPr>
            </w:pPr>
            <w:r w:rsidRPr="00ED0538">
              <w:rPr>
                <w:rFonts w:ascii="Times New Roman" w:eastAsia="Aptos" w:hAnsi="Times New Roman" w:cs="Times New Roman"/>
                <w:b/>
                <w:bCs/>
                <w:sz w:val="20"/>
                <w:szCs w:val="20"/>
              </w:rPr>
              <w:t>Wyszczególnienie</w:t>
            </w:r>
          </w:p>
        </w:tc>
        <w:tc>
          <w:tcPr>
            <w:tcW w:w="1382" w:type="dxa"/>
            <w:shd w:val="clear" w:color="auto" w:fill="D9D9D9"/>
            <w:vAlign w:val="center"/>
          </w:tcPr>
          <w:p w14:paraId="702D6AE2" w14:textId="77777777" w:rsidR="00ED0538" w:rsidRPr="00ED0538" w:rsidRDefault="00ED0538" w:rsidP="00ED0538">
            <w:pPr>
              <w:jc w:val="center"/>
              <w:rPr>
                <w:rFonts w:ascii="Times New Roman" w:eastAsia="Aptos" w:hAnsi="Times New Roman" w:cs="Times New Roman"/>
                <w:b/>
                <w:bCs/>
                <w:sz w:val="20"/>
                <w:szCs w:val="20"/>
              </w:rPr>
            </w:pPr>
            <w:r w:rsidRPr="00ED0538">
              <w:rPr>
                <w:rFonts w:ascii="Times New Roman" w:eastAsia="Aptos" w:hAnsi="Times New Roman" w:cs="Times New Roman"/>
                <w:b/>
                <w:bCs/>
                <w:sz w:val="20"/>
                <w:szCs w:val="20"/>
              </w:rPr>
              <w:t>Źródła</w:t>
            </w:r>
          </w:p>
        </w:tc>
      </w:tr>
      <w:tr w:rsidR="00ED0538" w:rsidRPr="00ED0538" w14:paraId="2AD535DD" w14:textId="77777777" w:rsidTr="00200B69">
        <w:tc>
          <w:tcPr>
            <w:tcW w:w="1807" w:type="dxa"/>
            <w:vMerge w:val="restart"/>
          </w:tcPr>
          <w:p w14:paraId="1D686B44" w14:textId="77777777" w:rsidR="00ED0538" w:rsidRPr="00ED0538" w:rsidRDefault="00ED0538" w:rsidP="00ED0538">
            <w:pPr>
              <w:rPr>
                <w:rFonts w:ascii="Times New Roman" w:eastAsia="Aptos" w:hAnsi="Times New Roman" w:cs="Times New Roman"/>
                <w:b/>
                <w:bCs/>
                <w:sz w:val="20"/>
                <w:szCs w:val="20"/>
              </w:rPr>
            </w:pPr>
            <w:r w:rsidRPr="00ED0538">
              <w:rPr>
                <w:rFonts w:ascii="Times New Roman" w:eastAsia="Aptos" w:hAnsi="Times New Roman" w:cs="Times New Roman"/>
                <w:b/>
                <w:bCs/>
                <w:sz w:val="20"/>
                <w:szCs w:val="20"/>
              </w:rPr>
              <w:t>Projektowanie ewaluacji</w:t>
            </w:r>
          </w:p>
        </w:tc>
        <w:tc>
          <w:tcPr>
            <w:tcW w:w="1883" w:type="dxa"/>
          </w:tcPr>
          <w:p w14:paraId="49E7CCFF" w14:textId="77777777" w:rsidR="00ED0538" w:rsidRPr="00ED0538" w:rsidRDefault="00ED0538" w:rsidP="00ED0538">
            <w:pPr>
              <w:rPr>
                <w:rFonts w:ascii="Times New Roman" w:eastAsia="Aptos" w:hAnsi="Times New Roman" w:cs="Times New Roman"/>
                <w:b/>
                <w:bCs/>
                <w:sz w:val="20"/>
                <w:szCs w:val="20"/>
              </w:rPr>
            </w:pPr>
            <w:r w:rsidRPr="00ED0538">
              <w:rPr>
                <w:rFonts w:ascii="Times New Roman" w:eastAsia="Aptos" w:hAnsi="Times New Roman" w:cs="Times New Roman"/>
                <w:b/>
                <w:bCs/>
                <w:sz w:val="20"/>
                <w:szCs w:val="20"/>
              </w:rPr>
              <w:t>Ryzyko związane z metodologią badania</w:t>
            </w:r>
          </w:p>
        </w:tc>
        <w:tc>
          <w:tcPr>
            <w:tcW w:w="3990" w:type="dxa"/>
          </w:tcPr>
          <w:p w14:paraId="5CB01C71" w14:textId="77777777" w:rsidR="00ED0538" w:rsidRPr="00ED0538" w:rsidRDefault="00ED0538" w:rsidP="00ED0538">
            <w:pPr>
              <w:rPr>
                <w:rFonts w:ascii="Times New Roman" w:eastAsia="Aptos" w:hAnsi="Times New Roman" w:cs="Times New Roman"/>
                <w:sz w:val="20"/>
                <w:szCs w:val="20"/>
                <w:u w:val="single"/>
              </w:rPr>
            </w:pPr>
            <w:r w:rsidRPr="00ED0538">
              <w:rPr>
                <w:rFonts w:ascii="Times New Roman" w:eastAsia="Aptos" w:hAnsi="Times New Roman" w:cs="Times New Roman"/>
                <w:sz w:val="20"/>
                <w:szCs w:val="20"/>
                <w:u w:val="single"/>
              </w:rPr>
              <w:t xml:space="preserve">Zastosowanie nieodpowiednich metod badawczych może prowadzić do nieadekwatnych wniosków. </w:t>
            </w:r>
          </w:p>
          <w:p w14:paraId="6B3FF1AA"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rPr>
              <w:t xml:space="preserve">Wybór metod niepasujących do specyfiki badanych zjawisk (np. zbyt uproszczonej analizy statystycznej) może skutkować błędnymi rekomendacjami politycznymi i operacyjnymi. </w:t>
            </w:r>
          </w:p>
          <w:p w14:paraId="0F270610"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rPr>
              <w:t>Konieczne jest staranne dopasowanie  założeń metodycznych celów badania i charakterystyki zbieranych danych.</w:t>
            </w:r>
          </w:p>
        </w:tc>
        <w:tc>
          <w:tcPr>
            <w:tcW w:w="1382" w:type="dxa"/>
          </w:tcPr>
          <w:p w14:paraId="67205EAA"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rPr>
              <w:t>Babbie (2016);</w:t>
            </w:r>
          </w:p>
          <w:p w14:paraId="5FDC8B34"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rPr>
              <w:t>Tashakkori i  Teddlie (2010)</w:t>
            </w:r>
          </w:p>
        </w:tc>
      </w:tr>
      <w:tr w:rsidR="00ED0538" w:rsidRPr="00ED0538" w14:paraId="75701AE2" w14:textId="77777777" w:rsidTr="00200B69">
        <w:trPr>
          <w:trHeight w:val="2070"/>
        </w:trPr>
        <w:tc>
          <w:tcPr>
            <w:tcW w:w="1807" w:type="dxa"/>
            <w:vMerge/>
          </w:tcPr>
          <w:p w14:paraId="50802F4F" w14:textId="77777777" w:rsidR="00ED0538" w:rsidRPr="00ED0538" w:rsidRDefault="00ED0538" w:rsidP="00ED0538">
            <w:pPr>
              <w:rPr>
                <w:rFonts w:ascii="Times New Roman" w:eastAsia="Aptos" w:hAnsi="Times New Roman" w:cs="Times New Roman"/>
                <w:b/>
                <w:bCs/>
                <w:sz w:val="20"/>
                <w:szCs w:val="20"/>
              </w:rPr>
            </w:pPr>
          </w:p>
        </w:tc>
        <w:tc>
          <w:tcPr>
            <w:tcW w:w="1883" w:type="dxa"/>
          </w:tcPr>
          <w:p w14:paraId="60A3C33D" w14:textId="77777777" w:rsidR="00ED0538" w:rsidRPr="00ED0538" w:rsidRDefault="00ED0538" w:rsidP="00ED0538">
            <w:pPr>
              <w:rPr>
                <w:rFonts w:ascii="Times New Roman" w:eastAsia="Aptos" w:hAnsi="Times New Roman" w:cs="Times New Roman"/>
                <w:b/>
                <w:bCs/>
                <w:sz w:val="20"/>
                <w:szCs w:val="20"/>
              </w:rPr>
            </w:pPr>
            <w:r w:rsidRPr="00ED0538">
              <w:rPr>
                <w:rFonts w:ascii="Times New Roman" w:eastAsia="Aptos" w:hAnsi="Times New Roman" w:cs="Times New Roman"/>
                <w:b/>
                <w:bCs/>
                <w:sz w:val="20"/>
                <w:szCs w:val="20"/>
              </w:rPr>
              <w:t>Ryzyko ograniczonej reprezentatywności próby badawczej</w:t>
            </w:r>
          </w:p>
          <w:p w14:paraId="0585D753" w14:textId="77777777" w:rsidR="00ED0538" w:rsidRPr="00ED0538" w:rsidRDefault="00ED0538" w:rsidP="00ED0538">
            <w:pPr>
              <w:rPr>
                <w:rFonts w:ascii="Times New Roman" w:eastAsia="Aptos" w:hAnsi="Times New Roman" w:cs="Times New Roman"/>
                <w:b/>
                <w:bCs/>
                <w:sz w:val="20"/>
                <w:szCs w:val="20"/>
              </w:rPr>
            </w:pPr>
          </w:p>
        </w:tc>
        <w:tc>
          <w:tcPr>
            <w:tcW w:w="3990" w:type="dxa"/>
          </w:tcPr>
          <w:p w14:paraId="7AA24EA9"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u w:val="single"/>
              </w:rPr>
              <w:t>Nieodpowiednia próba badawcza może prowadzić do wyników nieodzwierciedlających rzeczywistej sytuacji.</w:t>
            </w:r>
            <w:r w:rsidRPr="00ED0538">
              <w:rPr>
                <w:rFonts w:ascii="Times New Roman" w:eastAsia="Aptos" w:hAnsi="Times New Roman" w:cs="Times New Roman"/>
                <w:sz w:val="20"/>
                <w:szCs w:val="20"/>
              </w:rPr>
              <w:t xml:space="preserve"> Może to wynikać z problemów w doborze próby, np. jej zbyt małej liczebności, nieodpowiedniej struktury demograficznej lub geograficznej. Konsekwencją może być niepełna lub zniekształcona diagnoza problemów oraz  „luźne”  rekomendacje.</w:t>
            </w:r>
          </w:p>
        </w:tc>
        <w:tc>
          <w:tcPr>
            <w:tcW w:w="1382" w:type="dxa"/>
          </w:tcPr>
          <w:p w14:paraId="3FB09C7C"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lang w:val="en-GB"/>
              </w:rPr>
              <w:t>Fowler  (2014); Groves  i in. (2009)</w:t>
            </w:r>
          </w:p>
        </w:tc>
      </w:tr>
      <w:tr w:rsidR="00ED0538" w:rsidRPr="00ED0538" w14:paraId="59C62D90" w14:textId="77777777" w:rsidTr="00200B69">
        <w:tc>
          <w:tcPr>
            <w:tcW w:w="1807" w:type="dxa"/>
            <w:vMerge w:val="restart"/>
          </w:tcPr>
          <w:p w14:paraId="68C44822" w14:textId="61F6280C" w:rsidR="00ED0538" w:rsidRPr="00ED0538" w:rsidRDefault="00ED0538" w:rsidP="00ED0538">
            <w:pPr>
              <w:rPr>
                <w:rFonts w:ascii="Times New Roman" w:eastAsia="Aptos" w:hAnsi="Times New Roman" w:cs="Times New Roman"/>
                <w:b/>
                <w:bCs/>
                <w:sz w:val="20"/>
                <w:szCs w:val="20"/>
              </w:rPr>
            </w:pPr>
            <w:r w:rsidRPr="00ED0538">
              <w:rPr>
                <w:rFonts w:ascii="Times New Roman" w:eastAsia="Aptos" w:hAnsi="Times New Roman" w:cs="Times New Roman"/>
                <w:b/>
                <w:bCs/>
                <w:sz w:val="20"/>
                <w:szCs w:val="20"/>
              </w:rPr>
              <w:t xml:space="preserve">Otoczenie </w:t>
            </w:r>
            <w:r w:rsidR="00F36686">
              <w:rPr>
                <w:rFonts w:ascii="Times New Roman" w:eastAsia="Aptos" w:hAnsi="Times New Roman" w:cs="Times New Roman"/>
                <w:b/>
                <w:bCs/>
                <w:sz w:val="20"/>
                <w:szCs w:val="20"/>
              </w:rPr>
              <w:br/>
            </w:r>
            <w:r w:rsidRPr="00ED0538">
              <w:rPr>
                <w:rFonts w:ascii="Times New Roman" w:eastAsia="Aptos" w:hAnsi="Times New Roman" w:cs="Times New Roman"/>
                <w:b/>
                <w:bCs/>
                <w:sz w:val="20"/>
                <w:szCs w:val="20"/>
              </w:rPr>
              <w:t>ewaluacji</w:t>
            </w:r>
          </w:p>
        </w:tc>
        <w:tc>
          <w:tcPr>
            <w:tcW w:w="1883" w:type="dxa"/>
          </w:tcPr>
          <w:p w14:paraId="4D104041"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b/>
                <w:bCs/>
                <w:sz w:val="20"/>
                <w:szCs w:val="20"/>
              </w:rPr>
              <w:t>Ryzyko zmian legislacyjnych i politycznych</w:t>
            </w:r>
          </w:p>
        </w:tc>
        <w:tc>
          <w:tcPr>
            <w:tcW w:w="3990" w:type="dxa"/>
          </w:tcPr>
          <w:p w14:paraId="037DD9C7"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rPr>
              <w:t>Zmiany w prawodawstwie lub polityce mogą wpłynąć na ramy badania i jego wyniki. Takie zmiany mogą wprowadzać nowe wymagania lub ograniczenia, co skutkuje koniecznością rewizji metod badawczych i podejść ewaluacyjnych. Negatywne skutki mogą obejmować opóźnienia w realizacji badania oraz dodatkowe koszty.</w:t>
            </w:r>
          </w:p>
        </w:tc>
        <w:tc>
          <w:tcPr>
            <w:tcW w:w="1382" w:type="dxa"/>
          </w:tcPr>
          <w:p w14:paraId="0E186ACF"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rPr>
              <w:t>Dye (2016); Hill i Hupe (2009)</w:t>
            </w:r>
          </w:p>
        </w:tc>
      </w:tr>
      <w:tr w:rsidR="00ED0538" w:rsidRPr="00ED0538" w14:paraId="5DA87668" w14:textId="77777777" w:rsidTr="00200B69">
        <w:tc>
          <w:tcPr>
            <w:tcW w:w="1807" w:type="dxa"/>
            <w:vMerge/>
          </w:tcPr>
          <w:p w14:paraId="22CEC727" w14:textId="77777777" w:rsidR="00ED0538" w:rsidRPr="00ED0538" w:rsidRDefault="00ED0538" w:rsidP="00ED0538">
            <w:pPr>
              <w:rPr>
                <w:rFonts w:ascii="Times New Roman" w:eastAsia="Aptos" w:hAnsi="Times New Roman" w:cs="Times New Roman"/>
                <w:b/>
                <w:bCs/>
                <w:sz w:val="20"/>
                <w:szCs w:val="20"/>
              </w:rPr>
            </w:pPr>
          </w:p>
        </w:tc>
        <w:tc>
          <w:tcPr>
            <w:tcW w:w="1883" w:type="dxa"/>
          </w:tcPr>
          <w:p w14:paraId="71BAF4D6" w14:textId="77777777" w:rsidR="00ED0538" w:rsidRPr="00ED0538" w:rsidRDefault="00ED0538" w:rsidP="00ED0538">
            <w:pPr>
              <w:rPr>
                <w:rFonts w:ascii="Times New Roman" w:eastAsia="Aptos" w:hAnsi="Times New Roman" w:cs="Times New Roman"/>
                <w:b/>
                <w:bCs/>
                <w:sz w:val="20"/>
                <w:szCs w:val="20"/>
              </w:rPr>
            </w:pPr>
            <w:r w:rsidRPr="00ED0538">
              <w:rPr>
                <w:rFonts w:ascii="Times New Roman" w:eastAsia="Aptos" w:hAnsi="Times New Roman" w:cs="Times New Roman"/>
                <w:b/>
                <w:bCs/>
                <w:sz w:val="20"/>
                <w:szCs w:val="20"/>
              </w:rPr>
              <w:t>Ryzyko zmian zewnętrznych warunków gospodarczych i klimatycznych</w:t>
            </w:r>
          </w:p>
        </w:tc>
        <w:tc>
          <w:tcPr>
            <w:tcW w:w="3990" w:type="dxa"/>
          </w:tcPr>
          <w:p w14:paraId="2C4FB57F"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rPr>
              <w:t>Zmienne warunki gospodarcze (w tym makroekonomiczne) lub nieprzewidziane zdarzenia klimatyczne (takie jak, np. susze, powodzie) mogą wpływać na wyniki badania. Takie zdarzenia mogą zmieniać zachowania ubezpieczonych rolników i skutkować wprowadzeniem korekt do istniejących programów ubezpieczeniowych, co może wymagać adaptacji metod ewaluacyjnych.</w:t>
            </w:r>
          </w:p>
        </w:tc>
        <w:tc>
          <w:tcPr>
            <w:tcW w:w="1382" w:type="dxa"/>
          </w:tcPr>
          <w:p w14:paraId="08F29771"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lang w:val="en-GB"/>
              </w:rPr>
              <w:t>Pindyck i Rubinfeld, (2017); Stern (2006)</w:t>
            </w:r>
          </w:p>
        </w:tc>
      </w:tr>
      <w:tr w:rsidR="00ED0538" w:rsidRPr="00ED0538" w14:paraId="55B4ABC1" w14:textId="77777777" w:rsidTr="00200B69">
        <w:tc>
          <w:tcPr>
            <w:tcW w:w="1807" w:type="dxa"/>
            <w:vMerge/>
          </w:tcPr>
          <w:p w14:paraId="22D36201" w14:textId="77777777" w:rsidR="00ED0538" w:rsidRPr="00ED0538" w:rsidRDefault="00ED0538" w:rsidP="00ED0538">
            <w:pPr>
              <w:rPr>
                <w:rFonts w:ascii="Times New Roman" w:eastAsia="Aptos" w:hAnsi="Times New Roman" w:cs="Times New Roman"/>
                <w:b/>
                <w:bCs/>
                <w:sz w:val="20"/>
                <w:szCs w:val="20"/>
              </w:rPr>
            </w:pPr>
          </w:p>
        </w:tc>
        <w:tc>
          <w:tcPr>
            <w:tcW w:w="1883" w:type="dxa"/>
          </w:tcPr>
          <w:p w14:paraId="22637B42" w14:textId="77777777" w:rsidR="00ED0538" w:rsidRPr="00ED0538" w:rsidRDefault="00ED0538" w:rsidP="00ED0538">
            <w:pPr>
              <w:rPr>
                <w:rFonts w:ascii="Times New Roman" w:eastAsia="Aptos" w:hAnsi="Times New Roman" w:cs="Times New Roman"/>
                <w:b/>
                <w:bCs/>
                <w:sz w:val="20"/>
                <w:szCs w:val="20"/>
              </w:rPr>
            </w:pPr>
            <w:r w:rsidRPr="00ED0538">
              <w:rPr>
                <w:rFonts w:ascii="Times New Roman" w:eastAsia="Aptos" w:hAnsi="Times New Roman" w:cs="Times New Roman"/>
                <w:b/>
                <w:bCs/>
                <w:sz w:val="20"/>
                <w:szCs w:val="20"/>
              </w:rPr>
              <w:t>Ryzyko zmian technologicznych</w:t>
            </w:r>
          </w:p>
        </w:tc>
        <w:tc>
          <w:tcPr>
            <w:tcW w:w="3990" w:type="dxa"/>
          </w:tcPr>
          <w:p w14:paraId="5D7C63F9"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rPr>
              <w:t>Szybki rozwój technologii może wprowadzać nowe metody zarządzania ryzykiem w rolnictwie, co może wpłynąć na obecne programy ubezpieczeniowe. Nowe technologie mogą wpłynąć zarówno na sposób zbierania danych, jak i na efektywność ubezpieczeń, co może wymagać aktualizacji metod badawczych oraz modeli analizy ryzyka.</w:t>
            </w:r>
          </w:p>
        </w:tc>
        <w:tc>
          <w:tcPr>
            <w:tcW w:w="1382" w:type="dxa"/>
          </w:tcPr>
          <w:p w14:paraId="08142EDD" w14:textId="77777777" w:rsidR="00ED0538" w:rsidRPr="00ED0538" w:rsidRDefault="00ED0538" w:rsidP="00ED0538">
            <w:pPr>
              <w:rPr>
                <w:rFonts w:ascii="Times New Roman" w:eastAsia="Aptos" w:hAnsi="Times New Roman" w:cs="Times New Roman"/>
                <w:sz w:val="20"/>
                <w:szCs w:val="20"/>
                <w:lang w:val="en-GB"/>
              </w:rPr>
            </w:pPr>
            <w:r w:rsidRPr="00ED0538">
              <w:rPr>
                <w:rFonts w:ascii="Times New Roman" w:eastAsia="Aptos" w:hAnsi="Times New Roman" w:cs="Times New Roman"/>
                <w:sz w:val="20"/>
                <w:szCs w:val="20"/>
                <w:lang w:val="en-GB"/>
              </w:rPr>
              <w:t>Brynjolfsson i  McAfee (2014);</w:t>
            </w:r>
          </w:p>
          <w:p w14:paraId="09567AE0"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lang w:val="en-GB"/>
              </w:rPr>
              <w:t>Rogers (2003)</w:t>
            </w:r>
          </w:p>
        </w:tc>
      </w:tr>
      <w:tr w:rsidR="00ED0538" w:rsidRPr="00ED0538" w14:paraId="6E2CB884" w14:textId="77777777" w:rsidTr="00200B69">
        <w:tc>
          <w:tcPr>
            <w:tcW w:w="1807" w:type="dxa"/>
          </w:tcPr>
          <w:p w14:paraId="0F2DF6CA" w14:textId="3B6B3C83" w:rsidR="00ED0538" w:rsidRPr="00ED0538" w:rsidRDefault="00ED0538" w:rsidP="00ED0538">
            <w:pPr>
              <w:rPr>
                <w:rFonts w:ascii="Times New Roman" w:eastAsia="Aptos" w:hAnsi="Times New Roman" w:cs="Times New Roman"/>
                <w:b/>
                <w:bCs/>
                <w:sz w:val="20"/>
                <w:szCs w:val="20"/>
              </w:rPr>
            </w:pPr>
            <w:r w:rsidRPr="00ED0538">
              <w:rPr>
                <w:rFonts w:ascii="Times New Roman" w:eastAsia="Aptos" w:hAnsi="Times New Roman" w:cs="Times New Roman"/>
                <w:b/>
                <w:bCs/>
                <w:sz w:val="20"/>
                <w:szCs w:val="20"/>
              </w:rPr>
              <w:t xml:space="preserve">Realizacja </w:t>
            </w:r>
            <w:r w:rsidR="00F36686">
              <w:rPr>
                <w:rFonts w:ascii="Times New Roman" w:eastAsia="Aptos" w:hAnsi="Times New Roman" w:cs="Times New Roman"/>
                <w:b/>
                <w:bCs/>
                <w:sz w:val="20"/>
                <w:szCs w:val="20"/>
              </w:rPr>
              <w:br/>
            </w:r>
            <w:r w:rsidRPr="00ED0538">
              <w:rPr>
                <w:rFonts w:ascii="Times New Roman" w:eastAsia="Aptos" w:hAnsi="Times New Roman" w:cs="Times New Roman"/>
                <w:b/>
                <w:bCs/>
                <w:sz w:val="20"/>
                <w:szCs w:val="20"/>
              </w:rPr>
              <w:t>ewaluacji</w:t>
            </w:r>
          </w:p>
        </w:tc>
        <w:tc>
          <w:tcPr>
            <w:tcW w:w="1883" w:type="dxa"/>
          </w:tcPr>
          <w:p w14:paraId="71615788"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b/>
                <w:bCs/>
                <w:sz w:val="20"/>
                <w:szCs w:val="20"/>
              </w:rPr>
              <w:t>Ryzyko błędów w zbieraniu danych</w:t>
            </w:r>
          </w:p>
          <w:p w14:paraId="3E67E66E" w14:textId="77777777" w:rsidR="00ED0538" w:rsidRPr="00ED0538" w:rsidRDefault="00ED0538" w:rsidP="00ED0538">
            <w:pPr>
              <w:rPr>
                <w:rFonts w:ascii="Times New Roman" w:eastAsia="Aptos" w:hAnsi="Times New Roman" w:cs="Times New Roman"/>
                <w:b/>
                <w:bCs/>
                <w:sz w:val="20"/>
                <w:szCs w:val="20"/>
              </w:rPr>
            </w:pPr>
          </w:p>
        </w:tc>
        <w:tc>
          <w:tcPr>
            <w:tcW w:w="3990" w:type="dxa"/>
          </w:tcPr>
          <w:p w14:paraId="32FFE4B3"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rPr>
              <w:t>Niedokładne lub niekompletne dane mogą prowadzić do błędnie sformułowanych wniosków i rekomendacji. Może to być wynikiem ograniczonego dostępu do danych, błędów ludzkich w ich rejestracji lub niewłaściwie zaprojektowanych narzędzi badawczych. Konsekwencje mogą obejmować niewłaściwe decyzje polityczne oraz marnotrawstwo zasobów.</w:t>
            </w:r>
          </w:p>
        </w:tc>
        <w:tc>
          <w:tcPr>
            <w:tcW w:w="1382" w:type="dxa"/>
          </w:tcPr>
          <w:p w14:paraId="1DF57F98" w14:textId="77777777" w:rsidR="00ED0538" w:rsidRPr="00ED0538" w:rsidRDefault="00ED0538" w:rsidP="00ED0538">
            <w:pPr>
              <w:rPr>
                <w:rFonts w:ascii="Times New Roman" w:eastAsia="Aptos" w:hAnsi="Times New Roman" w:cs="Times New Roman"/>
                <w:sz w:val="20"/>
                <w:szCs w:val="20"/>
                <w:lang w:val="en-US"/>
              </w:rPr>
            </w:pPr>
            <w:r w:rsidRPr="00ED0538">
              <w:rPr>
                <w:rFonts w:ascii="Times New Roman" w:eastAsia="Aptos" w:hAnsi="Times New Roman" w:cs="Times New Roman"/>
                <w:sz w:val="20"/>
                <w:szCs w:val="20"/>
              </w:rPr>
              <w:t>Patton (2002), Creswell (2014)</w:t>
            </w:r>
          </w:p>
        </w:tc>
      </w:tr>
    </w:tbl>
    <w:p w14:paraId="44AF990A" w14:textId="77777777" w:rsidR="00ED0538" w:rsidRPr="00ED0538" w:rsidRDefault="00ED0538" w:rsidP="00ED0538">
      <w:pPr>
        <w:spacing w:line="259" w:lineRule="auto"/>
        <w:rPr>
          <w:rFonts w:ascii="Aptos" w:eastAsia="Aptos" w:hAnsi="Aptos" w:cs="Times New Roman"/>
          <w:sz w:val="22"/>
          <w:szCs w:val="22"/>
        </w:rPr>
      </w:pPr>
    </w:p>
    <w:p w14:paraId="1F8EDC7E" w14:textId="1BEA8546" w:rsidR="00ED0538" w:rsidRPr="00ED0538" w:rsidRDefault="003D393D" w:rsidP="00ED0538">
      <w:pPr>
        <w:spacing w:line="259" w:lineRule="auto"/>
        <w:rPr>
          <w:rFonts w:ascii="Times New Roman" w:eastAsia="Aptos" w:hAnsi="Times New Roman" w:cs="Times New Roman"/>
        </w:rPr>
      </w:pPr>
      <w:r>
        <w:rPr>
          <w:rFonts w:ascii="Times New Roman" w:eastAsia="Aptos" w:hAnsi="Times New Roman" w:cs="Times New Roman"/>
        </w:rPr>
        <w:lastRenderedPageBreak/>
        <w:t>c</w:t>
      </w:r>
      <w:r w:rsidR="00ED0538" w:rsidRPr="00ED0538">
        <w:rPr>
          <w:rFonts w:ascii="Times New Roman" w:eastAsia="Aptos" w:hAnsi="Times New Roman" w:cs="Times New Roman"/>
        </w:rPr>
        <w:t xml:space="preserve">d. tabeli </w:t>
      </w:r>
      <w:r w:rsidR="00C37E38">
        <w:rPr>
          <w:rFonts w:ascii="Times New Roman" w:eastAsia="Aptos" w:hAnsi="Times New Roman" w:cs="Times New Roman"/>
        </w:rPr>
        <w:t>15</w:t>
      </w:r>
    </w:p>
    <w:tbl>
      <w:tblPr>
        <w:tblStyle w:val="Tabela-Siatka"/>
        <w:tblW w:w="0" w:type="auto"/>
        <w:tblLook w:val="04A0" w:firstRow="1" w:lastRow="0" w:firstColumn="1" w:lastColumn="0" w:noHBand="0" w:noVBand="1"/>
      </w:tblPr>
      <w:tblGrid>
        <w:gridCol w:w="1807"/>
        <w:gridCol w:w="1883"/>
        <w:gridCol w:w="3990"/>
        <w:gridCol w:w="1382"/>
      </w:tblGrid>
      <w:tr w:rsidR="00ED0538" w:rsidRPr="007656FE" w14:paraId="4FF37CFE" w14:textId="77777777" w:rsidTr="00200B69">
        <w:tc>
          <w:tcPr>
            <w:tcW w:w="1807" w:type="dxa"/>
            <w:vMerge w:val="restart"/>
          </w:tcPr>
          <w:p w14:paraId="46AD88AB" w14:textId="77777777" w:rsidR="00ED0538" w:rsidRPr="00ED0538" w:rsidRDefault="00ED0538" w:rsidP="00ED0538">
            <w:pPr>
              <w:rPr>
                <w:rFonts w:ascii="Times New Roman" w:eastAsia="Aptos" w:hAnsi="Times New Roman" w:cs="Times New Roman"/>
                <w:b/>
                <w:bCs/>
                <w:sz w:val="20"/>
                <w:szCs w:val="20"/>
              </w:rPr>
            </w:pPr>
          </w:p>
        </w:tc>
        <w:tc>
          <w:tcPr>
            <w:tcW w:w="1883" w:type="dxa"/>
          </w:tcPr>
          <w:p w14:paraId="0A60D91F"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b/>
                <w:bCs/>
                <w:sz w:val="20"/>
                <w:szCs w:val="20"/>
              </w:rPr>
              <w:t>Ryzyko niekompatybilności systemów informatycznych</w:t>
            </w:r>
          </w:p>
          <w:p w14:paraId="40763B4D" w14:textId="77777777" w:rsidR="00ED0538" w:rsidRPr="00ED0538" w:rsidRDefault="00ED0538" w:rsidP="00ED0538">
            <w:pPr>
              <w:rPr>
                <w:rFonts w:ascii="Times New Roman" w:eastAsia="Aptos" w:hAnsi="Times New Roman" w:cs="Times New Roman"/>
                <w:sz w:val="20"/>
                <w:szCs w:val="20"/>
              </w:rPr>
            </w:pPr>
          </w:p>
        </w:tc>
        <w:tc>
          <w:tcPr>
            <w:tcW w:w="3990" w:type="dxa"/>
          </w:tcPr>
          <w:p w14:paraId="12CDC5ED" w14:textId="77777777" w:rsidR="00ED0538" w:rsidRPr="00ED0538" w:rsidRDefault="00ED0538" w:rsidP="00ED0538">
            <w:pPr>
              <w:ind w:left="24"/>
              <w:rPr>
                <w:rFonts w:ascii="Times New Roman" w:eastAsia="Aptos" w:hAnsi="Times New Roman" w:cs="Times New Roman"/>
                <w:sz w:val="20"/>
                <w:szCs w:val="20"/>
              </w:rPr>
            </w:pPr>
            <w:r w:rsidRPr="00ED0538">
              <w:rPr>
                <w:rFonts w:ascii="Times New Roman" w:eastAsia="Aptos" w:hAnsi="Times New Roman" w:cs="Times New Roman"/>
                <w:sz w:val="20"/>
                <w:szCs w:val="20"/>
              </w:rPr>
              <w:t>Brak zgodności pomiędzy systemami informatycznymi wykorzystywanymi przez różne instytucje może utrudniać zbieranie i analizowanie danych. Problemy te mogą opóźniać procesy ewaluacyjne oraz zwiększać koszty ich realizacji poprzez konieczność dodatkowej standaryzacji lub konwersji danych.</w:t>
            </w:r>
          </w:p>
        </w:tc>
        <w:tc>
          <w:tcPr>
            <w:tcW w:w="1382" w:type="dxa"/>
          </w:tcPr>
          <w:p w14:paraId="7B2EDD7A" w14:textId="77777777" w:rsidR="00ED0538" w:rsidRPr="00ED0538" w:rsidRDefault="00ED0538" w:rsidP="00ED0538">
            <w:pPr>
              <w:rPr>
                <w:rFonts w:ascii="Times New Roman" w:eastAsia="Aptos" w:hAnsi="Times New Roman" w:cs="Times New Roman"/>
                <w:sz w:val="20"/>
                <w:szCs w:val="20"/>
                <w:lang w:val="en-US"/>
              </w:rPr>
            </w:pPr>
            <w:r w:rsidRPr="00ED0538">
              <w:rPr>
                <w:rFonts w:ascii="Times New Roman" w:eastAsia="Aptos" w:hAnsi="Times New Roman" w:cs="Times New Roman"/>
                <w:sz w:val="20"/>
                <w:szCs w:val="20"/>
                <w:lang w:val="en-US"/>
              </w:rPr>
              <w:t>Laudon K. i Laudon J. (2016), Turban, Volonino i Wood (2015)</w:t>
            </w:r>
          </w:p>
        </w:tc>
      </w:tr>
      <w:tr w:rsidR="00ED0538" w:rsidRPr="00ED0538" w14:paraId="423A1204" w14:textId="77777777" w:rsidTr="00200B69">
        <w:tc>
          <w:tcPr>
            <w:tcW w:w="1807" w:type="dxa"/>
            <w:vMerge/>
          </w:tcPr>
          <w:p w14:paraId="4B0EF6DD" w14:textId="77777777" w:rsidR="00ED0538" w:rsidRPr="00ED0538" w:rsidRDefault="00ED0538" w:rsidP="00ED0538">
            <w:pPr>
              <w:rPr>
                <w:rFonts w:ascii="Times New Roman" w:eastAsia="Aptos" w:hAnsi="Times New Roman" w:cs="Times New Roman"/>
                <w:b/>
                <w:bCs/>
                <w:sz w:val="20"/>
                <w:szCs w:val="20"/>
                <w:lang w:val="en-US"/>
              </w:rPr>
            </w:pPr>
          </w:p>
        </w:tc>
        <w:tc>
          <w:tcPr>
            <w:tcW w:w="1883" w:type="dxa"/>
          </w:tcPr>
          <w:p w14:paraId="182146EB"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b/>
                <w:bCs/>
                <w:sz w:val="20"/>
                <w:szCs w:val="20"/>
              </w:rPr>
              <w:t>Ryzyko niestabilności finansowej projektu</w:t>
            </w:r>
          </w:p>
          <w:p w14:paraId="4FAA558D" w14:textId="77777777" w:rsidR="00ED0538" w:rsidRPr="00ED0538" w:rsidRDefault="00ED0538" w:rsidP="00ED0538">
            <w:pPr>
              <w:rPr>
                <w:rFonts w:ascii="Times New Roman" w:eastAsia="Aptos" w:hAnsi="Times New Roman" w:cs="Times New Roman"/>
                <w:sz w:val="20"/>
                <w:szCs w:val="20"/>
              </w:rPr>
            </w:pPr>
          </w:p>
        </w:tc>
        <w:tc>
          <w:tcPr>
            <w:tcW w:w="3990" w:type="dxa"/>
          </w:tcPr>
          <w:p w14:paraId="54A0D431" w14:textId="77777777" w:rsidR="00ED0538" w:rsidRPr="00ED0538" w:rsidRDefault="00ED0538" w:rsidP="00ED0538">
            <w:pPr>
              <w:ind w:left="24"/>
              <w:rPr>
                <w:rFonts w:ascii="Times New Roman" w:eastAsia="Aptos" w:hAnsi="Times New Roman" w:cs="Times New Roman"/>
                <w:sz w:val="20"/>
                <w:szCs w:val="20"/>
              </w:rPr>
            </w:pPr>
            <w:r w:rsidRPr="00ED0538">
              <w:rPr>
                <w:rFonts w:ascii="Times New Roman" w:eastAsia="Aptos" w:hAnsi="Times New Roman" w:cs="Times New Roman"/>
                <w:sz w:val="20"/>
                <w:szCs w:val="20"/>
                <w:u w:val="single"/>
              </w:rPr>
              <w:t>Brak odpowiednich środków finansowych lub ich niepewność może prowadzić do przerwania badania lub ograniczenia jego zakresu</w:t>
            </w:r>
            <w:r w:rsidRPr="00ED0538">
              <w:rPr>
                <w:rFonts w:ascii="Times New Roman" w:eastAsia="Aptos" w:hAnsi="Times New Roman" w:cs="Times New Roman"/>
                <w:sz w:val="20"/>
                <w:szCs w:val="20"/>
              </w:rPr>
              <w:t xml:space="preserve">. Może pojawić się zagrożenie rozpadu zespołu ewaluacyjnego. </w:t>
            </w:r>
          </w:p>
          <w:p w14:paraId="38F95110" w14:textId="77777777" w:rsidR="00ED0538" w:rsidRPr="00ED0538" w:rsidRDefault="00ED0538" w:rsidP="00ED0538">
            <w:pPr>
              <w:ind w:left="24"/>
              <w:rPr>
                <w:rFonts w:ascii="Times New Roman" w:eastAsia="Aptos" w:hAnsi="Times New Roman" w:cs="Times New Roman"/>
                <w:sz w:val="20"/>
                <w:szCs w:val="20"/>
              </w:rPr>
            </w:pPr>
            <w:r w:rsidRPr="00ED0538">
              <w:rPr>
                <w:rFonts w:ascii="Times New Roman" w:eastAsia="Aptos" w:hAnsi="Times New Roman" w:cs="Times New Roman"/>
                <w:sz w:val="20"/>
                <w:szCs w:val="20"/>
              </w:rPr>
              <w:t xml:space="preserve">Problemy finansowe mogą wynikać z nieprzewidzianych wydatków, cięć budżetowych bądź zmieniających się priorytetów sponsorów. </w:t>
            </w:r>
          </w:p>
          <w:p w14:paraId="4FA7B6EB" w14:textId="77777777" w:rsidR="00ED0538" w:rsidRPr="00ED0538" w:rsidRDefault="00ED0538" w:rsidP="00ED0538">
            <w:pPr>
              <w:ind w:left="24"/>
              <w:rPr>
                <w:rFonts w:ascii="Times New Roman" w:eastAsia="Aptos" w:hAnsi="Times New Roman" w:cs="Times New Roman"/>
                <w:sz w:val="20"/>
                <w:szCs w:val="20"/>
              </w:rPr>
            </w:pPr>
            <w:r w:rsidRPr="00ED0538">
              <w:rPr>
                <w:rFonts w:ascii="Times New Roman" w:eastAsia="Aptos" w:hAnsi="Times New Roman" w:cs="Times New Roman"/>
                <w:sz w:val="20"/>
                <w:szCs w:val="20"/>
              </w:rPr>
              <w:t>W efekcie może dojść do ograniczenia kompletności badania, co wpłynie na jego wiarygodność i przydatność.</w:t>
            </w:r>
          </w:p>
        </w:tc>
        <w:tc>
          <w:tcPr>
            <w:tcW w:w="1382" w:type="dxa"/>
          </w:tcPr>
          <w:p w14:paraId="7021229F"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rPr>
              <w:t>Barker (2001); Bickel i Doksum (2015)</w:t>
            </w:r>
          </w:p>
        </w:tc>
      </w:tr>
      <w:tr w:rsidR="00ED0538" w:rsidRPr="007656FE" w14:paraId="6C1E194E" w14:textId="77777777" w:rsidTr="00200B69">
        <w:tc>
          <w:tcPr>
            <w:tcW w:w="1807" w:type="dxa"/>
            <w:vMerge/>
          </w:tcPr>
          <w:p w14:paraId="48D1FECA" w14:textId="77777777" w:rsidR="00ED0538" w:rsidRPr="00ED0538" w:rsidRDefault="00ED0538" w:rsidP="00ED0538">
            <w:pPr>
              <w:rPr>
                <w:rFonts w:ascii="Times New Roman" w:eastAsia="Aptos" w:hAnsi="Times New Roman" w:cs="Times New Roman"/>
                <w:b/>
                <w:bCs/>
                <w:sz w:val="20"/>
                <w:szCs w:val="20"/>
              </w:rPr>
            </w:pPr>
          </w:p>
        </w:tc>
        <w:tc>
          <w:tcPr>
            <w:tcW w:w="1883" w:type="dxa"/>
          </w:tcPr>
          <w:p w14:paraId="3B287555"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b/>
                <w:bCs/>
                <w:sz w:val="20"/>
                <w:szCs w:val="20"/>
              </w:rPr>
              <w:t>Ryzyko oporu ze strony uczestników badania</w:t>
            </w:r>
          </w:p>
        </w:tc>
        <w:tc>
          <w:tcPr>
            <w:tcW w:w="3990" w:type="dxa"/>
          </w:tcPr>
          <w:p w14:paraId="1A2A1194" w14:textId="77777777" w:rsidR="00ED0538" w:rsidRPr="00ED0538" w:rsidRDefault="00ED0538" w:rsidP="00ED0538">
            <w:pPr>
              <w:ind w:left="24"/>
              <w:rPr>
                <w:rFonts w:ascii="Times New Roman" w:eastAsia="Aptos" w:hAnsi="Times New Roman" w:cs="Times New Roman"/>
                <w:sz w:val="20"/>
                <w:szCs w:val="20"/>
              </w:rPr>
            </w:pPr>
            <w:r w:rsidRPr="00ED0538">
              <w:rPr>
                <w:rFonts w:ascii="Times New Roman" w:eastAsia="Aptos" w:hAnsi="Times New Roman" w:cs="Times New Roman"/>
                <w:sz w:val="20"/>
                <w:szCs w:val="20"/>
                <w:u w:val="single"/>
              </w:rPr>
              <w:t>Uczestnicy badania (tu: ankietowani rolnicy) mogą wykazywać brak chęci do współpracy z badaczami</w:t>
            </w:r>
            <w:r w:rsidRPr="00ED0538">
              <w:rPr>
                <w:rFonts w:ascii="Times New Roman" w:eastAsia="Aptos" w:hAnsi="Times New Roman" w:cs="Times New Roman"/>
                <w:sz w:val="20"/>
                <w:szCs w:val="20"/>
              </w:rPr>
              <w:t>, co może wynikać z obaw o prywatność, niezrozumienia celu badania lub negatywnych doświadczeń z poprzednimi badaniami. Opór ten może negatywnie wpływać na jakość i kompletność zbieranych danych, a tym samym na wyniki ewaluacji.</w:t>
            </w:r>
          </w:p>
        </w:tc>
        <w:tc>
          <w:tcPr>
            <w:tcW w:w="1382" w:type="dxa"/>
          </w:tcPr>
          <w:p w14:paraId="5AF10A1E" w14:textId="77777777" w:rsidR="00ED0538" w:rsidRPr="00ED0538" w:rsidRDefault="00ED0538" w:rsidP="00ED0538">
            <w:pPr>
              <w:rPr>
                <w:rFonts w:ascii="Times New Roman" w:eastAsia="Aptos" w:hAnsi="Times New Roman" w:cs="Times New Roman"/>
                <w:sz w:val="20"/>
                <w:szCs w:val="20"/>
                <w:lang w:val="en-US"/>
              </w:rPr>
            </w:pPr>
            <w:r w:rsidRPr="00ED0538">
              <w:rPr>
                <w:rFonts w:ascii="Times New Roman" w:eastAsia="Aptos" w:hAnsi="Times New Roman" w:cs="Times New Roman"/>
                <w:sz w:val="20"/>
                <w:szCs w:val="20"/>
                <w:lang w:val="en-US"/>
              </w:rPr>
              <w:t>Creswell i Plano Clark (2018); Maxwell (2013)</w:t>
            </w:r>
          </w:p>
        </w:tc>
      </w:tr>
      <w:tr w:rsidR="00ED0538" w:rsidRPr="00ED0538" w14:paraId="2CFF0276" w14:textId="77777777" w:rsidTr="00200B69">
        <w:tc>
          <w:tcPr>
            <w:tcW w:w="1807" w:type="dxa"/>
          </w:tcPr>
          <w:p w14:paraId="59BDC191" w14:textId="77777777" w:rsidR="00ED0538" w:rsidRPr="00ED0538" w:rsidRDefault="00ED0538" w:rsidP="00ED0538">
            <w:pPr>
              <w:rPr>
                <w:rFonts w:ascii="Times New Roman" w:eastAsia="Aptos" w:hAnsi="Times New Roman" w:cs="Times New Roman"/>
                <w:b/>
                <w:bCs/>
                <w:sz w:val="20"/>
                <w:szCs w:val="20"/>
              </w:rPr>
            </w:pPr>
            <w:r w:rsidRPr="00ED0538">
              <w:rPr>
                <w:rFonts w:ascii="Times New Roman" w:eastAsia="Aptos" w:hAnsi="Times New Roman" w:cs="Times New Roman"/>
                <w:b/>
                <w:bCs/>
                <w:sz w:val="20"/>
                <w:szCs w:val="20"/>
              </w:rPr>
              <w:t>Wykorzystanie wyników (implementacja ewaluacji).</w:t>
            </w:r>
          </w:p>
        </w:tc>
        <w:tc>
          <w:tcPr>
            <w:tcW w:w="1883" w:type="dxa"/>
          </w:tcPr>
          <w:p w14:paraId="5FB7B7CF"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b/>
                <w:bCs/>
                <w:sz w:val="20"/>
                <w:szCs w:val="20"/>
              </w:rPr>
              <w:t>Ryzyko stronniczości w ewaluacji</w:t>
            </w:r>
          </w:p>
          <w:p w14:paraId="26135BC3" w14:textId="77777777" w:rsidR="00ED0538" w:rsidRPr="00ED0538" w:rsidRDefault="00ED0538" w:rsidP="00ED0538">
            <w:pPr>
              <w:rPr>
                <w:rFonts w:ascii="Times New Roman" w:eastAsia="Aptos" w:hAnsi="Times New Roman" w:cs="Times New Roman"/>
                <w:b/>
                <w:bCs/>
                <w:sz w:val="20"/>
                <w:szCs w:val="20"/>
              </w:rPr>
            </w:pPr>
          </w:p>
        </w:tc>
        <w:tc>
          <w:tcPr>
            <w:tcW w:w="3990" w:type="dxa"/>
          </w:tcPr>
          <w:p w14:paraId="4FB42054" w14:textId="77777777" w:rsidR="00ED0538" w:rsidRPr="00ED0538" w:rsidRDefault="00ED0538" w:rsidP="00ED0538">
            <w:pPr>
              <w:ind w:left="24"/>
              <w:rPr>
                <w:rFonts w:ascii="Times New Roman" w:eastAsia="Aptos" w:hAnsi="Times New Roman" w:cs="Times New Roman"/>
                <w:sz w:val="20"/>
                <w:szCs w:val="20"/>
              </w:rPr>
            </w:pPr>
            <w:r w:rsidRPr="00ED0538">
              <w:rPr>
                <w:rFonts w:ascii="Times New Roman" w:eastAsia="Aptos" w:hAnsi="Times New Roman" w:cs="Times New Roman"/>
                <w:sz w:val="20"/>
                <w:szCs w:val="20"/>
              </w:rPr>
              <w:t>Oceny mogą być stronnicze ze względu na konflikt interesów lub uprzedzenia badaczy. Wyniki mogą być zafałszowane, jeśli badacze mają bezpośredni interes w wyniku badania,  lub jeśli istnieje presja polityczna. W efekcie polityki i programy mogą być nieadekwatnie zmodyfikowane lub kontynuowane bez uzasadnienia.</w:t>
            </w:r>
          </w:p>
        </w:tc>
        <w:tc>
          <w:tcPr>
            <w:tcW w:w="1382" w:type="dxa"/>
          </w:tcPr>
          <w:p w14:paraId="4C492436" w14:textId="77777777" w:rsidR="00ED0538" w:rsidRPr="00ED0538" w:rsidRDefault="00ED0538" w:rsidP="00ED0538">
            <w:pPr>
              <w:rPr>
                <w:rFonts w:ascii="Times New Roman" w:eastAsia="Aptos" w:hAnsi="Times New Roman" w:cs="Times New Roman"/>
                <w:sz w:val="20"/>
                <w:szCs w:val="20"/>
              </w:rPr>
            </w:pPr>
            <w:r w:rsidRPr="00ED0538">
              <w:rPr>
                <w:rFonts w:ascii="Times New Roman" w:eastAsia="Aptos" w:hAnsi="Times New Roman" w:cs="Times New Roman"/>
                <w:sz w:val="20"/>
                <w:szCs w:val="20"/>
              </w:rPr>
              <w:t>Rossi, Lipsey i Freeman (2004)</w:t>
            </w:r>
          </w:p>
        </w:tc>
      </w:tr>
    </w:tbl>
    <w:p w14:paraId="4E0E3059" w14:textId="77777777" w:rsidR="00ED0538" w:rsidRPr="00147122" w:rsidRDefault="00ED0538" w:rsidP="00ED0538">
      <w:pPr>
        <w:spacing w:line="259" w:lineRule="auto"/>
        <w:rPr>
          <w:rFonts w:ascii="Times New Roman" w:eastAsia="Aptos" w:hAnsi="Times New Roman" w:cs="Times New Roman"/>
          <w:i/>
          <w:iCs/>
        </w:rPr>
      </w:pPr>
      <w:r w:rsidRPr="00147122">
        <w:rPr>
          <w:rFonts w:ascii="Times New Roman" w:eastAsia="Aptos" w:hAnsi="Times New Roman" w:cs="Times New Roman"/>
          <w:i/>
          <w:iCs/>
        </w:rPr>
        <w:t>Źródło: opracowanie własne na podstawie przeglądu literatury.</w:t>
      </w:r>
    </w:p>
    <w:p w14:paraId="1161AB1D" w14:textId="77777777" w:rsidR="00ED0538" w:rsidRPr="00ED0538" w:rsidRDefault="00ED0538" w:rsidP="00ED0538">
      <w:pPr>
        <w:spacing w:line="259" w:lineRule="auto"/>
        <w:rPr>
          <w:rFonts w:ascii="Aptos" w:eastAsia="Aptos" w:hAnsi="Aptos" w:cs="Times New Roman"/>
          <w:sz w:val="22"/>
          <w:szCs w:val="22"/>
        </w:rPr>
      </w:pPr>
    </w:p>
    <w:p w14:paraId="6AEE36C6" w14:textId="77777777" w:rsidR="00ED0538" w:rsidRDefault="00ED0538" w:rsidP="00ED0538">
      <w:pPr>
        <w:spacing w:line="259" w:lineRule="auto"/>
        <w:jc w:val="both"/>
        <w:rPr>
          <w:rFonts w:ascii="Times New Roman" w:eastAsia="Aptos" w:hAnsi="Times New Roman" w:cs="Times New Roman"/>
          <w:sz w:val="28"/>
          <w:szCs w:val="28"/>
        </w:rPr>
      </w:pPr>
      <w:r w:rsidRPr="00ED0538">
        <w:rPr>
          <w:rFonts w:ascii="Times New Roman" w:eastAsia="Aptos" w:hAnsi="Times New Roman" w:cs="Times New Roman"/>
          <w:sz w:val="28"/>
          <w:szCs w:val="28"/>
        </w:rPr>
        <w:t>Należy zaznaczyć, że  typy ryzyka należy powiązać z procesem ewaluacji.  Zdaniem autorów ekspertyzy,  proces ewaluacji dotowanych ubezpieczeń upraw i zwierząt gospodarskich jest szczególnie narażony na ryzyko niestabilności finansowej oraz stronniczości ewaluacji. Bardzo dokładne zaprojektowanie ram prawnych, a także systematyczny nadzór mogą w pewnym stopniu  obniżyć ich poziom.</w:t>
      </w:r>
    </w:p>
    <w:p w14:paraId="5A871003" w14:textId="022B1BB8" w:rsidR="0024241F" w:rsidRDefault="0024241F" w:rsidP="0024241F">
      <w:pPr>
        <w:tabs>
          <w:tab w:val="left" w:pos="892"/>
        </w:tabs>
        <w:jc w:val="center"/>
        <w:rPr>
          <w:rFonts w:ascii="Times New Roman" w:eastAsia="Aptos" w:hAnsi="Times New Roman" w:cs="Times New Roman"/>
          <w:b/>
          <w:bCs/>
          <w:sz w:val="28"/>
          <w:szCs w:val="28"/>
        </w:rPr>
      </w:pPr>
      <w:r w:rsidRPr="0024241F">
        <w:rPr>
          <w:rFonts w:ascii="Times New Roman" w:eastAsia="Aptos" w:hAnsi="Times New Roman" w:cs="Times New Roman"/>
          <w:b/>
          <w:bCs/>
          <w:sz w:val="28"/>
          <w:szCs w:val="28"/>
        </w:rPr>
        <w:t>Podsumowanie</w:t>
      </w:r>
    </w:p>
    <w:p w14:paraId="1E13E5E8" w14:textId="53BF093B" w:rsidR="0024241F" w:rsidRDefault="0024241F" w:rsidP="00D73164">
      <w:pPr>
        <w:tabs>
          <w:tab w:val="left" w:pos="892"/>
        </w:tabs>
        <w:jc w:val="both"/>
        <w:rPr>
          <w:rFonts w:ascii="Times New Roman" w:eastAsia="Aptos" w:hAnsi="Times New Roman" w:cs="Times New Roman"/>
          <w:sz w:val="28"/>
          <w:szCs w:val="28"/>
        </w:rPr>
      </w:pPr>
      <w:r>
        <w:rPr>
          <w:rFonts w:ascii="Times New Roman" w:eastAsia="Aptos" w:hAnsi="Times New Roman" w:cs="Times New Roman"/>
          <w:sz w:val="28"/>
          <w:szCs w:val="28"/>
        </w:rPr>
        <w:tab/>
      </w:r>
      <w:r w:rsidR="0081110D">
        <w:rPr>
          <w:rFonts w:ascii="Times New Roman" w:eastAsia="Aptos" w:hAnsi="Times New Roman" w:cs="Times New Roman"/>
          <w:sz w:val="28"/>
          <w:szCs w:val="28"/>
        </w:rPr>
        <w:t>Zaprojektowana</w:t>
      </w:r>
      <w:r>
        <w:rPr>
          <w:rFonts w:ascii="Times New Roman" w:eastAsia="Aptos" w:hAnsi="Times New Roman" w:cs="Times New Roman"/>
          <w:sz w:val="28"/>
          <w:szCs w:val="28"/>
        </w:rPr>
        <w:t xml:space="preserve"> metodologia pomyślana został</w:t>
      </w:r>
      <w:r w:rsidR="0081110D">
        <w:rPr>
          <w:rFonts w:ascii="Times New Roman" w:eastAsia="Aptos" w:hAnsi="Times New Roman" w:cs="Times New Roman"/>
          <w:sz w:val="28"/>
          <w:szCs w:val="28"/>
        </w:rPr>
        <w:t>a</w:t>
      </w:r>
      <w:r>
        <w:rPr>
          <w:rFonts w:ascii="Times New Roman" w:eastAsia="Aptos" w:hAnsi="Times New Roman" w:cs="Times New Roman"/>
          <w:sz w:val="28"/>
          <w:szCs w:val="28"/>
        </w:rPr>
        <w:t xml:space="preserve"> jako koncepcja mieszcząca się w klasie </w:t>
      </w:r>
      <w:r w:rsidRPr="0024241F">
        <w:rPr>
          <w:rFonts w:ascii="Times New Roman" w:eastAsia="Aptos" w:hAnsi="Times New Roman" w:cs="Times New Roman"/>
          <w:i/>
          <w:iCs/>
          <w:sz w:val="28"/>
          <w:szCs w:val="28"/>
        </w:rPr>
        <w:t>the mixed-methods</w:t>
      </w:r>
      <w:r>
        <w:rPr>
          <w:rFonts w:ascii="Times New Roman" w:eastAsia="Aptos" w:hAnsi="Times New Roman" w:cs="Times New Roman"/>
          <w:sz w:val="28"/>
          <w:szCs w:val="28"/>
        </w:rPr>
        <w:t xml:space="preserve">. Oznacza to, że integruje ona dorobek teorii programu, która objaśnia </w:t>
      </w:r>
      <w:r w:rsidR="00D73164">
        <w:rPr>
          <w:rFonts w:ascii="Times New Roman" w:eastAsia="Aptos" w:hAnsi="Times New Roman" w:cs="Times New Roman"/>
          <w:sz w:val="28"/>
          <w:szCs w:val="28"/>
        </w:rPr>
        <w:t>logikę interwencji, odzwierciedlaną  w łańcuchach rezultatów (zależności przyczynowo-skutkowe)</w:t>
      </w:r>
      <w:r w:rsidR="00ED549F">
        <w:rPr>
          <w:rFonts w:ascii="Times New Roman" w:eastAsia="Aptos" w:hAnsi="Times New Roman" w:cs="Times New Roman"/>
          <w:sz w:val="28"/>
          <w:szCs w:val="28"/>
        </w:rPr>
        <w:t>,</w:t>
      </w:r>
      <w:r w:rsidR="00D73164">
        <w:rPr>
          <w:rFonts w:ascii="Times New Roman" w:eastAsia="Aptos" w:hAnsi="Times New Roman" w:cs="Times New Roman"/>
          <w:sz w:val="28"/>
          <w:szCs w:val="28"/>
        </w:rPr>
        <w:t xml:space="preserve"> oraz w jej mechanizmach, analizy </w:t>
      </w:r>
      <w:r w:rsidR="00D73164">
        <w:rPr>
          <w:rFonts w:ascii="Times New Roman" w:eastAsia="Aptos" w:hAnsi="Times New Roman" w:cs="Times New Roman"/>
          <w:sz w:val="28"/>
          <w:szCs w:val="28"/>
        </w:rPr>
        <w:lastRenderedPageBreak/>
        <w:t xml:space="preserve">wpływu </w:t>
      </w:r>
      <w:r w:rsidR="00D36FEE">
        <w:rPr>
          <w:rFonts w:ascii="Times New Roman" w:eastAsia="Aptos" w:hAnsi="Times New Roman" w:cs="Times New Roman"/>
          <w:sz w:val="28"/>
          <w:szCs w:val="28"/>
        </w:rPr>
        <w:t>i</w:t>
      </w:r>
      <w:r w:rsidR="00D73164">
        <w:rPr>
          <w:rFonts w:ascii="Times New Roman" w:eastAsia="Aptos" w:hAnsi="Times New Roman" w:cs="Times New Roman"/>
          <w:sz w:val="28"/>
          <w:szCs w:val="28"/>
        </w:rPr>
        <w:t xml:space="preserve"> elementów ryzyka. Jeśli chodzi natomiast o teorię programu, to jej ostateczną postać przedstawi się dopiero w roku 2028. Oznacza to, że jej tworzenie będzie procesem iteracyjnym.</w:t>
      </w:r>
      <w:r w:rsidR="00BF449E">
        <w:rPr>
          <w:rFonts w:ascii="Times New Roman" w:eastAsia="Aptos" w:hAnsi="Times New Roman" w:cs="Times New Roman"/>
          <w:sz w:val="28"/>
          <w:szCs w:val="28"/>
        </w:rPr>
        <w:t xml:space="preserve"> Równocześnie przyjęto, że korzystać się będzie zarówno z danych ilościowych, jak i jakościowych. Łącznie takie podejście jest novum, co najmniej w krajowych pracach ewaluacyjnych. Jego autorzy chcą się odróżniać również przez to, że zamierzają </w:t>
      </w:r>
      <w:r w:rsidR="00BF0281">
        <w:rPr>
          <w:rFonts w:ascii="Times New Roman" w:eastAsia="Aptos" w:hAnsi="Times New Roman" w:cs="Times New Roman"/>
          <w:sz w:val="28"/>
          <w:szCs w:val="28"/>
        </w:rPr>
        <w:t>na bieżąco, w miarę pojawiania się nowych, dojrzałych aplikacyjnie propozycji, stale doskonalić metodologię, by oferowana ewaluacja odpowiadała najwyższym światowym standardom jakościowym. Stąd też każdorazowo w kolejnych latach trwania projektu przedstawiać się będzie</w:t>
      </w:r>
      <w:r w:rsidR="00825192">
        <w:rPr>
          <w:rFonts w:ascii="Times New Roman" w:eastAsia="Aptos" w:hAnsi="Times New Roman" w:cs="Times New Roman"/>
          <w:sz w:val="28"/>
          <w:szCs w:val="28"/>
        </w:rPr>
        <w:t xml:space="preserve"> najnowsze osiągnięcia w obszarach pomiaru efektów subsydiowania ubezpieczeń, mechanizmów ich wpływu na gospodarstwa rolnicze i cały sektor oraz gospodarkę narodową</w:t>
      </w:r>
      <w:r w:rsidR="0081110D">
        <w:rPr>
          <w:rFonts w:ascii="Times New Roman" w:eastAsia="Aptos" w:hAnsi="Times New Roman" w:cs="Times New Roman"/>
          <w:sz w:val="28"/>
          <w:szCs w:val="28"/>
        </w:rPr>
        <w:t xml:space="preserve"> i</w:t>
      </w:r>
      <w:r w:rsidR="00825192">
        <w:rPr>
          <w:rFonts w:ascii="Times New Roman" w:eastAsia="Aptos" w:hAnsi="Times New Roman" w:cs="Times New Roman"/>
          <w:sz w:val="28"/>
          <w:szCs w:val="28"/>
        </w:rPr>
        <w:t xml:space="preserve"> determinant uczestnictwa producentów rolnych w rynku ubezpieczeniowym. </w:t>
      </w:r>
    </w:p>
    <w:p w14:paraId="71EFCFAD" w14:textId="2CFB2A5E" w:rsidR="00DF6B7A" w:rsidRPr="00DF6B7A" w:rsidRDefault="00DF6B7A" w:rsidP="00DF6B7A">
      <w:pPr>
        <w:spacing w:line="259" w:lineRule="auto"/>
        <w:ind w:firstLine="709"/>
        <w:jc w:val="both"/>
        <w:rPr>
          <w:rFonts w:ascii="Times New Roman" w:eastAsia="Aptos" w:hAnsi="Times New Roman" w:cs="Times New Roman"/>
          <w:sz w:val="28"/>
          <w:szCs w:val="28"/>
        </w:rPr>
      </w:pPr>
      <w:r w:rsidRPr="00DF6B7A">
        <w:rPr>
          <w:rFonts w:ascii="Times New Roman" w:eastAsia="Aptos" w:hAnsi="Times New Roman" w:cs="Times New Roman"/>
          <w:sz w:val="28"/>
          <w:szCs w:val="28"/>
        </w:rPr>
        <w:t>Metoda  Propensity Score Matching (PSM) jest skutecznym narzędziem w badaniach quasi-eksperymentalnych, umożliwiającym tworzenie „sztucznych” grup kontrolnych poprzez dopasowanie jednostek objętych programem do jednostek</w:t>
      </w:r>
      <w:r w:rsidR="00E97DF2">
        <w:rPr>
          <w:rFonts w:ascii="Times New Roman" w:eastAsia="Aptos" w:hAnsi="Times New Roman" w:cs="Times New Roman"/>
          <w:sz w:val="28"/>
          <w:szCs w:val="28"/>
        </w:rPr>
        <w:t xml:space="preserve"> nim</w:t>
      </w:r>
      <w:r w:rsidRPr="00DF6B7A">
        <w:rPr>
          <w:rFonts w:ascii="Times New Roman" w:eastAsia="Aptos" w:hAnsi="Times New Roman" w:cs="Times New Roman"/>
          <w:sz w:val="28"/>
          <w:szCs w:val="28"/>
        </w:rPr>
        <w:t xml:space="preserve"> nieobjętych na podstawie podobnych cech. Proces ten obejmuje wybór grupy kontrolnej, określenie Propensity Score (PS), dobór obiektów do grupy kontrolnej oraz ocenę podobieństwa grup. </w:t>
      </w:r>
    </w:p>
    <w:p w14:paraId="17FF2719" w14:textId="25A17165" w:rsidR="00DF6B7A" w:rsidRPr="00DF6B7A" w:rsidRDefault="00DF6B7A" w:rsidP="00DF6B7A">
      <w:pPr>
        <w:spacing w:line="259" w:lineRule="auto"/>
        <w:ind w:firstLine="709"/>
        <w:jc w:val="both"/>
        <w:rPr>
          <w:rFonts w:ascii="Times New Roman" w:eastAsia="Aptos" w:hAnsi="Times New Roman" w:cs="Times New Roman"/>
          <w:sz w:val="28"/>
          <w:szCs w:val="28"/>
        </w:rPr>
      </w:pPr>
      <w:r w:rsidRPr="00DF6B7A">
        <w:rPr>
          <w:rFonts w:ascii="Times New Roman" w:eastAsia="Aptos" w:hAnsi="Times New Roman" w:cs="Times New Roman"/>
          <w:sz w:val="28"/>
          <w:szCs w:val="28"/>
        </w:rPr>
        <w:t xml:space="preserve">Wybór odpowiednich metod łączenia zależy od charakteru danych i dostępnych zasobów obliczeniowych. Metoda Caliper Matching  („suwmiarkowa”) może być preferowaną metodą ze względu na kompromis między redukcją zakłóceń a precyzją oszacowania efektu  oddziaływania programu. W kontekście ewaluacji subsydiowanych ubezpieczeń upraw i zwierząt gospodarskich metody Stratification/Interval Matching (SIM) i Kernel Matching (KM) są szczególnie użyteczne, oferując „równowagę” między ich prostotą a efektywnością. Należy podkreślić, że metoda SIM jest skuteczna dla dużych zbiorów danych FADN. Zapewnia, że w każdym przedziale jednostki z grupy badanej i kontrolnej są porównywalne, co czyni ją </w:t>
      </w:r>
      <w:r w:rsidR="00A84199">
        <w:rPr>
          <w:rFonts w:ascii="Times New Roman" w:eastAsia="Aptos" w:hAnsi="Times New Roman" w:cs="Times New Roman"/>
          <w:sz w:val="28"/>
          <w:szCs w:val="28"/>
        </w:rPr>
        <w:t>przydatną</w:t>
      </w:r>
      <w:r w:rsidRPr="00DF6B7A">
        <w:rPr>
          <w:rFonts w:ascii="Times New Roman" w:eastAsia="Aptos" w:hAnsi="Times New Roman" w:cs="Times New Roman"/>
          <w:sz w:val="28"/>
          <w:szCs w:val="28"/>
        </w:rPr>
        <w:t xml:space="preserve"> dla analizy polityki na dużą skalę. </w:t>
      </w:r>
    </w:p>
    <w:p w14:paraId="328B9850" w14:textId="77777777" w:rsidR="00DF6B7A" w:rsidRPr="00DF6B7A" w:rsidRDefault="00DF6B7A" w:rsidP="00DF6B7A">
      <w:pPr>
        <w:spacing w:line="259" w:lineRule="auto"/>
        <w:ind w:firstLine="709"/>
        <w:jc w:val="both"/>
        <w:rPr>
          <w:rFonts w:ascii="Times New Roman" w:eastAsia="Aptos" w:hAnsi="Times New Roman" w:cs="Times New Roman"/>
          <w:sz w:val="28"/>
          <w:szCs w:val="28"/>
        </w:rPr>
      </w:pPr>
      <w:r w:rsidRPr="00DF6B7A">
        <w:rPr>
          <w:rFonts w:ascii="Times New Roman" w:eastAsia="Aptos" w:hAnsi="Times New Roman" w:cs="Times New Roman"/>
          <w:sz w:val="28"/>
          <w:szCs w:val="28"/>
        </w:rPr>
        <w:t>Warto jednak pamiętać, że nadmierne restrykcje w procesie dopasowania mogą prowadzić do usunięcia znaczącej liczby obserwacji, dlatego kluczowe jest dostosowanie metod łączenia do specyfiki badania i dostępnych zasobów, aby uzyskać najbardziej wiarygodne i precyzyjne wyniki. Niewielka liczba badań wykorzystujących bezpośrednio PSM do oceny subsydiowanych programów ubezpieczeń rolnych stanowi przesłankę do adaptacji podejść badawczych, stosowanych np. w zbliżonych problemach badawczych (np. ewaluacja wybranych działań w ramach PROW).</w:t>
      </w:r>
    </w:p>
    <w:p w14:paraId="1936B984" w14:textId="77777777" w:rsidR="00DC1CED" w:rsidRPr="00B72A5E" w:rsidRDefault="00DC1CED" w:rsidP="00DC1CED">
      <w:pPr>
        <w:spacing w:after="0" w:line="264" w:lineRule="auto"/>
        <w:ind w:firstLine="709"/>
        <w:jc w:val="both"/>
        <w:rPr>
          <w:rFonts w:ascii="Times New Roman" w:hAnsi="Times New Roman" w:cs="Times New Roman"/>
          <w:sz w:val="28"/>
          <w:szCs w:val="28"/>
        </w:rPr>
      </w:pPr>
      <w:r w:rsidRPr="00B72A5E">
        <w:rPr>
          <w:rFonts w:ascii="Times New Roman" w:hAnsi="Times New Roman" w:cs="Times New Roman"/>
          <w:sz w:val="28"/>
          <w:szCs w:val="28"/>
        </w:rPr>
        <w:lastRenderedPageBreak/>
        <w:t xml:space="preserve">Ewaluacja interwencji wymaga wykorzystania metody, której dobór w znacznym stopniu jest uzależniony od rodzaju zastosowanego instrumentu oddziaływania, liczby i długości okresu obserwacji, zakresu oraz jakości dostępnych danych i poziomu ich agregacji, możliwości finansowych i analitycznych zespołu przeprowadzającego badanie.  Z punktu widzenia statystycznego optymalnym rozwiązaniem byłoby wykorzystywanie do ewaluacji randomizowanego badania kontrolowanego (RCT). Metoda ta często jest wykorzystywana do kalibracji różnych metod quasi-eksperymentalnych lub porównań i oceny ich efektywności.  W praktyce z różnych względów zwykle nie mamy jednak możliwości na jej zastosowanie lub przeprowadzenie pełnej procedury z zachowaniem losowego doboru próby badawczej przy zachowaniu rozsądnych kosztów badań. </w:t>
      </w:r>
    </w:p>
    <w:p w14:paraId="6377B58A" w14:textId="7FF4364D" w:rsidR="00DC1CED" w:rsidRPr="00B72A5E" w:rsidRDefault="00DC1CED" w:rsidP="00DC1CED">
      <w:pPr>
        <w:spacing w:after="0" w:line="264" w:lineRule="auto"/>
        <w:ind w:firstLine="709"/>
        <w:jc w:val="both"/>
        <w:rPr>
          <w:rFonts w:ascii="Times New Roman" w:hAnsi="Times New Roman" w:cs="Times New Roman"/>
          <w:sz w:val="28"/>
          <w:szCs w:val="28"/>
        </w:rPr>
      </w:pPr>
      <w:r w:rsidRPr="00B72A5E">
        <w:rPr>
          <w:rFonts w:ascii="Times New Roman" w:hAnsi="Times New Roman" w:cs="Times New Roman"/>
          <w:sz w:val="28"/>
          <w:szCs w:val="28"/>
        </w:rPr>
        <w:t xml:space="preserve">Ciekawą alternatywą dla randomizowanego doboru próby w ramach grupy nieeksperymentalnych metod </w:t>
      </w:r>
      <w:r w:rsidR="00B05024">
        <w:rPr>
          <w:rFonts w:ascii="Times New Roman" w:hAnsi="Times New Roman" w:cs="Times New Roman"/>
          <w:sz w:val="28"/>
          <w:szCs w:val="28"/>
        </w:rPr>
        <w:t>ewaluacji</w:t>
      </w:r>
      <w:r w:rsidRPr="00B72A5E">
        <w:rPr>
          <w:rFonts w:ascii="Times New Roman" w:hAnsi="Times New Roman" w:cs="Times New Roman"/>
          <w:sz w:val="28"/>
          <w:szCs w:val="28"/>
        </w:rPr>
        <w:t xml:space="preserve"> jest różnica w różnicach (Difference in Differences – DID). W określonych warunkach pozwala ona stwierdzić zarówno przyczynowość, jak i siłę związku pomiędzy interwencją a zmienną lub zmiennymi wynikowymi. Metoda ta opiera się na założeniu kontrfaktycznego przebiegu zmiany wyników dla grupy docelowej (grup</w:t>
      </w:r>
      <w:r w:rsidR="00B05024">
        <w:rPr>
          <w:rFonts w:ascii="Times New Roman" w:hAnsi="Times New Roman" w:cs="Times New Roman"/>
          <w:sz w:val="28"/>
          <w:szCs w:val="28"/>
        </w:rPr>
        <w:t>y</w:t>
      </w:r>
      <w:r w:rsidRPr="00B72A5E">
        <w:rPr>
          <w:rFonts w:ascii="Times New Roman" w:hAnsi="Times New Roman" w:cs="Times New Roman"/>
          <w:sz w:val="28"/>
          <w:szCs w:val="28"/>
        </w:rPr>
        <w:t xml:space="preserve"> badawczej) po interwencji wyznaczonej na podstawie grupy porównawczej (grupy kontrolnej), a zgodnie z nazwą wynik obliczany jest jako różnica z różnic. W metodzie tej zakłada się redukcję błędu selekcji poprzez założenie równoległych trendów dla zmiennych wynikowych grupy docelowej/badanej i porównawczej/kontrolnej. Zakłada się więc, że błąd selekcji wystąpił w obu grupach, a tym samym następuje jego znoszenie się. </w:t>
      </w:r>
    </w:p>
    <w:p w14:paraId="027C6CCF" w14:textId="071D1C58" w:rsidR="00DC1CED" w:rsidRPr="00B72A5E" w:rsidRDefault="00DC1CED" w:rsidP="00DC1CED">
      <w:pPr>
        <w:ind w:firstLine="708"/>
        <w:jc w:val="both"/>
        <w:rPr>
          <w:rFonts w:ascii="Times New Roman" w:hAnsi="Times New Roman" w:cs="Times New Roman"/>
          <w:sz w:val="28"/>
          <w:szCs w:val="28"/>
        </w:rPr>
      </w:pPr>
      <w:r w:rsidRPr="00B72A5E">
        <w:rPr>
          <w:rFonts w:ascii="Times New Roman" w:hAnsi="Times New Roman" w:cs="Times New Roman"/>
          <w:sz w:val="28"/>
          <w:szCs w:val="28"/>
        </w:rPr>
        <w:t xml:space="preserve">W ostatnich latach nastąpił dynamiczny rozwój tej metody i propozycji różnych jej odmian na poziomie metodycznym w odpowiedzi na wyzwania związane z potrzebami badawczymi i ograniczeniami klasycznej metody DID. Opracowano różne podejścia mające rozwiązać między innymi </w:t>
      </w:r>
      <w:r w:rsidR="000B3026" w:rsidRPr="00B72A5E">
        <w:rPr>
          <w:rFonts w:ascii="Times New Roman" w:hAnsi="Times New Roman" w:cs="Times New Roman"/>
          <w:sz w:val="28"/>
          <w:szCs w:val="28"/>
        </w:rPr>
        <w:t>problemy</w:t>
      </w:r>
      <w:r w:rsidRPr="00B72A5E">
        <w:rPr>
          <w:rFonts w:ascii="Times New Roman" w:hAnsi="Times New Roman" w:cs="Times New Roman"/>
          <w:sz w:val="28"/>
          <w:szCs w:val="28"/>
        </w:rPr>
        <w:t xml:space="preserve"> odmiennego momentu w czasie uruchomienia instrumentu interwencji w różnych badanych podmiotach i jego wpływu na wyniki, występowanie zjawiska heterogeniczności skutków interwencji (zwłaszcza w czasie), trudności ze spełnieniem wymogu równoległości trendów czy też uogólnianie wyników (ważenia wyników poszczególnych podgrup w ramach grupy docelowej/badanej). Niewątpliwie dzięki tym badaniom statystyczno-ekonometrycznym poprawiających poziom estymacji metody DID i jej odmian, a często połączonych z propozycją gotowego pakietów informatycznych</w:t>
      </w:r>
      <w:r w:rsidR="00B05024">
        <w:rPr>
          <w:rFonts w:ascii="Times New Roman" w:hAnsi="Times New Roman" w:cs="Times New Roman"/>
          <w:sz w:val="28"/>
          <w:szCs w:val="28"/>
        </w:rPr>
        <w:t>, należy oczekiwać, że</w:t>
      </w:r>
      <w:r w:rsidRPr="00B72A5E">
        <w:rPr>
          <w:rFonts w:ascii="Times New Roman" w:hAnsi="Times New Roman" w:cs="Times New Roman"/>
          <w:sz w:val="28"/>
          <w:szCs w:val="28"/>
        </w:rPr>
        <w:t xml:space="preserve"> w niedalekiej przyszłości wzrośnie liczba badań empirycznych, w tym z zakresu ewaluacji. Dotychczasowe literatura wskazuje jednak na stosunkowo rzadkie wykorzystanie metody w badaniu ewaluacji ubezpieczeń rolnych.</w:t>
      </w:r>
    </w:p>
    <w:p w14:paraId="18CDE846" w14:textId="0CF8C000" w:rsidR="00DF6B7A" w:rsidRPr="00DF6B7A" w:rsidRDefault="00DF6B7A" w:rsidP="003424DB">
      <w:pPr>
        <w:spacing w:after="0" w:line="259" w:lineRule="auto"/>
        <w:ind w:firstLine="709"/>
        <w:jc w:val="both"/>
        <w:rPr>
          <w:rFonts w:ascii="Times New Roman" w:eastAsia="Aptos" w:hAnsi="Times New Roman" w:cs="Times New Roman"/>
          <w:sz w:val="28"/>
          <w:szCs w:val="28"/>
        </w:rPr>
      </w:pPr>
      <w:r w:rsidRPr="00DF6B7A">
        <w:rPr>
          <w:rFonts w:ascii="Times New Roman" w:eastAsia="Aptos" w:hAnsi="Times New Roman" w:cs="Times New Roman"/>
          <w:sz w:val="28"/>
          <w:szCs w:val="28"/>
        </w:rPr>
        <w:lastRenderedPageBreak/>
        <w:t>Główną zaletą metody PSM-DID</w:t>
      </w:r>
      <w:r w:rsidR="002D46FE">
        <w:rPr>
          <w:rFonts w:ascii="Times New Roman" w:eastAsia="Aptos" w:hAnsi="Times New Roman" w:cs="Times New Roman"/>
          <w:sz w:val="28"/>
          <w:szCs w:val="28"/>
        </w:rPr>
        <w:t>,</w:t>
      </w:r>
      <w:r w:rsidRPr="00DF6B7A">
        <w:rPr>
          <w:rFonts w:ascii="Times New Roman" w:eastAsia="Aptos" w:hAnsi="Times New Roman" w:cs="Times New Roman"/>
          <w:sz w:val="28"/>
          <w:szCs w:val="28"/>
        </w:rPr>
        <w:t xml:space="preserve"> jako zaawansowanej techniki quasi-eksperymentalnej</w:t>
      </w:r>
      <w:r w:rsidR="002D46FE">
        <w:rPr>
          <w:rFonts w:ascii="Times New Roman" w:eastAsia="Aptos" w:hAnsi="Times New Roman" w:cs="Times New Roman"/>
          <w:sz w:val="28"/>
          <w:szCs w:val="28"/>
        </w:rPr>
        <w:t>,</w:t>
      </w:r>
      <w:r w:rsidRPr="00DF6B7A">
        <w:rPr>
          <w:rFonts w:ascii="Times New Roman" w:eastAsia="Aptos" w:hAnsi="Times New Roman" w:cs="Times New Roman"/>
          <w:sz w:val="28"/>
          <w:szCs w:val="28"/>
        </w:rPr>
        <w:t xml:space="preserve"> jest możliwość precyzyjnego pomiaru efektu wsparcia poprzez porównanie wyników uczestników i niekorzystających z programu przed i po jego wdrożeniu. PSM-DID łączy technikę PSM i DID, co pozwala na lepszą kontrolę błędu selekcji zarówno w zmiennych obserwowalnych, jak i nieobserwowalnych. </w:t>
      </w:r>
    </w:p>
    <w:p w14:paraId="2E547AEE" w14:textId="66AFE6F9" w:rsidR="00DF6B7A" w:rsidRPr="00DF6B7A" w:rsidRDefault="00DF6B7A" w:rsidP="00DF6B7A">
      <w:pPr>
        <w:spacing w:line="259" w:lineRule="auto"/>
        <w:jc w:val="both"/>
        <w:rPr>
          <w:rFonts w:ascii="Times New Roman" w:eastAsia="Aptos" w:hAnsi="Times New Roman" w:cs="Times New Roman"/>
          <w:sz w:val="28"/>
          <w:szCs w:val="28"/>
        </w:rPr>
      </w:pPr>
      <w:r w:rsidRPr="00DF6B7A">
        <w:rPr>
          <w:rFonts w:ascii="Times New Roman" w:eastAsia="Aptos" w:hAnsi="Times New Roman" w:cs="Times New Roman"/>
          <w:sz w:val="28"/>
          <w:szCs w:val="28"/>
        </w:rPr>
        <w:t xml:space="preserve">Zastosowanie PSM-DID jest szczególnie przydatne w sytuacjach, gdy dane dotyczące wyników zarówno uczestników, jak i niekorzystających z programu są dostępne przed i po jego wdrożeniu. Na przykład, w ocenie programów subsydiowanych ubezpieczeń rolnych PSM-DID może być użyte do porównania wyników gospodarstw rolnych, które skorzystały z ubezpieczeń, z tymi, które nie skorzystały, zarówno przed, jak i po wprowadzeniu programu. Dzięki temu można dokładniej ocenić rzeczywisty wpływ programu na wyniki finansowe i operacyjne gospodarstw rolnych, minimalizując jednocześnie wpływ błędów selekcji. Trudności związane z implementacją tej metody mogą wynikać z ograniczeń związanych z uogólnianiem wniosków z próby na populację </w:t>
      </w:r>
      <w:r w:rsidR="002D46FE">
        <w:rPr>
          <w:rFonts w:ascii="Times New Roman" w:eastAsia="Aptos" w:hAnsi="Times New Roman" w:cs="Times New Roman"/>
          <w:sz w:val="28"/>
          <w:szCs w:val="28"/>
        </w:rPr>
        <w:t>generalną</w:t>
      </w:r>
      <w:r w:rsidRPr="00DF6B7A">
        <w:rPr>
          <w:rFonts w:ascii="Times New Roman" w:eastAsia="Aptos" w:hAnsi="Times New Roman" w:cs="Times New Roman"/>
          <w:sz w:val="28"/>
          <w:szCs w:val="28"/>
        </w:rPr>
        <w:t>, co stanowi wyzwanie dla walidacji zewnętrznej. Pomimo tych wyzwań, PSM-DID pozostaje wartościowym narzędziem w badaniach nad efektywnością programów polityk publicznych, szczególnie w kontekście minimalizowania błędów selekcji i uzyskiwania bardziej dokładnych wyników. Warto zauważyć, że mocną stroną tej metody jest zdecydowana kontrola błędów selekcji, co czyni ją bardziej efektywną w porównaniu do pojedynczych metod, takich jak konwencjonalny estymator DID czy technika PSM stosowan</w:t>
      </w:r>
      <w:r w:rsidR="002D46FE">
        <w:rPr>
          <w:rFonts w:ascii="Times New Roman" w:eastAsia="Aptos" w:hAnsi="Times New Roman" w:cs="Times New Roman"/>
          <w:sz w:val="28"/>
          <w:szCs w:val="28"/>
        </w:rPr>
        <w:t>ych</w:t>
      </w:r>
      <w:r w:rsidRPr="00DF6B7A">
        <w:rPr>
          <w:rFonts w:ascii="Times New Roman" w:eastAsia="Aptos" w:hAnsi="Times New Roman" w:cs="Times New Roman"/>
          <w:sz w:val="28"/>
          <w:szCs w:val="28"/>
        </w:rPr>
        <w:t xml:space="preserve"> oddzielnie. Dotychczasowe zastosowania PSM-DID w badaniach empirycznych dotyczących oceny subsydiowanych programów ubezpieczeń rolnych są zachęcające (np. dają odpowiedź na pytania, czy ww. programy prowadzą do wzrostu dochodów gospodarstw rolnych</w:t>
      </w:r>
      <w:r w:rsidR="003424DB">
        <w:rPr>
          <w:rFonts w:ascii="Times New Roman" w:eastAsia="Aptos" w:hAnsi="Times New Roman" w:cs="Times New Roman"/>
          <w:sz w:val="28"/>
          <w:szCs w:val="28"/>
        </w:rPr>
        <w:t>?</w:t>
      </w:r>
      <w:r w:rsidRPr="00DF6B7A">
        <w:rPr>
          <w:rFonts w:ascii="Times New Roman" w:eastAsia="Aptos" w:hAnsi="Times New Roman" w:cs="Times New Roman"/>
          <w:sz w:val="28"/>
          <w:szCs w:val="28"/>
        </w:rPr>
        <w:t>).</w:t>
      </w:r>
    </w:p>
    <w:p w14:paraId="0E84D6F2" w14:textId="77777777" w:rsidR="00DC1CED" w:rsidRDefault="00DC1CED" w:rsidP="00DC1CED">
      <w:pPr>
        <w:ind w:firstLine="708"/>
        <w:rPr>
          <w:rFonts w:ascii="Times New Roman" w:eastAsia="Aptos" w:hAnsi="Times New Roman" w:cs="Times New Roman"/>
          <w:sz w:val="28"/>
          <w:szCs w:val="28"/>
        </w:rPr>
      </w:pPr>
    </w:p>
    <w:p w14:paraId="0D9F498E" w14:textId="77777777" w:rsidR="002A58EC" w:rsidRDefault="002A58EC" w:rsidP="00DC1CED">
      <w:pPr>
        <w:ind w:firstLine="708"/>
        <w:rPr>
          <w:rFonts w:ascii="Times New Roman" w:eastAsia="Aptos" w:hAnsi="Times New Roman" w:cs="Times New Roman"/>
          <w:sz w:val="28"/>
          <w:szCs w:val="28"/>
        </w:rPr>
      </w:pPr>
    </w:p>
    <w:p w14:paraId="1C202907" w14:textId="77777777" w:rsidR="002A58EC" w:rsidRDefault="002A58EC" w:rsidP="002A58EC">
      <w:pPr>
        <w:rPr>
          <w:rFonts w:ascii="Times New Roman" w:eastAsia="Aptos" w:hAnsi="Times New Roman" w:cs="Times New Roman"/>
          <w:sz w:val="28"/>
          <w:szCs w:val="28"/>
        </w:rPr>
      </w:pPr>
    </w:p>
    <w:p w14:paraId="66A6A4BE" w14:textId="3DCE1DFF" w:rsidR="002A58EC" w:rsidRPr="00A433E9" w:rsidRDefault="002A58EC" w:rsidP="002A58EC">
      <w:pPr>
        <w:rPr>
          <w:rFonts w:ascii="Times New Roman" w:eastAsia="Aptos" w:hAnsi="Times New Roman" w:cs="Times New Roman"/>
          <w:b/>
          <w:bCs/>
          <w:sz w:val="28"/>
          <w:szCs w:val="28"/>
        </w:rPr>
      </w:pPr>
      <w:r w:rsidRPr="00A433E9">
        <w:rPr>
          <w:rFonts w:ascii="Times New Roman" w:eastAsia="Aptos" w:hAnsi="Times New Roman" w:cs="Times New Roman"/>
          <w:b/>
          <w:bCs/>
          <w:sz w:val="28"/>
          <w:szCs w:val="28"/>
        </w:rPr>
        <w:t>Literatura</w:t>
      </w:r>
    </w:p>
    <w:p w14:paraId="317DA557" w14:textId="77777777" w:rsidR="002A58EC" w:rsidRPr="00223386" w:rsidRDefault="002A58EC" w:rsidP="002A58EC">
      <w:pPr>
        <w:spacing w:after="0"/>
        <w:ind w:hanging="720"/>
        <w:rPr>
          <w:rFonts w:ascii="Times New Roman" w:hAnsi="Times New Roman" w:cs="Times New Roman"/>
          <w:lang w:val="en-GB"/>
        </w:rPr>
      </w:pPr>
    </w:p>
    <w:p w14:paraId="3C3CD724" w14:textId="77777777" w:rsidR="002A58EC" w:rsidRPr="00223386" w:rsidRDefault="002A58EC" w:rsidP="002A58EC">
      <w:pPr>
        <w:spacing w:after="0" w:line="259" w:lineRule="auto"/>
        <w:ind w:hanging="720"/>
        <w:rPr>
          <w:rFonts w:ascii="Times New Roman" w:eastAsia="Aptos" w:hAnsi="Times New Roman" w:cs="Times New Roman"/>
          <w:lang w:val="en-GB"/>
        </w:rPr>
      </w:pPr>
    </w:p>
    <w:p w14:paraId="0516666F" w14:textId="77777777"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lang w:val="en-GB"/>
        </w:rPr>
      </w:pPr>
      <w:r w:rsidRPr="00223386">
        <w:rPr>
          <w:rFonts w:ascii="Times New Roman" w:eastAsia="Aptos" w:hAnsi="Times New Roman" w:cs="Times New Roman"/>
          <w:lang w:val="en-GB"/>
        </w:rPr>
        <w:t>Abadie, A. (2005). Semiparametric difference-in-differences estimators. The review of economic studies, 72(1), 1-19. doi.org/10.1111/0034-6527.00321</w:t>
      </w:r>
    </w:p>
    <w:p w14:paraId="47646872" w14:textId="77777777" w:rsidR="002A58EC" w:rsidRPr="00223386" w:rsidRDefault="002A58EC" w:rsidP="002A58EC">
      <w:pPr>
        <w:numPr>
          <w:ilvl w:val="0"/>
          <w:numId w:val="81"/>
        </w:numPr>
        <w:spacing w:after="0" w:line="264" w:lineRule="auto"/>
        <w:ind w:hanging="720"/>
        <w:jc w:val="both"/>
        <w:rPr>
          <w:rFonts w:ascii="Times New Roman" w:eastAsia="Times New Roman" w:hAnsi="Times New Roman" w:cs="Times New Roman"/>
          <w:kern w:val="0"/>
          <w:lang w:eastAsia="pl-PL"/>
          <w14:ligatures w14:val="none"/>
        </w:rPr>
      </w:pPr>
      <w:r w:rsidRPr="00223386">
        <w:rPr>
          <w:rFonts w:ascii="Times New Roman" w:eastAsia="Times New Roman" w:hAnsi="Times New Roman" w:cs="Times New Roman"/>
          <w:bCs/>
          <w:kern w:val="0"/>
          <w:lang w:val="en-US" w:eastAsia="pl-PL"/>
          <w14:ligatures w14:val="none"/>
        </w:rPr>
        <w:t>Aditya, K.S., Khan, T., Kishore, A. (2018). Adoption of crop insurance and impact: Insights from India. </w:t>
      </w:r>
      <w:r w:rsidRPr="00223386">
        <w:rPr>
          <w:rFonts w:ascii="Times New Roman" w:eastAsia="Times New Roman" w:hAnsi="Times New Roman" w:cs="Times New Roman"/>
          <w:bCs/>
          <w:i/>
          <w:kern w:val="0"/>
          <w:lang w:eastAsia="pl-PL"/>
          <w14:ligatures w14:val="none"/>
        </w:rPr>
        <w:t>Agricultural Economics Research Review</w:t>
      </w:r>
      <w:r w:rsidRPr="00223386">
        <w:rPr>
          <w:rFonts w:ascii="Times New Roman" w:eastAsia="Times New Roman" w:hAnsi="Times New Roman" w:cs="Times New Roman"/>
          <w:bCs/>
          <w:kern w:val="0"/>
          <w:lang w:eastAsia="pl-PL"/>
          <w14:ligatures w14:val="none"/>
        </w:rPr>
        <w:t>, 31, p. 163-174. https://doi.org/ 10.5958/0974-0279.2018.00034.4.</w:t>
      </w:r>
    </w:p>
    <w:p w14:paraId="7207B920" w14:textId="77777777"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lang w:val="en-GB"/>
        </w:rPr>
      </w:pPr>
      <w:r w:rsidRPr="00223386">
        <w:rPr>
          <w:rFonts w:ascii="Times New Roman" w:eastAsia="Aptos" w:hAnsi="Times New Roman" w:cs="Times New Roman"/>
          <w:lang w:val="en-GB"/>
        </w:rPr>
        <w:t>Aerts, K., Schmidt, T. (2008). Two for the price of one?: Additionality effects of R&amp;D subsidies: A comparison between Flanders and Germany. Research policy, 37(5), 806-822. https://doi.org/10.1016/ j.respol.2008.01.011</w:t>
      </w:r>
    </w:p>
    <w:p w14:paraId="2D55E70E"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lastRenderedPageBreak/>
        <w:t>Ahn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W.K., Kalish</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C.W., Medin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D.L., Gelman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S.A. (1995), The role of covariation versus mechanism information in causal attribution, Cognition, 54(3), 299-352</w:t>
      </w:r>
    </w:p>
    <w:p w14:paraId="538DC340"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Alkin</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C.M., Vo</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T.A. (2018), Evaluation Essentials. From A to A, Second Edition, The Guilford Press, New York, London</w:t>
      </w:r>
    </w:p>
    <w:p w14:paraId="00884CD0"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Alkin</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M.C. (2017), When is a theory a theory? A case example, Evaluation and Program Planning, 63, 141-142, </w:t>
      </w:r>
      <w:hyperlink r:id="rId321" w:tgtFrame="_blank" w:tooltip="Persistent link using digital object identifier" w:history="1">
        <w:r w:rsidRPr="00130131">
          <w:rPr>
            <w:rFonts w:ascii="Times New Roman" w:eastAsia="Times New Roman" w:hAnsi="Times New Roman" w:cs="Times New Roman"/>
            <w:bCs/>
            <w:color w:val="1F1F1F"/>
            <w:kern w:val="0"/>
            <w:lang w:val="en-US" w:eastAsia="pl-PL"/>
            <w14:ligatures w14:val="none"/>
          </w:rPr>
          <w:t>doi.org/10.1016/j.evalprogplan.2016.10.001</w:t>
        </w:r>
      </w:hyperlink>
    </w:p>
    <w:p w14:paraId="07F783E2"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Angrist</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Pischke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J.S. (2010), The Credibility Revolution in Empirical Economics: How Better Research Design is Taking the Con out of Econometrics, Journal of Economic Perspectives, 24(2), 3-30</w:t>
      </w:r>
    </w:p>
    <w:p w14:paraId="3D8B310C"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lang w:val="sv-SE"/>
        </w:rPr>
        <w:t>Angrist</w:t>
      </w:r>
      <w:r>
        <w:rPr>
          <w:rFonts w:ascii="Times New Roman" w:hAnsi="Times New Roman" w:cs="Times New Roman"/>
          <w:lang w:val="sv-SE"/>
        </w:rPr>
        <w:t>,</w:t>
      </w:r>
      <w:r w:rsidRPr="00223386">
        <w:rPr>
          <w:rFonts w:ascii="Times New Roman" w:hAnsi="Times New Roman" w:cs="Times New Roman"/>
          <w:lang w:val="sv-SE"/>
        </w:rPr>
        <w:t xml:space="preserve"> J.D., Steffen-Pischke</w:t>
      </w:r>
      <w:r>
        <w:rPr>
          <w:rFonts w:ascii="Times New Roman" w:hAnsi="Times New Roman" w:cs="Times New Roman"/>
          <w:lang w:val="sv-SE"/>
        </w:rPr>
        <w:t>,</w:t>
      </w:r>
      <w:r w:rsidRPr="00223386">
        <w:rPr>
          <w:rFonts w:ascii="Times New Roman" w:hAnsi="Times New Roman" w:cs="Times New Roman"/>
          <w:lang w:val="sv-SE"/>
        </w:rPr>
        <w:t xml:space="preserve"> J. (2009).  </w:t>
      </w:r>
      <w:r w:rsidRPr="00223386">
        <w:rPr>
          <w:rFonts w:ascii="Times New Roman" w:hAnsi="Times New Roman" w:cs="Times New Roman"/>
          <w:lang w:val="en-GB"/>
        </w:rPr>
        <w:t>Mostly Harmless Econometrics. An Empiricist’s Companion, Princeton University Press.</w:t>
      </w:r>
    </w:p>
    <w:p w14:paraId="3E46A6E9"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Ankraft</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D.A., Kwapong</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N.A., Eghan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 Adarkuah R., Boateng-Gyambiby</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 (2021), Agricultural insurance access and acceptability: examining the case of smallholder farmers in Ghana, Agricultural Food Security, 10(1), 32-49</w:t>
      </w:r>
    </w:p>
    <w:p w14:paraId="377DFB8E"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30131">
        <w:rPr>
          <w:rFonts w:ascii="Times New Roman" w:eastAsia="Calibri" w:hAnsi="Times New Roman" w:cs="Times New Roman"/>
          <w:spacing w:val="2"/>
          <w:kern w:val="0"/>
          <w:lang w:val="en-US" w:eastAsia="pl-PL"/>
          <w14:ligatures w14:val="none"/>
        </w:rPr>
        <w:t>Applying Evaluation Criteria Thoughtfully (2021), OECD Publishing, Paris</w:t>
      </w:r>
    </w:p>
    <w:p w14:paraId="7728584A" w14:textId="77777777"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lang w:val="en-GB"/>
        </w:rPr>
      </w:pPr>
      <w:r w:rsidRPr="00223386">
        <w:rPr>
          <w:rFonts w:ascii="Times New Roman" w:eastAsia="Aptos" w:hAnsi="Times New Roman" w:cs="Times New Roman"/>
          <w:lang w:val="en-GB"/>
        </w:rPr>
        <w:t xml:space="preserve">Arata, L., Sckokai, P. (2016). The impact of agri-environmental schemes on farm performance in five EU member states: a DID-matching approach. Land Economics, 92(1), 167-186. https://doi.org/10.3368/le.92.1.167 </w:t>
      </w:r>
    </w:p>
    <w:p w14:paraId="61D009B0"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Aston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 (2020), „Real” process tracing: Six part blog posting, available at: https://thomasmtaston.medium.com/dostęp 18.09.2024.</w:t>
      </w:r>
    </w:p>
    <w:p w14:paraId="05109A0E"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Athey, S., Imbens, G. W. (2022). Design-based analysis in difference-in-differences settings with staggered adoption. </w:t>
      </w:r>
      <w:r w:rsidRPr="00223386">
        <w:rPr>
          <w:rFonts w:ascii="Times New Roman" w:hAnsi="Times New Roman" w:cs="Times New Roman"/>
        </w:rPr>
        <w:t>Journal of Econometrics, 226(1), 62-79.https://doi.org/10.1016/j.jeconom.2020.10.012</w:t>
      </w:r>
    </w:p>
    <w:p w14:paraId="68F2BAE3"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lang w:val="en-GB"/>
        </w:rPr>
        <w:t>Austin, P. C. (2009). Balance diagnostics for comparing the distribution of baseline covariates between treatment groups in propensity-score matched samples. Statistics in Medicine, 28(25), 3083–3107. https://doi.org/10.1002/sim.3697</w:t>
      </w:r>
    </w:p>
    <w:p w14:paraId="42F89252"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lang w:val="en-GB"/>
        </w:rPr>
        <w:t>Austin, P. C. (2010). Statistical criteria for selecting the optimal number of untreated subjects matched to each treated subject when using many-to-one matching on the propensity score. American Journal of Epidemiology, 172(9), 1092-1097. https://doi.org/10.1093/aje/kwq224</w:t>
      </w:r>
    </w:p>
    <w:p w14:paraId="5512374B"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lang w:val="en-GB"/>
        </w:rPr>
        <w:t>Austin, P. C. (2017). Double propensity-score adjustment: A solution to design bias or bias due to incomplete matching. Statistical Methods in Medical Research, 26(4), 1654-1670. https://doi.org/10.1177/0962280214543508</w:t>
      </w:r>
    </w:p>
    <w:p w14:paraId="36E01A7A"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lang w:val="en-GB"/>
        </w:rPr>
        <w:t>Austin, P.C. (2014), A comparison of 12 algorithms for matching on the propensity score. Statistics in Medicine, 33: 1057-1069. https://doi.org/10.1002/sim.6004</w:t>
      </w:r>
    </w:p>
    <w:p w14:paraId="4E64992E"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Babbie, E. (2016). </w:t>
      </w:r>
      <w:r w:rsidRPr="00223386">
        <w:rPr>
          <w:rFonts w:ascii="Times New Roman" w:eastAsia="Aptos" w:hAnsi="Times New Roman" w:cs="Times New Roman"/>
          <w:i/>
          <w:iCs/>
          <w:lang w:val="en-US"/>
        </w:rPr>
        <w:t>The Practice of Social Research</w:t>
      </w:r>
      <w:r w:rsidRPr="00223386">
        <w:rPr>
          <w:rFonts w:ascii="Times New Roman" w:eastAsia="Aptos" w:hAnsi="Times New Roman" w:cs="Times New Roman"/>
          <w:lang w:val="en-US"/>
        </w:rPr>
        <w:t>. Boston, MA: Cengage Learning.</w:t>
      </w:r>
    </w:p>
    <w:p w14:paraId="045551E8" w14:textId="77777777" w:rsidR="002A58EC" w:rsidRPr="00223386" w:rsidRDefault="002A58EC" w:rsidP="002A58EC">
      <w:pPr>
        <w:numPr>
          <w:ilvl w:val="0"/>
          <w:numId w:val="81"/>
        </w:numPr>
        <w:autoSpaceDE w:val="0"/>
        <w:autoSpaceDN w:val="0"/>
        <w:adjustRightInd w:val="0"/>
        <w:spacing w:after="0" w:line="240" w:lineRule="auto"/>
        <w:ind w:hanging="720"/>
        <w:contextualSpacing/>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bCs/>
          <w:kern w:val="0"/>
          <w:lang w:val="de-AT" w:eastAsia="pl-PL"/>
          <w14:ligatures w14:val="none"/>
        </w:rPr>
        <w:t xml:space="preserve">Bao, X., Zhang, F., Guo, S., Deng, X., Song, J., Xu, D. (2022). </w:t>
      </w:r>
      <w:r w:rsidRPr="00223386">
        <w:rPr>
          <w:rFonts w:ascii="Times New Roman" w:eastAsia="Times New Roman" w:hAnsi="Times New Roman" w:cs="Times New Roman"/>
          <w:bCs/>
          <w:kern w:val="0"/>
          <w:lang w:val="en-US" w:eastAsia="pl-PL"/>
          <w14:ligatures w14:val="none"/>
        </w:rPr>
        <w:t xml:space="preserve">Peer Effects on Farmers’ Purchases of Policy-Based Planting Farming Agricultural Insurance: Evidence from Sichuan Province. </w:t>
      </w:r>
      <w:r w:rsidRPr="00223386">
        <w:rPr>
          <w:rFonts w:ascii="Times New Roman" w:eastAsia="Times New Roman" w:hAnsi="Times New Roman" w:cs="Times New Roman"/>
          <w:bCs/>
          <w:i/>
          <w:kern w:val="0"/>
          <w:lang w:val="en-US" w:eastAsia="pl-PL"/>
          <w14:ligatures w14:val="none"/>
        </w:rPr>
        <w:t>China. Int. J. Environ. Res. Public Health</w:t>
      </w:r>
      <w:r w:rsidRPr="00223386">
        <w:rPr>
          <w:rFonts w:ascii="Times New Roman" w:eastAsia="Times New Roman" w:hAnsi="Times New Roman" w:cs="Times New Roman"/>
          <w:bCs/>
          <w:kern w:val="0"/>
          <w:lang w:val="en-US" w:eastAsia="pl-PL"/>
          <w14:ligatures w14:val="none"/>
        </w:rPr>
        <w:t xml:space="preserve">, 19, 7411. </w:t>
      </w:r>
      <w:hyperlink r:id="rId322" w:history="1">
        <w:r w:rsidRPr="00223386">
          <w:rPr>
            <w:rFonts w:ascii="Times New Roman" w:eastAsia="Times New Roman" w:hAnsi="Times New Roman" w:cs="Times New Roman"/>
            <w:bCs/>
            <w:kern w:val="0"/>
            <w:lang w:val="en-US" w:eastAsia="pl-PL"/>
            <w14:ligatures w14:val="none"/>
          </w:rPr>
          <w:t>https://doi.org/10.3390/</w:t>
        </w:r>
      </w:hyperlink>
      <w:r w:rsidRPr="00223386">
        <w:rPr>
          <w:rFonts w:ascii="Times New Roman" w:eastAsia="Times New Roman" w:hAnsi="Times New Roman" w:cs="Times New Roman"/>
          <w:bCs/>
          <w:kern w:val="0"/>
          <w:lang w:val="en-US" w:eastAsia="pl-PL"/>
          <w14:ligatures w14:val="none"/>
        </w:rPr>
        <w:t xml:space="preserve"> ijerph19127411  </w:t>
      </w:r>
    </w:p>
    <w:p w14:paraId="5833DCBD"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Barker, R. (2001). </w:t>
      </w:r>
      <w:r w:rsidRPr="00223386">
        <w:rPr>
          <w:rFonts w:ascii="Times New Roman" w:eastAsia="Aptos" w:hAnsi="Times New Roman" w:cs="Times New Roman"/>
          <w:i/>
          <w:iCs/>
          <w:lang w:val="en-US"/>
        </w:rPr>
        <w:t>Risk Management and Insurance.</w:t>
      </w:r>
      <w:r w:rsidRPr="00223386">
        <w:rPr>
          <w:rFonts w:ascii="Times New Roman" w:eastAsia="Aptos" w:hAnsi="Times New Roman" w:cs="Times New Roman"/>
          <w:lang w:val="en-US"/>
        </w:rPr>
        <w:t xml:space="preserve"> Mason, OH: South-Western College Publishing.</w:t>
      </w:r>
    </w:p>
    <w:p w14:paraId="58A825FC"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30131">
        <w:rPr>
          <w:rFonts w:ascii="Times New Roman" w:eastAsia="Calibri" w:hAnsi="Times New Roman" w:cs="Times New Roman"/>
          <w:spacing w:val="2"/>
          <w:kern w:val="0"/>
          <w:lang w:val="en-US" w:eastAsia="pl-PL"/>
          <w14:ligatures w14:val="none"/>
        </w:rPr>
        <w:t>Beck</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T. (2016), Evaluating Humanitarian Action using the OECD-DAC Criteria, ALNAP, OECD Publishing, Paris</w:t>
      </w:r>
    </w:p>
    <w:p w14:paraId="45C620E5"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en-GB"/>
        </w:rPr>
        <w:lastRenderedPageBreak/>
        <w:t>Bédécarrats, F., Guérin, I., &amp; Roubaud, F. (2019). All that glitters is not gold. The political economy of randomized evaluations in development. Development and Change, 50(3), 735-762. https://doi.org/10.1111/dech.12378</w:t>
      </w:r>
    </w:p>
    <w:p w14:paraId="5CE8BDB1"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lang w:val="sv-SE"/>
        </w:rPr>
        <w:t xml:space="preserve">Belitser, S. V., Martens, E. P., Pestman, W. R., Groenwold, R. H. H., de Boer, A.,  Klungel, O. H. (2011). </w:t>
      </w:r>
      <w:r w:rsidRPr="00223386">
        <w:rPr>
          <w:rFonts w:ascii="Times New Roman" w:hAnsi="Times New Roman" w:cs="Times New Roman"/>
          <w:lang w:val="en-GB"/>
        </w:rPr>
        <w:t>Measuring balance and model selection in propensity score methods. Pharmacoepidemiology and Drug Safety, 20(11), 1115–1129. https://doi.org/10.1002/pds.2188</w:t>
      </w:r>
    </w:p>
    <w:p w14:paraId="67C21A99"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Bergé, L. (2018). Efficient estimation of maximum likelihood models with multiple fixed-effects: the R package FENmlm (No. 18-13). </w:t>
      </w:r>
      <w:r w:rsidRPr="00223386">
        <w:rPr>
          <w:rFonts w:ascii="Times New Roman" w:hAnsi="Times New Roman" w:cs="Times New Roman"/>
        </w:rPr>
        <w:t>Department of Economics at the University of Luxembourg.</w:t>
      </w:r>
    </w:p>
    <w:p w14:paraId="1C833D9F"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eastAsia="pl-PL"/>
          <w14:ligatures w14:val="none"/>
        </w:rPr>
      </w:pPr>
      <w:r w:rsidRPr="00223386">
        <w:rPr>
          <w:rFonts w:ascii="Times New Roman" w:eastAsia="Times New Roman" w:hAnsi="Times New Roman" w:cs="Times New Roman"/>
          <w:bCs/>
          <w:kern w:val="0"/>
          <w:lang w:eastAsia="pl-PL"/>
          <w14:ligatures w14:val="none"/>
        </w:rPr>
        <w:t xml:space="preserve">Bezat-Jarzębowska, A., Herda-Kopańska, J. (2021). Czynniki endogenne w rolnictwie a skłonność do korzystania z ubezpieczeń – ujęcie analityczne, [w] Analizy popytu </w:t>
      </w:r>
      <w:r w:rsidRPr="00223386">
        <w:rPr>
          <w:rFonts w:ascii="Times New Roman" w:eastAsia="Times New Roman" w:hAnsi="Times New Roman" w:cs="Times New Roman"/>
          <w:bCs/>
          <w:kern w:val="0"/>
          <w:lang w:eastAsia="pl-PL"/>
          <w14:ligatures w14:val="none"/>
        </w:rPr>
        <w:br/>
        <w:t>i podaży na rynku ubezpieczeń rolnych, Soliwoda M. (red.), Instytut Ekonomiki Rolnictwa i Gospodarki Żywnościowej - PIB, Warszawa, s. 265-291.</w:t>
      </w:r>
    </w:p>
    <w:p w14:paraId="71DFAEA9"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de-AT"/>
        </w:rPr>
        <w:t xml:space="preserve">Bickel, P. J., Doksum, K. A. (2015). </w:t>
      </w:r>
      <w:r w:rsidRPr="00223386">
        <w:rPr>
          <w:rFonts w:ascii="Times New Roman" w:eastAsia="Aptos" w:hAnsi="Times New Roman" w:cs="Times New Roman"/>
          <w:i/>
          <w:iCs/>
          <w:lang w:val="en-US"/>
        </w:rPr>
        <w:t>Mathematical Statistics: Basic Ideas and Selected Topics.</w:t>
      </w:r>
      <w:r w:rsidRPr="00223386">
        <w:rPr>
          <w:rFonts w:ascii="Times New Roman" w:eastAsia="Aptos" w:hAnsi="Times New Roman" w:cs="Times New Roman"/>
          <w:lang w:val="en-US"/>
        </w:rPr>
        <w:t xml:space="preserve"> New York, NY: CRC Press.</w:t>
      </w:r>
    </w:p>
    <w:p w14:paraId="2D3C888D"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Binci</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 Hebbar</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 Jasper</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P., Rawle</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G. (2018), Matching, differencing on repeat, Working Paper, Oxford Policy Management, Oxford</w:t>
      </w:r>
    </w:p>
    <w:p w14:paraId="064F4625" w14:textId="77777777"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lang w:val="en-GB"/>
        </w:rPr>
      </w:pPr>
      <w:r w:rsidRPr="00223386">
        <w:rPr>
          <w:rFonts w:ascii="Times New Roman" w:eastAsia="Aptos" w:hAnsi="Times New Roman" w:cs="Times New Roman"/>
          <w:lang w:val="en-GB"/>
        </w:rPr>
        <w:t>Blundell, R., Costa Dias, M. (2000). Evaluation methods for non‐experimental data. Fiscal studies, 21(4), 427-468. https://doi.org/10.1111/ j.1475-5890.2000.tb00031.x</w:t>
      </w:r>
    </w:p>
    <w:p w14:paraId="2A42A068"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Bollen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K.A., Pearl</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(2013), Eight myths about causality and structural equation models, in: S.L. Morgan (ed), Handbook of Causal Analysis for Social Research, Springer, Heidelberg, New York </w:t>
      </w:r>
    </w:p>
    <w:p w14:paraId="59107AA4"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en-GB"/>
        </w:rPr>
        <w:t>Borusyak, K., Jaravel, X., Spiess, J. (2024). Revisiting event-study designs: robust and efficient estimation. Review of Economic Studies. 91 (6), 3253-3285. https://doi.org/10.1093/restud/rdae007</w:t>
      </w:r>
    </w:p>
    <w:p w14:paraId="683DBCA5"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de-AT"/>
        </w:rPr>
        <w:t xml:space="preserve">Bouguen, A., Huang, Y., Kremer, M., Miguel, E. (2019). </w:t>
      </w:r>
      <w:r w:rsidRPr="00223386">
        <w:rPr>
          <w:rFonts w:ascii="Times New Roman" w:hAnsi="Times New Roman" w:cs="Times New Roman"/>
          <w:lang w:val="en-GB"/>
        </w:rPr>
        <w:t xml:space="preserve">Using randomized controlled trials to estimate long-run impacts in development economics. </w:t>
      </w:r>
      <w:r w:rsidRPr="00223386">
        <w:rPr>
          <w:rFonts w:ascii="Times New Roman" w:hAnsi="Times New Roman" w:cs="Times New Roman"/>
        </w:rPr>
        <w:t>Annual Review of Economics, 11(1), 523-561. https://doi.org/10.1146/annurev-economics-080218-030333</w:t>
      </w:r>
    </w:p>
    <w:p w14:paraId="237AE254"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Breuer</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E., Lee</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L., De Silva</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 Lund</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C. (2016), Using theory of change to design and evaluate public health interventions: A systematic review, Implementation Science, 11, 63, 1-17, doi.org/10.1186/513012-016-0422-6</w:t>
      </w:r>
    </w:p>
    <w:p w14:paraId="3C4988EE"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Brynjolfsson, E., McAfee, A. (2014). </w:t>
      </w:r>
      <w:r w:rsidRPr="00223386">
        <w:rPr>
          <w:rFonts w:ascii="Times New Roman" w:eastAsia="Aptos" w:hAnsi="Times New Roman" w:cs="Times New Roman"/>
          <w:i/>
          <w:iCs/>
          <w:lang w:val="en-US"/>
        </w:rPr>
        <w:t xml:space="preserve">The Second Machine Age: Work, Progress, and Prosperity in a Time of Brilliant Technologies. </w:t>
      </w:r>
      <w:r w:rsidRPr="00223386">
        <w:rPr>
          <w:rFonts w:ascii="Times New Roman" w:eastAsia="Aptos" w:hAnsi="Times New Roman" w:cs="Times New Roman"/>
          <w:lang w:val="en-US"/>
        </w:rPr>
        <w:t>New York, NY: W.W. Norton &amp; Company.</w:t>
      </w:r>
    </w:p>
    <w:p w14:paraId="6C16F92F"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Bundi</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P., Pattyn</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V. (2023), Citizen and Evaluation: A Review of Evaluation Models, American Journal of Evaluation, 44(4), 574-603, doi.org/10.1177/10982140211047219</w:t>
      </w:r>
    </w:p>
    <w:p w14:paraId="48628166"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Burke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W., Litwin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W., George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H. (1992), A Casual Model of Organizational Performance and Change, Journal of Management, 18(3), 525-545, </w:t>
      </w:r>
      <w:hyperlink r:id="rId323" w:history="1">
        <w:r w:rsidRPr="00130131">
          <w:rPr>
            <w:rFonts w:ascii="Times New Roman" w:eastAsia="Times New Roman" w:hAnsi="Times New Roman" w:cs="Times New Roman"/>
            <w:spacing w:val="2"/>
            <w:kern w:val="0"/>
            <w:lang w:val="en-US" w:eastAsia="pl-PL"/>
            <w14:ligatures w14:val="none"/>
          </w:rPr>
          <w:t>https://doi.org/101177/014920639201800306</w:t>
        </w:r>
      </w:hyperlink>
    </w:p>
    <w:p w14:paraId="060B13AE"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en-GB"/>
        </w:rPr>
        <w:t>Butts, K., Gardner, J. (2021). {did2s}: Two-stage difference-in-differences. arXiv preprint arXiv:2109.05913.</w:t>
      </w:r>
    </w:p>
    <w:p w14:paraId="71FEA3B8"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GB"/>
        </w:rPr>
      </w:pPr>
      <w:r w:rsidRPr="00223386">
        <w:rPr>
          <w:rFonts w:ascii="Times New Roman" w:eastAsia="Aptos" w:hAnsi="Times New Roman" w:cs="Times New Roman"/>
          <w:lang w:val="en-GB"/>
        </w:rPr>
        <w:t>Caliendo, M., Kopeinig, S. (2008). Some Practical Guidance for the Implementation of Propensity Score Matching. Journal of Economic Surveys, 22(1), 31-72.</w:t>
      </w:r>
    </w:p>
    <w:p w14:paraId="50DBBBCF"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lastRenderedPageBreak/>
        <w:t xml:space="preserve">Callaway, B. (2023). Difference-in-differences for policy evaluation. (in) K. F. Zimmermann, (Ed.) Handbook of Labor, Human Resources and Population Economics, Springer. </w:t>
      </w:r>
      <w:r w:rsidRPr="00223386">
        <w:rPr>
          <w:rFonts w:ascii="Times New Roman" w:hAnsi="Times New Roman" w:cs="Times New Roman"/>
        </w:rPr>
        <w:t>1-61. https://doi.org/10.1007/978-3-319-57365-6_352-1</w:t>
      </w:r>
    </w:p>
    <w:p w14:paraId="18C0D8AE"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Callaway, B., Sant’Anna, P. H. (2021). Difference-in-differences with multiple time periods. </w:t>
      </w:r>
      <w:r w:rsidRPr="00223386">
        <w:rPr>
          <w:rFonts w:ascii="Times New Roman" w:hAnsi="Times New Roman" w:cs="Times New Roman"/>
        </w:rPr>
        <w:t>Journal of Econometrics, 225(2), 200-230. https://doi.org/10.1016/j.jeconom.2020.12.001</w:t>
      </w:r>
    </w:p>
    <w:p w14:paraId="394554F1"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Caniglia, E. C., Murray, E. J. (2020). Difference-in-difference in the time of cholera: a gentle introduction for epidemiologists. </w:t>
      </w:r>
      <w:r w:rsidRPr="00223386">
        <w:rPr>
          <w:rFonts w:ascii="Times New Roman" w:hAnsi="Times New Roman" w:cs="Times New Roman"/>
        </w:rPr>
        <w:t>Current Epidemiology Reports, 7, 203-211. https://doi.org/10.1007/s40471-020-00245-2</w:t>
      </w:r>
    </w:p>
    <w:p w14:paraId="33D87133"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de-AT"/>
        </w:rPr>
        <w:t xml:space="preserve">Card, D., Krueger, A. B. (1993). </w:t>
      </w:r>
      <w:r w:rsidRPr="00223386">
        <w:rPr>
          <w:rFonts w:ascii="Times New Roman" w:hAnsi="Times New Roman" w:cs="Times New Roman"/>
          <w:lang w:val="en-GB"/>
        </w:rPr>
        <w:t>Minimum wages and employment: A case study of the fast food industry in New Jersey and Pennsylvania. American Economic Review, 84 (4), 772-793. https://davidcard.berkeley.edu/papers/njmin-aer.pdf</w:t>
      </w:r>
    </w:p>
    <w:p w14:paraId="117B8E97" w14:textId="77777777" w:rsidR="002A58EC" w:rsidRPr="00130131" w:rsidRDefault="002A58EC" w:rsidP="002A58EC">
      <w:pPr>
        <w:pStyle w:val="Akapitzlist"/>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000000"/>
          <w:kern w:val="36"/>
          <w:lang w:val="en-US" w:eastAsia="pl-PL"/>
          <w14:ligatures w14:val="none"/>
        </w:rPr>
        <w:t>Cardenas</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xml:space="preserve"> C.J., Carpentier</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xml:space="preserve"> J., Behavioral Development Economics: Lessons from Field Labs in the Developing World, Journal of Development Studies, 44</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3</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2008.</w:t>
      </w:r>
    </w:p>
    <w:p w14:paraId="4C1A0142" w14:textId="77777777" w:rsidR="002A58EC" w:rsidRPr="00223386" w:rsidRDefault="002A58EC" w:rsidP="002A58EC">
      <w:pPr>
        <w:pStyle w:val="Akapitzlist"/>
        <w:numPr>
          <w:ilvl w:val="0"/>
          <w:numId w:val="81"/>
        </w:numPr>
        <w:spacing w:after="0" w:line="259" w:lineRule="auto"/>
        <w:ind w:hanging="720"/>
        <w:jc w:val="both"/>
        <w:rPr>
          <w:rStyle w:val="Hipercze"/>
          <w:rFonts w:ascii="Times New Roman" w:eastAsiaTheme="minorEastAsia" w:hAnsi="Times New Roman" w:cs="Times New Roman"/>
          <w:kern w:val="0"/>
          <w:lang w:val="en-GB"/>
          <w14:ligatures w14:val="none"/>
        </w:rPr>
      </w:pPr>
      <w:r w:rsidRPr="00223386">
        <w:rPr>
          <w:rFonts w:ascii="Times New Roman" w:eastAsiaTheme="minorEastAsia" w:hAnsi="Times New Roman" w:cs="Times New Roman"/>
          <w:kern w:val="0"/>
          <w:lang w:val="sv-SE"/>
          <w14:ligatures w14:val="none"/>
        </w:rPr>
        <w:t xml:space="preserve">Cariappa, A. G. A., Mahida, D. P., Lal, P., Chandel, B. S. (2021). </w:t>
      </w:r>
      <w:r w:rsidRPr="00223386">
        <w:rPr>
          <w:rFonts w:ascii="Times New Roman" w:eastAsiaTheme="minorEastAsia" w:hAnsi="Times New Roman" w:cs="Times New Roman"/>
          <w:kern w:val="0"/>
          <w:lang w:val="en-GB"/>
          <w14:ligatures w14:val="none"/>
        </w:rPr>
        <w:t xml:space="preserve">Correlates and impact of crop insurance in India: Evidence from a nationally representative survey. </w:t>
      </w:r>
      <w:r w:rsidRPr="00223386">
        <w:rPr>
          <w:rFonts w:ascii="Times New Roman" w:eastAsiaTheme="minorEastAsia" w:hAnsi="Times New Roman" w:cs="Times New Roman"/>
          <w:i/>
          <w:iCs/>
          <w:kern w:val="0"/>
          <w:lang w:val="en-GB"/>
          <w14:ligatures w14:val="none"/>
        </w:rPr>
        <w:t>Agricultural Finance Review,</w:t>
      </w:r>
      <w:r w:rsidRPr="00223386">
        <w:rPr>
          <w:rFonts w:ascii="Times New Roman" w:eastAsiaTheme="minorEastAsia" w:hAnsi="Times New Roman" w:cs="Times New Roman"/>
          <w:kern w:val="0"/>
          <w:lang w:val="en-GB"/>
          <w14:ligatures w14:val="none"/>
        </w:rPr>
        <w:t xml:space="preserve"> 81(2), 204-221. </w:t>
      </w:r>
      <w:hyperlink r:id="rId324" w:history="1">
        <w:r w:rsidRPr="00223386">
          <w:rPr>
            <w:rStyle w:val="Hipercze"/>
            <w:rFonts w:ascii="Times New Roman" w:eastAsiaTheme="minorEastAsia" w:hAnsi="Times New Roman" w:cs="Times New Roman"/>
            <w:kern w:val="0"/>
            <w:lang w:val="en-GB"/>
            <w14:ligatures w14:val="none"/>
          </w:rPr>
          <w:t>https://doi.org/10.1108/AFR-03-2020-0034</w:t>
        </w:r>
      </w:hyperlink>
    </w:p>
    <w:p w14:paraId="1CAF28FB"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Carnerio</w:t>
      </w:r>
      <w:r>
        <w:rPr>
          <w:rFonts w:ascii="Times New Roman" w:hAnsi="Times New Roman" w:cs="Times New Roman"/>
          <w:lang w:val="en-US"/>
        </w:rPr>
        <w:t>,</w:t>
      </w:r>
      <w:r w:rsidRPr="00130131">
        <w:rPr>
          <w:rFonts w:ascii="Times New Roman" w:hAnsi="Times New Roman" w:cs="Times New Roman"/>
          <w:lang w:val="en-US"/>
        </w:rPr>
        <w:t xml:space="preserve"> P., Heckman</w:t>
      </w:r>
      <w:r>
        <w:rPr>
          <w:rFonts w:ascii="Times New Roman" w:hAnsi="Times New Roman" w:cs="Times New Roman"/>
          <w:lang w:val="en-US"/>
        </w:rPr>
        <w:t>,</w:t>
      </w:r>
      <w:r w:rsidRPr="00130131">
        <w:rPr>
          <w:rFonts w:ascii="Times New Roman" w:hAnsi="Times New Roman" w:cs="Times New Roman"/>
          <w:lang w:val="en-US"/>
        </w:rPr>
        <w:t xml:space="preserve"> J.J. (2011)</w:t>
      </w:r>
      <w:r>
        <w:rPr>
          <w:rFonts w:ascii="Times New Roman" w:hAnsi="Times New Roman" w:cs="Times New Roman"/>
          <w:lang w:val="en-US"/>
        </w:rPr>
        <w:t>.</w:t>
      </w:r>
      <w:r w:rsidRPr="00130131">
        <w:rPr>
          <w:rFonts w:ascii="Times New Roman" w:hAnsi="Times New Roman" w:cs="Times New Roman"/>
          <w:lang w:val="en-US"/>
        </w:rPr>
        <w:t xml:space="preserve"> Estimating Marginal Returns to Education, American Economic Review, 101, 2754-2781</w:t>
      </w:r>
    </w:p>
    <w:p w14:paraId="06C3DD29"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Carnerio</w:t>
      </w:r>
      <w:r>
        <w:rPr>
          <w:rFonts w:ascii="Times New Roman" w:hAnsi="Times New Roman" w:cs="Times New Roman"/>
          <w:lang w:val="en-US"/>
        </w:rPr>
        <w:t>,</w:t>
      </w:r>
      <w:r w:rsidRPr="00130131">
        <w:rPr>
          <w:rFonts w:ascii="Times New Roman" w:hAnsi="Times New Roman" w:cs="Times New Roman"/>
          <w:lang w:val="en-US"/>
        </w:rPr>
        <w:t xml:space="preserve"> P., Heckman</w:t>
      </w:r>
      <w:r>
        <w:rPr>
          <w:rFonts w:ascii="Times New Roman" w:hAnsi="Times New Roman" w:cs="Times New Roman"/>
          <w:lang w:val="en-US"/>
        </w:rPr>
        <w:t>,</w:t>
      </w:r>
      <w:r w:rsidRPr="00130131">
        <w:rPr>
          <w:rFonts w:ascii="Times New Roman" w:hAnsi="Times New Roman" w:cs="Times New Roman"/>
          <w:lang w:val="en-US"/>
        </w:rPr>
        <w:t xml:space="preserve"> J.J. Vytlatil</w:t>
      </w:r>
      <w:r>
        <w:rPr>
          <w:rFonts w:ascii="Times New Roman" w:hAnsi="Times New Roman" w:cs="Times New Roman"/>
          <w:lang w:val="en-US"/>
        </w:rPr>
        <w:t>,</w:t>
      </w:r>
      <w:r w:rsidRPr="00130131">
        <w:rPr>
          <w:rFonts w:ascii="Times New Roman" w:hAnsi="Times New Roman" w:cs="Times New Roman"/>
          <w:lang w:val="en-US"/>
        </w:rPr>
        <w:t xml:space="preserve"> E. (2020)</w:t>
      </w:r>
      <w:r>
        <w:rPr>
          <w:rFonts w:ascii="Times New Roman" w:hAnsi="Times New Roman" w:cs="Times New Roman"/>
          <w:lang w:val="en-US"/>
        </w:rPr>
        <w:t>.</w:t>
      </w:r>
      <w:r w:rsidRPr="00130131">
        <w:rPr>
          <w:rFonts w:ascii="Times New Roman" w:hAnsi="Times New Roman" w:cs="Times New Roman"/>
          <w:lang w:val="en-US"/>
        </w:rPr>
        <w:t xml:space="preserve"> Evaluating Marginal Policy Changes and the Average Effects of Treatment for Individuals at the Margin, Econometrica, 78 377-394</w:t>
      </w:r>
    </w:p>
    <w:p w14:paraId="2308154F"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Carter</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M.R., January</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A.D., Sadoulet</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E., Sarris</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A. (2014)</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Index-based wheather insurance for developing countries: a review of evidence and a set of proposition for up-scaling, Working Paper P111, FERDI</w:t>
      </w:r>
    </w:p>
    <w:p w14:paraId="08264002"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Cartwright</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N. (2021)</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Rigour versus the need for evidential diversity, Synthese, 199, 13095-119.</w:t>
      </w:r>
    </w:p>
    <w:p w14:paraId="3E724B11"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Castro</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M., Duarte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R.A., Villegas</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A., Chanci</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L. (2023)</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The effect of crop insurance in Ecuadorian rice farming: a technical efficiency approach, Agricultural Finance Review, 83(3), 478-497</w:t>
      </w:r>
    </w:p>
    <w:p w14:paraId="41B6A9CF"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kern w:val="0"/>
          <w:lang w:val="de-AT" w:eastAsia="pl-PL"/>
          <w14:ligatures w14:val="none"/>
        </w:rPr>
        <w:t xml:space="preserve">Cha, J., Deng, Y., Zheng, S., Li, F. (2024). </w:t>
      </w:r>
      <w:r w:rsidRPr="00223386">
        <w:rPr>
          <w:rFonts w:ascii="Times New Roman" w:eastAsia="Times New Roman" w:hAnsi="Times New Roman" w:cs="Times New Roman"/>
          <w:kern w:val="0"/>
          <w:lang w:val="en-US" w:eastAsia="pl-PL"/>
          <w14:ligatures w14:val="none"/>
        </w:rPr>
        <w:t xml:space="preserve">Crop insurance, factor allocation, and farmers’ income: evidence from Chinese pear farmers. </w:t>
      </w:r>
      <w:r w:rsidRPr="00223386">
        <w:rPr>
          <w:rFonts w:ascii="Times New Roman" w:eastAsia="Times New Roman" w:hAnsi="Times New Roman" w:cs="Times New Roman"/>
          <w:i/>
          <w:kern w:val="0"/>
          <w:lang w:val="en-US" w:eastAsia="pl-PL"/>
          <w14:ligatures w14:val="none"/>
        </w:rPr>
        <w:t>Front. Sustain. Food Syst.,</w:t>
      </w:r>
      <w:r w:rsidRPr="00223386">
        <w:rPr>
          <w:rFonts w:ascii="Times New Roman" w:eastAsia="Times New Roman" w:hAnsi="Times New Roman" w:cs="Times New Roman"/>
          <w:kern w:val="0"/>
          <w:lang w:val="en-US" w:eastAsia="pl-PL"/>
          <w14:ligatures w14:val="none"/>
        </w:rPr>
        <w:t xml:space="preserve"> 8: 1378382. https://doi: 10.3389/fsufs.2024.1378382</w:t>
      </w:r>
    </w:p>
    <w:p w14:paraId="179D53DA" w14:textId="77777777"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rPr>
      </w:pPr>
      <w:r w:rsidRPr="00223386">
        <w:rPr>
          <w:rFonts w:ascii="Times New Roman" w:eastAsia="Aptos" w:hAnsi="Times New Roman" w:cs="Times New Roman"/>
          <w:lang w:val="en-GB"/>
        </w:rPr>
        <w:t xml:space="preserve">Chabé-Ferret, S. (2015). Analysis of the bias of matching and difference-in-difference under alternative earnings and selection processes. </w:t>
      </w:r>
      <w:r w:rsidRPr="00223386">
        <w:rPr>
          <w:rFonts w:ascii="Times New Roman" w:eastAsia="Aptos" w:hAnsi="Times New Roman" w:cs="Times New Roman"/>
        </w:rPr>
        <w:t>Journal of Econometrics, 185(1), 110-123. https://doi.org/10.1016/ j.jeconom.2014.09.013</w:t>
      </w:r>
    </w:p>
    <w:p w14:paraId="09A68A05" w14:textId="77777777" w:rsidR="002A58EC" w:rsidRPr="00130131" w:rsidRDefault="002A58EC" w:rsidP="002A58EC">
      <w:pPr>
        <w:pStyle w:val="Akapitzlist"/>
        <w:numPr>
          <w:ilvl w:val="0"/>
          <w:numId w:val="81"/>
        </w:numPr>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Chai</w:t>
      </w:r>
      <w:r>
        <w:rPr>
          <w:rFonts w:ascii="Times New Roman" w:hAnsi="Times New Roman" w:cs="Times New Roman"/>
          <w:lang w:val="en-US"/>
        </w:rPr>
        <w:t>,</w:t>
      </w:r>
      <w:r w:rsidRPr="00130131">
        <w:rPr>
          <w:rFonts w:ascii="Times New Roman" w:hAnsi="Times New Roman" w:cs="Times New Roman"/>
          <w:lang w:val="en-US"/>
        </w:rPr>
        <w:t xml:space="preserve"> Z., Zhang</w:t>
      </w:r>
      <w:r>
        <w:rPr>
          <w:rFonts w:ascii="Times New Roman" w:hAnsi="Times New Roman" w:cs="Times New Roman"/>
          <w:lang w:val="en-US"/>
        </w:rPr>
        <w:t>,</w:t>
      </w:r>
      <w:r w:rsidRPr="00130131">
        <w:rPr>
          <w:rFonts w:ascii="Times New Roman" w:hAnsi="Times New Roman" w:cs="Times New Roman"/>
          <w:lang w:val="en-US"/>
        </w:rPr>
        <w:t xml:space="preserve"> X. (2024)</w:t>
      </w:r>
      <w:r>
        <w:rPr>
          <w:rFonts w:ascii="Times New Roman" w:hAnsi="Times New Roman" w:cs="Times New Roman"/>
          <w:lang w:val="en-US"/>
        </w:rPr>
        <w:t>.</w:t>
      </w:r>
      <w:r w:rsidRPr="00130131">
        <w:rPr>
          <w:rFonts w:ascii="Times New Roman" w:hAnsi="Times New Roman" w:cs="Times New Roman"/>
          <w:lang w:val="en-US"/>
        </w:rPr>
        <w:t xml:space="preserve"> The impact of agricultural insurance on planting structure adjustment. An empirical study from Inner Mongolia autonomous region China, Agriculture, 14(4), 1-21</w:t>
      </w:r>
    </w:p>
    <w:p w14:paraId="5509A1A8"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Chantarat</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 Mode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A.G., Barreti</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C.B., Turvey</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C.G. (2017)</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Welfare Impacts of Index Insurance in the Presence of a Poverty Trap, World Develompent, 94, 119-138</w:t>
      </w:r>
    </w:p>
    <w:p w14:paraId="6D8B7A94"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Chen</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H.T., Turner</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N.C. (2012)</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Formal theory versus stakeholder theory: New insights from a tobacco-focused prevention program evaluation, American Journal of Evaluation, 33(3), 395-413, doi.org/10-1177/1098214012442802</w:t>
      </w:r>
    </w:p>
    <w:p w14:paraId="1AEA63B9" w14:textId="77777777" w:rsidR="002A58EC" w:rsidRPr="00130131" w:rsidRDefault="002A58EC" w:rsidP="002A58EC">
      <w:pPr>
        <w:pStyle w:val="Akapitzlist"/>
        <w:numPr>
          <w:ilvl w:val="0"/>
          <w:numId w:val="81"/>
        </w:numPr>
        <w:spacing w:after="0" w:line="264" w:lineRule="auto"/>
        <w:ind w:hanging="720"/>
        <w:jc w:val="both"/>
        <w:rPr>
          <w:rFonts w:ascii="Times New Roman" w:hAnsi="Times New Roman" w:cs="Times New Roman"/>
          <w:lang w:val="en-US"/>
        </w:rPr>
      </w:pPr>
      <w:r w:rsidRPr="000F6A8B">
        <w:rPr>
          <w:rFonts w:ascii="Times New Roman" w:hAnsi="Times New Roman" w:cs="Times New Roman"/>
          <w:lang w:val="de-AT"/>
        </w:rPr>
        <w:lastRenderedPageBreak/>
        <w:t>Chen</w:t>
      </w:r>
      <w:r>
        <w:rPr>
          <w:rFonts w:ascii="Times New Roman" w:hAnsi="Times New Roman" w:cs="Times New Roman"/>
          <w:lang w:val="de-AT"/>
        </w:rPr>
        <w:t>,</w:t>
      </w:r>
      <w:r w:rsidRPr="000F6A8B">
        <w:rPr>
          <w:rFonts w:ascii="Times New Roman" w:hAnsi="Times New Roman" w:cs="Times New Roman"/>
          <w:lang w:val="de-AT"/>
        </w:rPr>
        <w:t xml:space="preserve"> X., Wang</w:t>
      </w:r>
      <w:r>
        <w:rPr>
          <w:rFonts w:ascii="Times New Roman" w:hAnsi="Times New Roman" w:cs="Times New Roman"/>
          <w:lang w:val="de-AT"/>
        </w:rPr>
        <w:t>,</w:t>
      </w:r>
      <w:r w:rsidRPr="000F6A8B">
        <w:rPr>
          <w:rFonts w:ascii="Times New Roman" w:hAnsi="Times New Roman" w:cs="Times New Roman"/>
          <w:lang w:val="de-AT"/>
        </w:rPr>
        <w:t xml:space="preserve"> H.H., Makus</w:t>
      </w:r>
      <w:r>
        <w:rPr>
          <w:rFonts w:ascii="Times New Roman" w:hAnsi="Times New Roman" w:cs="Times New Roman"/>
          <w:lang w:val="de-AT"/>
        </w:rPr>
        <w:t>,</w:t>
      </w:r>
      <w:r w:rsidRPr="000F6A8B">
        <w:rPr>
          <w:rFonts w:ascii="Times New Roman" w:hAnsi="Times New Roman" w:cs="Times New Roman"/>
          <w:lang w:val="de-AT"/>
        </w:rPr>
        <w:t xml:space="preserve"> L.D., (2017). </w:t>
      </w:r>
      <w:r w:rsidRPr="00130131">
        <w:rPr>
          <w:rFonts w:ascii="Times New Roman" w:hAnsi="Times New Roman" w:cs="Times New Roman"/>
          <w:lang w:val="en-US"/>
        </w:rPr>
        <w:t>Production risk and crop insurance effectiveness: Organic versus conventional apples, Paper presented at the Economics and Management Risk in Agriculture and Natural Resources, Gulf Shores, USA</w:t>
      </w:r>
    </w:p>
    <w:p w14:paraId="2D006FAC"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Cheng</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L. (2014)</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The impact of index insurance on borrower’s moral hazard behavior in rural credit markets, Working paper, University of California, Davies, CA</w:t>
      </w:r>
    </w:p>
    <w:p w14:paraId="04C8ED8F"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Cheng</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P.W. (1997)</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From Covariation to Causation: A causal Power Theory, Psychological Review, 104(2), 367-405, doi: 10.1037/0033-295x.104.2.367</w:t>
      </w:r>
    </w:p>
    <w:p w14:paraId="2B4E32C9"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Cheng P.W., Novicki L.R. (1990), A probabilistic contrast model of causal induction, Journal of Personality and Social Psychology, 58(4), 545-567</w:t>
      </w:r>
    </w:p>
    <w:p w14:paraId="71FF0675"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Chetty</w:t>
      </w:r>
      <w:r>
        <w:rPr>
          <w:rFonts w:ascii="Times New Roman" w:hAnsi="Times New Roman" w:cs="Times New Roman"/>
          <w:lang w:val="en-US"/>
        </w:rPr>
        <w:t>,</w:t>
      </w:r>
      <w:r w:rsidRPr="00130131">
        <w:rPr>
          <w:rFonts w:ascii="Times New Roman" w:hAnsi="Times New Roman" w:cs="Times New Roman"/>
          <w:lang w:val="en-US"/>
        </w:rPr>
        <w:t xml:space="preserve"> R., Hendren</w:t>
      </w:r>
      <w:r>
        <w:rPr>
          <w:rFonts w:ascii="Times New Roman" w:hAnsi="Times New Roman" w:cs="Times New Roman"/>
          <w:lang w:val="en-US"/>
        </w:rPr>
        <w:t>,</w:t>
      </w:r>
      <w:r w:rsidRPr="00130131">
        <w:rPr>
          <w:rFonts w:ascii="Times New Roman" w:hAnsi="Times New Roman" w:cs="Times New Roman"/>
          <w:lang w:val="en-US"/>
        </w:rPr>
        <w:t xml:space="preserve"> N., Katz</w:t>
      </w:r>
      <w:r>
        <w:rPr>
          <w:rFonts w:ascii="Times New Roman" w:hAnsi="Times New Roman" w:cs="Times New Roman"/>
          <w:lang w:val="en-US"/>
        </w:rPr>
        <w:t>,</w:t>
      </w:r>
      <w:r w:rsidRPr="00130131">
        <w:rPr>
          <w:rFonts w:ascii="Times New Roman" w:hAnsi="Times New Roman" w:cs="Times New Roman"/>
          <w:lang w:val="en-US"/>
        </w:rPr>
        <w:t xml:space="preserve"> F.L. (2016)</w:t>
      </w:r>
      <w:r>
        <w:rPr>
          <w:rFonts w:ascii="Times New Roman" w:hAnsi="Times New Roman" w:cs="Times New Roman"/>
          <w:lang w:val="en-US"/>
        </w:rPr>
        <w:t>.</w:t>
      </w:r>
      <w:r w:rsidRPr="00130131">
        <w:rPr>
          <w:rFonts w:ascii="Times New Roman" w:hAnsi="Times New Roman" w:cs="Times New Roman"/>
          <w:lang w:val="en-US"/>
        </w:rPr>
        <w:t xml:space="preserve"> The Effects of Exposure to Better Neighborhoods on Children: New Evidence from the Moving to Opportunity Experiment, American Economics Review, 106(4), 855-902</w:t>
      </w:r>
    </w:p>
    <w:p w14:paraId="5FA7B49B"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Christie</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C.A., Alkin</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M.C. (2003)</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The user-oriented evaluator’s role in formulating a program theory: Using a theory – driven approach, American Journal of Evaluation, 24(3), 373-385, doi.org/10.1177/109821400302400306</w:t>
      </w:r>
    </w:p>
    <w:p w14:paraId="3FC8931F"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rPr>
      </w:pPr>
      <w:r w:rsidRPr="00130131">
        <w:rPr>
          <w:rFonts w:ascii="Times New Roman" w:eastAsia="Times New Roman" w:hAnsi="Times New Roman" w:cs="Times New Roman"/>
          <w:spacing w:val="2"/>
          <w:kern w:val="0"/>
          <w:lang w:eastAsia="pl-PL"/>
          <w14:ligatures w14:val="none"/>
        </w:rPr>
        <w:t>Cieśliński</w:t>
      </w:r>
      <w:r>
        <w:rPr>
          <w:rFonts w:ascii="Times New Roman" w:eastAsia="Times New Roman" w:hAnsi="Times New Roman" w:cs="Times New Roman"/>
          <w:spacing w:val="2"/>
          <w:kern w:val="0"/>
          <w:lang w:eastAsia="pl-PL"/>
          <w14:ligatures w14:val="none"/>
        </w:rPr>
        <w:t>,</w:t>
      </w:r>
      <w:r w:rsidRPr="00130131">
        <w:rPr>
          <w:rFonts w:ascii="Times New Roman" w:eastAsia="Times New Roman" w:hAnsi="Times New Roman" w:cs="Times New Roman"/>
          <w:spacing w:val="2"/>
          <w:kern w:val="0"/>
          <w:lang w:eastAsia="pl-PL"/>
          <w14:ligatures w14:val="none"/>
        </w:rPr>
        <w:t xml:space="preserve"> P. (2024)</w:t>
      </w:r>
      <w:r>
        <w:rPr>
          <w:rFonts w:ascii="Times New Roman" w:eastAsia="Times New Roman" w:hAnsi="Times New Roman" w:cs="Times New Roman"/>
          <w:spacing w:val="2"/>
          <w:kern w:val="0"/>
          <w:lang w:eastAsia="pl-PL"/>
          <w14:ligatures w14:val="none"/>
        </w:rPr>
        <w:t>.</w:t>
      </w:r>
      <w:r w:rsidRPr="00130131">
        <w:rPr>
          <w:rFonts w:ascii="Times New Roman" w:eastAsia="Times New Roman" w:hAnsi="Times New Roman" w:cs="Times New Roman"/>
          <w:spacing w:val="2"/>
          <w:kern w:val="0"/>
          <w:lang w:eastAsia="pl-PL"/>
          <w14:ligatures w14:val="none"/>
        </w:rPr>
        <w:t xml:space="preserve"> Tachiony istnieją? Cząstki szybsze od światła, Gazeta Wyborcza, 165, 17 lipiec</w:t>
      </w:r>
    </w:p>
    <w:p w14:paraId="0CC0ECEC" w14:textId="34C3F88A" w:rsidR="002A58EC" w:rsidRPr="00130131" w:rsidRDefault="002A58EC" w:rsidP="002A58EC">
      <w:pPr>
        <w:pStyle w:val="Akapitzlist"/>
        <w:numPr>
          <w:ilvl w:val="0"/>
          <w:numId w:val="81"/>
        </w:numPr>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Cole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 Gine’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X., Vickery</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(2017)</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How Does Risk Management Influence Production Decisions? Evidence from a Field Experiment, The Review of Financial Studies, 30</w:t>
      </w:r>
      <w:r w:rsidR="00984892">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6</w:t>
      </w:r>
      <w:r w:rsidR="00984892">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1935-1970</w:t>
      </w:r>
    </w:p>
    <w:p w14:paraId="25980D57" w14:textId="08D174E0"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Collins</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R.A. (1985)</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Expected Utility, Debt-Equity Structure, and Risk Balancing, American Journal of Agricultural Economics, 63(3), 627-9</w:t>
      </w:r>
    </w:p>
    <w:p w14:paraId="55448C8F"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Connor</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L., Rejesus</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M.R., Yasar</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M. (2021)</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Crop Insurance Participation and Cover Crop Use: Evidence from Indiana County-Level Data, Applied Economic Perspectives and Policy</w:t>
      </w:r>
    </w:p>
    <w:p w14:paraId="41D12E81"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Cook</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T.D. (2000)</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The false choice between theory-based evaluation and experimentation, New Directions for Evaluation, 87, 27-34, doi.org/10.1002/ev.1179</w:t>
      </w:r>
    </w:p>
    <w:p w14:paraId="10F1DB90"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Cooksy</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L.J., Caracelli</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J. (2009)</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Metaevaluation in practice: Selection and application of criteria, Journal of Multidisciplinary Evaluation, 6(11), 1-15, doi.org/10.56645/jmde.v6i11.211</w:t>
      </w:r>
    </w:p>
    <w:p w14:paraId="2980EED8"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Coryn</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C.L. Noakes</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L.A. Westine</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C.D., Schroeter</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D.C. (2011)</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A systematic review of theory-driven evaluation practice from 1998 to 2009, American Journal of Evaluation, 32(2), 199-226,</w:t>
      </w:r>
      <w:r w:rsidRPr="00130131">
        <w:rPr>
          <w:rFonts w:ascii="Times New Roman" w:eastAsia="Times New Roman" w:hAnsi="Times New Roman" w:cs="Times New Roman"/>
          <w:color w:val="555555"/>
          <w:kern w:val="0"/>
          <w:shd w:val="clear" w:color="auto" w:fill="FFFFFF"/>
          <w:lang w:val="en-US" w:eastAsia="pl-PL"/>
          <w14:ligatures w14:val="none"/>
        </w:rPr>
        <w:t xml:space="preserve"> </w:t>
      </w:r>
      <w:r w:rsidRPr="00130131">
        <w:rPr>
          <w:rFonts w:ascii="Times New Roman" w:eastAsia="Times New Roman" w:hAnsi="Times New Roman" w:cs="Times New Roman"/>
          <w:bCs/>
          <w:kern w:val="0"/>
          <w:lang w:val="en-US" w:eastAsia="pl-PL"/>
          <w14:ligatures w14:val="none"/>
        </w:rPr>
        <w:t>doi:</w:t>
      </w:r>
      <w:hyperlink r:id="rId325" w:tgtFrame="_blank" w:history="1">
        <w:r w:rsidRPr="00130131">
          <w:rPr>
            <w:rFonts w:ascii="Times New Roman" w:eastAsia="Times New Roman" w:hAnsi="Times New Roman" w:cs="Times New Roman"/>
            <w:bCs/>
            <w:kern w:val="0"/>
            <w:lang w:val="en-US" w:eastAsia="pl-PL"/>
            <w14:ligatures w14:val="none"/>
          </w:rPr>
          <w:t>10.1177/1098214010389321</w:t>
        </w:r>
      </w:hyperlink>
    </w:p>
    <w:p w14:paraId="52578B8A"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Creswell, J. W. (2014). </w:t>
      </w:r>
      <w:r w:rsidRPr="00223386">
        <w:rPr>
          <w:rFonts w:ascii="Times New Roman" w:eastAsia="Aptos" w:hAnsi="Times New Roman" w:cs="Times New Roman"/>
          <w:i/>
          <w:iCs/>
          <w:lang w:val="en-US"/>
        </w:rPr>
        <w:t>Research Design: Qualitative, Quantitative, and Mixed Methods Approaches</w:t>
      </w:r>
      <w:r w:rsidRPr="00223386">
        <w:rPr>
          <w:rFonts w:ascii="Times New Roman" w:eastAsia="Aptos" w:hAnsi="Times New Roman" w:cs="Times New Roman"/>
          <w:lang w:val="en-US"/>
        </w:rPr>
        <w:t>. Thousand Oaks, CA: SAGE Publications.</w:t>
      </w:r>
    </w:p>
    <w:p w14:paraId="03911A62"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Creswell, J. W., Plano Clark, V. L. (2018). </w:t>
      </w:r>
      <w:r w:rsidRPr="00223386">
        <w:rPr>
          <w:rFonts w:ascii="Times New Roman" w:eastAsia="Aptos" w:hAnsi="Times New Roman" w:cs="Times New Roman"/>
          <w:i/>
          <w:iCs/>
          <w:lang w:val="en-US"/>
        </w:rPr>
        <w:t>Designing and Conducting Mixed Methods Research.</w:t>
      </w:r>
      <w:r w:rsidRPr="00223386">
        <w:rPr>
          <w:rFonts w:ascii="Times New Roman" w:eastAsia="Aptos" w:hAnsi="Times New Roman" w:cs="Times New Roman"/>
          <w:lang w:val="en-US"/>
        </w:rPr>
        <w:t xml:space="preserve"> Thousand Oaks, CA: SAGE Publications.</w:t>
      </w:r>
    </w:p>
    <w:p w14:paraId="70ADCEA1"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0F6A8B">
        <w:rPr>
          <w:rFonts w:ascii="Times New Roman" w:hAnsi="Times New Roman" w:cs="Times New Roman"/>
          <w:lang w:val="de-AT"/>
        </w:rPr>
        <w:t xml:space="preserve">Crump, R., Hotz, V., Imbens, G., Mitnik, O. (2006). </w:t>
      </w:r>
      <w:r w:rsidRPr="00130131">
        <w:rPr>
          <w:rFonts w:ascii="Times New Roman" w:hAnsi="Times New Roman" w:cs="Times New Roman"/>
          <w:lang w:val="en-US"/>
        </w:rPr>
        <w:t>Moving the goalposts: Addressing limited overlap in the estimating of average treatment effects by changing the estimand, SSRN Electronic Journal</w:t>
      </w:r>
    </w:p>
    <w:p w14:paraId="56DCFD0F"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en-GB"/>
        </w:rPr>
        <w:t>Cunningham, S. (2021). Causal inference: The mixtape. Yale University Press. New Haven and London.</w:t>
      </w:r>
    </w:p>
    <w:p w14:paraId="76E50AFA" w14:textId="6CB70BF0"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Currie, J., Kleven, H., Zwiers, E. (2020, May). Technology and big data are changing economics: Mining text to track methods. </w:t>
      </w:r>
      <w:r w:rsidRPr="00223386">
        <w:rPr>
          <w:rFonts w:ascii="Times New Roman" w:hAnsi="Times New Roman" w:cs="Times New Roman"/>
        </w:rPr>
        <w:t>In AEA Papers and Proceedings, 110, 42-48. https://doi.org/10.1257/pandp.20201058</w:t>
      </w:r>
    </w:p>
    <w:p w14:paraId="4BE3138D"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lastRenderedPageBreak/>
        <w:t>Davies</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R. (2004)</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Scale, Complexity and the Representation of Theories of Change, Evaluating 10(1), 101-121</w:t>
      </w:r>
    </w:p>
    <w:p w14:paraId="6171F671" w14:textId="10093BBD"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De Chaisemartin, C., d’Haultfoeuille, X. (2020). Two-way fixed effects estimators with heterogeneous treatment effects. </w:t>
      </w:r>
      <w:r w:rsidRPr="00223386">
        <w:rPr>
          <w:rFonts w:ascii="Times New Roman" w:hAnsi="Times New Roman" w:cs="Times New Roman"/>
        </w:rPr>
        <w:t>American Economic Review, 110(9), 2964-2996. https://doi.org/10.1257/aer.20181169</w:t>
      </w:r>
    </w:p>
    <w:p w14:paraId="6C082E4E" w14:textId="4D45803A"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spacing w:val="-4"/>
        </w:rPr>
      </w:pPr>
      <w:r w:rsidRPr="00223386">
        <w:rPr>
          <w:rFonts w:ascii="Times New Roman" w:hAnsi="Times New Roman" w:cs="Times New Roman"/>
          <w:spacing w:val="-4"/>
          <w:lang w:val="en-GB"/>
        </w:rPr>
        <w:t xml:space="preserve">De Chaisemartin, C., D’haultfœuille, X. (2023). Two-way fixed effects and differences-in-differences estimators with several treatments. </w:t>
      </w:r>
      <w:r w:rsidRPr="00223386">
        <w:rPr>
          <w:rFonts w:ascii="Times New Roman" w:hAnsi="Times New Roman" w:cs="Times New Roman"/>
          <w:spacing w:val="-4"/>
        </w:rPr>
        <w:t>Journal of Econometrics, 236(2), 105480. https://doi.org/10.1016/j.jeconom.2023.105480</w:t>
      </w:r>
    </w:p>
    <w:p w14:paraId="10E55DB3" w14:textId="77777777" w:rsidR="002A58EC" w:rsidRPr="00223386" w:rsidRDefault="002A58EC" w:rsidP="002A58EC">
      <w:pPr>
        <w:pStyle w:val="Akapitzlist"/>
        <w:numPr>
          <w:ilvl w:val="0"/>
          <w:numId w:val="81"/>
        </w:numPr>
        <w:spacing w:after="0" w:line="259" w:lineRule="auto"/>
        <w:ind w:hanging="720"/>
        <w:jc w:val="both"/>
        <w:rPr>
          <w:rFonts w:ascii="Times New Roman" w:eastAsiaTheme="minorEastAsia" w:hAnsi="Times New Roman" w:cs="Times New Roman"/>
          <w:kern w:val="0"/>
          <w:lang w:val="en-GB"/>
          <w14:ligatures w14:val="none"/>
        </w:rPr>
      </w:pPr>
      <w:r w:rsidRPr="00223386">
        <w:rPr>
          <w:rFonts w:ascii="Times New Roman" w:eastAsiaTheme="minorEastAsia" w:hAnsi="Times New Roman" w:cs="Times New Roman"/>
          <w:kern w:val="0"/>
          <w:lang w:val="fr-FR"/>
          <w14:ligatures w14:val="none"/>
        </w:rPr>
        <w:t xml:space="preserve">De Sousa Leite, F. N., Castro, E. R. d., Tateishi, H. R. (2023). </w:t>
      </w:r>
      <w:r w:rsidRPr="00223386">
        <w:rPr>
          <w:rFonts w:ascii="Times New Roman" w:eastAsiaTheme="minorEastAsia" w:hAnsi="Times New Roman" w:cs="Times New Roman"/>
          <w:kern w:val="0"/>
          <w:lang w:val="en-GB"/>
          <w14:ligatures w14:val="none"/>
        </w:rPr>
        <w:t xml:space="preserve">Regional impacts of rural credit and rural insurance policies on crop area and productivity: Evidence from São Paulo state, Brazil (2008 and 2017). </w:t>
      </w:r>
      <w:r w:rsidRPr="00223386">
        <w:rPr>
          <w:rFonts w:ascii="Times New Roman" w:eastAsiaTheme="minorEastAsia" w:hAnsi="Times New Roman" w:cs="Times New Roman"/>
          <w:i/>
          <w:iCs/>
          <w:kern w:val="0"/>
          <w:lang w:val="en-GB"/>
          <w14:ligatures w14:val="none"/>
        </w:rPr>
        <w:t>Agricultural Finance Review</w:t>
      </w:r>
      <w:r w:rsidRPr="00223386">
        <w:rPr>
          <w:rFonts w:ascii="Times New Roman" w:eastAsiaTheme="minorEastAsia" w:hAnsi="Times New Roman" w:cs="Times New Roman"/>
          <w:kern w:val="0"/>
          <w:lang w:val="en-GB"/>
          <w14:ligatures w14:val="none"/>
        </w:rPr>
        <w:t xml:space="preserve">, 83(2), 352-374. </w:t>
      </w:r>
      <w:hyperlink r:id="rId326" w:history="1">
        <w:r w:rsidRPr="00223386">
          <w:rPr>
            <w:rStyle w:val="Hipercze"/>
            <w:rFonts w:ascii="Times New Roman" w:eastAsiaTheme="minorEastAsia" w:hAnsi="Times New Roman" w:cs="Times New Roman"/>
            <w:kern w:val="0"/>
            <w:lang w:val="en-GB"/>
            <w14:ligatures w14:val="none"/>
          </w:rPr>
          <w:t>https://doi.org/10.1108/AFR-02-2022-0024</w:t>
        </w:r>
      </w:hyperlink>
    </w:p>
    <w:p w14:paraId="4A485D24" w14:textId="15ED8D16"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Deaton, A., Cartwright, N. (2018). Understanding and misunderstanding randomized controlled trials. </w:t>
      </w:r>
      <w:r w:rsidRPr="00223386">
        <w:rPr>
          <w:rFonts w:ascii="Times New Roman" w:hAnsi="Times New Roman" w:cs="Times New Roman"/>
        </w:rPr>
        <w:t>Social Science &amp; Medicine, 210, 2-21. https://doi.org/10.1016/j.socscimed.2017.12.005</w:t>
      </w:r>
    </w:p>
    <w:p w14:paraId="552A01FF"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DeLay</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D.N., Brever</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B., Featherstone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M.A. (2023), The impact of crop insurance on farm financial outcomes, Applied Economic Perspectives and Policy, 45(1), 2-23</w:t>
      </w:r>
    </w:p>
    <w:p w14:paraId="479B7E42" w14:textId="77777777" w:rsidR="002A58EC" w:rsidRPr="00223386" w:rsidRDefault="002A58EC" w:rsidP="002A58EC">
      <w:pPr>
        <w:pStyle w:val="Akapitzlist"/>
        <w:numPr>
          <w:ilvl w:val="0"/>
          <w:numId w:val="81"/>
        </w:numPr>
        <w:spacing w:after="0" w:line="259" w:lineRule="auto"/>
        <w:ind w:hanging="720"/>
        <w:jc w:val="both"/>
        <w:rPr>
          <w:rFonts w:ascii="Times New Roman" w:eastAsiaTheme="minorEastAsia" w:hAnsi="Times New Roman" w:cs="Times New Roman"/>
          <w:kern w:val="0"/>
          <w:lang w:val="en-US"/>
          <w14:ligatures w14:val="none"/>
        </w:rPr>
      </w:pPr>
      <w:r w:rsidRPr="00223386">
        <w:rPr>
          <w:rFonts w:ascii="Times New Roman" w:eastAsiaTheme="minorEastAsia" w:hAnsi="Times New Roman" w:cs="Times New Roman"/>
          <w:kern w:val="0"/>
          <w:lang w:val="sv-SE"/>
          <w14:ligatures w14:val="none"/>
        </w:rPr>
        <w:t xml:space="preserve">Deryło Ł. (2024). </w:t>
      </w:r>
      <w:r w:rsidRPr="00223386">
        <w:rPr>
          <w:rFonts w:ascii="Times New Roman" w:eastAsiaTheme="minorEastAsia" w:hAnsi="Times New Roman" w:cs="Times New Roman"/>
          <w:kern w:val="0"/>
          <w:lang w:val="en-US"/>
          <w14:ligatures w14:val="none"/>
        </w:rPr>
        <w:t>Propensity Score Matching…, https://www.lukaszderylo.pl/blog/propensity-score-matching.html (1.09.2024).</w:t>
      </w:r>
    </w:p>
    <w:p w14:paraId="33479606"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Dhillon</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L. Vaca</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S. (2018), Refining theories of change, Journal of Multidisciplinary Evaluation, 14(30), 64-87, </w:t>
      </w:r>
      <w:hyperlink r:id="rId327" w:history="1">
        <w:r w:rsidRPr="00130131">
          <w:rPr>
            <w:rFonts w:ascii="Times New Roman" w:eastAsia="Times New Roman" w:hAnsi="Times New Roman" w:cs="Times New Roman"/>
            <w:bCs/>
            <w:kern w:val="0"/>
            <w:lang w:val="en-US" w:eastAsia="pl-PL"/>
            <w14:ligatures w14:val="none"/>
          </w:rPr>
          <w:t>doi.org/10.56645/jmde.v14i30.496</w:t>
        </w:r>
      </w:hyperlink>
    </w:p>
    <w:p w14:paraId="5C533B2C"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Doherty</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E., Mellet</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 Norton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 McDermot</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T.K.J., O’hora</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 Ryan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M. (2021)</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A discrete choice experiment exploring farmer preferences for insurance against extreme weather events, Journal of Environmental Management, 290</w:t>
      </w:r>
    </w:p>
    <w:p w14:paraId="484137F4"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Donaldson</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S.I., Lipscy</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M.W. (2006)</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Roles for theory in contemporary evaluation practice: Developing practical knowledge, In I. Shaw, J. Greene C., Mark M.M. (Eds.), The handbook of evaluation: Policies programs and practices, 56-75, Sage, London</w:t>
      </w:r>
    </w:p>
    <w:p w14:paraId="090C71FF"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Douthwaite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B., Kuby</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 van de Fliert</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E., Schultz</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 (2003), Impact pathway evaluation: An Approach for Achieving and Attributing Impact in Complex Systems, Agricultural Systems, 78(3), 243-265, </w:t>
      </w:r>
      <w:hyperlink r:id="rId328" w:history="1">
        <w:r w:rsidRPr="00130131">
          <w:rPr>
            <w:rFonts w:ascii="Times New Roman" w:eastAsia="Times New Roman" w:hAnsi="Times New Roman" w:cs="Times New Roman"/>
            <w:spacing w:val="-2"/>
            <w:kern w:val="0"/>
            <w:lang w:val="en-US" w:eastAsia="pl-PL"/>
            <w14:ligatures w14:val="none"/>
          </w:rPr>
          <w:t>https://doi.org/10.1016/50308-521X(03)00128-8</w:t>
        </w:r>
      </w:hyperlink>
    </w:p>
    <w:p w14:paraId="3D7E0965"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Doutwaite</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B., Ahmad</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F., Shan</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M.G. (2020)</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Putting Theory of Change into Use in Complex Settings, Canadian Journal of Program Evaluation, 35(1), 35-52, doi.10.3138/cjpe.43168</w:t>
      </w:r>
    </w:p>
    <w:p w14:paraId="273B45A7"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Doutwaite</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B., Alvarez</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S., Cook</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S., Davies</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R., George</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P., Howell</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J., Rubiano</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J. (2007)</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Participatory impact pathways analysis: A practical application of program theory in research for development, Canadian Journal of Program Evaluation, 22(2), 127-159, doi.org/10.3138/cjpe.22.007</w:t>
      </w:r>
    </w:p>
    <w:p w14:paraId="27EBE8F8"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Doutwaite</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B., Apgar</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J.M., Schwarz</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A.M., Attwood</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S., Senaratna</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S., Clayton</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T. (2017)</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A new professionalism for agricultural research for development, International Journal of Agricultural Sustainability, 15(3), 238-252, doi.org/10.1080/14735903.2017.1314734</w:t>
      </w:r>
    </w:p>
    <w:p w14:paraId="205528A5"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bCs/>
          <w:kern w:val="0"/>
          <w:lang w:val="en-US" w:eastAsia="pl-PL"/>
          <w14:ligatures w14:val="none"/>
        </w:rPr>
        <w:t xml:space="preserve">Dragos, C.M., Dragos, S.L., Mare, C., Muresan, G.M., Purcel, A-A. (2023). Does risk assessment and specific knowledge impact crop insurance underwriting? Evidence from Romanian farmers. </w:t>
      </w:r>
      <w:r w:rsidRPr="00223386">
        <w:rPr>
          <w:rFonts w:ascii="Times New Roman" w:eastAsia="Times New Roman" w:hAnsi="Times New Roman" w:cs="Times New Roman"/>
          <w:bCs/>
          <w:i/>
          <w:kern w:val="0"/>
          <w:lang w:val="en-US" w:eastAsia="pl-PL"/>
          <w14:ligatures w14:val="none"/>
        </w:rPr>
        <w:t>Economic Analysis and Policy</w:t>
      </w:r>
      <w:r w:rsidRPr="00223386">
        <w:rPr>
          <w:rFonts w:ascii="Times New Roman" w:eastAsia="Times New Roman" w:hAnsi="Times New Roman" w:cs="Times New Roman"/>
          <w:bCs/>
          <w:kern w:val="0"/>
          <w:lang w:val="en-US" w:eastAsia="pl-PL"/>
          <w14:ligatures w14:val="none"/>
        </w:rPr>
        <w:t xml:space="preserve">, 79, p. 343-358. </w:t>
      </w:r>
      <w:hyperlink r:id="rId329" w:tgtFrame="_blank" w:tooltip="Trwałe łącze wykorzystujące cyfrowy identyfikator obiektu" w:history="1">
        <w:r w:rsidRPr="00223386">
          <w:rPr>
            <w:rFonts w:ascii="Times New Roman" w:eastAsia="Times New Roman" w:hAnsi="Times New Roman" w:cs="Times New Roman"/>
            <w:bCs/>
            <w:kern w:val="0"/>
            <w:lang w:val="en-US" w:eastAsia="pl-PL"/>
            <w14:ligatures w14:val="none"/>
          </w:rPr>
          <w:t>https://doi.org/10.1016/j.eap.2023.06.025</w:t>
        </w:r>
      </w:hyperlink>
    </w:p>
    <w:p w14:paraId="7E04FE68"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lastRenderedPageBreak/>
        <w:t>DuBow</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M.W., Litzler</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E. (2018)</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The Development and Use of a Theory of Change to Align Programs and Evaluation in a Complex, National Initiative, </w:t>
      </w:r>
      <w:bookmarkStart w:id="44" w:name="_Hlk168470774"/>
      <w:r w:rsidRPr="00130131">
        <w:rPr>
          <w:rFonts w:ascii="Times New Roman" w:eastAsia="Times New Roman" w:hAnsi="Times New Roman" w:cs="Times New Roman"/>
          <w:bCs/>
          <w:kern w:val="0"/>
          <w:lang w:val="en-US" w:eastAsia="pl-PL"/>
          <w14:ligatures w14:val="none"/>
        </w:rPr>
        <w:t>American Journal of Evaluation</w:t>
      </w:r>
      <w:bookmarkEnd w:id="44"/>
      <w:r w:rsidRPr="00130131">
        <w:rPr>
          <w:rFonts w:ascii="Times New Roman" w:eastAsia="Times New Roman" w:hAnsi="Times New Roman" w:cs="Times New Roman"/>
          <w:bCs/>
          <w:kern w:val="0"/>
          <w:lang w:val="en-US" w:eastAsia="pl-PL"/>
          <w14:ligatures w14:val="none"/>
        </w:rPr>
        <w:t xml:space="preserve">, 40(2), 1-18, doi: 10.1177/198214018778132 </w:t>
      </w:r>
    </w:p>
    <w:p w14:paraId="20A0CC07"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490A13">
        <w:rPr>
          <w:rFonts w:ascii="Times New Roman" w:eastAsia="Times New Roman" w:hAnsi="Times New Roman" w:cs="Times New Roman"/>
          <w:spacing w:val="2"/>
          <w:kern w:val="0"/>
          <w:lang w:val="de-AT" w:eastAsia="pl-PL"/>
          <w14:ligatures w14:val="none"/>
        </w:rPr>
        <w:t xml:space="preserve">Duflo, E., Glennerster, R., Kremer, M. (2007). </w:t>
      </w:r>
      <w:r w:rsidRPr="00130131">
        <w:rPr>
          <w:rFonts w:ascii="Times New Roman" w:eastAsia="Times New Roman" w:hAnsi="Times New Roman" w:cs="Times New Roman"/>
          <w:spacing w:val="2"/>
          <w:kern w:val="0"/>
          <w:lang w:val="en-US" w:eastAsia="pl-PL"/>
          <w14:ligatures w14:val="none"/>
        </w:rPr>
        <w:t>Using Randomization in Development Economics  Research: A Toolkit, in: Handbook of Develompent Economics, vol. 4, edited by T.T. Schultz an J. Strauss, Elsevier, Amsterdam, 3895-3962</w:t>
      </w:r>
    </w:p>
    <w:p w14:paraId="53BFDFEA"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Duflo, E.,  Kremer, M. (2005). Use of Randomization in the Evaluation of Development Effectiveness. (in:) G. K., Pitman, N. Ã., Osvaldo, &amp; G. K. Ingram (Eds.) Evaluating development effectiveness (Vol. 7). Transaction Publishers. New Brunswick, NJ and London. </w:t>
      </w:r>
      <w:r w:rsidRPr="00223386">
        <w:rPr>
          <w:rFonts w:ascii="Times New Roman" w:hAnsi="Times New Roman" w:cs="Times New Roman"/>
        </w:rPr>
        <w:t xml:space="preserve">93-120. </w:t>
      </w:r>
    </w:p>
    <w:p w14:paraId="02FDF6C4" w14:textId="77777777" w:rsidR="002A58EC" w:rsidRPr="00130131" w:rsidRDefault="002A58EC" w:rsidP="002A58EC">
      <w:pPr>
        <w:pStyle w:val="Akapitzlist"/>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000000"/>
          <w:kern w:val="36"/>
          <w:lang w:val="en-US" w:eastAsia="pl-PL"/>
          <w14:ligatures w14:val="none"/>
        </w:rPr>
        <w:t>Durlauf</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xml:space="preserve"> S.N., On the empirics of social capital, „The Economic Journal“, vol. 483, 2002.</w:t>
      </w:r>
    </w:p>
    <w:p w14:paraId="63F0801D"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Dye, T. R. (2016). </w:t>
      </w:r>
      <w:r w:rsidRPr="00223386">
        <w:rPr>
          <w:rFonts w:ascii="Times New Roman" w:eastAsia="Aptos" w:hAnsi="Times New Roman" w:cs="Times New Roman"/>
          <w:i/>
          <w:iCs/>
          <w:lang w:val="en-US"/>
        </w:rPr>
        <w:t>Understanding Public Policy.</w:t>
      </w:r>
      <w:r w:rsidRPr="00223386">
        <w:rPr>
          <w:rFonts w:ascii="Times New Roman" w:eastAsia="Aptos" w:hAnsi="Times New Roman" w:cs="Times New Roman"/>
          <w:lang w:val="en-US"/>
        </w:rPr>
        <w:t xml:space="preserve"> Boston, MA: Pearson.</w:t>
      </w:r>
    </w:p>
    <w:p w14:paraId="1C6FBA3F"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Eble, A., Boone, P., Elbourne, D. (2013). Risk and Evidence of Bias in Randomized Controlled Trials in Economics CEP. </w:t>
      </w:r>
      <w:r w:rsidRPr="00223386">
        <w:rPr>
          <w:rFonts w:ascii="Times New Roman" w:hAnsi="Times New Roman" w:cs="Times New Roman"/>
        </w:rPr>
        <w:t>Discussion Paper No 1240. https://api.semanticscholar.org/CorpusID:151303921</w:t>
      </w:r>
    </w:p>
    <w:p w14:paraId="0548C7F9"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Eeckhoudt</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L., Meyer</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Ormiston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M. (1997), The interaction between the demands for insurance and insurable assets, Journal of Risk and Uncertainty, 14</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1</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25-39</w:t>
      </w:r>
    </w:p>
    <w:p w14:paraId="542C6111"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GB"/>
        </w:rPr>
      </w:pPr>
      <w:r w:rsidRPr="00223386">
        <w:rPr>
          <w:rFonts w:ascii="Times New Roman" w:eastAsia="Aptos" w:hAnsi="Times New Roman" w:cs="Times New Roman"/>
          <w:lang w:val="en-GB"/>
        </w:rPr>
        <w:t>Enjolras, G., Aubert, M. (2020). How does crop insurance influence pesticide use? Evidence from French farms. Review of Agricultural, Food and Environmental Studies, 101(4), 461–485. https://doi.org/10.1007/s41130-020-00129-5</w:t>
      </w:r>
    </w:p>
    <w:p w14:paraId="45949933"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eastAsia="pl-PL"/>
          <w14:ligatures w14:val="none"/>
        </w:rPr>
      </w:pPr>
      <w:r w:rsidRPr="00223386">
        <w:rPr>
          <w:rFonts w:ascii="Times New Roman" w:eastAsia="Times New Roman" w:hAnsi="Times New Roman" w:cs="Times New Roman"/>
          <w:bCs/>
          <w:kern w:val="0"/>
          <w:lang w:val="en-US" w:eastAsia="pl-PL"/>
          <w14:ligatures w14:val="none"/>
        </w:rPr>
        <w:t xml:space="preserve">Enjolras, G., Sentis, P. (2008). The main determinants of insurance purchase: an empirical study on crop insurance policies in France. </w:t>
      </w:r>
      <w:hyperlink r:id="rId330" w:history="1">
        <w:r w:rsidRPr="00223386">
          <w:rPr>
            <w:rFonts w:ascii="Times New Roman" w:eastAsia="Times New Roman" w:hAnsi="Times New Roman" w:cs="Times New Roman"/>
            <w:bCs/>
            <w:kern w:val="0"/>
            <w:lang w:eastAsia="pl-PL"/>
            <w14:ligatures w14:val="none"/>
          </w:rPr>
          <w:t>Working Papers</w:t>
        </w:r>
      </w:hyperlink>
      <w:r w:rsidRPr="00223386">
        <w:rPr>
          <w:rFonts w:ascii="Times New Roman" w:eastAsia="Times New Roman" w:hAnsi="Times New Roman" w:cs="Times New Roman"/>
          <w:bCs/>
          <w:kern w:val="0"/>
          <w:lang w:eastAsia="pl-PL"/>
          <w14:ligatures w14:val="none"/>
        </w:rPr>
        <w:t> 08-06, LAMETA, Universtiy of Montpellier.</w:t>
      </w:r>
    </w:p>
    <w:p w14:paraId="70C61310"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rPr>
        <w:t>EU CAP https://eu-cap-network.ec.europa.eu (data dostępu 10.08.2024).</w:t>
      </w:r>
    </w:p>
    <w:p w14:paraId="79D64F56"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GB"/>
        </w:rPr>
      </w:pPr>
      <w:r w:rsidRPr="00223386">
        <w:rPr>
          <w:rFonts w:ascii="Times New Roman" w:eastAsia="Aptos" w:hAnsi="Times New Roman" w:cs="Times New Roman"/>
          <w:lang w:val="en-GB"/>
        </w:rPr>
        <w:t>EU CAP Network (2024).  Learning portal - Propensity score matching-difference in differences (PSM-DiD) method, https://eu-cap-network.ec.europa.eu/training/evaluation-learning-portal/learning-portal-propensity-score-matching-difference-differences-psm-did-method_en</w:t>
      </w:r>
    </w:p>
    <w:p w14:paraId="2DAE8044"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Eval Community, A guide to designing effective evaluation questions, dostęp: 3.11.2024, https://www.evalcommunity.com</w:t>
      </w:r>
    </w:p>
    <w:p w14:paraId="1A7B8B72"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30131">
        <w:rPr>
          <w:rFonts w:ascii="Times New Roman" w:eastAsia="Calibri" w:hAnsi="Times New Roman" w:cs="Times New Roman"/>
          <w:spacing w:val="2"/>
          <w:kern w:val="0"/>
          <w:lang w:val="en-US" w:eastAsia="pl-PL"/>
          <w14:ligatures w14:val="none"/>
        </w:rPr>
        <w:t>Evaluating and Aid Effectiveness No. 6 – Glossary of Key Terms in Evaluation and Results Based Management (in English, French and Spanish) (2002), OECD Publishing, Paris</w:t>
      </w:r>
    </w:p>
    <w:p w14:paraId="10A1469F"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72FAE">
        <w:rPr>
          <w:rFonts w:ascii="Times New Roman" w:eastAsia="Times New Roman" w:hAnsi="Times New Roman" w:cs="Times New Roman"/>
          <w:bCs/>
          <w:kern w:val="0"/>
          <w:lang w:val="de-AT" w:eastAsia="pl-PL"/>
          <w14:ligatures w14:val="none"/>
        </w:rPr>
        <w:t xml:space="preserve">Eyben, R., Kidder, T., Rowlands, J., Bronstein, A. (2008). </w:t>
      </w:r>
      <w:r w:rsidRPr="00130131">
        <w:rPr>
          <w:rFonts w:ascii="Times New Roman" w:eastAsia="Times New Roman" w:hAnsi="Times New Roman" w:cs="Times New Roman"/>
          <w:bCs/>
          <w:kern w:val="0"/>
          <w:lang w:val="en-US" w:eastAsia="pl-PL"/>
          <w14:ligatures w14:val="none"/>
        </w:rPr>
        <w:t>Thinking about change for development practice: A case study from Oxfam GB, Development in Practice, 18, 201-212, doi.10.1080/09614520801898996</w:t>
      </w:r>
    </w:p>
    <w:p w14:paraId="161EE9B4"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Fadhliami</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Z., Luckstead</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Wailes</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E.J. (2018)</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Impacts of multiperil crop insurance on Indonesian rice farmers and production, Agricultural Economics, 50(1), 15-26</w:t>
      </w:r>
    </w:p>
    <w:p w14:paraId="3AF84AC0"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de-AT" w:eastAsia="pl-PL"/>
          <w14:ligatures w14:val="none"/>
        </w:rPr>
      </w:pPr>
      <w:r w:rsidRPr="00130131">
        <w:rPr>
          <w:rFonts w:ascii="Times New Roman" w:eastAsia="Times New Roman" w:hAnsi="Times New Roman" w:cs="Times New Roman"/>
          <w:kern w:val="0"/>
          <w:lang w:val="de-AT" w:eastAsia="pl-PL"/>
          <w14:ligatures w14:val="none"/>
        </w:rPr>
        <w:t>Fährmann</w:t>
      </w:r>
      <w:r>
        <w:rPr>
          <w:rFonts w:ascii="Times New Roman" w:eastAsia="Times New Roman" w:hAnsi="Times New Roman" w:cs="Times New Roman"/>
          <w:kern w:val="0"/>
          <w:lang w:val="de-AT" w:eastAsia="pl-PL"/>
          <w14:ligatures w14:val="none"/>
        </w:rPr>
        <w:t>,</w:t>
      </w:r>
      <w:r w:rsidRPr="00130131">
        <w:rPr>
          <w:rFonts w:ascii="Times New Roman" w:eastAsia="Times New Roman" w:hAnsi="Times New Roman" w:cs="Times New Roman"/>
          <w:kern w:val="0"/>
          <w:lang w:val="de-AT" w:eastAsia="pl-PL"/>
          <w14:ligatures w14:val="none"/>
        </w:rPr>
        <w:t xml:space="preserve"> B., Grajewski</w:t>
      </w:r>
      <w:r>
        <w:rPr>
          <w:rFonts w:ascii="Times New Roman" w:eastAsia="Times New Roman" w:hAnsi="Times New Roman" w:cs="Times New Roman"/>
          <w:kern w:val="0"/>
          <w:lang w:val="de-AT" w:eastAsia="pl-PL"/>
          <w14:ligatures w14:val="none"/>
        </w:rPr>
        <w:t>,</w:t>
      </w:r>
      <w:r w:rsidRPr="00130131">
        <w:rPr>
          <w:rFonts w:ascii="Times New Roman" w:eastAsia="Times New Roman" w:hAnsi="Times New Roman" w:cs="Times New Roman"/>
          <w:kern w:val="0"/>
          <w:lang w:val="de-AT" w:eastAsia="pl-PL"/>
          <w14:ligatures w14:val="none"/>
        </w:rPr>
        <w:t xml:space="preserve"> R., Bergschmidt</w:t>
      </w:r>
      <w:r>
        <w:rPr>
          <w:rFonts w:ascii="Times New Roman" w:eastAsia="Times New Roman" w:hAnsi="Times New Roman" w:cs="Times New Roman"/>
          <w:kern w:val="0"/>
          <w:lang w:val="de-AT" w:eastAsia="pl-PL"/>
          <w14:ligatures w14:val="none"/>
        </w:rPr>
        <w:t>,</w:t>
      </w:r>
      <w:r w:rsidRPr="00130131">
        <w:rPr>
          <w:rFonts w:ascii="Times New Roman" w:eastAsia="Times New Roman" w:hAnsi="Times New Roman" w:cs="Times New Roman"/>
          <w:kern w:val="0"/>
          <w:lang w:val="de-AT" w:eastAsia="pl-PL"/>
          <w14:ligatures w14:val="none"/>
        </w:rPr>
        <w:t xml:space="preserve"> A., Fengler</w:t>
      </w:r>
      <w:r>
        <w:rPr>
          <w:rFonts w:ascii="Times New Roman" w:eastAsia="Times New Roman" w:hAnsi="Times New Roman" w:cs="Times New Roman"/>
          <w:kern w:val="0"/>
          <w:lang w:val="de-AT" w:eastAsia="pl-PL"/>
          <w14:ligatures w14:val="none"/>
        </w:rPr>
        <w:t>,</w:t>
      </w:r>
      <w:r w:rsidRPr="00130131">
        <w:rPr>
          <w:rFonts w:ascii="Times New Roman" w:eastAsia="Times New Roman" w:hAnsi="Times New Roman" w:cs="Times New Roman"/>
          <w:kern w:val="0"/>
          <w:lang w:val="de-AT" w:eastAsia="pl-PL"/>
          <w14:ligatures w14:val="none"/>
        </w:rPr>
        <w:t xml:space="preserve"> B., Franz</w:t>
      </w:r>
      <w:r>
        <w:rPr>
          <w:rFonts w:ascii="Times New Roman" w:eastAsia="Times New Roman" w:hAnsi="Times New Roman" w:cs="Times New Roman"/>
          <w:kern w:val="0"/>
          <w:lang w:val="de-AT" w:eastAsia="pl-PL"/>
          <w14:ligatures w14:val="none"/>
        </w:rPr>
        <w:t>,</w:t>
      </w:r>
      <w:r w:rsidRPr="00130131">
        <w:rPr>
          <w:rFonts w:ascii="Times New Roman" w:eastAsia="Times New Roman" w:hAnsi="Times New Roman" w:cs="Times New Roman"/>
          <w:kern w:val="0"/>
          <w:lang w:val="de-AT" w:eastAsia="pl-PL"/>
          <w14:ligatures w14:val="none"/>
        </w:rPr>
        <w:t xml:space="preserve"> K., Pollermann</w:t>
      </w:r>
      <w:r>
        <w:rPr>
          <w:rFonts w:ascii="Times New Roman" w:eastAsia="Times New Roman" w:hAnsi="Times New Roman" w:cs="Times New Roman"/>
          <w:kern w:val="0"/>
          <w:lang w:val="de-AT" w:eastAsia="pl-PL"/>
          <w14:ligatures w14:val="none"/>
        </w:rPr>
        <w:t>,</w:t>
      </w:r>
      <w:r w:rsidRPr="00130131">
        <w:rPr>
          <w:rFonts w:ascii="Times New Roman" w:eastAsia="Times New Roman" w:hAnsi="Times New Roman" w:cs="Times New Roman"/>
          <w:kern w:val="0"/>
          <w:lang w:val="de-AT" w:eastAsia="pl-PL"/>
          <w14:ligatures w14:val="none"/>
        </w:rPr>
        <w:t xml:space="preserve"> K., Raue</w:t>
      </w:r>
      <w:r>
        <w:rPr>
          <w:rFonts w:ascii="Times New Roman" w:eastAsia="Times New Roman" w:hAnsi="Times New Roman" w:cs="Times New Roman"/>
          <w:kern w:val="0"/>
          <w:lang w:val="de-AT" w:eastAsia="pl-PL"/>
          <w14:ligatures w14:val="none"/>
        </w:rPr>
        <w:t>,</w:t>
      </w:r>
      <w:r w:rsidRPr="00130131">
        <w:rPr>
          <w:rFonts w:ascii="Times New Roman" w:eastAsia="Times New Roman" w:hAnsi="Times New Roman" w:cs="Times New Roman"/>
          <w:kern w:val="0"/>
          <w:lang w:val="de-AT" w:eastAsia="pl-PL"/>
          <w14:ligatures w14:val="none"/>
        </w:rPr>
        <w:t xml:space="preserve"> P., Roggendorf</w:t>
      </w:r>
      <w:r>
        <w:rPr>
          <w:rFonts w:ascii="Times New Roman" w:eastAsia="Times New Roman" w:hAnsi="Times New Roman" w:cs="Times New Roman"/>
          <w:kern w:val="0"/>
          <w:lang w:val="de-AT" w:eastAsia="pl-PL"/>
          <w14:ligatures w14:val="none"/>
        </w:rPr>
        <w:t>,</w:t>
      </w:r>
      <w:r w:rsidRPr="00130131">
        <w:rPr>
          <w:rFonts w:ascii="Times New Roman" w:eastAsia="Times New Roman" w:hAnsi="Times New Roman" w:cs="Times New Roman"/>
          <w:kern w:val="0"/>
          <w:lang w:val="de-AT" w:eastAsia="pl-PL"/>
          <w14:ligatures w14:val="none"/>
        </w:rPr>
        <w:t xml:space="preserve"> W., Sander</w:t>
      </w:r>
      <w:r>
        <w:rPr>
          <w:rFonts w:ascii="Times New Roman" w:eastAsia="Times New Roman" w:hAnsi="Times New Roman" w:cs="Times New Roman"/>
          <w:kern w:val="0"/>
          <w:lang w:val="de-AT" w:eastAsia="pl-PL"/>
          <w14:ligatures w14:val="none"/>
        </w:rPr>
        <w:t>,</w:t>
      </w:r>
      <w:r w:rsidRPr="00130131">
        <w:rPr>
          <w:rFonts w:ascii="Times New Roman" w:eastAsia="Times New Roman" w:hAnsi="Times New Roman" w:cs="Times New Roman"/>
          <w:kern w:val="0"/>
          <w:lang w:val="de-AT" w:eastAsia="pl-PL"/>
          <w14:ligatures w14:val="none"/>
        </w:rPr>
        <w:t xml:space="preserve"> A. (2018)</w:t>
      </w:r>
      <w:r>
        <w:rPr>
          <w:rFonts w:ascii="Times New Roman" w:eastAsia="Times New Roman" w:hAnsi="Times New Roman" w:cs="Times New Roman"/>
          <w:kern w:val="0"/>
          <w:lang w:val="de-AT" w:eastAsia="pl-PL"/>
          <w14:ligatures w14:val="none"/>
        </w:rPr>
        <w:t>.</w:t>
      </w:r>
      <w:r w:rsidRPr="00130131">
        <w:rPr>
          <w:rFonts w:ascii="Times New Roman" w:eastAsia="Times New Roman" w:hAnsi="Times New Roman" w:cs="Times New Roman"/>
          <w:i/>
          <w:iCs/>
          <w:spacing w:val="2"/>
          <w:kern w:val="0"/>
          <w:lang w:val="de-AT" w:eastAsia="pl-PL"/>
          <w14:ligatures w14:val="none"/>
        </w:rPr>
        <w:t xml:space="preserve"> </w:t>
      </w:r>
      <w:r w:rsidRPr="00130131">
        <w:rPr>
          <w:rFonts w:ascii="Times New Roman" w:eastAsia="Times New Roman" w:hAnsi="Times New Roman" w:cs="Times New Roman"/>
          <w:kern w:val="0"/>
          <w:lang w:val="de-AT" w:eastAsia="pl-PL"/>
          <w14:ligatures w14:val="none"/>
        </w:rPr>
        <w:t>Der ELER in der Gemeinsamen Agrarpolitik nach 2020. Wie bewerten Evaluatorinnen die europäischen Verordnungsentwürfe? Thünen Working Paper 107</w:t>
      </w:r>
    </w:p>
    <w:p w14:paraId="62586F9B"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Falanga</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R., Ferrão</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J. (2021)</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The evaluation of citizen participation in policy making: Insights from Portugal,</w:t>
      </w:r>
      <w:r w:rsidRPr="00130131">
        <w:rPr>
          <w:rFonts w:ascii="Times New Roman" w:eastAsia="Times New Roman" w:hAnsi="Times New Roman" w:cs="Times New Roman"/>
          <w:bCs/>
          <w:kern w:val="0"/>
          <w:lang w:val="en-US" w:eastAsia="pl-PL"/>
          <w14:ligatures w14:val="none"/>
        </w:rPr>
        <w:t xml:space="preserve"> Evaluation and Program Planning, 84, 101895, doi.10.1016/j.evalprogplan. 2020.101895</w:t>
      </w:r>
    </w:p>
    <w:p w14:paraId="75BE6E90"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lastRenderedPageBreak/>
        <w:t>Featherstone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M.A., Moss</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B.Ch., Baker</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G.T., Preckel</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V.P. (1988)</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The Theoretical Effects of Farm Policies on Optimal Leverage and the Profitability of Equity Losses, American Journal of Agricultural Economics, 70(3), 372-9</w:t>
      </w:r>
    </w:p>
    <w:p w14:paraId="25A481AD"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Feinstein</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O. (2019)</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The entanglement of facts and values: An example from an agricultural project in Honduras, Evaluation Journal of Australia, 19(4), 199-203, doi.10.1177/10357/9x/989308</w:t>
      </w:r>
    </w:p>
    <w:p w14:paraId="330F8AF6"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Feinstein O. (2023), Integrative Evaluation, American Journal of Evaluation, 44(2), 211-220, doi.org/10.1177/10982140221079181</w:t>
      </w:r>
    </w:p>
    <w:p w14:paraId="7652D349"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en-GB"/>
        </w:rPr>
        <w:t>Fernandez, J. (2023-07-29). Econometrics for Business Analytics. https://bookdown.org/cuborican/econometrics_for_business_analytics/</w:t>
      </w:r>
    </w:p>
    <w:p w14:paraId="62808224"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rPr>
        <w:t>Flack</w:t>
      </w:r>
      <w:r>
        <w:rPr>
          <w:rFonts w:ascii="Times New Roman" w:hAnsi="Times New Roman" w:cs="Times New Roman"/>
        </w:rPr>
        <w:t>, E.,</w:t>
      </w:r>
      <w:r w:rsidRPr="00223386">
        <w:rPr>
          <w:rFonts w:ascii="Times New Roman" w:hAnsi="Times New Roman" w:cs="Times New Roman"/>
        </w:rPr>
        <w:t xml:space="preserve"> Jee E. https://github.com/evanjflack/bacondecomp?tab=readme-ov-file (data dostępu 01.09.2024).</w:t>
      </w:r>
    </w:p>
    <w:p w14:paraId="770D8B32"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spacing w:val="-8"/>
          <w:lang w:val="en-GB"/>
        </w:rPr>
      </w:pPr>
      <w:r w:rsidRPr="00223386">
        <w:rPr>
          <w:rFonts w:ascii="Times New Roman" w:hAnsi="Times New Roman" w:cs="Times New Roman"/>
          <w:spacing w:val="-8"/>
          <w:lang w:val="en-GB"/>
        </w:rPr>
        <w:t>Flack, E.</w:t>
      </w:r>
      <w:r>
        <w:rPr>
          <w:rFonts w:ascii="Times New Roman" w:hAnsi="Times New Roman" w:cs="Times New Roman"/>
          <w:spacing w:val="-8"/>
          <w:lang w:val="en-GB"/>
        </w:rPr>
        <w:t>,</w:t>
      </w:r>
      <w:r w:rsidRPr="00223386">
        <w:rPr>
          <w:rFonts w:ascii="Times New Roman" w:hAnsi="Times New Roman" w:cs="Times New Roman"/>
          <w:spacing w:val="-8"/>
          <w:lang w:val="en-GB"/>
        </w:rPr>
        <w:t xml:space="preserve"> Jee, E. (2020). BACONDECOMP: Goodman-Bacon Decomposition, R package. https://cran.r-project.org/web/packages/bacondecomp/</w:t>
      </w:r>
    </w:p>
    <w:p w14:paraId="5DA2017C"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Fowler, F. J. (2014). </w:t>
      </w:r>
      <w:r w:rsidRPr="00223386">
        <w:rPr>
          <w:rFonts w:ascii="Times New Roman" w:eastAsia="Aptos" w:hAnsi="Times New Roman" w:cs="Times New Roman"/>
          <w:i/>
          <w:iCs/>
          <w:lang w:val="en-US"/>
        </w:rPr>
        <w:t>Survey Research Methods.</w:t>
      </w:r>
      <w:r w:rsidRPr="00223386">
        <w:rPr>
          <w:rFonts w:ascii="Times New Roman" w:eastAsia="Aptos" w:hAnsi="Times New Roman" w:cs="Times New Roman"/>
          <w:lang w:val="en-US"/>
        </w:rPr>
        <w:t xml:space="preserve"> Thousand Oaks, CA: SAGE Publications.</w:t>
      </w:r>
    </w:p>
    <w:p w14:paraId="2B1FE9DC" w14:textId="77777777"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rPr>
      </w:pPr>
      <w:r w:rsidRPr="00223386">
        <w:rPr>
          <w:rFonts w:ascii="Times New Roman" w:eastAsia="Aptos" w:hAnsi="Times New Roman" w:cs="Times New Roman"/>
          <w:lang w:val="en-GB"/>
        </w:rPr>
        <w:t xml:space="preserve">Fu, Y., He, C., Luo, L. (2021). Does the low-carbon city policy make a difference? Empirical evidence of the pilot scheme in China with DEA and PSM-DID. </w:t>
      </w:r>
      <w:r w:rsidRPr="00223386">
        <w:rPr>
          <w:rFonts w:ascii="Times New Roman" w:eastAsia="Aptos" w:hAnsi="Times New Roman" w:cs="Times New Roman"/>
        </w:rPr>
        <w:t>Ecological indicators, 122, 107238. https://doi.org/10.1016/ j.ecolind.2020.107238</w:t>
      </w:r>
    </w:p>
    <w:p w14:paraId="025B6169"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rPr>
      </w:pPr>
      <w:r w:rsidRPr="00130131">
        <w:rPr>
          <w:rFonts w:ascii="Times New Roman" w:eastAsia="Times New Roman" w:hAnsi="Times New Roman" w:cs="Times New Roman"/>
          <w:spacing w:val="2"/>
          <w:kern w:val="0"/>
          <w:lang w:eastAsia="pl-PL"/>
          <w14:ligatures w14:val="none"/>
        </w:rPr>
        <w:t>Fukuyama</w:t>
      </w:r>
      <w:r>
        <w:rPr>
          <w:rFonts w:ascii="Times New Roman" w:eastAsia="Times New Roman" w:hAnsi="Times New Roman" w:cs="Times New Roman"/>
          <w:spacing w:val="2"/>
          <w:kern w:val="0"/>
          <w:lang w:eastAsia="pl-PL"/>
          <w14:ligatures w14:val="none"/>
        </w:rPr>
        <w:t>,</w:t>
      </w:r>
      <w:r w:rsidRPr="00130131">
        <w:rPr>
          <w:rFonts w:ascii="Times New Roman" w:eastAsia="Times New Roman" w:hAnsi="Times New Roman" w:cs="Times New Roman"/>
          <w:spacing w:val="2"/>
          <w:kern w:val="0"/>
          <w:lang w:eastAsia="pl-PL"/>
          <w14:ligatures w14:val="none"/>
        </w:rPr>
        <w:t xml:space="preserve"> F., (2024)</w:t>
      </w:r>
      <w:r>
        <w:rPr>
          <w:rFonts w:ascii="Times New Roman" w:eastAsia="Times New Roman" w:hAnsi="Times New Roman" w:cs="Times New Roman"/>
          <w:spacing w:val="2"/>
          <w:kern w:val="0"/>
          <w:lang w:eastAsia="pl-PL"/>
          <w14:ligatures w14:val="none"/>
        </w:rPr>
        <w:t>.</w:t>
      </w:r>
      <w:r w:rsidRPr="00130131">
        <w:rPr>
          <w:rFonts w:ascii="Times New Roman" w:eastAsia="Times New Roman" w:hAnsi="Times New Roman" w:cs="Times New Roman"/>
          <w:spacing w:val="2"/>
          <w:kern w:val="0"/>
          <w:lang w:eastAsia="pl-PL"/>
          <w14:ligatures w14:val="none"/>
        </w:rPr>
        <w:t xml:space="preserve"> Zamieszanie z liberalizmem, Dom Wydawniczy REBIS, Poznań</w:t>
      </w:r>
    </w:p>
    <w:p w14:paraId="06B4AD60"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Fung</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A. (2015)</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Putting the public back into governance: The challenges of citizen participation and its future, Public Administration Review, 75(4), 513-522, doi.10.1111/puar.12361</w:t>
      </w:r>
    </w:p>
    <w:p w14:paraId="5C6BE024"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bCs/>
          <w:kern w:val="0"/>
          <w:lang w:val="en-US" w:eastAsia="pl-PL"/>
          <w14:ligatures w14:val="none"/>
        </w:rPr>
        <w:t xml:space="preserve">Fusco, G., Vecchio, Y., Porrrini, D., Adinolfi, F. (2021). Improving the economic sustainability of Italian farmere: An empirical analysis of decision-making models for insurance adoption [in] Malorgio, G., Sanchez-Garcia, M., Dhehibi, B., Capone, R. (Eds.).  Innovation and sustainability of agri-food system in the Mediterranean area. </w:t>
      </w:r>
      <w:r w:rsidRPr="00223386">
        <w:rPr>
          <w:rFonts w:ascii="Times New Roman" w:eastAsia="Times New Roman" w:hAnsi="Times New Roman" w:cs="Times New Roman"/>
          <w:spacing w:val="3"/>
          <w:kern w:val="0"/>
          <w:shd w:val="clear" w:color="auto" w:fill="FFFFFF"/>
          <w:lang w:val="en-US" w:eastAsia="pl-PL"/>
          <w14:ligatures w14:val="none"/>
        </w:rPr>
        <w:t>https://doi.org/</w:t>
      </w:r>
      <w:r w:rsidRPr="00223386">
        <w:rPr>
          <w:rFonts w:ascii="Times New Roman" w:eastAsia="Times New Roman" w:hAnsi="Times New Roman" w:cs="Times New Roman"/>
          <w:kern w:val="0"/>
          <w:lang w:val="en-US" w:eastAsia="pl-PL"/>
          <w14:ligatures w14:val="none"/>
        </w:rPr>
        <w:t>10.30682/nm2103d</w:t>
      </w:r>
    </w:p>
    <w:p w14:paraId="3182B29D"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Gabriel</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S.C., Baker</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B.C. (1980)</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Concepts of Business and Financial Risk, American Journal of Agricultural Economics, 62(3), 560-4</w:t>
      </w:r>
    </w:p>
    <w:p w14:paraId="7E0B1104"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Gallagher</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R., Appenzeller</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T. (1999)</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Beyond reductionism, Science, 284(5411), 79, doi.org/10.1126. science. 284.5431.79</w:t>
      </w:r>
    </w:p>
    <w:p w14:paraId="0998BA72"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spacing w:val="-6"/>
          <w:lang w:val="en-GB"/>
        </w:rPr>
      </w:pPr>
      <w:r w:rsidRPr="00223386">
        <w:rPr>
          <w:rFonts w:ascii="Times New Roman" w:hAnsi="Times New Roman" w:cs="Times New Roman"/>
          <w:spacing w:val="-6"/>
          <w:lang w:val="en-GB"/>
        </w:rPr>
        <w:t>Gardner, J. (2022). Two-stage differences in differences. Economics - Econometrics Papers:2207.05943. https://doi.org/10.48550/arXiv.2207.05943</w:t>
      </w:r>
    </w:p>
    <w:p w14:paraId="433561C9"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Garland</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CG., Beach</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 (2023)</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Theorizing how interventions work in evaluation: Process-tracing methods and theorizing process theories of change, Evaluation, 29(4), 1-20.</w:t>
      </w:r>
    </w:p>
    <w:p w14:paraId="71F52299"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bCs/>
          <w:kern w:val="0"/>
          <w:lang w:val="en-US" w:eastAsia="pl-PL"/>
          <w14:ligatures w14:val="none"/>
        </w:rPr>
        <w:t xml:space="preserve">Garrido, A., Zilberman, D. (2008). Revisiting the demand for agricultural insurance: the case of Spain. </w:t>
      </w:r>
      <w:r w:rsidRPr="00223386">
        <w:rPr>
          <w:rFonts w:ascii="Times New Roman" w:eastAsia="Times New Roman" w:hAnsi="Times New Roman" w:cs="Times New Roman"/>
          <w:bCs/>
          <w:i/>
          <w:kern w:val="0"/>
          <w:lang w:val="en-US" w:eastAsia="pl-PL"/>
          <w14:ligatures w14:val="none"/>
        </w:rPr>
        <w:t>Agricultural Finance Review</w:t>
      </w:r>
      <w:r w:rsidRPr="00223386">
        <w:rPr>
          <w:rFonts w:ascii="Times New Roman" w:eastAsia="Times New Roman" w:hAnsi="Times New Roman" w:cs="Times New Roman"/>
          <w:bCs/>
          <w:kern w:val="0"/>
          <w:lang w:val="en-US" w:eastAsia="pl-PL"/>
          <w14:ligatures w14:val="none"/>
        </w:rPr>
        <w:t>, 68(1), p. 43-66.</w:t>
      </w:r>
      <w:r w:rsidRPr="00223386">
        <w:rPr>
          <w:rFonts w:ascii="Times New Roman" w:eastAsia="Times New Roman" w:hAnsi="Times New Roman" w:cs="Times New Roman"/>
          <w:bCs/>
          <w:kern w:val="0"/>
          <w:lang w:eastAsia="pl-PL"/>
          <w14:ligatures w14:val="none"/>
        </w:rPr>
        <w:t xml:space="preserve"> https://doi.org/</w:t>
      </w:r>
      <w:hyperlink r:id="rId331" w:tgtFrame="_blank" w:history="1">
        <w:r w:rsidRPr="00223386">
          <w:rPr>
            <w:rFonts w:ascii="Times New Roman" w:eastAsia="Times New Roman" w:hAnsi="Times New Roman" w:cs="Times New Roman"/>
            <w:bCs/>
            <w:kern w:val="0"/>
            <w:lang w:eastAsia="pl-PL"/>
            <w14:ligatures w14:val="none"/>
          </w:rPr>
          <w:t>10.1108/00214660880001218</w:t>
        </w:r>
      </w:hyperlink>
    </w:p>
    <w:p w14:paraId="643D4BD4"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spacing w:val="3"/>
          <w:kern w:val="0"/>
          <w:shd w:val="clear" w:color="auto" w:fill="FFFFFF"/>
          <w:lang w:val="en-US" w:eastAsia="pl-PL"/>
          <w14:ligatures w14:val="none"/>
        </w:rPr>
        <w:t>Gassler, B., Rehermann, R. (2022). Risk Preferences and the Adoption of Subsidised Crop Insurance: Evidence from Lithuania. German Journal of Agricultural Economics (GJAE), 71(1), p. 36-52. https://doi.org/10.30430/gjae.2022.0125</w:t>
      </w:r>
    </w:p>
    <w:p w14:paraId="1E92F4C9" w14:textId="77777777" w:rsidR="002A58EC" w:rsidRPr="00130131" w:rsidRDefault="002A58EC" w:rsidP="002A58EC">
      <w:pPr>
        <w:pStyle w:val="Akapitzlist"/>
        <w:numPr>
          <w:ilvl w:val="0"/>
          <w:numId w:val="81"/>
        </w:numPr>
        <w:tabs>
          <w:tab w:val="num" w:pos="360"/>
        </w:tabs>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Gasson R., Errington A., The Farm Family Business, CAB International, Wallingford, 1993.</w:t>
      </w:r>
    </w:p>
    <w:p w14:paraId="06C584A9"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B218AF">
        <w:rPr>
          <w:rFonts w:ascii="Times New Roman" w:eastAsia="Calibri" w:hAnsi="Times New Roman" w:cs="Times New Roman"/>
          <w:spacing w:val="2"/>
          <w:kern w:val="0"/>
          <w:lang w:val="de-AT" w:eastAsia="pl-PL"/>
          <w14:ligatures w14:val="none"/>
        </w:rPr>
        <w:lastRenderedPageBreak/>
        <w:t xml:space="preserve">Gertler, J.P., Martinez, S., Premand, P., Raulings, B.L., Vermeersch, J.M.Ch. (2016). </w:t>
      </w:r>
      <w:r w:rsidRPr="00130131">
        <w:rPr>
          <w:rFonts w:ascii="Times New Roman" w:eastAsia="Calibri" w:hAnsi="Times New Roman" w:cs="Times New Roman"/>
          <w:spacing w:val="2"/>
          <w:kern w:val="0"/>
          <w:lang w:val="en-US" w:eastAsia="pl-PL"/>
          <w14:ligatures w14:val="none"/>
        </w:rPr>
        <w:t>Impact evaluation in practice. Second Edition, World Bank Group, IDB, Washington</w:t>
      </w:r>
    </w:p>
    <w:p w14:paraId="627EFF5D"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US"/>
        </w:rPr>
      </w:pPr>
      <w:r w:rsidRPr="00223386">
        <w:rPr>
          <w:rFonts w:ascii="Times New Roman" w:hAnsi="Times New Roman" w:cs="Times New Roman"/>
          <w:lang w:val="en-US"/>
        </w:rPr>
        <w:t xml:space="preserve">Giffin, A., Reich, B. J., Yang, S., Rappold, A. G. (2023). Generalized propensity score approach to causal inference with spatial interference. Biometrics, 79(3), 2220–2231. </w:t>
      </w:r>
      <w:hyperlink r:id="rId332" w:history="1">
        <w:r w:rsidRPr="00223386">
          <w:rPr>
            <w:rStyle w:val="Hipercze"/>
            <w:rFonts w:ascii="Times New Roman" w:hAnsi="Times New Roman" w:cs="Times New Roman"/>
            <w:lang w:val="en-US"/>
          </w:rPr>
          <w:t>https://doi.org/10.1111/biom.13745</w:t>
        </w:r>
      </w:hyperlink>
    </w:p>
    <w:p w14:paraId="3D1786ED"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Glewwe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P., Todd</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P. (2022)</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Impact Evaluation in International Development. Theory, methods, and Practice, World Bank, Washington DC</w:t>
      </w:r>
    </w:p>
    <w:p w14:paraId="4A9FFA67"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30131">
        <w:rPr>
          <w:rFonts w:ascii="Times New Roman" w:eastAsia="Times New Roman" w:hAnsi="Times New Roman" w:cs="Times New Roman"/>
          <w:kern w:val="0"/>
          <w:lang w:val="en-US" w:eastAsia="pl-PL"/>
          <w14:ligatures w14:val="none"/>
        </w:rPr>
        <w:t>Glouberman</w:t>
      </w:r>
      <w:r>
        <w:rPr>
          <w:rFonts w:ascii="Times New Roman" w:eastAsia="Times New Roman" w:hAnsi="Times New Roman" w:cs="Times New Roman"/>
          <w:kern w:val="0"/>
          <w:lang w:val="en-US" w:eastAsia="pl-PL"/>
          <w14:ligatures w14:val="none"/>
        </w:rPr>
        <w:t>,</w:t>
      </w:r>
      <w:r w:rsidRPr="00130131">
        <w:rPr>
          <w:rFonts w:ascii="Times New Roman" w:eastAsia="Times New Roman" w:hAnsi="Times New Roman" w:cs="Times New Roman"/>
          <w:kern w:val="0"/>
          <w:lang w:val="en-US" w:eastAsia="pl-PL"/>
          <w14:ligatures w14:val="none"/>
        </w:rPr>
        <w:t xml:space="preserve"> S., Zimmermann</w:t>
      </w:r>
      <w:r>
        <w:rPr>
          <w:rFonts w:ascii="Times New Roman" w:eastAsia="Times New Roman" w:hAnsi="Times New Roman" w:cs="Times New Roman"/>
          <w:kern w:val="0"/>
          <w:lang w:val="en-US" w:eastAsia="pl-PL"/>
          <w14:ligatures w14:val="none"/>
        </w:rPr>
        <w:t>,</w:t>
      </w:r>
      <w:r w:rsidRPr="00130131">
        <w:rPr>
          <w:rFonts w:ascii="Times New Roman" w:eastAsia="Times New Roman" w:hAnsi="Times New Roman" w:cs="Times New Roman"/>
          <w:kern w:val="0"/>
          <w:lang w:val="en-US" w:eastAsia="pl-PL"/>
          <w14:ligatures w14:val="none"/>
        </w:rPr>
        <w:t xml:space="preserve"> B. (2002)</w:t>
      </w:r>
      <w:r>
        <w:rPr>
          <w:rFonts w:ascii="Times New Roman" w:eastAsia="Times New Roman" w:hAnsi="Times New Roman" w:cs="Times New Roman"/>
          <w:kern w:val="0"/>
          <w:lang w:val="en-US" w:eastAsia="pl-PL"/>
          <w14:ligatures w14:val="none"/>
        </w:rPr>
        <w:t>.</w:t>
      </w:r>
      <w:r w:rsidRPr="00130131">
        <w:rPr>
          <w:rFonts w:ascii="Times New Roman" w:eastAsia="Times New Roman" w:hAnsi="Times New Roman" w:cs="Times New Roman"/>
          <w:kern w:val="0"/>
          <w:lang w:val="en-US" w:eastAsia="pl-PL"/>
          <w14:ligatures w14:val="none"/>
        </w:rPr>
        <w:t xml:space="preserve"> Complicated and Complex Systems: What Would Successful Reform of Medicare Look Like? Commission on the Future of Health Care in Canada, Discussion Paper 8, http:/www.hc-sc.gc.ca/English/pdf/romanow, dostęp 15.08.2023</w:t>
      </w:r>
    </w:p>
    <w:p w14:paraId="7656261E"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Goldstein</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J. (1999)</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Emergence as a construct: History and issues, Emergence, 1(1), 49-72, doi.org/10.1207/s15327000em0101_4</w:t>
      </w:r>
    </w:p>
    <w:p w14:paraId="620151E5"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Goodman-Bacon, A. (2021). Difference-in-differences with variation in treatment timing. </w:t>
      </w:r>
      <w:r w:rsidRPr="00223386">
        <w:rPr>
          <w:rFonts w:ascii="Times New Roman" w:hAnsi="Times New Roman" w:cs="Times New Roman"/>
        </w:rPr>
        <w:t>Journal of Econometrics, 225(2), 254-277. https://doi.org/10.1016/j.jeconom.2021.03.014</w:t>
      </w:r>
    </w:p>
    <w:p w14:paraId="67AFA7EA"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en-GB"/>
        </w:rPr>
        <w:t>Goodman-Bacon, A., Goldring, T., Nichols A., (2022). "BACONDECOMP: Stata module to perform a Bacon decomposition of difference-in-differences estimation," Statistical Software Components S458676. Boston College Department of Economics https://ideas.repec.org//c/boc/bocode/s458676.html</w:t>
      </w:r>
    </w:p>
    <w:p w14:paraId="58C9A129" w14:textId="77777777" w:rsidR="002A58EC" w:rsidRPr="00130131" w:rsidRDefault="002A58EC" w:rsidP="002A58EC">
      <w:pPr>
        <w:pStyle w:val="Akapitzlist"/>
        <w:numPr>
          <w:ilvl w:val="0"/>
          <w:numId w:val="81"/>
        </w:numPr>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Greene</w:t>
      </w:r>
      <w:r>
        <w:rPr>
          <w:rFonts w:ascii="Times New Roman" w:hAnsi="Times New Roman" w:cs="Times New Roman"/>
          <w:lang w:val="en-US"/>
        </w:rPr>
        <w:t>,</w:t>
      </w:r>
      <w:r w:rsidRPr="00130131">
        <w:rPr>
          <w:rFonts w:ascii="Times New Roman" w:hAnsi="Times New Roman" w:cs="Times New Roman"/>
          <w:lang w:val="en-US"/>
        </w:rPr>
        <w:t xml:space="preserve"> H.W. (2019)</w:t>
      </w:r>
      <w:r>
        <w:rPr>
          <w:rFonts w:ascii="Times New Roman" w:hAnsi="Times New Roman" w:cs="Times New Roman"/>
          <w:lang w:val="en-US"/>
        </w:rPr>
        <w:t>.</w:t>
      </w:r>
      <w:r w:rsidRPr="00130131">
        <w:rPr>
          <w:rFonts w:ascii="Times New Roman" w:hAnsi="Times New Roman" w:cs="Times New Roman"/>
          <w:lang w:val="en-US"/>
        </w:rPr>
        <w:t xml:space="preserve"> Econometric analysis, 8th edition, Pearson, New York</w:t>
      </w:r>
    </w:p>
    <w:p w14:paraId="4A3883FA"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Greenland, S. (1990). Randomization, statistics, and causal inference. </w:t>
      </w:r>
      <w:r w:rsidRPr="00223386">
        <w:rPr>
          <w:rFonts w:ascii="Times New Roman" w:hAnsi="Times New Roman" w:cs="Times New Roman"/>
        </w:rPr>
        <w:t>Epidemiology, 1(6), 421-429. https://doi.org/10.1097/00001648-199011000-00003</w:t>
      </w:r>
    </w:p>
    <w:p w14:paraId="752BDEBD"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fr-FR"/>
        </w:rPr>
        <w:t xml:space="preserve">Groves, R. M., Fowler Jr, F. J., Couper, M. P., Lepkowski, J. M., Singer, E., Tourangeau, R. (2009). </w:t>
      </w:r>
      <w:r w:rsidRPr="00223386">
        <w:rPr>
          <w:rFonts w:ascii="Times New Roman" w:eastAsia="Aptos" w:hAnsi="Times New Roman" w:cs="Times New Roman"/>
          <w:i/>
          <w:iCs/>
          <w:lang w:val="en-US"/>
        </w:rPr>
        <w:t>Survey Methodology.</w:t>
      </w:r>
      <w:r w:rsidRPr="00223386">
        <w:rPr>
          <w:rFonts w:ascii="Times New Roman" w:eastAsia="Aptos" w:hAnsi="Times New Roman" w:cs="Times New Roman"/>
          <w:lang w:val="en-US"/>
        </w:rPr>
        <w:t xml:space="preserve"> Hoboken, NJ: Wiley.</w:t>
      </w:r>
    </w:p>
    <w:p w14:paraId="2F0CFF75"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lang w:val="de-AT" w:eastAsia="pl-PL"/>
          <w14:ligatures w14:val="none"/>
        </w:rPr>
        <w:t>Guffler</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K., Wittenberg</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M., Kunert</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L., Gräfin zu Eulenburg A. (2023),</w:t>
      </w:r>
      <w:r w:rsidRPr="00130131">
        <w:rPr>
          <w:rFonts w:ascii="Times New Roman" w:eastAsia="Times New Roman" w:hAnsi="Times New Roman" w:cs="Times New Roman"/>
          <w:bCs/>
          <w:iCs/>
          <w:color w:val="222222"/>
          <w:kern w:val="0"/>
          <w:lang w:val="de-AT" w:eastAsia="pl-PL"/>
          <w14:ligatures w14:val="none"/>
        </w:rPr>
        <w:t xml:space="preserve"> </w:t>
      </w:r>
      <w:r w:rsidRPr="00130131">
        <w:rPr>
          <w:rFonts w:ascii="Times New Roman" w:eastAsia="Times New Roman" w:hAnsi="Times New Roman" w:cs="Times New Roman"/>
          <w:bCs/>
          <w:kern w:val="0"/>
          <w:lang w:val="de-AT" w:eastAsia="pl-PL"/>
          <w14:ligatures w14:val="none"/>
        </w:rPr>
        <w:t>Herausforderungen und Erkenntnisse der organisationsübergreifenden Meta-Evaluierung von (Projekt-)Evaluierungen in der deutschen Entwicklungszusammenarbeit,</w:t>
      </w:r>
      <w:r w:rsidRPr="00130131">
        <w:rPr>
          <w:rFonts w:ascii="Times New Roman" w:eastAsia="Times New Roman" w:hAnsi="Times New Roman" w:cs="Times New Roman"/>
          <w:color w:val="222222"/>
          <w:kern w:val="0"/>
          <w:shd w:val="clear" w:color="auto" w:fill="FFFFFF"/>
          <w:lang w:val="de-AT" w:eastAsia="pl-PL"/>
          <w14:ligatures w14:val="none"/>
        </w:rPr>
        <w:t xml:space="preserve"> </w:t>
      </w:r>
      <w:r w:rsidRPr="00130131">
        <w:rPr>
          <w:rFonts w:ascii="Times New Roman" w:eastAsia="Times New Roman" w:hAnsi="Times New Roman" w:cs="Times New Roman"/>
          <w:bCs/>
          <w:kern w:val="0"/>
          <w:lang w:val="de-AT" w:eastAsia="pl-PL"/>
          <w14:ligatures w14:val="none"/>
        </w:rPr>
        <w:t>Zeitschrift für Evaluation, 22(1), 12-38. https://doi.org/10.31244/zfe.2023.01.02</w:t>
      </w:r>
    </w:p>
    <w:p w14:paraId="20B0FCA7"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Guiso</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L. (2012)</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Trust and Insurance Markets, Journal of Economics Notes, 41(1-2), 1-26</w:t>
      </w:r>
    </w:p>
    <w:p w14:paraId="40D961A5"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Hanberger</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A. (2001)</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What is the policy problem? Methodological challenges in policy evaluation, Evaluation, 7(1), 45-62, doi.10.1177/13563890122209513</w:t>
      </w:r>
    </w:p>
    <w:p w14:paraId="6E83BBA6"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Hanberger</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A. (2018)</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Rethinking democratic evaluation for a polarized and mediatized society, Evaluation, 24(4), 382-399, doi.10.1177/1356389018802133</w:t>
      </w:r>
    </w:p>
    <w:p w14:paraId="4EC2BECC"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de-AT"/>
        </w:rPr>
        <w:t>Hanck</w:t>
      </w:r>
      <w:r>
        <w:rPr>
          <w:rFonts w:ascii="Times New Roman" w:hAnsi="Times New Roman" w:cs="Times New Roman"/>
          <w:lang w:val="de-AT"/>
        </w:rPr>
        <w:t>,</w:t>
      </w:r>
      <w:r w:rsidRPr="00223386">
        <w:rPr>
          <w:rFonts w:ascii="Times New Roman" w:hAnsi="Times New Roman" w:cs="Times New Roman"/>
          <w:lang w:val="de-AT"/>
        </w:rPr>
        <w:t xml:space="preserve"> C</w:t>
      </w:r>
      <w:r>
        <w:rPr>
          <w:rFonts w:ascii="Times New Roman" w:hAnsi="Times New Roman" w:cs="Times New Roman"/>
          <w:lang w:val="de-AT"/>
        </w:rPr>
        <w:t>.</w:t>
      </w:r>
      <w:r w:rsidRPr="00223386">
        <w:rPr>
          <w:rFonts w:ascii="Times New Roman" w:hAnsi="Times New Roman" w:cs="Times New Roman"/>
          <w:lang w:val="de-AT"/>
        </w:rPr>
        <w:t>, Arnold</w:t>
      </w:r>
      <w:r>
        <w:rPr>
          <w:rFonts w:ascii="Times New Roman" w:hAnsi="Times New Roman" w:cs="Times New Roman"/>
          <w:lang w:val="de-AT"/>
        </w:rPr>
        <w:t>,</w:t>
      </w:r>
      <w:r w:rsidRPr="00223386">
        <w:rPr>
          <w:rFonts w:ascii="Times New Roman" w:hAnsi="Times New Roman" w:cs="Times New Roman"/>
          <w:lang w:val="de-AT"/>
        </w:rPr>
        <w:t xml:space="preserve"> M</w:t>
      </w:r>
      <w:r>
        <w:rPr>
          <w:rFonts w:ascii="Times New Roman" w:hAnsi="Times New Roman" w:cs="Times New Roman"/>
          <w:lang w:val="de-AT"/>
        </w:rPr>
        <w:t>.</w:t>
      </w:r>
      <w:r w:rsidRPr="00223386">
        <w:rPr>
          <w:rFonts w:ascii="Times New Roman" w:hAnsi="Times New Roman" w:cs="Times New Roman"/>
          <w:lang w:val="de-AT"/>
        </w:rPr>
        <w:t>, Gerber</w:t>
      </w:r>
      <w:r>
        <w:rPr>
          <w:rFonts w:ascii="Times New Roman" w:hAnsi="Times New Roman" w:cs="Times New Roman"/>
          <w:lang w:val="de-AT"/>
        </w:rPr>
        <w:t>,</w:t>
      </w:r>
      <w:r w:rsidRPr="00223386">
        <w:rPr>
          <w:rFonts w:ascii="Times New Roman" w:hAnsi="Times New Roman" w:cs="Times New Roman"/>
          <w:lang w:val="de-AT"/>
        </w:rPr>
        <w:t xml:space="preserve"> A</w:t>
      </w:r>
      <w:r>
        <w:rPr>
          <w:rFonts w:ascii="Times New Roman" w:hAnsi="Times New Roman" w:cs="Times New Roman"/>
          <w:lang w:val="de-AT"/>
        </w:rPr>
        <w:t>.</w:t>
      </w:r>
      <w:r w:rsidRPr="00223386">
        <w:rPr>
          <w:rFonts w:ascii="Times New Roman" w:hAnsi="Times New Roman" w:cs="Times New Roman"/>
          <w:lang w:val="de-AT"/>
        </w:rPr>
        <w:t>, Schmelzer</w:t>
      </w:r>
      <w:r>
        <w:rPr>
          <w:rFonts w:ascii="Times New Roman" w:hAnsi="Times New Roman" w:cs="Times New Roman"/>
          <w:lang w:val="de-AT"/>
        </w:rPr>
        <w:t>,</w:t>
      </w:r>
      <w:r w:rsidRPr="00223386">
        <w:rPr>
          <w:rFonts w:ascii="Times New Roman" w:hAnsi="Times New Roman" w:cs="Times New Roman"/>
          <w:lang w:val="de-AT"/>
        </w:rPr>
        <w:t xml:space="preserve"> M.  </w:t>
      </w:r>
      <w:r w:rsidRPr="00223386">
        <w:rPr>
          <w:rFonts w:ascii="Times New Roman" w:hAnsi="Times New Roman" w:cs="Times New Roman"/>
          <w:lang w:val="en-GB"/>
        </w:rPr>
        <w:t>(2024). Introduction to econometrics with R. Essen, Germany: University of Duisburg-Essen, Department of Business Administration and Economics, Chair of Econometrics.</w:t>
      </w:r>
    </w:p>
    <w:p w14:paraId="201E7CBE"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Hansen</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H.F. (2005)</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Choosing evaluation models: A discussion on evaluation design, Evaluation, 11(4), 447-462, doi.10.1177/1356389005060265</w:t>
      </w:r>
    </w:p>
    <w:p w14:paraId="4CA43653"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lang w:val="en-GB"/>
        </w:rPr>
        <w:t>Hansen, B. B. (2015). Optimal full matching for survival outcomes: A method that merits more widespread use. Statistics in Medicine, 34(30), 3949-3967. https://doi.org/10.1002/sim.6602</w:t>
      </w:r>
    </w:p>
    <w:p w14:paraId="52C4FBEC"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eastAsia="pl-PL"/>
          <w14:ligatures w14:val="none"/>
        </w:rPr>
      </w:pPr>
      <w:r w:rsidRPr="00223386">
        <w:rPr>
          <w:rFonts w:ascii="Times New Roman" w:eastAsia="Times New Roman" w:hAnsi="Times New Roman" w:cs="Times New Roman"/>
          <w:bCs/>
          <w:kern w:val="0"/>
          <w:lang w:val="en-US" w:eastAsia="pl-PL"/>
          <w14:ligatures w14:val="none"/>
        </w:rPr>
        <w:t xml:space="preserve">Hazell, P., Varangis, P. (2020). Best practices for subsidizing agricultural insurance. </w:t>
      </w:r>
      <w:r w:rsidRPr="00223386">
        <w:rPr>
          <w:rFonts w:ascii="Times New Roman" w:eastAsia="Times New Roman" w:hAnsi="Times New Roman" w:cs="Times New Roman"/>
          <w:bCs/>
          <w:i/>
          <w:kern w:val="0"/>
          <w:lang w:val="en-US" w:eastAsia="pl-PL"/>
          <w14:ligatures w14:val="none"/>
        </w:rPr>
        <w:t>Global Food Security</w:t>
      </w:r>
      <w:r w:rsidRPr="00223386">
        <w:rPr>
          <w:rFonts w:ascii="Times New Roman" w:eastAsia="Times New Roman" w:hAnsi="Times New Roman" w:cs="Times New Roman"/>
          <w:bCs/>
          <w:kern w:val="0"/>
          <w:lang w:val="en-US" w:eastAsia="pl-PL"/>
          <w14:ligatures w14:val="none"/>
        </w:rPr>
        <w:t>, 25, 100326.</w:t>
      </w:r>
      <w:r w:rsidRPr="00223386">
        <w:rPr>
          <w:rFonts w:ascii="Times New Roman" w:eastAsia="Times New Roman" w:hAnsi="Times New Roman" w:cs="Times New Roman"/>
          <w:bCs/>
          <w:kern w:val="0"/>
          <w:lang w:eastAsia="pl-PL"/>
          <w14:ligatures w14:val="none"/>
        </w:rPr>
        <w:t xml:space="preserve"> </w:t>
      </w:r>
      <w:hyperlink r:id="rId333" w:tgtFrame="_blank" w:tooltip="Trwałe łącze wykorzystujące cyfrowy identyfikator obiektu" w:history="1">
        <w:r w:rsidRPr="00223386">
          <w:rPr>
            <w:rFonts w:ascii="Times New Roman" w:eastAsia="Times New Roman" w:hAnsi="Times New Roman" w:cs="Times New Roman"/>
            <w:bCs/>
            <w:kern w:val="0"/>
            <w:lang w:val="en-US" w:eastAsia="pl-PL"/>
            <w14:ligatures w14:val="none"/>
          </w:rPr>
          <w:t>https://doi.org/10.1016/j.gfs.2019.100326</w:t>
        </w:r>
      </w:hyperlink>
      <w:r w:rsidRPr="00223386">
        <w:rPr>
          <w:rFonts w:ascii="Times New Roman" w:eastAsia="Times New Roman" w:hAnsi="Times New Roman" w:cs="Times New Roman"/>
          <w:bCs/>
          <w:kern w:val="0"/>
          <w:lang w:val="en-US" w:eastAsia="pl-PL"/>
          <w14:ligatures w14:val="none"/>
        </w:rPr>
        <w:t xml:space="preserve"> </w:t>
      </w:r>
    </w:p>
    <w:p w14:paraId="6A016A8B"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lastRenderedPageBreak/>
        <w:t>Heckman</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J.J. (1997)</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Instrumental Variables: A study of the Implicit Assumptions Under- lying One Widely Used Estimator For Program Evaluation, Journal of Human Resources, 32, 441-461, doi.org/stables/146178</w:t>
      </w:r>
    </w:p>
    <w:p w14:paraId="53614038"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Heckman</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J.J., Ichimura</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H., Todd</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E.P. (1997)</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Matching as an Econometric Evaluation Estimator: Evidence from Evaluating a Job Training Programme, The Review of Economic Studies, 64(4), 60-5-654, doi.org/stable/2971733</w:t>
      </w:r>
    </w:p>
    <w:p w14:paraId="54E9897F"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Heckman</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J.J., Smith</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J. (1997)</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Evaluating The Welfare State, in: Strom S. (ed.), Frish Centenary, Cambridge University Press, Cambridge</w:t>
      </w:r>
    </w:p>
    <w:p w14:paraId="1E4CAF38"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Heckman</w:t>
      </w:r>
      <w:r>
        <w:rPr>
          <w:rFonts w:ascii="Times New Roman" w:hAnsi="Times New Roman" w:cs="Times New Roman"/>
          <w:lang w:val="en-US"/>
        </w:rPr>
        <w:t>,</w:t>
      </w:r>
      <w:r w:rsidRPr="00130131">
        <w:rPr>
          <w:rFonts w:ascii="Times New Roman" w:hAnsi="Times New Roman" w:cs="Times New Roman"/>
          <w:lang w:val="en-US"/>
        </w:rPr>
        <w:t xml:space="preserve"> J.J., Vytlatil</w:t>
      </w:r>
      <w:r>
        <w:rPr>
          <w:rFonts w:ascii="Times New Roman" w:hAnsi="Times New Roman" w:cs="Times New Roman"/>
          <w:lang w:val="en-US"/>
        </w:rPr>
        <w:t>,</w:t>
      </w:r>
      <w:r w:rsidRPr="00130131">
        <w:rPr>
          <w:rFonts w:ascii="Times New Roman" w:hAnsi="Times New Roman" w:cs="Times New Roman"/>
          <w:lang w:val="en-US"/>
        </w:rPr>
        <w:t xml:space="preserve"> E.J. (1999)</w:t>
      </w:r>
      <w:r>
        <w:rPr>
          <w:rFonts w:ascii="Times New Roman" w:hAnsi="Times New Roman" w:cs="Times New Roman"/>
          <w:lang w:val="en-US"/>
        </w:rPr>
        <w:t>.</w:t>
      </w:r>
      <w:r w:rsidRPr="00130131">
        <w:rPr>
          <w:rFonts w:ascii="Times New Roman" w:hAnsi="Times New Roman" w:cs="Times New Roman"/>
          <w:lang w:val="en-US"/>
        </w:rPr>
        <w:t xml:space="preserve"> Local Instrumental Variables and Latent Variable Models for Identifying and Bounding Treatment Effects, Proceedings of the National Academy of Sciences of the United States of America, 96, 4730-4734</w:t>
      </w:r>
    </w:p>
    <w:p w14:paraId="7EEAC843"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Heckman</w:t>
      </w:r>
      <w:r>
        <w:rPr>
          <w:rFonts w:ascii="Times New Roman" w:hAnsi="Times New Roman" w:cs="Times New Roman"/>
          <w:lang w:val="en-US"/>
        </w:rPr>
        <w:t>,</w:t>
      </w:r>
      <w:r w:rsidRPr="00130131">
        <w:rPr>
          <w:rFonts w:ascii="Times New Roman" w:hAnsi="Times New Roman" w:cs="Times New Roman"/>
          <w:lang w:val="en-US"/>
        </w:rPr>
        <w:t xml:space="preserve"> J.J., Vytlatil</w:t>
      </w:r>
      <w:r>
        <w:rPr>
          <w:rFonts w:ascii="Times New Roman" w:hAnsi="Times New Roman" w:cs="Times New Roman"/>
          <w:lang w:val="en-US"/>
        </w:rPr>
        <w:t>,</w:t>
      </w:r>
      <w:r w:rsidRPr="00130131">
        <w:rPr>
          <w:rFonts w:ascii="Times New Roman" w:hAnsi="Times New Roman" w:cs="Times New Roman"/>
          <w:lang w:val="en-US"/>
        </w:rPr>
        <w:t xml:space="preserve"> EJ. (2001)</w:t>
      </w:r>
      <w:r>
        <w:rPr>
          <w:rFonts w:ascii="Times New Roman" w:hAnsi="Times New Roman" w:cs="Times New Roman"/>
          <w:lang w:val="en-US"/>
        </w:rPr>
        <w:t>.</w:t>
      </w:r>
      <w:r w:rsidRPr="00130131">
        <w:rPr>
          <w:rFonts w:ascii="Times New Roman" w:hAnsi="Times New Roman" w:cs="Times New Roman"/>
          <w:lang w:val="en-US"/>
        </w:rPr>
        <w:t xml:space="preserve"> Policy-Relevant Treatment Effects, American Economic Review, 91, 107-111</w:t>
      </w:r>
    </w:p>
    <w:p w14:paraId="12F844DE" w14:textId="77777777"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lang w:val="en-GB"/>
        </w:rPr>
      </w:pPr>
      <w:r w:rsidRPr="00223386">
        <w:rPr>
          <w:rFonts w:ascii="Times New Roman" w:eastAsia="Aptos" w:hAnsi="Times New Roman" w:cs="Times New Roman"/>
          <w:lang w:val="en-GB"/>
        </w:rPr>
        <w:t>Heckman, J. J., Ichimura, H.,  Todd, P. E. (1998). Matching as an econometric evaluation estimator. The review of economic studies, 65(2), 261-294.</w:t>
      </w:r>
    </w:p>
    <w:p w14:paraId="5976A142"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lang w:val="en-GB"/>
        </w:rPr>
        <w:t>Heinz</w:t>
      </w:r>
      <w:r>
        <w:rPr>
          <w:rFonts w:ascii="Times New Roman" w:hAnsi="Times New Roman" w:cs="Times New Roman"/>
          <w:lang w:val="en-GB"/>
        </w:rPr>
        <w:t>,</w:t>
      </w:r>
      <w:r w:rsidRPr="00223386">
        <w:rPr>
          <w:rFonts w:ascii="Times New Roman" w:hAnsi="Times New Roman" w:cs="Times New Roman"/>
          <w:lang w:val="en-GB"/>
        </w:rPr>
        <w:t xml:space="preserve">  P.,  Held, U. (2024). Impact of the matching algorithm on the treatment effect estimate: A neutral comparison study. Biometrical Journal. https://doi.org/10.1002/bimj.202100292</w:t>
      </w:r>
    </w:p>
    <w:p w14:paraId="37154C0D"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Hennessy</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S.A. (1998)</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Risk market innovations and choice, International Review of Economics and Finance, vol. 7, no. 3, 331-341</w:t>
      </w:r>
    </w:p>
    <w:p w14:paraId="471357DA" w14:textId="77777777" w:rsidR="002A58EC" w:rsidRPr="00130131" w:rsidRDefault="002A58EC" w:rsidP="002A58EC">
      <w:pPr>
        <w:pStyle w:val="Akapitzlist"/>
        <w:numPr>
          <w:ilvl w:val="0"/>
          <w:numId w:val="81"/>
        </w:numPr>
        <w:tabs>
          <w:tab w:val="num" w:pos="360"/>
        </w:tabs>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000000"/>
          <w:kern w:val="36"/>
          <w:lang w:val="en-US" w:eastAsia="pl-PL"/>
          <w14:ligatures w14:val="none"/>
        </w:rPr>
        <w:t>Henrich</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xml:space="preserve"> J., Boyd</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xml:space="preserve"> R., Bowles</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xml:space="preserve"> S., Camerer</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xml:space="preserve"> C., Fehr</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xml:space="preserve"> E., Gintis</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xml:space="preserve"> H., McElreath</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xml:space="preserve"> R., In search of homo economics: behavioral experiments in 15 small-scale societes, American Economic Review,91</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2</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2001.</w:t>
      </w:r>
    </w:p>
    <w:p w14:paraId="4C1E2AD3"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Henschen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 (2018)</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The in-principle inconclusiveness of causal evidence in macroeconomics, European Journal of the Philosophy of Science, 8(3), 709-733, doi: 10.1007/s13194-018-0207-7</w:t>
      </w:r>
    </w:p>
    <w:p w14:paraId="3C5DB852"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Herman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M.A., Robins</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J.M. (2023)</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Causal inference, CRC, Boc Ratol, London, New York</w:t>
      </w:r>
    </w:p>
    <w:p w14:paraId="7274E931"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Hewitson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M. (2014)</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History and Causality, Palgrave Macmillan, London</w:t>
      </w:r>
    </w:p>
    <w:p w14:paraId="0A2300FA" w14:textId="77777777" w:rsidR="002A58EC" w:rsidRPr="00130131" w:rsidRDefault="002A58EC" w:rsidP="002A58EC">
      <w:pPr>
        <w:pStyle w:val="Akapitzlist"/>
        <w:numPr>
          <w:ilvl w:val="0"/>
          <w:numId w:val="81"/>
        </w:numPr>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Hill</w:t>
      </w:r>
      <w:r>
        <w:rPr>
          <w:rFonts w:ascii="Times New Roman" w:hAnsi="Times New Roman" w:cs="Times New Roman"/>
          <w:lang w:val="en-US"/>
        </w:rPr>
        <w:t>,</w:t>
      </w:r>
      <w:r w:rsidRPr="00130131">
        <w:rPr>
          <w:rFonts w:ascii="Times New Roman" w:hAnsi="Times New Roman" w:cs="Times New Roman"/>
          <w:lang w:val="en-US"/>
        </w:rPr>
        <w:t xml:space="preserve"> C.R., Griffiths</w:t>
      </w:r>
      <w:r>
        <w:rPr>
          <w:rFonts w:ascii="Times New Roman" w:hAnsi="Times New Roman" w:cs="Times New Roman"/>
          <w:lang w:val="en-US"/>
        </w:rPr>
        <w:t>,</w:t>
      </w:r>
      <w:r w:rsidRPr="00130131">
        <w:rPr>
          <w:rFonts w:ascii="Times New Roman" w:hAnsi="Times New Roman" w:cs="Times New Roman"/>
          <w:lang w:val="en-US"/>
        </w:rPr>
        <w:t xml:space="preserve"> E.W., Lim</w:t>
      </w:r>
      <w:r>
        <w:rPr>
          <w:rFonts w:ascii="Times New Roman" w:hAnsi="Times New Roman" w:cs="Times New Roman"/>
          <w:lang w:val="en-US"/>
        </w:rPr>
        <w:t>,</w:t>
      </w:r>
      <w:r w:rsidRPr="00130131">
        <w:rPr>
          <w:rFonts w:ascii="Times New Roman" w:hAnsi="Times New Roman" w:cs="Times New Roman"/>
          <w:lang w:val="en-US"/>
        </w:rPr>
        <w:t xml:space="preserve"> C.G. (2018)</w:t>
      </w:r>
      <w:r>
        <w:rPr>
          <w:rFonts w:ascii="Times New Roman" w:hAnsi="Times New Roman" w:cs="Times New Roman"/>
          <w:lang w:val="en-US"/>
        </w:rPr>
        <w:t>.</w:t>
      </w:r>
      <w:r w:rsidRPr="00130131">
        <w:rPr>
          <w:rFonts w:ascii="Times New Roman" w:hAnsi="Times New Roman" w:cs="Times New Roman"/>
          <w:lang w:val="en-US"/>
        </w:rPr>
        <w:t xml:space="preserve"> Principles of econometrics, international student version, 5th edition, Viley, New York</w:t>
      </w:r>
    </w:p>
    <w:p w14:paraId="7BE93A2D"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Hill, M., Hupe, P. (2009). </w:t>
      </w:r>
      <w:r w:rsidRPr="00223386">
        <w:rPr>
          <w:rFonts w:ascii="Times New Roman" w:eastAsia="Aptos" w:hAnsi="Times New Roman" w:cs="Times New Roman"/>
          <w:i/>
          <w:iCs/>
          <w:lang w:val="en-US"/>
        </w:rPr>
        <w:t>Implementing Public Policy: An Introduction to the Study of Operational Governance</w:t>
      </w:r>
      <w:r w:rsidRPr="00223386">
        <w:rPr>
          <w:rFonts w:ascii="Times New Roman" w:eastAsia="Aptos" w:hAnsi="Times New Roman" w:cs="Times New Roman"/>
          <w:lang w:val="en-US"/>
        </w:rPr>
        <w:t>. Thousand Oaks, CA: SAGE Publications.</w:t>
      </w:r>
    </w:p>
    <w:p w14:paraId="3D69DBDD"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US"/>
        </w:rPr>
      </w:pPr>
      <w:r w:rsidRPr="00223386">
        <w:rPr>
          <w:rFonts w:ascii="Times New Roman" w:hAnsi="Times New Roman" w:cs="Times New Roman"/>
          <w:lang w:val="de-AT"/>
        </w:rPr>
        <w:t>Hirano</w:t>
      </w:r>
      <w:r>
        <w:rPr>
          <w:rFonts w:ascii="Times New Roman" w:hAnsi="Times New Roman" w:cs="Times New Roman"/>
          <w:lang w:val="de-AT"/>
        </w:rPr>
        <w:t>,</w:t>
      </w:r>
      <w:r w:rsidRPr="00223386">
        <w:rPr>
          <w:rFonts w:ascii="Times New Roman" w:hAnsi="Times New Roman" w:cs="Times New Roman"/>
          <w:lang w:val="de-AT"/>
        </w:rPr>
        <w:t xml:space="preserve"> K.  Imbens</w:t>
      </w:r>
      <w:r>
        <w:rPr>
          <w:rFonts w:ascii="Times New Roman" w:hAnsi="Times New Roman" w:cs="Times New Roman"/>
          <w:lang w:val="de-AT"/>
        </w:rPr>
        <w:t>,</w:t>
      </w:r>
      <w:r w:rsidRPr="00223386">
        <w:rPr>
          <w:rFonts w:ascii="Times New Roman" w:hAnsi="Times New Roman" w:cs="Times New Roman"/>
          <w:lang w:val="de-AT"/>
        </w:rPr>
        <w:t xml:space="preserve"> G.W. (2004). </w:t>
      </w:r>
      <w:r w:rsidRPr="00223386">
        <w:rPr>
          <w:rFonts w:ascii="Times New Roman" w:hAnsi="Times New Roman" w:cs="Times New Roman"/>
          <w:lang w:val="en-US"/>
        </w:rPr>
        <w:t>The propensity score with continuous treatments. Applied Bayesian Modeling and Causal Inference from Incomplete-Data Perspectives, 226164, 73–84.</w:t>
      </w:r>
    </w:p>
    <w:p w14:paraId="21248F85" w14:textId="2EB3F358"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rPr>
      </w:pPr>
      <w:r w:rsidRPr="00223386">
        <w:rPr>
          <w:rFonts w:ascii="Times New Roman" w:eastAsia="Aptos" w:hAnsi="Times New Roman" w:cs="Times New Roman"/>
          <w:lang w:val="en-GB"/>
        </w:rPr>
        <w:t xml:space="preserve">Hirano, K., Imbens, G. W., Ridder, G. (2003). Efficient estimation of average treatment effects using the estimated propensity score. </w:t>
      </w:r>
      <w:r w:rsidRPr="00223386">
        <w:rPr>
          <w:rFonts w:ascii="Times New Roman" w:eastAsia="Aptos" w:hAnsi="Times New Roman" w:cs="Times New Roman"/>
        </w:rPr>
        <w:t>Econometrica, 71(4), 1161-1189.  https://doi.org/10.1111/1468-0262.00442</w:t>
      </w:r>
    </w:p>
    <w:p w14:paraId="12A299D1"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Hitchcock</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Ch. (2018)</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Causal Models, in: Zalta E.N. (ed.), The Stanford Encyclopedia of Philosophy, Stanford University, Los Angeles</w:t>
      </w:r>
    </w:p>
    <w:p w14:paraId="02F398C2"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Holister</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R. (2003)</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The growth in after-school programs and their impact, Brooking Institute, dostęp: 29.07.2023</w:t>
      </w:r>
    </w:p>
    <w:p w14:paraId="5637F5EF"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en-GB"/>
        </w:rPr>
        <w:t>Holland, P. W. (1986). Statistics and causal inference. Journal of the American Statistical Association, 81(396), 945-960. https://doi.org/10.2307/2289064</w:t>
      </w:r>
    </w:p>
    <w:p w14:paraId="3BE2B927"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de-AT"/>
        </w:rPr>
        <w:lastRenderedPageBreak/>
        <w:t xml:space="preserve">Holland, P. W., Rubin, D. B. (1987). </w:t>
      </w:r>
      <w:r w:rsidRPr="00223386">
        <w:rPr>
          <w:rFonts w:ascii="Times New Roman" w:hAnsi="Times New Roman" w:cs="Times New Roman"/>
          <w:lang w:val="en-GB"/>
        </w:rPr>
        <w:t xml:space="preserve">Causal inference in retrospective studies. </w:t>
      </w:r>
      <w:r w:rsidRPr="00223386">
        <w:rPr>
          <w:rFonts w:ascii="Times New Roman" w:hAnsi="Times New Roman" w:cs="Times New Roman"/>
        </w:rPr>
        <w:t>Evaluation Review 12(3), 203-231. https://doi.org/10.1002/j.2330-8516. 1987.tb00211.x</w:t>
      </w:r>
    </w:p>
    <w:p w14:paraId="03E5EA28"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020436">
        <w:rPr>
          <w:rFonts w:ascii="Times New Roman" w:eastAsia="Times New Roman" w:hAnsi="Times New Roman" w:cs="Times New Roman"/>
          <w:spacing w:val="2"/>
          <w:kern w:val="0"/>
          <w:lang w:val="de-AT" w:eastAsia="pl-PL"/>
          <w14:ligatures w14:val="none"/>
        </w:rPr>
        <w:t xml:space="preserve">Horovitz, J.K., Lichtenberg, E. (1993). </w:t>
      </w:r>
      <w:r w:rsidRPr="00130131">
        <w:rPr>
          <w:rFonts w:ascii="Times New Roman" w:eastAsia="Times New Roman" w:hAnsi="Times New Roman" w:cs="Times New Roman"/>
          <w:spacing w:val="2"/>
          <w:kern w:val="0"/>
          <w:lang w:val="en-US" w:eastAsia="pl-PL"/>
          <w14:ligatures w14:val="none"/>
        </w:rPr>
        <w:t>Insurance, moral hazard, and chemical use in agriculture, American Journal of Agricultural Economics, 75, 926-935</w:t>
      </w:r>
    </w:p>
    <w:p w14:paraId="2654C3F8" w14:textId="77777777" w:rsidR="002A58EC" w:rsidRPr="00130131" w:rsidRDefault="002A58EC" w:rsidP="002A58EC">
      <w:pPr>
        <w:pStyle w:val="Akapitzlist"/>
        <w:numPr>
          <w:ilvl w:val="0"/>
          <w:numId w:val="81"/>
        </w:numPr>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https://bcallaway11.github.io/did/ https://doi.org/10.7910/DVN/TXB0ZO</w:t>
      </w:r>
    </w:p>
    <w:p w14:paraId="1CEEC6DB"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Hubbard, D. W. (2009). </w:t>
      </w:r>
      <w:r w:rsidRPr="00223386">
        <w:rPr>
          <w:rFonts w:ascii="Times New Roman" w:eastAsia="Aptos" w:hAnsi="Times New Roman" w:cs="Times New Roman"/>
          <w:i/>
          <w:iCs/>
          <w:lang w:val="en-US"/>
        </w:rPr>
        <w:t xml:space="preserve">The Failure of Risk Management: Why It's Broken and How to Fix It. </w:t>
      </w:r>
      <w:r w:rsidRPr="00223386">
        <w:rPr>
          <w:rFonts w:ascii="Times New Roman" w:eastAsia="Aptos" w:hAnsi="Times New Roman" w:cs="Times New Roman"/>
          <w:lang w:val="en-US"/>
        </w:rPr>
        <w:t>Hoboken, NJ: John Wiley &amp; Sons.</w:t>
      </w:r>
    </w:p>
    <w:p w14:paraId="769B0AD3"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hyperlink r:id="rId334" w:tooltip="Jennifer E Ifft" w:history="1">
        <w:r w:rsidRPr="00223386">
          <w:rPr>
            <w:rFonts w:ascii="Times New Roman" w:eastAsia="Times New Roman" w:hAnsi="Times New Roman" w:cs="Times New Roman"/>
            <w:bCs/>
            <w:kern w:val="0"/>
            <w:lang w:val="en-US" w:eastAsia="pl-PL"/>
            <w14:ligatures w14:val="none"/>
          </w:rPr>
          <w:t>Ifft, J.E.</w:t>
        </w:r>
      </w:hyperlink>
      <w:r w:rsidRPr="00223386">
        <w:rPr>
          <w:rFonts w:ascii="Times New Roman" w:eastAsia="Times New Roman" w:hAnsi="Times New Roman" w:cs="Times New Roman"/>
          <w:bCs/>
          <w:kern w:val="0"/>
          <w:lang w:val="en-US" w:eastAsia="pl-PL"/>
          <w14:ligatures w14:val="none"/>
        </w:rPr>
        <w:t>, </w:t>
      </w:r>
      <w:hyperlink r:id="rId335" w:tooltip="Todd Kuethe" w:history="1">
        <w:r w:rsidRPr="00223386">
          <w:rPr>
            <w:rFonts w:ascii="Times New Roman" w:eastAsia="Times New Roman" w:hAnsi="Times New Roman" w:cs="Times New Roman"/>
            <w:bCs/>
            <w:kern w:val="0"/>
            <w:lang w:val="en-US" w:eastAsia="pl-PL"/>
            <w14:ligatures w14:val="none"/>
          </w:rPr>
          <w:t>Kuethe, T.</w:t>
        </w:r>
      </w:hyperlink>
      <w:r w:rsidRPr="00223386">
        <w:rPr>
          <w:rFonts w:ascii="Times New Roman" w:eastAsia="Times New Roman" w:hAnsi="Times New Roman" w:cs="Times New Roman"/>
          <w:bCs/>
          <w:kern w:val="0"/>
          <w:lang w:val="en-US" w:eastAsia="pl-PL"/>
          <w14:ligatures w14:val="none"/>
        </w:rPr>
        <w:t>, </w:t>
      </w:r>
      <w:hyperlink r:id="rId336" w:tooltip="Mitch Morehart" w:history="1">
        <w:r w:rsidRPr="00223386">
          <w:rPr>
            <w:rFonts w:ascii="Times New Roman" w:eastAsia="Times New Roman" w:hAnsi="Times New Roman" w:cs="Times New Roman"/>
            <w:bCs/>
            <w:kern w:val="0"/>
            <w:lang w:val="en-US" w:eastAsia="pl-PL"/>
            <w14:ligatures w14:val="none"/>
          </w:rPr>
          <w:t>Morehart, M.</w:t>
        </w:r>
      </w:hyperlink>
      <w:r w:rsidRPr="00223386">
        <w:rPr>
          <w:rFonts w:ascii="Times New Roman" w:eastAsia="Times New Roman" w:hAnsi="Times New Roman" w:cs="Times New Roman"/>
          <w:bCs/>
          <w:kern w:val="0"/>
          <w:lang w:val="en-US" w:eastAsia="pl-PL"/>
          <w14:ligatures w14:val="none"/>
        </w:rPr>
        <w:t> (2015)</w:t>
      </w:r>
      <w:r>
        <w:rPr>
          <w:rFonts w:ascii="Times New Roman" w:eastAsia="Times New Roman" w:hAnsi="Times New Roman" w:cs="Times New Roman"/>
          <w:bCs/>
          <w:kern w:val="0"/>
          <w:lang w:val="en-US" w:eastAsia="pl-PL"/>
          <w14:ligatures w14:val="none"/>
        </w:rPr>
        <w:t>.</w:t>
      </w:r>
      <w:r w:rsidRPr="00223386">
        <w:rPr>
          <w:rFonts w:ascii="Times New Roman" w:eastAsia="Times New Roman" w:hAnsi="Times New Roman" w:cs="Times New Roman"/>
          <w:bCs/>
          <w:kern w:val="0"/>
          <w:lang w:val="en-US" w:eastAsia="pl-PL"/>
          <w14:ligatures w14:val="none"/>
        </w:rPr>
        <w:t xml:space="preserve"> Does federal crop insurance lead to higher farm debt use? Evidence from the Agricultural Resource Management Survey (ARMS). </w:t>
      </w:r>
      <w:hyperlink r:id="rId337" w:history="1">
        <w:r w:rsidRPr="00223386">
          <w:rPr>
            <w:rFonts w:ascii="Times New Roman" w:eastAsia="Times New Roman" w:hAnsi="Times New Roman" w:cs="Times New Roman"/>
            <w:bCs/>
            <w:i/>
            <w:kern w:val="0"/>
            <w:lang w:val="en-US" w:eastAsia="pl-PL"/>
            <w14:ligatures w14:val="none"/>
          </w:rPr>
          <w:t>Agricultural Finance Review</w:t>
        </w:r>
      </w:hyperlink>
      <w:r w:rsidRPr="00223386">
        <w:rPr>
          <w:rFonts w:ascii="Times New Roman" w:eastAsia="Times New Roman" w:hAnsi="Times New Roman" w:cs="Times New Roman"/>
          <w:bCs/>
          <w:kern w:val="0"/>
          <w:lang w:val="en-US" w:eastAsia="pl-PL"/>
          <w14:ligatures w14:val="none"/>
        </w:rPr>
        <w:t>, 75(3), p. 349-367. </w:t>
      </w:r>
      <w:hyperlink r:id="rId338" w:tooltip="DOI: https://doi.org/10.1108/AFR-06-2014-0017" w:history="1">
        <w:r w:rsidRPr="00223386">
          <w:rPr>
            <w:rFonts w:ascii="Times New Roman" w:eastAsia="Times New Roman" w:hAnsi="Times New Roman" w:cs="Times New Roman"/>
            <w:bCs/>
            <w:kern w:val="0"/>
            <w:lang w:val="en-US" w:eastAsia="pl-PL"/>
            <w14:ligatures w14:val="none"/>
          </w:rPr>
          <w:t>https://doi.org/10.1108/AFR-06-2014-0017</w:t>
        </w:r>
      </w:hyperlink>
    </w:p>
    <w:p w14:paraId="34FB43ED"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US"/>
        </w:rPr>
      </w:pPr>
      <w:r w:rsidRPr="00223386">
        <w:rPr>
          <w:rFonts w:ascii="Times New Roman" w:hAnsi="Times New Roman" w:cs="Times New Roman"/>
          <w:lang w:val="en-US"/>
        </w:rPr>
        <w:t>Imai</w:t>
      </w:r>
      <w:r>
        <w:rPr>
          <w:rFonts w:ascii="Times New Roman" w:hAnsi="Times New Roman" w:cs="Times New Roman"/>
          <w:lang w:val="en-US"/>
        </w:rPr>
        <w:t>,</w:t>
      </w:r>
      <w:r w:rsidRPr="00223386">
        <w:rPr>
          <w:rFonts w:ascii="Times New Roman" w:hAnsi="Times New Roman" w:cs="Times New Roman"/>
          <w:lang w:val="en-US"/>
        </w:rPr>
        <w:t xml:space="preserve"> K.  Van Dyk</w:t>
      </w:r>
      <w:r>
        <w:rPr>
          <w:rFonts w:ascii="Times New Roman" w:hAnsi="Times New Roman" w:cs="Times New Roman"/>
          <w:lang w:val="en-US"/>
        </w:rPr>
        <w:t>,</w:t>
      </w:r>
      <w:r w:rsidRPr="00223386">
        <w:rPr>
          <w:rFonts w:ascii="Times New Roman" w:hAnsi="Times New Roman" w:cs="Times New Roman"/>
          <w:lang w:val="en-US"/>
        </w:rPr>
        <w:t xml:space="preserve"> D.A. (2004)</w:t>
      </w:r>
      <w:r>
        <w:rPr>
          <w:rFonts w:ascii="Times New Roman" w:hAnsi="Times New Roman" w:cs="Times New Roman"/>
          <w:lang w:val="en-US"/>
        </w:rPr>
        <w:t>.</w:t>
      </w:r>
      <w:r w:rsidRPr="00223386">
        <w:rPr>
          <w:rFonts w:ascii="Times New Roman" w:hAnsi="Times New Roman" w:cs="Times New Roman"/>
          <w:lang w:val="en-US"/>
        </w:rPr>
        <w:t xml:space="preserve"> Causal inference with general treatment regimes: generalizing the propensity score. Journal of the American Statistical Association, 99(467), 854–866.</w:t>
      </w:r>
    </w:p>
    <w:p w14:paraId="2669BDEE" w14:textId="77777777"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rPr>
      </w:pPr>
      <w:r w:rsidRPr="00223386">
        <w:rPr>
          <w:rFonts w:ascii="Times New Roman" w:eastAsia="Aptos" w:hAnsi="Times New Roman" w:cs="Times New Roman"/>
          <w:lang w:val="de-AT"/>
        </w:rPr>
        <w:t xml:space="preserve">Imai, K., Kim, I. S., Wang, E. H. (2023). </w:t>
      </w:r>
      <w:r w:rsidRPr="00223386">
        <w:rPr>
          <w:rFonts w:ascii="Times New Roman" w:eastAsia="Aptos" w:hAnsi="Times New Roman" w:cs="Times New Roman"/>
          <w:lang w:val="en-GB"/>
        </w:rPr>
        <w:t xml:space="preserve">Matching methods for causal inference with time‐series cross‐sectional data. </w:t>
      </w:r>
      <w:r w:rsidRPr="00223386">
        <w:rPr>
          <w:rFonts w:ascii="Times New Roman" w:eastAsia="Aptos" w:hAnsi="Times New Roman" w:cs="Times New Roman"/>
        </w:rPr>
        <w:t>American Journal of Political Science, 67(3), 587-605.  https://doi.org/10.1111/ajps.12685</w:t>
      </w:r>
    </w:p>
    <w:p w14:paraId="41A81D57"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Imai, K., Kim, I.(2021). On the use of two-way fixed effects regression models for causal inference with panel data. </w:t>
      </w:r>
      <w:r w:rsidRPr="00223386">
        <w:rPr>
          <w:rFonts w:ascii="Times New Roman" w:hAnsi="Times New Roman" w:cs="Times New Roman"/>
        </w:rPr>
        <w:t>Polit. Anal. 29 (3), 405–415.http://dx.doi.org/10.1017/pan.2020.33</w:t>
      </w:r>
    </w:p>
    <w:p w14:paraId="697A7030"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Imbens</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G., Rubin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 (2015)</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Causal Inference for Statistics, Social and Biomedical Sciences, Cambridge University Press, Cambridge, New York</w:t>
      </w:r>
    </w:p>
    <w:p w14:paraId="192EDC9F"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020436">
        <w:rPr>
          <w:rFonts w:ascii="Times New Roman" w:hAnsi="Times New Roman" w:cs="Times New Roman"/>
          <w:lang w:val="de-AT"/>
        </w:rPr>
        <w:t>Imbens</w:t>
      </w:r>
      <w:r>
        <w:rPr>
          <w:rFonts w:ascii="Times New Roman" w:hAnsi="Times New Roman" w:cs="Times New Roman"/>
          <w:lang w:val="de-AT"/>
        </w:rPr>
        <w:t>,</w:t>
      </w:r>
      <w:r w:rsidRPr="00020436">
        <w:rPr>
          <w:rFonts w:ascii="Times New Roman" w:hAnsi="Times New Roman" w:cs="Times New Roman"/>
          <w:lang w:val="de-AT"/>
        </w:rPr>
        <w:t xml:space="preserve"> G.W., Rubin</w:t>
      </w:r>
      <w:r>
        <w:rPr>
          <w:rFonts w:ascii="Times New Roman" w:hAnsi="Times New Roman" w:cs="Times New Roman"/>
          <w:lang w:val="de-AT"/>
        </w:rPr>
        <w:t>,</w:t>
      </w:r>
      <w:r w:rsidRPr="00020436">
        <w:rPr>
          <w:rFonts w:ascii="Times New Roman" w:hAnsi="Times New Roman" w:cs="Times New Roman"/>
          <w:lang w:val="de-AT"/>
        </w:rPr>
        <w:t xml:space="preserve"> B.D. (2008). </w:t>
      </w:r>
      <w:r w:rsidRPr="00130131">
        <w:rPr>
          <w:rFonts w:ascii="Times New Roman" w:hAnsi="Times New Roman" w:cs="Times New Roman"/>
          <w:lang w:val="en-US"/>
        </w:rPr>
        <w:t>Rubin Causal Model, in: The New Palgrave Dictionary of Economics, second edition, edited by 5.N. Durlauf and L.E. Blume, Palgrave, London, New York</w:t>
      </w:r>
    </w:p>
    <w:p w14:paraId="35D28AEA" w14:textId="77777777" w:rsidR="002A58EC" w:rsidRPr="00130131" w:rsidRDefault="002A58EC" w:rsidP="002A58EC">
      <w:pPr>
        <w:pStyle w:val="Akapitzlist"/>
        <w:numPr>
          <w:ilvl w:val="0"/>
          <w:numId w:val="81"/>
        </w:numPr>
        <w:tabs>
          <w:tab w:val="num" w:pos="360"/>
        </w:tabs>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lang w:val="de-AT" w:eastAsia="pl-PL"/>
          <w14:ligatures w14:val="none"/>
        </w:rPr>
        <w:t>Inderhees</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P.G.</w:t>
      </w:r>
      <w:r>
        <w:rPr>
          <w:rFonts w:ascii="Times New Roman" w:eastAsia="Times New Roman" w:hAnsi="Times New Roman" w:cs="Times New Roman"/>
          <w:bCs/>
          <w:kern w:val="0"/>
          <w:lang w:val="de-AT" w:eastAsia="pl-PL"/>
          <w14:ligatures w14:val="none"/>
        </w:rPr>
        <w:t xml:space="preserve"> (2007).</w:t>
      </w:r>
      <w:r w:rsidRPr="00130131">
        <w:rPr>
          <w:rFonts w:ascii="Times New Roman" w:eastAsia="Times New Roman" w:hAnsi="Times New Roman" w:cs="Times New Roman"/>
          <w:bCs/>
          <w:kern w:val="0"/>
          <w:lang w:val="de-AT" w:eastAsia="pl-PL"/>
          <w14:ligatures w14:val="none"/>
        </w:rPr>
        <w:t xml:space="preserve"> Strategische Unternehmensführung landwirtschaftlicher Haupterwerbsbetriebe: Eine Untersuchung am Beispiel NordrheinWestfalens, Dissertation, Universität Göttingen</w:t>
      </w:r>
    </w:p>
    <w:p w14:paraId="692813F6" w14:textId="77777777" w:rsidR="002A58EC" w:rsidRPr="00130131" w:rsidRDefault="002A58EC" w:rsidP="002A58EC">
      <w:pPr>
        <w:pStyle w:val="Akapitzlist"/>
        <w:numPr>
          <w:ilvl w:val="0"/>
          <w:numId w:val="81"/>
        </w:numPr>
        <w:tabs>
          <w:tab w:val="num" w:pos="360"/>
        </w:tabs>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lang w:val="de-AT" w:eastAsia="pl-PL"/>
          <w14:ligatures w14:val="none"/>
        </w:rPr>
        <w:t>Isermeyer F.</w:t>
      </w:r>
      <w:r w:rsidRPr="00F25C52">
        <w:rPr>
          <w:rFonts w:ascii="Times New Roman" w:eastAsia="Times New Roman" w:hAnsi="Times New Roman" w:cs="Times New Roman"/>
          <w:bCs/>
          <w:kern w:val="0"/>
          <w:lang w:val="de-AT" w:eastAsia="pl-PL"/>
          <w14:ligatures w14:val="none"/>
        </w:rPr>
        <w:t xml:space="preserve"> </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1993</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Chancen und Risiken der Milchproduktion in unterschiedlich groβen Beständer. Arbeisbericht Nr. 01/1993 der </w:t>
      </w:r>
      <w:bookmarkStart w:id="45" w:name="_Hlk110940409"/>
      <w:r w:rsidRPr="00130131">
        <w:rPr>
          <w:rFonts w:ascii="Times New Roman" w:eastAsia="Times New Roman" w:hAnsi="Times New Roman" w:cs="Times New Roman"/>
          <w:bCs/>
          <w:kern w:val="0"/>
          <w:lang w:val="de-AT" w:eastAsia="pl-PL"/>
          <w14:ligatures w14:val="none"/>
        </w:rPr>
        <w:t xml:space="preserve">Bundesforschungs-anstalt für Landwirtschaft, Braunschweig, </w:t>
      </w:r>
    </w:p>
    <w:bookmarkEnd w:id="45"/>
    <w:p w14:paraId="4192C638" w14:textId="77777777" w:rsidR="002A58EC" w:rsidRPr="00130131" w:rsidRDefault="002A58EC" w:rsidP="002A58EC">
      <w:pPr>
        <w:pStyle w:val="Akapitzlist"/>
        <w:numPr>
          <w:ilvl w:val="0"/>
          <w:numId w:val="81"/>
        </w:numPr>
        <w:tabs>
          <w:tab w:val="num" w:pos="360"/>
        </w:tabs>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shd w:val="clear" w:color="auto" w:fill="FFFFFF"/>
          <w:lang w:val="de-AT" w:eastAsia="pl-PL"/>
          <w14:ligatures w14:val="none"/>
        </w:rPr>
        <w:t>Isermeyer F.</w:t>
      </w:r>
      <w:r>
        <w:rPr>
          <w:rFonts w:ascii="Times New Roman" w:eastAsia="Times New Roman" w:hAnsi="Times New Roman" w:cs="Times New Roman"/>
          <w:bCs/>
          <w:kern w:val="0"/>
          <w:shd w:val="clear" w:color="auto" w:fill="FFFFFF"/>
          <w:lang w:val="de-AT" w:eastAsia="pl-PL"/>
          <w14:ligatures w14:val="none"/>
        </w:rPr>
        <w:t>(2001).</w:t>
      </w:r>
      <w:r w:rsidRPr="00130131">
        <w:rPr>
          <w:rFonts w:ascii="Times New Roman" w:eastAsia="Times New Roman" w:hAnsi="Times New Roman" w:cs="Times New Roman"/>
          <w:bCs/>
          <w:kern w:val="0"/>
          <w:shd w:val="clear" w:color="auto" w:fill="FFFFFF"/>
          <w:lang w:val="de-AT" w:eastAsia="pl-PL"/>
          <w14:ligatures w14:val="none"/>
        </w:rPr>
        <w:t xml:space="preserve"> DieWettbewerbsfähigkeit der Tierproduktion im internationalen Vergleich. Arbeitsbericht Nr 01/3 der</w:t>
      </w:r>
      <w:r w:rsidRPr="00130131">
        <w:rPr>
          <w:rFonts w:ascii="Times New Roman" w:eastAsia="Times New Roman" w:hAnsi="Times New Roman" w:cs="Times New Roman"/>
          <w:bCs/>
          <w:kern w:val="0"/>
          <w:lang w:val="de-AT" w:eastAsia="pl-PL"/>
          <w14:ligatures w14:val="none"/>
        </w:rPr>
        <w:t xml:space="preserve"> Bundesforschungs-anstalt für Landwirtschaft, Braunschweig</w:t>
      </w:r>
    </w:p>
    <w:p w14:paraId="36CB23DE"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ISO 31000:2018. </w:t>
      </w:r>
      <w:r w:rsidRPr="00223386">
        <w:rPr>
          <w:rFonts w:ascii="Times New Roman" w:eastAsia="Aptos" w:hAnsi="Times New Roman" w:cs="Times New Roman"/>
          <w:i/>
          <w:iCs/>
          <w:lang w:val="en-US"/>
        </w:rPr>
        <w:t>Risk management – Guidelines</w:t>
      </w:r>
      <w:r w:rsidRPr="00223386">
        <w:rPr>
          <w:rFonts w:ascii="Times New Roman" w:eastAsia="Aptos" w:hAnsi="Times New Roman" w:cs="Times New Roman"/>
          <w:lang w:val="en-US"/>
        </w:rPr>
        <w:t>. Geneva, Switzerland: International Organization for Standardization.</w:t>
      </w:r>
    </w:p>
    <w:p w14:paraId="2A2BC71A"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Jakubowski, A., Stearns, S. C., Kruk, M. E., Angeles, G., Thirumurthy, H. (2017). The US President’s Malaria Initiative and under-5 child mortality in sub-Saharan Africa: A difference-in-differences analysis. </w:t>
      </w:r>
      <w:r w:rsidRPr="00223386">
        <w:rPr>
          <w:rFonts w:ascii="Times New Roman" w:hAnsi="Times New Roman" w:cs="Times New Roman"/>
        </w:rPr>
        <w:t>PLoS medicine, 14(6), e1002319, 1-20. https://doi.org/10.1371/journal.pmed.1002319</w:t>
      </w:r>
    </w:p>
    <w:p w14:paraId="6C8206E9"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Jensen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N., Barret</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C.B., Mude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A. (2014)</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Basis risk and the welfare gains from index insurance: evidence from Northern Kenya, MPRA Paper No. 59 153, University of California, Davis, CA</w:t>
      </w:r>
    </w:p>
    <w:p w14:paraId="53500A03"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Jones</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H. (2011)</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A guide to monitoring and evaluating policy influence, London, England: Overseas Development Institute, dostęp: 31.07.2023</w:t>
      </w:r>
    </w:p>
    <w:p w14:paraId="409CE830"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bCs/>
          <w:kern w:val="0"/>
          <w:lang w:val="en-US" w:eastAsia="pl-PL"/>
          <w14:ligatures w14:val="none"/>
        </w:rPr>
        <w:lastRenderedPageBreak/>
        <w:t>Juan, H., Xiaoyong, Z., Roderick, Rejesus, M., Yorobe, J, M. (2019). Moral hazard and adverse selection effects of cost-of-production crop insurance: evidence from the Philippines. </w:t>
      </w:r>
      <w:r w:rsidRPr="00223386">
        <w:rPr>
          <w:rFonts w:ascii="Times New Roman" w:eastAsia="Times New Roman" w:hAnsi="Times New Roman" w:cs="Times New Roman"/>
          <w:bCs/>
          <w:i/>
          <w:kern w:val="0"/>
          <w:lang w:val="en-US" w:eastAsia="pl-PL"/>
          <w14:ligatures w14:val="none"/>
        </w:rPr>
        <w:t>Australian Journal of Agricultural and Resource Economics</w:t>
      </w:r>
      <w:r w:rsidRPr="00223386">
        <w:rPr>
          <w:rFonts w:ascii="Times New Roman" w:eastAsia="Times New Roman" w:hAnsi="Times New Roman" w:cs="Times New Roman"/>
          <w:bCs/>
          <w:kern w:val="0"/>
          <w:lang w:val="en-US" w:eastAsia="pl-PL"/>
          <w14:ligatures w14:val="none"/>
        </w:rPr>
        <w:t xml:space="preserve">, 63, 1, </w:t>
      </w:r>
      <w:r w:rsidRPr="00223386">
        <w:rPr>
          <w:rFonts w:ascii="Times New Roman" w:eastAsia="Times New Roman" w:hAnsi="Times New Roman" w:cs="Times New Roman"/>
          <w:bCs/>
          <w:kern w:val="0"/>
          <w:lang w:val="en-US" w:eastAsia="pl-PL"/>
          <w14:ligatures w14:val="none"/>
        </w:rPr>
        <w:br/>
        <w:t>p. 166-197, 2019. https://doi.org/10.22004/ag.econ.333760</w:t>
      </w:r>
    </w:p>
    <w:p w14:paraId="5E843DC5"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Karini K., Hamilton H.J. (2011)</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Generation and Interpretation of Temporal Decisions Rules, International Journal of Computer Information Systems and Industrial Management Applications, 3</w:t>
      </w:r>
    </w:p>
    <w:p w14:paraId="1242A196"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en-GB"/>
        </w:rPr>
        <w:t>Keisha, F. (2022). Difference-in-Differences. Medium.&lt; https://medium. com/bukalapak-data/difference-in-differences-8c925e691fff&gt;, dostęp 15.08,2024.</w:t>
      </w:r>
    </w:p>
    <w:p w14:paraId="213DA400"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CF5256">
        <w:rPr>
          <w:rFonts w:ascii="Times New Roman" w:eastAsia="Times New Roman" w:hAnsi="Times New Roman" w:cs="Times New Roman"/>
          <w:bCs/>
          <w:kern w:val="0"/>
          <w:lang w:val="de-AT" w:eastAsia="pl-PL"/>
          <w14:ligatures w14:val="none"/>
        </w:rPr>
        <w:t xml:space="preserve">Kerimoğlu, E., Ülker, </w:t>
      </w:r>
      <w:r w:rsidRPr="00130131">
        <w:rPr>
          <w:rFonts w:ascii="Times New Roman" w:eastAsia="Times New Roman" w:hAnsi="Times New Roman" w:cs="Times New Roman"/>
          <w:bCs/>
          <w:kern w:val="0"/>
          <w:lang w:eastAsia="pl-PL"/>
          <w14:ligatures w14:val="none"/>
        </w:rPr>
        <w:t>Ӧ</w:t>
      </w:r>
      <w:r w:rsidRPr="00CF5256">
        <w:rPr>
          <w:rFonts w:ascii="Times New Roman" w:eastAsia="Times New Roman" w:hAnsi="Times New Roman" w:cs="Times New Roman"/>
          <w:bCs/>
          <w:kern w:val="0"/>
          <w:lang w:val="de-AT" w:eastAsia="pl-PL"/>
          <w14:ligatures w14:val="none"/>
        </w:rPr>
        <w:t xml:space="preserve">.N.M., Berk, S. (2023). </w:t>
      </w:r>
      <w:r w:rsidRPr="00130131">
        <w:rPr>
          <w:rFonts w:ascii="Times New Roman" w:eastAsia="Times New Roman" w:hAnsi="Times New Roman" w:cs="Times New Roman"/>
          <w:bCs/>
          <w:kern w:val="0"/>
          <w:lang w:val="en-US" w:eastAsia="pl-PL"/>
          <w14:ligatures w14:val="none"/>
        </w:rPr>
        <w:t>How to conduct a metaevaluation? A metaevaluation practise, Canadian Journal of Program Evaluation, 38(1), 57-78, doi.10.3138/cjpe.71619</w:t>
      </w:r>
    </w:p>
    <w:p w14:paraId="54C969CB"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de-AT"/>
        </w:rPr>
        <w:t xml:space="preserve">Khandker, S. R., Koolwal, G. B., Samad, H. A. (2009). </w:t>
      </w:r>
      <w:r w:rsidRPr="00223386">
        <w:rPr>
          <w:rFonts w:ascii="Times New Roman" w:hAnsi="Times New Roman" w:cs="Times New Roman"/>
          <w:lang w:val="en-GB"/>
        </w:rPr>
        <w:t xml:space="preserve">Handbook on impact evaluation: quantitative methods and practices. </w:t>
      </w:r>
      <w:r w:rsidRPr="00223386">
        <w:rPr>
          <w:rFonts w:ascii="Times New Roman" w:hAnsi="Times New Roman" w:cs="Times New Roman"/>
        </w:rPr>
        <w:t>World Bank Publications. Washigton D.C.</w:t>
      </w:r>
    </w:p>
    <w:p w14:paraId="4DEC69C3"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Kibukho</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K. (2021)</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Mediating role of citizen empowerment in the relationship between participatory monitoring and evaluation and social sustainability,</w:t>
      </w:r>
      <w:r w:rsidRPr="00130131">
        <w:rPr>
          <w:rFonts w:ascii="Times New Roman" w:eastAsia="Times New Roman" w:hAnsi="Times New Roman" w:cs="Times New Roman"/>
          <w:bCs/>
          <w:kern w:val="0"/>
          <w:lang w:val="en-US" w:eastAsia="pl-PL"/>
          <w14:ligatures w14:val="none"/>
        </w:rPr>
        <w:t xml:space="preserve"> Evaluation and Program Planning, 85101017, doi.10.1016/j.evalprogplan.2021.101911</w:t>
      </w:r>
    </w:p>
    <w:p w14:paraId="01A22F97"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Kirkley</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Dale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 Ivar</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E.S. (1998)</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Characterizing managerial skill and technical efficiency in a fishery, Journal of Productivity Analysis, 9, 145-160</w:t>
      </w:r>
    </w:p>
    <w:p w14:paraId="46086DDA"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bCs/>
          <w:kern w:val="0"/>
          <w:lang w:val="en-US" w:eastAsia="pl-PL"/>
          <w14:ligatures w14:val="none"/>
        </w:rPr>
        <w:t xml:space="preserve">Kislingerová, S., Špička, J. (2022). Factors influencing the take-up of agricultural insurance and the entry into the mutual fund: A case study of the Czech Republic. </w:t>
      </w:r>
      <w:r w:rsidRPr="000D5F62">
        <w:rPr>
          <w:rFonts w:ascii="Times New Roman" w:eastAsia="Times New Roman" w:hAnsi="Times New Roman" w:cs="Times New Roman"/>
          <w:bCs/>
          <w:iCs/>
          <w:kern w:val="0"/>
          <w:lang w:val="en-US" w:eastAsia="pl-PL"/>
          <w14:ligatures w14:val="none"/>
        </w:rPr>
        <w:t>Journal of Risk and Financial Management</w:t>
      </w:r>
      <w:r w:rsidRPr="00223386">
        <w:rPr>
          <w:rFonts w:ascii="Times New Roman" w:eastAsia="Times New Roman" w:hAnsi="Times New Roman" w:cs="Times New Roman"/>
          <w:bCs/>
          <w:kern w:val="0"/>
          <w:lang w:val="en-US" w:eastAsia="pl-PL"/>
          <w14:ligatures w14:val="none"/>
        </w:rPr>
        <w:t xml:space="preserve">, 15, 8, pp. 1-17. </w:t>
      </w:r>
      <w:hyperlink r:id="rId339" w:history="1">
        <w:r w:rsidRPr="00223386">
          <w:rPr>
            <w:rFonts w:ascii="Times New Roman" w:eastAsia="Times New Roman" w:hAnsi="Times New Roman" w:cs="Times New Roman"/>
            <w:bCs/>
            <w:kern w:val="0"/>
            <w:lang w:val="en-US" w:eastAsia="pl-PL"/>
            <w14:ligatures w14:val="none"/>
          </w:rPr>
          <w:t>https://doi.org/10.3390/jrfm15080366</w:t>
        </w:r>
      </w:hyperlink>
    </w:p>
    <w:p w14:paraId="4C6B0E4D" w14:textId="77777777" w:rsidR="002A58EC" w:rsidRPr="00130131" w:rsidRDefault="002A58EC" w:rsidP="002A58EC">
      <w:pPr>
        <w:pStyle w:val="Akapitzlist"/>
        <w:numPr>
          <w:ilvl w:val="0"/>
          <w:numId w:val="81"/>
        </w:numPr>
        <w:tabs>
          <w:tab w:val="num" w:pos="360"/>
        </w:tabs>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lang w:val="de-AT" w:eastAsia="pl-PL"/>
          <w14:ligatures w14:val="none"/>
        </w:rPr>
        <w:t>Kleinhauss</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W.</w:t>
      </w:r>
      <w:r>
        <w:rPr>
          <w:rFonts w:ascii="Times New Roman" w:eastAsia="Times New Roman" w:hAnsi="Times New Roman" w:cs="Times New Roman"/>
          <w:bCs/>
          <w:kern w:val="0"/>
          <w:lang w:val="de-AT" w:eastAsia="pl-PL"/>
          <w14:ligatures w14:val="none"/>
        </w:rPr>
        <w:t xml:space="preserve"> (2015).</w:t>
      </w:r>
      <w:r w:rsidRPr="00130131">
        <w:rPr>
          <w:rFonts w:ascii="Times New Roman" w:eastAsia="Times New Roman" w:hAnsi="Times New Roman" w:cs="Times New Roman"/>
          <w:bCs/>
          <w:kern w:val="0"/>
          <w:lang w:val="de-AT" w:eastAsia="pl-PL"/>
          <w14:ligatures w14:val="none"/>
        </w:rPr>
        <w:t xml:space="preserve"> </w:t>
      </w:r>
      <w:r w:rsidRPr="00130131">
        <w:rPr>
          <w:rFonts w:ascii="Times New Roman" w:eastAsia="Times New Roman" w:hAnsi="Times New Roman" w:cs="Times New Roman"/>
          <w:bCs/>
          <w:color w:val="000000"/>
          <w:kern w:val="36"/>
          <w:lang w:val="de-AT" w:eastAsia="pl-PL"/>
          <w14:ligatures w14:val="none"/>
        </w:rPr>
        <w:t>Einkommen versus Faktorentlohnung in der deutschen Landwirtschaft, „Berichte über Landwirtschaft“, Band 93, Ausgabe 2</w:t>
      </w:r>
    </w:p>
    <w:p w14:paraId="42107790"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Kline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R.B. (2016), Principles and practice of structural equation modeling, 4</w:t>
      </w:r>
      <w:r w:rsidRPr="00130131">
        <w:rPr>
          <w:rFonts w:ascii="Times New Roman" w:eastAsia="Times New Roman" w:hAnsi="Times New Roman" w:cs="Times New Roman"/>
          <w:spacing w:val="2"/>
          <w:kern w:val="0"/>
          <w:vertAlign w:val="superscript"/>
          <w:lang w:val="en-US" w:eastAsia="pl-PL"/>
          <w14:ligatures w14:val="none"/>
        </w:rPr>
        <w:t>th</w:t>
      </w:r>
      <w:r w:rsidRPr="00130131">
        <w:rPr>
          <w:rFonts w:ascii="Times New Roman" w:eastAsia="Times New Roman" w:hAnsi="Times New Roman" w:cs="Times New Roman"/>
          <w:spacing w:val="2"/>
          <w:kern w:val="0"/>
          <w:lang w:val="en-US" w:eastAsia="pl-PL"/>
          <w14:ligatures w14:val="none"/>
        </w:rPr>
        <w:t xml:space="preserve"> ed., Wiley, New York</w:t>
      </w:r>
    </w:p>
    <w:p w14:paraId="0CC7B61E" w14:textId="77777777" w:rsidR="002A58EC" w:rsidRPr="00130131" w:rsidRDefault="002A58EC" w:rsidP="002A58EC">
      <w:pPr>
        <w:pStyle w:val="Akapitzlist"/>
        <w:numPr>
          <w:ilvl w:val="0"/>
          <w:numId w:val="81"/>
        </w:numPr>
        <w:tabs>
          <w:tab w:val="num" w:pos="360"/>
        </w:tabs>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000000"/>
          <w:kern w:val="36"/>
          <w:lang w:val="en-US" w:eastAsia="pl-PL"/>
          <w14:ligatures w14:val="none"/>
        </w:rPr>
        <w:t>Knack</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xml:space="preserve"> S., Keefer</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xml:space="preserve"> P.</w:t>
      </w:r>
      <w:r>
        <w:rPr>
          <w:rFonts w:ascii="Times New Roman" w:eastAsia="Times New Roman" w:hAnsi="Times New Roman" w:cs="Times New Roman"/>
          <w:bCs/>
          <w:color w:val="000000"/>
          <w:kern w:val="36"/>
          <w:lang w:val="en-US" w:eastAsia="pl-PL"/>
          <w14:ligatures w14:val="none"/>
        </w:rPr>
        <w:t xml:space="preserve"> (1997).</w:t>
      </w:r>
      <w:r w:rsidRPr="00130131">
        <w:rPr>
          <w:rFonts w:ascii="Times New Roman" w:eastAsia="Times New Roman" w:hAnsi="Times New Roman" w:cs="Times New Roman"/>
          <w:bCs/>
          <w:color w:val="000000"/>
          <w:kern w:val="36"/>
          <w:lang w:val="en-US" w:eastAsia="pl-PL"/>
          <w14:ligatures w14:val="none"/>
        </w:rPr>
        <w:t xml:space="preserve"> Does social capital have an economic payoff? A cross-country investigation, „Quarterly Journal of Economics“,</w:t>
      </w:r>
      <w:r>
        <w:rPr>
          <w:rFonts w:ascii="Times New Roman" w:eastAsia="Times New Roman" w:hAnsi="Times New Roman" w:cs="Times New Roman"/>
          <w:bCs/>
          <w:color w:val="000000"/>
          <w:kern w:val="36"/>
          <w:lang w:val="en-US" w:eastAsia="pl-PL"/>
          <w14:ligatures w14:val="none"/>
        </w:rPr>
        <w:t xml:space="preserve"> </w:t>
      </w:r>
      <w:r w:rsidRPr="00130131">
        <w:rPr>
          <w:rFonts w:ascii="Times New Roman" w:eastAsia="Times New Roman" w:hAnsi="Times New Roman" w:cs="Times New Roman"/>
          <w:bCs/>
          <w:color w:val="000000"/>
          <w:kern w:val="36"/>
          <w:lang w:val="en-US" w:eastAsia="pl-PL"/>
          <w14:ligatures w14:val="none"/>
        </w:rPr>
        <w:t xml:space="preserve">112 </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4</w:t>
      </w:r>
      <w:r>
        <w:rPr>
          <w:rFonts w:ascii="Times New Roman" w:eastAsia="Times New Roman" w:hAnsi="Times New Roman" w:cs="Times New Roman"/>
          <w:bCs/>
          <w:color w:val="000000"/>
          <w:kern w:val="36"/>
          <w:lang w:val="en-US" w:eastAsia="pl-PL"/>
          <w14:ligatures w14:val="none"/>
        </w:rPr>
        <w:t>)</w:t>
      </w:r>
      <w:r w:rsidRPr="00130131">
        <w:rPr>
          <w:rFonts w:ascii="Times New Roman" w:eastAsia="Times New Roman" w:hAnsi="Times New Roman" w:cs="Times New Roman"/>
          <w:bCs/>
          <w:color w:val="000000"/>
          <w:kern w:val="36"/>
          <w:lang w:val="en-US" w:eastAsia="pl-PL"/>
          <w14:ligatures w14:val="none"/>
        </w:rPr>
        <w:t xml:space="preserve"> </w:t>
      </w:r>
    </w:p>
    <w:p w14:paraId="64A25877"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eastAsia="pl-PL"/>
          <w14:ligatures w14:val="none"/>
        </w:rPr>
      </w:pPr>
      <w:r w:rsidRPr="00223386">
        <w:rPr>
          <w:rFonts w:ascii="Times New Roman" w:eastAsia="Times New Roman" w:hAnsi="Times New Roman" w:cs="Times New Roman"/>
          <w:bCs/>
          <w:kern w:val="0"/>
          <w:lang w:val="en-US" w:eastAsia="pl-PL"/>
          <w14:ligatures w14:val="none"/>
        </w:rPr>
        <w:t xml:space="preserve">Koenig, R., Brunette, M. (2023). Data on subjective barriers and determinants to crop insurance adoption in France. </w:t>
      </w:r>
      <w:r w:rsidRPr="00223386">
        <w:rPr>
          <w:rFonts w:ascii="Times New Roman" w:eastAsia="Times New Roman" w:hAnsi="Times New Roman" w:cs="Times New Roman"/>
          <w:bCs/>
          <w:i/>
          <w:kern w:val="0"/>
          <w:lang w:eastAsia="pl-PL"/>
          <w14:ligatures w14:val="none"/>
        </w:rPr>
        <w:t>Recherche Data Gouv</w:t>
      </w:r>
      <w:r w:rsidRPr="00223386">
        <w:rPr>
          <w:rFonts w:ascii="Times New Roman" w:eastAsia="Times New Roman" w:hAnsi="Times New Roman" w:cs="Times New Roman"/>
          <w:bCs/>
          <w:kern w:val="0"/>
          <w:lang w:eastAsia="pl-PL"/>
          <w14:ligatures w14:val="none"/>
        </w:rPr>
        <w:t>. </w:t>
      </w:r>
      <w:hyperlink r:id="rId340" w:history="1">
        <w:r w:rsidRPr="00223386">
          <w:rPr>
            <w:rFonts w:ascii="Times New Roman" w:eastAsia="Times New Roman" w:hAnsi="Times New Roman" w:cs="Times New Roman"/>
            <w:bCs/>
            <w:kern w:val="0"/>
            <w:lang w:eastAsia="pl-PL"/>
            <w14:ligatures w14:val="none"/>
          </w:rPr>
          <w:t>https://doi.org/10.57745/TAE0PD</w:t>
        </w:r>
      </w:hyperlink>
      <w:r w:rsidRPr="00223386">
        <w:rPr>
          <w:rFonts w:ascii="Times New Roman" w:eastAsia="Times New Roman" w:hAnsi="Times New Roman" w:cs="Times New Roman"/>
          <w:bCs/>
          <w:kern w:val="0"/>
          <w:lang w:eastAsia="pl-PL"/>
          <w14:ligatures w14:val="none"/>
        </w:rPr>
        <w:t>.</w:t>
      </w:r>
    </w:p>
    <w:p w14:paraId="4328B694"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F49A6">
        <w:rPr>
          <w:rFonts w:ascii="Times New Roman" w:eastAsia="Times New Roman" w:hAnsi="Times New Roman" w:cs="Times New Roman"/>
          <w:bCs/>
          <w:kern w:val="0"/>
          <w:lang w:val="de-AT" w:eastAsia="pl-PL"/>
          <w14:ligatures w14:val="none"/>
        </w:rPr>
        <w:t xml:space="preserve">Koleros, A., Mulkerme, S., Oldenbeuring, M., Stein, D. (2020). </w:t>
      </w:r>
      <w:r w:rsidRPr="00130131">
        <w:rPr>
          <w:rFonts w:ascii="Times New Roman" w:eastAsia="Times New Roman" w:hAnsi="Times New Roman" w:cs="Times New Roman"/>
          <w:bCs/>
          <w:kern w:val="0"/>
          <w:lang w:val="en-US" w:eastAsia="pl-PL"/>
          <w14:ligatures w14:val="none"/>
        </w:rPr>
        <w:t>The Actor-Based Change Framework: A Pragmatic Approach to Developing Program Theory for Interventions in Complex Systems, American Journal of Evaluation, 41(1), 34-53, doi.10.1177/1098214018786462</w:t>
      </w:r>
    </w:p>
    <w:p w14:paraId="0BF13472"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lang w:val="de-AT"/>
        </w:rPr>
        <w:t xml:space="preserve">Komen, J. J., Belitser, S. V., Wyss, R., Schneeweiss, S., Taams, A. C., Pajouheshnia, R., Forslund, T.,  Klungel, O. H. (2021). </w:t>
      </w:r>
      <w:r w:rsidRPr="00223386">
        <w:rPr>
          <w:rFonts w:ascii="Times New Roman" w:hAnsi="Times New Roman" w:cs="Times New Roman"/>
          <w:lang w:val="en-GB"/>
        </w:rPr>
        <w:t>Greedy caliper propensity score matching can yield variable estimates of the treatment-outcome association: A simulation study. Pharmacoepidemiology and Drug Safety, 30(5), 623-631. https://doi.org/10.1002/pds.5232</w:t>
      </w:r>
    </w:p>
    <w:p w14:paraId="3F75A360"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rPr>
        <w:t>Kukowska</w:t>
      </w:r>
      <w:r>
        <w:rPr>
          <w:rFonts w:ascii="Times New Roman" w:hAnsi="Times New Roman" w:cs="Times New Roman"/>
        </w:rPr>
        <w:t>,</w:t>
      </w:r>
      <w:r w:rsidRPr="00223386">
        <w:rPr>
          <w:rFonts w:ascii="Times New Roman" w:hAnsi="Times New Roman" w:cs="Times New Roman"/>
        </w:rPr>
        <w:t xml:space="preserve"> A.,  Dziadziuszko</w:t>
      </w:r>
      <w:r>
        <w:rPr>
          <w:rFonts w:ascii="Times New Roman" w:hAnsi="Times New Roman" w:cs="Times New Roman"/>
        </w:rPr>
        <w:t>,</w:t>
      </w:r>
      <w:r w:rsidRPr="00223386">
        <w:rPr>
          <w:rFonts w:ascii="Times New Roman" w:hAnsi="Times New Roman" w:cs="Times New Roman"/>
        </w:rPr>
        <w:t xml:space="preserve"> R., Jassem</w:t>
      </w:r>
      <w:r>
        <w:rPr>
          <w:rFonts w:ascii="Times New Roman" w:hAnsi="Times New Roman" w:cs="Times New Roman"/>
        </w:rPr>
        <w:t>,</w:t>
      </w:r>
      <w:r w:rsidRPr="00223386">
        <w:rPr>
          <w:rFonts w:ascii="Times New Roman" w:hAnsi="Times New Roman" w:cs="Times New Roman"/>
        </w:rPr>
        <w:t xml:space="preserve"> J. (2005). </w:t>
      </w:r>
      <w:r w:rsidRPr="00223386">
        <w:rPr>
          <w:rFonts w:ascii="Times New Roman" w:hAnsi="Times New Roman" w:cs="Times New Roman"/>
          <w:lang w:val="en-GB"/>
        </w:rPr>
        <w:t>Methods of random treatment allocation in clinical trials. Onkol. Prak. Klin 2005;1(3):151-156.</w:t>
      </w:r>
    </w:p>
    <w:p w14:paraId="1F0968ED"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bCs/>
          <w:kern w:val="0"/>
          <w:lang w:val="en-US" w:eastAsia="pl-PL"/>
          <w14:ligatures w14:val="none"/>
        </w:rPr>
        <w:t xml:space="preserve">Kumar, A., Saroj, S., Mishra, A. K. (2021). Crop Insurance and Crop Productivity: Evidence from Rice Farmers in Eastern India. IFPRI Discussion Paper 01996. International Food Policy Research Institute. </w:t>
      </w:r>
      <w:hyperlink r:id="rId341" w:tgtFrame="_blank" w:history="1">
        <w:r w:rsidRPr="00223386">
          <w:rPr>
            <w:rFonts w:ascii="Times New Roman" w:eastAsia="Times New Roman" w:hAnsi="Times New Roman" w:cs="Times New Roman"/>
            <w:bCs/>
            <w:kern w:val="0"/>
            <w:lang w:val="en-US" w:eastAsia="pl-PL"/>
            <w14:ligatures w14:val="none"/>
          </w:rPr>
          <w:t>https://doi.org/10.2499/p15738coll2.134430</w:t>
        </w:r>
      </w:hyperlink>
    </w:p>
    <w:p w14:paraId="470B17C6"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eastAsia="pl-PL"/>
          <w14:ligatures w14:val="none"/>
        </w:rPr>
      </w:pPr>
      <w:r w:rsidRPr="00223386">
        <w:rPr>
          <w:rFonts w:ascii="Times New Roman" w:eastAsia="Times New Roman" w:hAnsi="Times New Roman" w:cs="Times New Roman"/>
          <w:bCs/>
          <w:kern w:val="0"/>
          <w:lang w:eastAsia="pl-PL"/>
          <w14:ligatures w14:val="none"/>
        </w:rPr>
        <w:t xml:space="preserve">Kurdyś-Kujawska, A., Soliwoda, M. (2021). Asymetria informacji i jej następstwa na rynku ubezpieczeń rolnych [w] Analizy popytu i podaży na rynku ubezpieczeń rolnych, </w:t>
      </w:r>
      <w:r w:rsidRPr="00223386">
        <w:rPr>
          <w:rFonts w:ascii="Times New Roman" w:eastAsia="Times New Roman" w:hAnsi="Times New Roman" w:cs="Times New Roman"/>
          <w:bCs/>
          <w:kern w:val="0"/>
          <w:lang w:eastAsia="pl-PL"/>
          <w14:ligatures w14:val="none"/>
        </w:rPr>
        <w:lastRenderedPageBreak/>
        <w:t>Soliwoda, M. (red.), Instytut Ekonomiki Rolnictwa i Gospodarki Żywnościowej - PIB, Warszawa, s. 172- 203.</w:t>
      </w:r>
    </w:p>
    <w:p w14:paraId="0F9BF24E"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Ladner</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D. (2015)</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Strategy testing: An Innovative approach to monitoring highly flexible aid programmes, San Francisko, CA: The Asia Foundation, dostęp: 31.07.2023</w:t>
      </w:r>
    </w:p>
    <w:p w14:paraId="6CAB58F9"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Lagnado</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D.A., Sloman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S.A. (2006)</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Time as a guide to cause, Journal of Experimental Psychology: Learning, Memory and Cognition, 32(3), 451-469</w:t>
      </w:r>
    </w:p>
    <w:p w14:paraId="048142F8"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Landsittel</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 Srivastara</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A., Krop</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K. (2020)</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A Narrative Review of Methods for Causal Inference and Associated Educational Resources, Quality Management in Health Care, 29(4), 260-269</w:t>
      </w:r>
    </w:p>
    <w:p w14:paraId="6DF2D6F8"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eastAsiaTheme="minorEastAsia" w:hAnsi="Times New Roman" w:cs="Times New Roman"/>
          <w:kern w:val="0"/>
          <w:lang w:val="de-AT"/>
          <w14:ligatures w14:val="none"/>
        </w:rPr>
        <w:t xml:space="preserve">Langworthy, B., Wu, Y. i  Wang, M. (2023). </w:t>
      </w:r>
      <w:r w:rsidRPr="00223386">
        <w:rPr>
          <w:rFonts w:ascii="Times New Roman" w:eastAsiaTheme="minorEastAsia" w:hAnsi="Times New Roman" w:cs="Times New Roman"/>
          <w:kern w:val="0"/>
          <w:lang w:val="en-GB"/>
          <w14:ligatures w14:val="none"/>
        </w:rPr>
        <w:t>An overview of propensity score matching methods for clustered data. </w:t>
      </w:r>
      <w:r w:rsidRPr="00223386">
        <w:rPr>
          <w:rFonts w:ascii="Times New Roman" w:eastAsiaTheme="minorEastAsia" w:hAnsi="Times New Roman" w:cs="Times New Roman"/>
          <w:kern w:val="0"/>
          <w:lang w:val="en-US"/>
          <w14:ligatures w14:val="none"/>
        </w:rPr>
        <w:t>Statistical methods in medical research, 32(4), 641–655. https://doi.org/10.1177/09622802221133556</w:t>
      </w:r>
    </w:p>
    <w:p w14:paraId="182DCEC0"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fr-FR"/>
        </w:rPr>
        <w:t xml:space="preserve">Laudon, K. C., Laudon, J. P. (2016). </w:t>
      </w:r>
      <w:r w:rsidRPr="00223386">
        <w:rPr>
          <w:rFonts w:ascii="Times New Roman" w:eastAsia="Aptos" w:hAnsi="Times New Roman" w:cs="Times New Roman"/>
          <w:i/>
          <w:iCs/>
          <w:lang w:val="en-US"/>
        </w:rPr>
        <w:t>Management Information Systems: Managing the Digital Firm.</w:t>
      </w:r>
      <w:r w:rsidRPr="00223386">
        <w:rPr>
          <w:rFonts w:ascii="Times New Roman" w:eastAsia="Aptos" w:hAnsi="Times New Roman" w:cs="Times New Roman"/>
          <w:lang w:val="en-US"/>
        </w:rPr>
        <w:t xml:space="preserve"> Boston, MA: Pearson.</w:t>
      </w:r>
    </w:p>
    <w:p w14:paraId="30614988"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Leeuw</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E., Hox</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Dillmann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 (2008)</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International Handbook of Survey Methodology, Taylor &amp; Francis Group, New York</w:t>
      </w:r>
    </w:p>
    <w:p w14:paraId="1F4EBF93"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 xml:space="preserve">Lefebvre, M., Nikolov, D., Gomez-y-Paloma, S., Chopeva, M. (2014). </w:t>
      </w:r>
      <w:hyperlink r:id="rId342" w:history="1">
        <w:r w:rsidRPr="00223386">
          <w:rPr>
            <w:rFonts w:ascii="Times New Roman" w:eastAsia="Times New Roman" w:hAnsi="Times New Roman" w:cs="Times New Roman"/>
            <w:bCs/>
            <w:kern w:val="0"/>
            <w:lang w:val="en-US" w:eastAsia="pl-PL"/>
            <w14:ligatures w14:val="none"/>
          </w:rPr>
          <w:t>Determinants of insurance adoption among Bulgarian farmers</w:t>
        </w:r>
      </w:hyperlink>
      <w:r w:rsidRPr="00223386">
        <w:rPr>
          <w:rFonts w:ascii="Times New Roman" w:eastAsia="Times New Roman" w:hAnsi="Times New Roman" w:cs="Times New Roman"/>
          <w:bCs/>
          <w:kern w:val="0"/>
          <w:lang w:val="en-US" w:eastAsia="pl-PL"/>
          <w14:ligatures w14:val="none"/>
        </w:rPr>
        <w:t>.  </w:t>
      </w:r>
      <w:hyperlink r:id="rId343" w:history="1">
        <w:r w:rsidRPr="00223386">
          <w:rPr>
            <w:rFonts w:ascii="Times New Roman" w:eastAsia="Times New Roman" w:hAnsi="Times New Roman" w:cs="Times New Roman"/>
            <w:bCs/>
            <w:i/>
            <w:kern w:val="0"/>
            <w:lang w:val="en-US" w:eastAsia="pl-PL"/>
            <w14:ligatures w14:val="none"/>
          </w:rPr>
          <w:t>Agricultural Finance Review</w:t>
        </w:r>
      </w:hyperlink>
      <w:r w:rsidRPr="00223386">
        <w:rPr>
          <w:rFonts w:ascii="Times New Roman" w:eastAsia="Times New Roman" w:hAnsi="Times New Roman" w:cs="Times New Roman"/>
          <w:bCs/>
          <w:kern w:val="0"/>
          <w:lang w:val="en-US" w:eastAsia="pl-PL"/>
          <w14:ligatures w14:val="none"/>
        </w:rPr>
        <w:t>, 74(3), p. 326-347. https://doi.org/10.1108/AFR-05-2013-0022</w:t>
      </w:r>
    </w:p>
    <w:p w14:paraId="2B1823B9"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F49A6">
        <w:rPr>
          <w:rFonts w:ascii="Times New Roman" w:eastAsia="Times New Roman" w:hAnsi="Times New Roman" w:cs="Times New Roman"/>
          <w:spacing w:val="2"/>
          <w:kern w:val="0"/>
          <w:lang w:eastAsia="pl-PL"/>
          <w14:ligatures w14:val="none"/>
        </w:rPr>
        <w:t>Lemire</w:t>
      </w:r>
      <w:r>
        <w:rPr>
          <w:rFonts w:ascii="Times New Roman" w:eastAsia="Times New Roman" w:hAnsi="Times New Roman" w:cs="Times New Roman"/>
          <w:spacing w:val="2"/>
          <w:kern w:val="0"/>
          <w:lang w:eastAsia="pl-PL"/>
          <w14:ligatures w14:val="none"/>
        </w:rPr>
        <w:t>,</w:t>
      </w:r>
      <w:r w:rsidRPr="001F49A6">
        <w:rPr>
          <w:rFonts w:ascii="Times New Roman" w:eastAsia="Times New Roman" w:hAnsi="Times New Roman" w:cs="Times New Roman"/>
          <w:spacing w:val="2"/>
          <w:kern w:val="0"/>
          <w:lang w:eastAsia="pl-PL"/>
          <w14:ligatures w14:val="none"/>
        </w:rPr>
        <w:t xml:space="preserve"> S., Peck</w:t>
      </w:r>
      <w:r>
        <w:rPr>
          <w:rFonts w:ascii="Times New Roman" w:eastAsia="Times New Roman" w:hAnsi="Times New Roman" w:cs="Times New Roman"/>
          <w:spacing w:val="2"/>
          <w:kern w:val="0"/>
          <w:lang w:eastAsia="pl-PL"/>
          <w14:ligatures w14:val="none"/>
        </w:rPr>
        <w:t>,</w:t>
      </w:r>
      <w:r w:rsidRPr="001F49A6">
        <w:rPr>
          <w:rFonts w:ascii="Times New Roman" w:eastAsia="Times New Roman" w:hAnsi="Times New Roman" w:cs="Times New Roman"/>
          <w:spacing w:val="2"/>
          <w:kern w:val="0"/>
          <w:lang w:eastAsia="pl-PL"/>
          <w14:ligatures w14:val="none"/>
        </w:rPr>
        <w:t xml:space="preserve"> L.R., Porowski</w:t>
      </w:r>
      <w:r>
        <w:rPr>
          <w:rFonts w:ascii="Times New Roman" w:eastAsia="Times New Roman" w:hAnsi="Times New Roman" w:cs="Times New Roman"/>
          <w:spacing w:val="2"/>
          <w:kern w:val="0"/>
          <w:lang w:eastAsia="pl-PL"/>
          <w14:ligatures w14:val="none"/>
        </w:rPr>
        <w:t>,</w:t>
      </w:r>
      <w:r w:rsidRPr="001F49A6">
        <w:rPr>
          <w:rFonts w:ascii="Times New Roman" w:eastAsia="Times New Roman" w:hAnsi="Times New Roman" w:cs="Times New Roman"/>
          <w:spacing w:val="2"/>
          <w:kern w:val="0"/>
          <w:lang w:eastAsia="pl-PL"/>
          <w14:ligatures w14:val="none"/>
        </w:rPr>
        <w:t xml:space="preserve"> A. (2020). </w:t>
      </w:r>
      <w:r w:rsidRPr="00130131">
        <w:rPr>
          <w:rFonts w:ascii="Times New Roman" w:eastAsia="Times New Roman" w:hAnsi="Times New Roman" w:cs="Times New Roman"/>
          <w:spacing w:val="2"/>
          <w:kern w:val="0"/>
          <w:lang w:val="en-US" w:eastAsia="pl-PL"/>
          <w14:ligatures w14:val="none"/>
        </w:rPr>
        <w:t>The growth of the evaluation tree in the policy analysis forest: Recent developments in evaluation, Policy Studies Journal, 48(51), 47-70</w:t>
      </w:r>
    </w:p>
    <w:p w14:paraId="581F4852"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Lewis</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 (1973)</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Causation, The Journal of Philosophy, 70(17), 556-567, doi: 10.2307/2025310</w:t>
      </w:r>
    </w:p>
    <w:p w14:paraId="43266301" w14:textId="43D258D3"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Li</w:t>
      </w:r>
      <w:r w:rsidR="008A28CF">
        <w:rPr>
          <w:rFonts w:ascii="Times New Roman" w:hAnsi="Times New Roman" w:cs="Times New Roman"/>
          <w:lang w:val="en-US"/>
        </w:rPr>
        <w:t>,</w:t>
      </w:r>
      <w:r w:rsidRPr="00130131">
        <w:rPr>
          <w:rFonts w:ascii="Times New Roman" w:hAnsi="Times New Roman" w:cs="Times New Roman"/>
          <w:lang w:val="en-US"/>
        </w:rPr>
        <w:t xml:space="preserve"> F., Morgan K.L., Zaslawsky A.M. (2018)</w:t>
      </w:r>
      <w:r>
        <w:rPr>
          <w:rFonts w:ascii="Times New Roman" w:hAnsi="Times New Roman" w:cs="Times New Roman"/>
          <w:lang w:val="en-US"/>
        </w:rPr>
        <w:t>.</w:t>
      </w:r>
      <w:r w:rsidRPr="00130131">
        <w:rPr>
          <w:rFonts w:ascii="Times New Roman" w:hAnsi="Times New Roman" w:cs="Times New Roman"/>
          <w:lang w:val="en-US"/>
        </w:rPr>
        <w:t xml:space="preserve"> Balancing covariates via propensity score weighting, Journal of the American Statistical Association, 113, 390-400</w:t>
      </w:r>
    </w:p>
    <w:p w14:paraId="32B108D0"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Lilja</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N., Kristianson</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P., Watts</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J. (2010)</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Rethinking impact: Understanding the complexity of poverty and change – Overview, Development in Practice, 20(8), 917-932, doi.org/10.1080/09614524.2010.513721</w:t>
      </w:r>
    </w:p>
    <w:p w14:paraId="4CABD92C"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Ling</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T. (2012)</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Evaluating complex and unfolding interventions in real time, Evaluation, 18(4), 79-81, doi.org/10.1177/13563389011429629</w:t>
      </w:r>
    </w:p>
    <w:p w14:paraId="77B73D01"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de-AT"/>
        </w:rPr>
        <w:t xml:space="preserve">Liu, L., Wang, Y., Xu, Y. (2024). </w:t>
      </w:r>
      <w:r w:rsidRPr="00223386">
        <w:rPr>
          <w:rFonts w:ascii="Times New Roman" w:hAnsi="Times New Roman" w:cs="Times New Roman"/>
          <w:lang w:val="en-GB"/>
        </w:rPr>
        <w:t>A practical guide to counterfactual estimators for causal inference with time‐series cross‐sectional data. </w:t>
      </w:r>
      <w:r w:rsidRPr="00223386">
        <w:rPr>
          <w:rFonts w:ascii="Times New Roman" w:hAnsi="Times New Roman" w:cs="Times New Roman"/>
        </w:rPr>
        <w:t>American Journal of Political Science, 68(1), 160-176.  https://doi.org/10.1111/ajps.12723</w:t>
      </w:r>
    </w:p>
    <w:p w14:paraId="4BAC4F44"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F49A6">
        <w:rPr>
          <w:rFonts w:ascii="Times New Roman" w:eastAsia="Times New Roman" w:hAnsi="Times New Roman" w:cs="Times New Roman"/>
          <w:color w:val="333333"/>
          <w:spacing w:val="2"/>
          <w:kern w:val="0"/>
          <w:lang w:eastAsia="pl-PL"/>
          <w14:ligatures w14:val="none"/>
        </w:rPr>
        <w:t>Luo, J., Gonzalo Ordóñez-Matamoros, G., Kuhlmann, S.(2019).</w:t>
      </w:r>
      <w:r w:rsidRPr="001F49A6">
        <w:rPr>
          <w:rFonts w:ascii="Times New Roman" w:eastAsia="Calibri" w:hAnsi="Times New Roman" w:cs="Times New Roman"/>
          <w:spacing w:val="2"/>
          <w:kern w:val="0"/>
          <w:lang w:eastAsia="pl-PL"/>
          <w14:ligatures w14:val="none"/>
        </w:rPr>
        <w:t xml:space="preserve"> </w:t>
      </w:r>
      <w:r w:rsidRPr="00130131">
        <w:rPr>
          <w:rFonts w:ascii="Times New Roman" w:eastAsia="Times New Roman" w:hAnsi="Times New Roman" w:cs="Times New Roman"/>
          <w:spacing w:val="2"/>
          <w:kern w:val="0"/>
          <w:lang w:val="en-US" w:eastAsia="pl-PL"/>
          <w14:ligatures w14:val="none"/>
        </w:rPr>
        <w:t xml:space="preserve">The Balancing Role of Evaluation Mechanisms in Organizational Governance: The Case of Publicly Funded Research Institutions, Research Evaluation, 28(4), 344-354, </w:t>
      </w:r>
      <w:hyperlink r:id="rId344" w:history="1">
        <w:r w:rsidRPr="00130131">
          <w:rPr>
            <w:rFonts w:ascii="Times New Roman" w:eastAsia="Times New Roman" w:hAnsi="Times New Roman" w:cs="Times New Roman"/>
            <w:kern w:val="0"/>
            <w:bdr w:val="none" w:sz="0" w:space="0" w:color="auto" w:frame="1"/>
            <w:shd w:val="clear" w:color="auto" w:fill="FFFFFF"/>
            <w:lang w:val="en-US" w:eastAsia="pl-PL"/>
            <w14:ligatures w14:val="none"/>
          </w:rPr>
          <w:t>https://doi.org/10.1093/reseval/rvz022</w:t>
        </w:r>
      </w:hyperlink>
    </w:p>
    <w:p w14:paraId="2C69BFF1"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Malani, A., Reif J. (2015). Interpreting pre-trends as anticipation: Impact on estimated treatment effects from tort reform. </w:t>
      </w:r>
      <w:r w:rsidRPr="00223386">
        <w:rPr>
          <w:rFonts w:ascii="Times New Roman" w:hAnsi="Times New Roman" w:cs="Times New Roman"/>
        </w:rPr>
        <w:t>Journal of Public Economics, 124, 1–17. https://doi.org/10.1016/j.jpubeco.2015.01.001</w:t>
      </w:r>
    </w:p>
    <w:p w14:paraId="6FF54B07"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30131">
        <w:rPr>
          <w:rFonts w:ascii="Times New Roman" w:eastAsia="Calibri" w:hAnsi="Times New Roman" w:cs="Times New Roman"/>
          <w:spacing w:val="2"/>
          <w:kern w:val="0"/>
          <w:lang w:val="en-US" w:eastAsia="pl-PL"/>
          <w14:ligatures w14:val="none"/>
        </w:rPr>
        <w:t>Mansui</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G., Rao</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V. (2013)</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Localizing Development, The World Bank, http:/dx.doi.org/10.1596/978-0-8213-8256-1, dostęp 5.04.2923</w:t>
      </w:r>
    </w:p>
    <w:p w14:paraId="304C3A83"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en-GB"/>
        </w:rPr>
        <w:t>Marcus, M., Sant’Anna, P. H. (2021). The role of parallel trends in event study settings: An application to environmental economics. Journal of the Association of Environmental and Resource Economists, 8(2), 235-275. https://doi.org/10.7910/DVN/TXB0ZO</w:t>
      </w:r>
    </w:p>
    <w:p w14:paraId="776D8DE0"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eastAsia="pl-PL"/>
          <w14:ligatures w14:val="none"/>
        </w:rPr>
      </w:pPr>
      <w:r w:rsidRPr="00223386">
        <w:rPr>
          <w:rFonts w:ascii="Times New Roman" w:eastAsia="Times New Roman" w:hAnsi="Times New Roman" w:cs="Times New Roman"/>
          <w:bCs/>
          <w:kern w:val="0"/>
          <w:lang w:val="en-US" w:eastAsia="pl-PL"/>
          <w14:ligatures w14:val="none"/>
        </w:rPr>
        <w:t>Mare, C., Manaţe, D., Mureşan, G-M., Dragoş, SL., Dragoş, CM, Purcel, A-A. (2022).  Machine Learning Models for Predicting Romanian Farmers’ Purchase of Crop Insurance. </w:t>
      </w:r>
      <w:r w:rsidRPr="00223386">
        <w:rPr>
          <w:rFonts w:ascii="Times New Roman" w:eastAsia="Times New Roman" w:hAnsi="Times New Roman" w:cs="Times New Roman"/>
          <w:bCs/>
          <w:i/>
          <w:kern w:val="0"/>
          <w:lang w:val="en-US" w:eastAsia="pl-PL"/>
          <w14:ligatures w14:val="none"/>
        </w:rPr>
        <w:t>Mathematics</w:t>
      </w:r>
      <w:r w:rsidRPr="00223386">
        <w:rPr>
          <w:rFonts w:ascii="Times New Roman" w:eastAsia="Times New Roman" w:hAnsi="Times New Roman" w:cs="Times New Roman"/>
          <w:bCs/>
          <w:kern w:val="0"/>
          <w:lang w:val="en-US" w:eastAsia="pl-PL"/>
          <w14:ligatures w14:val="none"/>
        </w:rPr>
        <w:t xml:space="preserve">, 10(19):3625. </w:t>
      </w:r>
      <w:hyperlink r:id="rId345" w:history="1">
        <w:r w:rsidRPr="00223386">
          <w:rPr>
            <w:rFonts w:ascii="Times New Roman" w:eastAsia="Times New Roman" w:hAnsi="Times New Roman" w:cs="Times New Roman"/>
            <w:bCs/>
            <w:kern w:val="0"/>
            <w:lang w:val="en-US" w:eastAsia="pl-PL"/>
            <w14:ligatures w14:val="none"/>
          </w:rPr>
          <w:t>https://doi.org/10.3390/math10193625</w:t>
        </w:r>
      </w:hyperlink>
    </w:p>
    <w:p w14:paraId="40E8C5DB"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8671B4">
        <w:rPr>
          <w:rFonts w:ascii="Times New Roman" w:eastAsia="Times New Roman" w:hAnsi="Times New Roman" w:cs="Times New Roman"/>
          <w:spacing w:val="2"/>
          <w:kern w:val="0"/>
          <w:lang w:val="de-AT" w:eastAsia="pl-PL"/>
          <w14:ligatures w14:val="none"/>
        </w:rPr>
        <w:t xml:space="preserve">Marr, A., Winkel, A., van Asseldonk, M., Lensik, R., Bulte, E. (2016). </w:t>
      </w:r>
      <w:r w:rsidRPr="00130131">
        <w:rPr>
          <w:rFonts w:ascii="Times New Roman" w:eastAsia="Times New Roman" w:hAnsi="Times New Roman" w:cs="Times New Roman"/>
          <w:spacing w:val="2"/>
          <w:kern w:val="0"/>
          <w:lang w:val="en-US" w:eastAsia="pl-PL"/>
          <w14:ligatures w14:val="none"/>
        </w:rPr>
        <w:t>Adoption and impact of index-insurance and credit for smallholder farmers in developing countries: a systematic review, Agricultural Finance Review, 76(1), 94-118</w:t>
      </w:r>
    </w:p>
    <w:p w14:paraId="3CFB4996"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Maxwell, J. A. (2013). </w:t>
      </w:r>
      <w:r w:rsidRPr="00223386">
        <w:rPr>
          <w:rFonts w:ascii="Times New Roman" w:eastAsia="Aptos" w:hAnsi="Times New Roman" w:cs="Times New Roman"/>
          <w:i/>
          <w:iCs/>
          <w:lang w:val="en-US"/>
        </w:rPr>
        <w:t>Qualitative Research Design: An Interactive Approach.</w:t>
      </w:r>
      <w:r w:rsidRPr="00223386">
        <w:rPr>
          <w:rFonts w:ascii="Times New Roman" w:eastAsia="Aptos" w:hAnsi="Times New Roman" w:cs="Times New Roman"/>
          <w:lang w:val="en-US"/>
        </w:rPr>
        <w:t xml:space="preserve"> Thousand Oaks, CA: SAGE Publications.</w:t>
      </w:r>
    </w:p>
    <w:p w14:paraId="0F42CFF8"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Mayene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(2019)</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The COM-B theory of change model, https:/www.researchgate.net/publication/3354044381_TheCOMB_TOC_ModelV5</w:t>
      </w:r>
    </w:p>
    <w:p w14:paraId="113113B8"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Mayne</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J. (2015)</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Useful theory of Change Models, Canadian Journal of Program Evaluation, 30(2), 119-142, doi.10.3138/cjpe.230</w:t>
      </w:r>
    </w:p>
    <w:p w14:paraId="22CE3D48"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Mayne</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J. (2016)</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Working with useful theory of change models, dostęp: 31.07.2023</w:t>
      </w:r>
    </w:p>
    <w:p w14:paraId="5D11B8EA"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Mayne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(2023)</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Assumptions in theories of change, Evaluation and Program Planning, 98, 102276.</w:t>
      </w:r>
    </w:p>
    <w:p w14:paraId="0BEFC6F9"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Maziarz</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M. (2020)</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The Philosophy of Causality in Economics: Causal Interferences and Policy Proposals, Routledge, New York, London</w:t>
      </w:r>
    </w:p>
    <w:p w14:paraId="08B0E965"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McKenzie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 Rosenzweig M. (2012)</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Symposium on Measurement and Survey Design, Journal of Development Economics, 98(4), 1-148</w:t>
      </w:r>
    </w:p>
    <w:p w14:paraId="05F67E3E" w14:textId="77777777"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lang w:val="en-GB"/>
        </w:rPr>
      </w:pPr>
      <w:r w:rsidRPr="00223386">
        <w:rPr>
          <w:rFonts w:ascii="Times New Roman" w:eastAsia="Aptos" w:hAnsi="Times New Roman" w:cs="Times New Roman"/>
          <w:lang w:val="en-GB"/>
        </w:rPr>
        <w:t>Mennig, P., &amp; Sauer, J. (2020). The impact of agri-environment schemes on farm productivity: a DID-matching approach. European Review of Agricultural Economics, 47(3), 1045-1093. https://doi.org/10.1093/ erae/jbz006</w:t>
      </w:r>
    </w:p>
    <w:p w14:paraId="5C55CCFD"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Mensah</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O.N., Owusu-Sekyere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E., Adjec</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 (2023)</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Revisiting preferences for agricultural insurance policies: Insights from cashew crop insurance development in Ghana, Food Policy, 118</w:t>
      </w:r>
    </w:p>
    <w:p w14:paraId="62A5F627"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Menzies</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P., Price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H. (1993)</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Causation as a Secondary Quality, British Journal for the Philosophy of Science 44(2), 187-203, doi: 10.1.1.28.9736</w:t>
      </w:r>
    </w:p>
    <w:p w14:paraId="13E113C2"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de-AT"/>
        </w:rPr>
      </w:pPr>
      <w:r w:rsidRPr="00130131">
        <w:rPr>
          <w:rFonts w:ascii="Times New Roman" w:eastAsia="Times New Roman" w:hAnsi="Times New Roman" w:cs="Times New Roman"/>
          <w:spacing w:val="2"/>
          <w:kern w:val="0"/>
          <w:lang w:val="de-AT" w:eastAsia="pl-PL"/>
          <w14:ligatures w14:val="none"/>
        </w:rPr>
        <w:t>Meyer</w:t>
      </w:r>
      <w:r>
        <w:rPr>
          <w:rFonts w:ascii="Times New Roman" w:eastAsia="Times New Roman" w:hAnsi="Times New Roman" w:cs="Times New Roman"/>
          <w:spacing w:val="2"/>
          <w:kern w:val="0"/>
          <w:lang w:val="de-AT" w:eastAsia="pl-PL"/>
          <w14:ligatures w14:val="none"/>
        </w:rPr>
        <w:t>,</w:t>
      </w:r>
      <w:r w:rsidRPr="00130131">
        <w:rPr>
          <w:rFonts w:ascii="Times New Roman" w:eastAsia="Times New Roman" w:hAnsi="Times New Roman" w:cs="Times New Roman"/>
          <w:spacing w:val="2"/>
          <w:kern w:val="0"/>
          <w:lang w:val="de-AT" w:eastAsia="pl-PL"/>
          <w14:ligatures w14:val="none"/>
        </w:rPr>
        <w:t xml:space="preserve"> W. (2022)</w:t>
      </w:r>
      <w:r>
        <w:rPr>
          <w:rFonts w:ascii="Times New Roman" w:eastAsia="Times New Roman" w:hAnsi="Times New Roman" w:cs="Times New Roman"/>
          <w:spacing w:val="2"/>
          <w:kern w:val="0"/>
          <w:lang w:val="de-AT" w:eastAsia="pl-PL"/>
          <w14:ligatures w14:val="none"/>
        </w:rPr>
        <w:t>.</w:t>
      </w:r>
      <w:r w:rsidRPr="00130131">
        <w:rPr>
          <w:rFonts w:ascii="Times New Roman" w:eastAsia="Times New Roman" w:hAnsi="Times New Roman" w:cs="Times New Roman"/>
          <w:spacing w:val="2"/>
          <w:kern w:val="0"/>
          <w:lang w:val="de-AT" w:eastAsia="pl-PL"/>
          <w14:ligatures w14:val="none"/>
        </w:rPr>
        <w:t xml:space="preserve"> Datenerhebung: Befragungen-Beobachtungen – Nichtreaktive Verfahren, in: Handbuch zur Evaluation. Eine praktische Handlungsanleitung, 2. überarbeitete und erweiterte Auflage, WAXMANN, Münster, New York</w:t>
      </w:r>
    </w:p>
    <w:p w14:paraId="3CBFA7EF"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Michalek</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J. (2012)</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Counterfactual impact evaluation of EU rural development programmes- Propensity Score Matching Methodology applied to selected EU Member States, Volume 1: A micro-level approach, IRC Scientific and Policy Reports, Seville</w:t>
      </w:r>
    </w:p>
    <w:p w14:paraId="1F9A46FB"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5968CA">
        <w:rPr>
          <w:rFonts w:ascii="Times New Roman" w:hAnsi="Times New Roman" w:cs="Times New Roman"/>
          <w:lang w:val="de-AT"/>
        </w:rPr>
        <w:t>Michels, M., Wever, H., Mu</w:t>
      </w:r>
      <w:r w:rsidRPr="00130131">
        <w:rPr>
          <w:rFonts w:ascii="Times New Roman" w:hAnsi="Times New Roman" w:cs="Times New Roman"/>
          <w:lang w:val="de-AT"/>
        </w:rPr>
        <w:t>β</w:t>
      </w:r>
      <w:r w:rsidRPr="005968CA">
        <w:rPr>
          <w:rFonts w:ascii="Times New Roman" w:hAnsi="Times New Roman" w:cs="Times New Roman"/>
          <w:lang w:val="de-AT"/>
        </w:rPr>
        <w:t xml:space="preserve">hoff, O. (2024). </w:t>
      </w:r>
      <w:r w:rsidRPr="00130131">
        <w:rPr>
          <w:rFonts w:ascii="Times New Roman" w:hAnsi="Times New Roman" w:cs="Times New Roman"/>
          <w:lang w:val="en-US"/>
        </w:rPr>
        <w:t>Cultivating Support: An ex-ante typological analysis of farmers’ responses to multi-peril crop insurance subsidies, Journal of Agricultural and Applied Economics, 56(2).</w:t>
      </w:r>
    </w:p>
    <w:p w14:paraId="7CA1C5C6"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5968CA">
        <w:rPr>
          <w:rFonts w:ascii="Times New Roman" w:eastAsia="Times New Roman" w:hAnsi="Times New Roman" w:cs="Times New Roman"/>
          <w:spacing w:val="2"/>
          <w:kern w:val="0"/>
          <w:lang w:val="de-AT" w:eastAsia="pl-PL"/>
          <w14:ligatures w14:val="none"/>
        </w:rPr>
        <w:t xml:space="preserve">Michie, S., Atkins, L., West, R. (2014). </w:t>
      </w:r>
      <w:r w:rsidRPr="00130131">
        <w:rPr>
          <w:rFonts w:ascii="Times New Roman" w:eastAsia="Times New Roman" w:hAnsi="Times New Roman" w:cs="Times New Roman"/>
          <w:spacing w:val="2"/>
          <w:kern w:val="0"/>
          <w:lang w:val="en-US" w:eastAsia="pl-PL"/>
          <w14:ligatures w14:val="none"/>
        </w:rPr>
        <w:t>The behaviour change wheel: A guide to designing interventions, Silverback Publishing, London.</w:t>
      </w:r>
    </w:p>
    <w:p w14:paraId="652D3EC7"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5968CA">
        <w:rPr>
          <w:rFonts w:ascii="Times New Roman" w:eastAsia="Times New Roman" w:hAnsi="Times New Roman" w:cs="Times New Roman"/>
          <w:bCs/>
          <w:kern w:val="0"/>
          <w:lang w:val="de-AT" w:eastAsia="pl-PL"/>
          <w14:ligatures w14:val="none"/>
        </w:rPr>
        <w:t xml:space="preserve">Michie, S., van Stralen, M.M., West, R. (2011). </w:t>
      </w:r>
      <w:r w:rsidRPr="00130131">
        <w:rPr>
          <w:rFonts w:ascii="Times New Roman" w:eastAsia="Times New Roman" w:hAnsi="Times New Roman" w:cs="Times New Roman"/>
          <w:bCs/>
          <w:kern w:val="0"/>
          <w:lang w:val="en-US" w:eastAsia="pl-PL"/>
          <w14:ligatures w14:val="none"/>
        </w:rPr>
        <w:t>The behaviour change wheel: A new method for characterizing and designing behaviour change interventions, Implementation Science, 6, 42, doi.org/10.1186/1748-5908-6-42</w:t>
      </w:r>
    </w:p>
    <w:p w14:paraId="13CE5042" w14:textId="77777777" w:rsidR="002A58EC" w:rsidRPr="00130131" w:rsidRDefault="002A58EC" w:rsidP="002A58EC">
      <w:pPr>
        <w:numPr>
          <w:ilvl w:val="0"/>
          <w:numId w:val="81"/>
        </w:numPr>
        <w:tabs>
          <w:tab w:val="left" w:pos="2740"/>
        </w:tabs>
        <w:spacing w:after="0" w:line="264" w:lineRule="auto"/>
        <w:ind w:hanging="720"/>
        <w:contextualSpacing/>
        <w:jc w:val="both"/>
        <w:rPr>
          <w:rFonts w:ascii="Times New Roman" w:eastAsia="Calibri" w:hAnsi="Times New Roman" w:cs="Times New Roman"/>
          <w:lang w:val="de-AT"/>
        </w:rPr>
      </w:pPr>
      <w:r w:rsidRPr="00130131">
        <w:rPr>
          <w:rFonts w:ascii="Times New Roman" w:eastAsia="Calibri" w:hAnsi="Times New Roman" w:cs="Times New Roman"/>
          <w:lang w:val="de-AT"/>
        </w:rPr>
        <w:t>Moser</w:t>
      </w:r>
      <w:r>
        <w:rPr>
          <w:rFonts w:ascii="Times New Roman" w:eastAsia="Calibri" w:hAnsi="Times New Roman" w:cs="Times New Roman"/>
          <w:lang w:val="de-AT"/>
        </w:rPr>
        <w:t>,</w:t>
      </w:r>
      <w:r w:rsidRPr="00130131">
        <w:rPr>
          <w:rFonts w:ascii="Times New Roman" w:eastAsia="Calibri" w:hAnsi="Times New Roman" w:cs="Times New Roman"/>
          <w:lang w:val="de-AT"/>
        </w:rPr>
        <w:t xml:space="preserve"> T., Kapher</w:t>
      </w:r>
      <w:r>
        <w:rPr>
          <w:rFonts w:ascii="Times New Roman" w:eastAsia="Calibri" w:hAnsi="Times New Roman" w:cs="Times New Roman"/>
          <w:lang w:val="de-AT"/>
        </w:rPr>
        <w:t>,</w:t>
      </w:r>
      <w:r w:rsidRPr="00130131">
        <w:rPr>
          <w:rFonts w:ascii="Times New Roman" w:eastAsia="Calibri" w:hAnsi="Times New Roman" w:cs="Times New Roman"/>
          <w:lang w:val="de-AT"/>
        </w:rPr>
        <w:t xml:space="preserve"> M., Sandbichler</w:t>
      </w:r>
      <w:r>
        <w:rPr>
          <w:rFonts w:ascii="Times New Roman" w:eastAsia="Calibri" w:hAnsi="Times New Roman" w:cs="Times New Roman"/>
          <w:lang w:val="de-AT"/>
        </w:rPr>
        <w:t>,</w:t>
      </w:r>
      <w:r w:rsidRPr="00130131">
        <w:rPr>
          <w:rFonts w:ascii="Times New Roman" w:eastAsia="Calibri" w:hAnsi="Times New Roman" w:cs="Times New Roman"/>
          <w:lang w:val="de-AT"/>
        </w:rPr>
        <w:t xml:space="preserve"> M., Kirchweger</w:t>
      </w:r>
      <w:r>
        <w:rPr>
          <w:rFonts w:ascii="Times New Roman" w:eastAsia="Calibri" w:hAnsi="Times New Roman" w:cs="Times New Roman"/>
          <w:lang w:val="de-AT"/>
        </w:rPr>
        <w:t>,</w:t>
      </w:r>
      <w:r w:rsidRPr="00130131">
        <w:rPr>
          <w:rFonts w:ascii="Times New Roman" w:eastAsia="Calibri" w:hAnsi="Times New Roman" w:cs="Times New Roman"/>
          <w:lang w:val="de-AT"/>
        </w:rPr>
        <w:t xml:space="preserve"> S., Kantelhardt</w:t>
      </w:r>
      <w:r>
        <w:rPr>
          <w:rFonts w:ascii="Times New Roman" w:eastAsia="Calibri" w:hAnsi="Times New Roman" w:cs="Times New Roman"/>
          <w:lang w:val="de-AT"/>
        </w:rPr>
        <w:t>,</w:t>
      </w:r>
      <w:r w:rsidRPr="00130131">
        <w:rPr>
          <w:rFonts w:ascii="Times New Roman" w:eastAsia="Calibri" w:hAnsi="Times New Roman" w:cs="Times New Roman"/>
          <w:lang w:val="de-AT"/>
        </w:rPr>
        <w:t xml:space="preserve"> J. (2015)</w:t>
      </w:r>
      <w:r>
        <w:rPr>
          <w:rFonts w:ascii="Times New Roman" w:eastAsia="Calibri" w:hAnsi="Times New Roman" w:cs="Times New Roman"/>
          <w:lang w:val="de-AT"/>
        </w:rPr>
        <w:t>.</w:t>
      </w:r>
      <w:r w:rsidRPr="00130131">
        <w:rPr>
          <w:rFonts w:ascii="Times New Roman" w:eastAsia="Calibri" w:hAnsi="Times New Roman" w:cs="Times New Roman"/>
          <w:lang w:val="de-AT"/>
        </w:rPr>
        <w:t xml:space="preserve"> Einfluss von Investitionstätigkeit und Investitionsförderung auf ökonomische Kenngrößen österreichischer Milchviehbetriebe, „Berichte über Landwirtschaft“, 93</w:t>
      </w:r>
      <w:r>
        <w:rPr>
          <w:rFonts w:ascii="Times New Roman" w:eastAsia="Calibri" w:hAnsi="Times New Roman" w:cs="Times New Roman"/>
          <w:lang w:val="de-AT"/>
        </w:rPr>
        <w:t>(</w:t>
      </w:r>
      <w:r w:rsidRPr="00130131">
        <w:rPr>
          <w:rFonts w:ascii="Times New Roman" w:eastAsia="Calibri" w:hAnsi="Times New Roman" w:cs="Times New Roman"/>
          <w:lang w:val="de-AT"/>
        </w:rPr>
        <w:t>1</w:t>
      </w:r>
      <w:r>
        <w:rPr>
          <w:rFonts w:ascii="Times New Roman" w:eastAsia="Calibri" w:hAnsi="Times New Roman" w:cs="Times New Roman"/>
          <w:lang w:val="de-AT"/>
        </w:rPr>
        <w:t>)</w:t>
      </w:r>
      <w:r w:rsidRPr="00130131">
        <w:rPr>
          <w:rFonts w:ascii="Times New Roman" w:eastAsia="Calibri" w:hAnsi="Times New Roman" w:cs="Times New Roman"/>
          <w:lang w:val="de-AT"/>
        </w:rPr>
        <w:t>, s. 1-17</w:t>
      </w:r>
    </w:p>
    <w:p w14:paraId="6CE9A008" w14:textId="77777777"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spacing w:val="-4"/>
          <w:lang w:val="en-GB"/>
        </w:rPr>
      </w:pPr>
      <w:r w:rsidRPr="00223386">
        <w:rPr>
          <w:rFonts w:ascii="Times New Roman" w:eastAsia="Aptos" w:hAnsi="Times New Roman" w:cs="Times New Roman"/>
          <w:spacing w:val="-4"/>
          <w:lang w:val="en-GB"/>
        </w:rPr>
        <w:t>Mueser, P. R., Troske, K. R., Gorislavsky, A. (2007). Using state administrative data to measure program performance. The review of economics and statistics, 89(4), 761-783. https://doi.org/10.1162/rest.89.4.761</w:t>
      </w:r>
    </w:p>
    <w:p w14:paraId="59AD4B9D" w14:textId="77777777" w:rsidR="002A58EC" w:rsidRPr="00130131" w:rsidRDefault="002A58EC" w:rsidP="002A58EC">
      <w:pPr>
        <w:numPr>
          <w:ilvl w:val="0"/>
          <w:numId w:val="81"/>
        </w:numPr>
        <w:tabs>
          <w:tab w:val="left" w:pos="2740"/>
        </w:tabs>
        <w:spacing w:after="0" w:line="264" w:lineRule="auto"/>
        <w:ind w:hanging="720"/>
        <w:contextualSpacing/>
        <w:jc w:val="both"/>
        <w:rPr>
          <w:rFonts w:ascii="Times New Roman" w:eastAsia="Calibri" w:hAnsi="Times New Roman" w:cs="Times New Roman"/>
          <w:lang w:val="de-AT"/>
        </w:rPr>
      </w:pPr>
      <w:r w:rsidRPr="00130131">
        <w:rPr>
          <w:rFonts w:ascii="Times New Roman" w:eastAsia="Calibri" w:hAnsi="Times New Roman" w:cs="Times New Roman"/>
          <w:lang w:val="de-AT"/>
        </w:rPr>
        <w:t>Muβhoff</w:t>
      </w:r>
      <w:r>
        <w:rPr>
          <w:rFonts w:ascii="Times New Roman" w:eastAsia="Calibri" w:hAnsi="Times New Roman" w:cs="Times New Roman"/>
          <w:lang w:val="de-AT"/>
        </w:rPr>
        <w:t>,</w:t>
      </w:r>
      <w:r w:rsidRPr="00130131">
        <w:rPr>
          <w:rFonts w:ascii="Times New Roman" w:eastAsia="Calibri" w:hAnsi="Times New Roman" w:cs="Times New Roman"/>
          <w:lang w:val="de-AT"/>
        </w:rPr>
        <w:t xml:space="preserve"> O., Hirschauer</w:t>
      </w:r>
      <w:r>
        <w:rPr>
          <w:rFonts w:ascii="Times New Roman" w:eastAsia="Calibri" w:hAnsi="Times New Roman" w:cs="Times New Roman"/>
          <w:lang w:val="de-AT"/>
        </w:rPr>
        <w:t>,</w:t>
      </w:r>
      <w:r w:rsidRPr="00130131">
        <w:rPr>
          <w:rFonts w:ascii="Times New Roman" w:eastAsia="Calibri" w:hAnsi="Times New Roman" w:cs="Times New Roman"/>
          <w:lang w:val="de-AT"/>
        </w:rPr>
        <w:t xml:space="preserve"> N. (2011)</w:t>
      </w:r>
      <w:r>
        <w:rPr>
          <w:rFonts w:ascii="Times New Roman" w:eastAsia="Calibri" w:hAnsi="Times New Roman" w:cs="Times New Roman"/>
          <w:lang w:val="de-AT"/>
        </w:rPr>
        <w:t>.</w:t>
      </w:r>
      <w:r w:rsidRPr="00130131">
        <w:rPr>
          <w:rFonts w:ascii="Times New Roman" w:eastAsia="Calibri" w:hAnsi="Times New Roman" w:cs="Times New Roman"/>
          <w:lang w:val="de-AT"/>
        </w:rPr>
        <w:t xml:space="preserve"> Modernes Agrarmanagement. Betriebswirtschaftliche Analyse- und Planungsverfahren, 2. Auflage, Vahlen, München</w:t>
      </w:r>
    </w:p>
    <w:p w14:paraId="683AB7D9"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de-AT" w:eastAsia="pl-PL"/>
          <w14:ligatures w14:val="none"/>
        </w:rPr>
        <w:t xml:space="preserve">Namiotko, V. Galnaitytė, A. Kriščiukaitienė, I. Ali Koç, A. (2022). </w:t>
      </w:r>
      <w:r w:rsidRPr="00223386">
        <w:rPr>
          <w:rFonts w:ascii="Times New Roman" w:eastAsia="Times New Roman" w:hAnsi="Times New Roman" w:cs="Times New Roman"/>
          <w:bCs/>
          <w:kern w:val="0"/>
          <w:lang w:val="en-US" w:eastAsia="pl-PL"/>
          <w14:ligatures w14:val="none"/>
        </w:rPr>
        <w:t xml:space="preserve">Crop insurance effects on the farms’ production and investment indicators in Lithuania. </w:t>
      </w:r>
      <w:r w:rsidRPr="00223386">
        <w:rPr>
          <w:rFonts w:ascii="Times New Roman" w:eastAsia="Times New Roman" w:hAnsi="Times New Roman" w:cs="Times New Roman"/>
          <w:bCs/>
          <w:i/>
          <w:kern w:val="0"/>
          <w:lang w:val="en-US" w:eastAsia="pl-PL"/>
          <w14:ligatures w14:val="none"/>
        </w:rPr>
        <w:t>Journal of water and land development</w:t>
      </w:r>
      <w:r w:rsidRPr="00223386">
        <w:rPr>
          <w:rFonts w:ascii="Times New Roman" w:eastAsia="Times New Roman" w:hAnsi="Times New Roman" w:cs="Times New Roman"/>
          <w:bCs/>
          <w:kern w:val="0"/>
          <w:lang w:val="en-US" w:eastAsia="pl-PL"/>
          <w14:ligatures w14:val="none"/>
        </w:rPr>
        <w:t xml:space="preserve">, 55 (X–XII), p. 41-46. https://doi.org/ </w:t>
      </w:r>
      <w:hyperlink r:id="rId346" w:tgtFrame="_blank" w:history="1">
        <w:r w:rsidRPr="00223386">
          <w:rPr>
            <w:rFonts w:ascii="Times New Roman" w:eastAsia="Times New Roman" w:hAnsi="Times New Roman" w:cs="Times New Roman"/>
            <w:bCs/>
            <w:kern w:val="0"/>
            <w:lang w:val="en-US" w:eastAsia="pl-PL"/>
            <w14:ligatures w14:val="none"/>
          </w:rPr>
          <w:t>10.24425/jwld.2022.142302</w:t>
        </w:r>
      </w:hyperlink>
      <w:r w:rsidRPr="00223386">
        <w:rPr>
          <w:rFonts w:ascii="Times New Roman" w:eastAsia="Times New Roman" w:hAnsi="Times New Roman" w:cs="Times New Roman"/>
          <w:bCs/>
          <w:kern w:val="0"/>
          <w:lang w:val="en-US" w:eastAsia="pl-PL"/>
          <w14:ligatures w14:val="none"/>
        </w:rPr>
        <w:t>.</w:t>
      </w:r>
    </w:p>
    <w:p w14:paraId="2FABFCAA" w14:textId="77777777"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lang w:val="en-GB"/>
        </w:rPr>
      </w:pPr>
      <w:r w:rsidRPr="00223386">
        <w:rPr>
          <w:rFonts w:ascii="Times New Roman" w:eastAsia="Aptos" w:hAnsi="Times New Roman" w:cs="Times New Roman"/>
          <w:lang w:val="de-AT"/>
        </w:rPr>
        <w:t xml:space="preserve">O’Neill, S., Kreif, N., Grieve, R., Sutton, M., &amp; Sekhon, J. S. (2016). </w:t>
      </w:r>
      <w:r w:rsidRPr="00223386">
        <w:rPr>
          <w:rFonts w:ascii="Times New Roman" w:eastAsia="Aptos" w:hAnsi="Times New Roman" w:cs="Times New Roman"/>
          <w:lang w:val="en-GB"/>
        </w:rPr>
        <w:t>Estimating causal effects: considering three alternatives to difference-in-differences estimation. Health Services and Outcomes Research Methodology, 16,1-21. https://doi.org/1-21.1007/s10742-016-0146-8</w:t>
      </w:r>
    </w:p>
    <w:p w14:paraId="7408D0C2"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Ogden, T. N. (Ed.). (2024). Experimental conversations: Perspectives on randomized trials in development economics. </w:t>
      </w:r>
      <w:r w:rsidRPr="00223386">
        <w:rPr>
          <w:rFonts w:ascii="Times New Roman" w:hAnsi="Times New Roman" w:cs="Times New Roman"/>
        </w:rPr>
        <w:t>MIT Press.</w:t>
      </w:r>
    </w:p>
    <w:p w14:paraId="113D9BDD"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Oreopouls P. (2006)</w:t>
      </w:r>
      <w:r>
        <w:rPr>
          <w:rFonts w:ascii="Times New Roman" w:hAnsi="Times New Roman" w:cs="Times New Roman"/>
          <w:lang w:val="en-US"/>
        </w:rPr>
        <w:t>.</w:t>
      </w:r>
      <w:r w:rsidRPr="00130131">
        <w:rPr>
          <w:rFonts w:ascii="Times New Roman" w:hAnsi="Times New Roman" w:cs="Times New Roman"/>
          <w:lang w:val="en-US"/>
        </w:rPr>
        <w:t xml:space="preserve"> Estimating Average and Local Average Treatment Effects of Education when Compulsory Schooling Laws Really Matter, American Economic Review, 96(1), 152-175</w:t>
      </w:r>
    </w:p>
    <w:p w14:paraId="03912AA8"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Owusu-Sekyere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E., Abdulai</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A., Ali</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W. (2021)</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Preferences for crop insurance attributes among cocoa farmers in Ghana, Journal of Agricultural and Development of Emerging Economies, 12(5), 849-867</w:t>
      </w:r>
    </w:p>
    <w:p w14:paraId="731E1970"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30131">
        <w:rPr>
          <w:rFonts w:ascii="Times New Roman" w:eastAsia="Times New Roman" w:hAnsi="Times New Roman" w:cs="Times New Roman"/>
          <w:kern w:val="0"/>
          <w:lang w:val="en-US" w:eastAsia="pl-PL"/>
          <w14:ligatures w14:val="none"/>
        </w:rPr>
        <w:t>Patton</w:t>
      </w:r>
      <w:r>
        <w:rPr>
          <w:rFonts w:ascii="Times New Roman" w:eastAsia="Times New Roman" w:hAnsi="Times New Roman" w:cs="Times New Roman"/>
          <w:kern w:val="0"/>
          <w:lang w:val="en-US" w:eastAsia="pl-PL"/>
          <w14:ligatures w14:val="none"/>
        </w:rPr>
        <w:t>,</w:t>
      </w:r>
      <w:r w:rsidRPr="00130131">
        <w:rPr>
          <w:rFonts w:ascii="Times New Roman" w:eastAsia="Times New Roman" w:hAnsi="Times New Roman" w:cs="Times New Roman"/>
          <w:kern w:val="0"/>
          <w:lang w:val="en-US" w:eastAsia="pl-PL"/>
          <w14:ligatures w14:val="none"/>
        </w:rPr>
        <w:t xml:space="preserve"> M.Q. (1994)</w:t>
      </w:r>
      <w:r>
        <w:rPr>
          <w:rFonts w:ascii="Times New Roman" w:eastAsia="Times New Roman" w:hAnsi="Times New Roman" w:cs="Times New Roman"/>
          <w:kern w:val="0"/>
          <w:lang w:val="en-US" w:eastAsia="pl-PL"/>
          <w14:ligatures w14:val="none"/>
        </w:rPr>
        <w:t>.</w:t>
      </w:r>
      <w:r w:rsidRPr="00130131">
        <w:rPr>
          <w:rFonts w:ascii="Times New Roman" w:eastAsia="Times New Roman" w:hAnsi="Times New Roman" w:cs="Times New Roman"/>
          <w:kern w:val="0"/>
          <w:lang w:val="en-US" w:eastAsia="pl-PL"/>
          <w14:ligatures w14:val="none"/>
        </w:rPr>
        <w:t xml:space="preserve"> Developmental Evaluation, American Journal of Evaluation, 15(3), 311-315, </w:t>
      </w:r>
      <w:hyperlink r:id="rId347" w:history="1">
        <w:r w:rsidRPr="00130131">
          <w:rPr>
            <w:rFonts w:ascii="Times New Roman" w:eastAsia="Times New Roman" w:hAnsi="Times New Roman" w:cs="Times New Roman"/>
            <w:kern w:val="0"/>
            <w:lang w:val="en-US" w:eastAsia="pl-PL"/>
            <w14:ligatures w14:val="none"/>
          </w:rPr>
          <w:t>https://doi.org/10.1177/109821409401500312</w:t>
        </w:r>
      </w:hyperlink>
    </w:p>
    <w:p w14:paraId="64C2D68B"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Patton</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M.Q. (2001)</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Evaluation, knowledge management, best practices, and high quality lessons learned, American Journal of Evaluation, 22(3), 329-336, doi.org/10.1016/51098-2140(01)00147-3</w:t>
      </w:r>
    </w:p>
    <w:p w14:paraId="21AD9240"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Patton</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M.Q. (2010)</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Developmental evaluation: Applying complexity concepts to enhance innovation and use, Guilford Press, New York</w:t>
      </w:r>
    </w:p>
    <w:p w14:paraId="1AD06F7A"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Patton</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M.Q. (2012)</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Utilization-focused evaluation (5</w:t>
      </w:r>
      <w:r w:rsidRPr="00130131">
        <w:rPr>
          <w:rFonts w:ascii="Times New Roman" w:eastAsia="Times New Roman" w:hAnsi="Times New Roman" w:cs="Times New Roman"/>
          <w:bCs/>
          <w:kern w:val="0"/>
          <w:vertAlign w:val="superscript"/>
          <w:lang w:val="en-US" w:eastAsia="pl-PL"/>
          <w14:ligatures w14:val="none"/>
        </w:rPr>
        <w:t>th</w:t>
      </w:r>
      <w:r w:rsidRPr="00130131">
        <w:rPr>
          <w:rFonts w:ascii="Times New Roman" w:eastAsia="Times New Roman" w:hAnsi="Times New Roman" w:cs="Times New Roman"/>
          <w:bCs/>
          <w:kern w:val="0"/>
          <w:lang w:val="en-US" w:eastAsia="pl-PL"/>
          <w14:ligatures w14:val="none"/>
        </w:rPr>
        <w:t xml:space="preserve"> ed.), Tausend Oaks, CA, Sage</w:t>
      </w:r>
    </w:p>
    <w:p w14:paraId="49516713"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Patton</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M.Q. (2018)</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A historical perspective on the evaluation of evaluative thinking, In: A.T.Vo &amp; T. Archibald (Eds), Evaluative thinking. New directions for evaluation, V. 158, 11-28, Hanover, PA</w:t>
      </w:r>
    </w:p>
    <w:p w14:paraId="52EC0FE1"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Patton M.Q.</w:t>
      </w:r>
      <w:r>
        <w:rPr>
          <w:rFonts w:ascii="Times New Roman" w:eastAsia="Times New Roman" w:hAnsi="Times New Roman" w:cs="Times New Roman"/>
          <w:bCs/>
          <w:kern w:val="0"/>
          <w:lang w:val="en-US" w:eastAsia="pl-PL"/>
          <w14:ligatures w14:val="none"/>
        </w:rPr>
        <w:t xml:space="preserve"> </w:t>
      </w:r>
      <w:r w:rsidRPr="00130131">
        <w:rPr>
          <w:rFonts w:ascii="Times New Roman" w:eastAsia="Times New Roman" w:hAnsi="Times New Roman" w:cs="Times New Roman"/>
          <w:bCs/>
          <w:kern w:val="0"/>
          <w:lang w:val="en-US" w:eastAsia="pl-PL"/>
          <w14:ligatures w14:val="none"/>
        </w:rPr>
        <w:t>(2012)</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Meta-evaluation: Evaluating the evaluation of the Paris declaration, Canadian Journal of Program Evaluation, 27(3), 147-171, doi.org/10.3138/cjpe.0027.008</w:t>
      </w:r>
    </w:p>
    <w:p w14:paraId="452A0B9F"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Patton, M. Q. (2002). </w:t>
      </w:r>
      <w:r w:rsidRPr="00223386">
        <w:rPr>
          <w:rFonts w:ascii="Times New Roman" w:eastAsia="Aptos" w:hAnsi="Times New Roman" w:cs="Times New Roman"/>
          <w:i/>
          <w:iCs/>
          <w:lang w:val="en-US"/>
        </w:rPr>
        <w:t>Qualitative Research and Evaluation Methods.</w:t>
      </w:r>
      <w:r w:rsidRPr="00223386">
        <w:rPr>
          <w:rFonts w:ascii="Times New Roman" w:eastAsia="Aptos" w:hAnsi="Times New Roman" w:cs="Times New Roman"/>
          <w:lang w:val="en-US"/>
        </w:rPr>
        <w:t xml:space="preserve"> Thousand Oaks, CA: SAGE Publications.</w:t>
      </w:r>
    </w:p>
    <w:p w14:paraId="790CA747"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Pearl</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(2009)</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Causal inference in Statistics: An overview, Statistics Survey, 3, 96-146</w:t>
      </w:r>
    </w:p>
    <w:p w14:paraId="757A4ACC"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Pearl</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(2009)</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Causality: Model, Reasoning, and Inference, Second Edition, Cambridge University Press, New York</w:t>
      </w:r>
    </w:p>
    <w:p w14:paraId="6F9465A0"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Pearl</w:t>
      </w:r>
      <w:r>
        <w:rPr>
          <w:rFonts w:ascii="Times New Roman" w:hAnsi="Times New Roman" w:cs="Times New Roman"/>
          <w:lang w:val="en-US"/>
        </w:rPr>
        <w:t>,</w:t>
      </w:r>
      <w:r w:rsidRPr="00130131">
        <w:rPr>
          <w:rFonts w:ascii="Times New Roman" w:hAnsi="Times New Roman" w:cs="Times New Roman"/>
          <w:lang w:val="en-US"/>
        </w:rPr>
        <w:t xml:space="preserve"> J. (2021)</w:t>
      </w:r>
      <w:r>
        <w:rPr>
          <w:rFonts w:ascii="Times New Roman" w:hAnsi="Times New Roman" w:cs="Times New Roman"/>
          <w:lang w:val="en-US"/>
        </w:rPr>
        <w:t>.</w:t>
      </w:r>
      <w:r w:rsidRPr="00130131">
        <w:rPr>
          <w:rFonts w:ascii="Times New Roman" w:hAnsi="Times New Roman" w:cs="Times New Roman"/>
          <w:lang w:val="en-US"/>
        </w:rPr>
        <w:t xml:space="preserve"> Causal and Counterfactual Inference, in: M. Krauff and W. Spohn, The Handbook of Rationality, The MIT Press, Cambridge, MA</w:t>
      </w:r>
    </w:p>
    <w:p w14:paraId="2B0B8C29"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Pearl</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Glymour</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M., Jeveli</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N.P. (2016)</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Causal Inference in Statistics: A Primer, J. Wiley &amp; Sons, New York</w:t>
      </w:r>
    </w:p>
    <w:p w14:paraId="750CBD0F"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Peirong, W. (2024). Analysis on the Welfare Effect of Policy Agricultural Insurance. </w:t>
      </w:r>
      <w:r w:rsidRPr="00223386">
        <w:rPr>
          <w:rFonts w:ascii="Times New Roman" w:hAnsi="Times New Roman" w:cs="Times New Roman"/>
        </w:rPr>
        <w:t>Financial Engineering and Risk Management, 7(3), 15-26.https://doi.org/10.23977/ferm.2024.070303</w:t>
      </w:r>
    </w:p>
    <w:p w14:paraId="04BDE330"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Piccoto</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R. (2019)</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Is adversary evaluation worth a second look, American Journal of Evaluation, 40(1), 92-103, doi.org/10.1177/1098214018783068</w:t>
      </w:r>
    </w:p>
    <w:p w14:paraId="03C149EF"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Pindyck, R. S., Rubinfeld, D. L. (2017). </w:t>
      </w:r>
      <w:r w:rsidRPr="00223386">
        <w:rPr>
          <w:rFonts w:ascii="Times New Roman" w:eastAsia="Aptos" w:hAnsi="Times New Roman" w:cs="Times New Roman"/>
          <w:i/>
          <w:iCs/>
          <w:lang w:val="en-US"/>
        </w:rPr>
        <w:t>Microeconomics.</w:t>
      </w:r>
      <w:r w:rsidRPr="00223386">
        <w:rPr>
          <w:rFonts w:ascii="Times New Roman" w:eastAsia="Aptos" w:hAnsi="Times New Roman" w:cs="Times New Roman"/>
          <w:lang w:val="en-US"/>
        </w:rPr>
        <w:t xml:space="preserve"> Boston, MA: Pearson.</w:t>
      </w:r>
    </w:p>
    <w:p w14:paraId="293E10B8"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9435BA">
        <w:rPr>
          <w:rFonts w:ascii="Times New Roman" w:eastAsia="Times New Roman" w:hAnsi="Times New Roman" w:cs="Times New Roman"/>
          <w:spacing w:val="2"/>
          <w:kern w:val="0"/>
          <w:lang w:val="de-AT" w:eastAsia="pl-PL"/>
          <w14:ligatures w14:val="none"/>
        </w:rPr>
        <w:t xml:space="preserve">Platteau, J.P., De Bock, O., Gelade, W. (2017). </w:t>
      </w:r>
      <w:r w:rsidRPr="00130131">
        <w:rPr>
          <w:rFonts w:ascii="Times New Roman" w:eastAsia="Times New Roman" w:hAnsi="Times New Roman" w:cs="Times New Roman"/>
          <w:spacing w:val="2"/>
          <w:kern w:val="0"/>
          <w:lang w:val="en-US" w:eastAsia="pl-PL"/>
          <w14:ligatures w14:val="none"/>
        </w:rPr>
        <w:t>The demand for microinsurance: a literature review, World Development, 94, 139-156</w:t>
      </w:r>
    </w:p>
    <w:p w14:paraId="4D1433D7"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30131">
        <w:rPr>
          <w:rFonts w:ascii="Times New Roman" w:eastAsia="Calibri" w:hAnsi="Times New Roman" w:cs="Times New Roman"/>
          <w:spacing w:val="2"/>
          <w:kern w:val="0"/>
          <w:lang w:val="en-US" w:eastAsia="pl-PL"/>
          <w14:ligatures w14:val="none"/>
        </w:rPr>
        <w:t>Principles for Evaluation of Development Assistance, Development Assistance Committee (1991), OECD Publishing, Paris</w:t>
      </w:r>
    </w:p>
    <w:p w14:paraId="1B15A682"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Pronin</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E., Lin</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D.Y., Ross</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L. (2002)</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The bias blind spot: perceptions of bias in self versus others, Personality and Social Psychology Bulletin, 28(3), 369-281, doi.org.org/10.1177/0146167202286008</w:t>
      </w:r>
    </w:p>
    <w:p w14:paraId="28A1962E"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30131">
        <w:rPr>
          <w:rFonts w:ascii="Times New Roman" w:eastAsia="Calibri" w:hAnsi="Times New Roman" w:cs="Times New Roman"/>
          <w:spacing w:val="2"/>
          <w:kern w:val="0"/>
          <w:lang w:val="en-US" w:eastAsia="pl-PL"/>
          <w14:ligatures w14:val="none"/>
        </w:rPr>
        <w:t>Quality Standards for Developing Evaluation, DAC Guidelines and Reference Series (2010), OECD Publishing, Paris</w:t>
      </w:r>
    </w:p>
    <w:p w14:paraId="5A0B2B17"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30131">
        <w:rPr>
          <w:rFonts w:ascii="Times New Roman" w:eastAsia="Calibri" w:hAnsi="Times New Roman" w:cs="Times New Roman"/>
          <w:spacing w:val="2"/>
          <w:kern w:val="0"/>
          <w:lang w:val="en-US" w:eastAsia="pl-PL"/>
          <w14:ligatures w14:val="none"/>
        </w:rPr>
        <w:t>Rafferty</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A., Walthery</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O., King-Hele</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S. (2015)</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Analysing change over time: repeated cross sectional and longitudinal survey data, UK Data Service, University of Essex and University of Manchester</w:t>
      </w:r>
    </w:p>
    <w:p w14:paraId="7980FD06"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Ramaswami</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B. (1993)</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Supply response to agricultural insurance: Risk reduction and moral hazard effects, American Journal of Agricultural Economics, 75(4), 914-925</w:t>
      </w:r>
    </w:p>
    <w:p w14:paraId="6477D00E"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Rambachan, A., Roth, J. (2023). A more credible approach to parallel trends. </w:t>
      </w:r>
      <w:r w:rsidRPr="00223386">
        <w:rPr>
          <w:rFonts w:ascii="Times New Roman" w:hAnsi="Times New Roman" w:cs="Times New Roman"/>
        </w:rPr>
        <w:t>Review of Economic Studies, 90(5), 2555-2591. https://doi.org/10.1093/restud/rdad018</w:t>
      </w:r>
    </w:p>
    <w:p w14:paraId="6375931C"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GB"/>
        </w:rPr>
      </w:pPr>
      <w:r w:rsidRPr="00223386">
        <w:rPr>
          <w:rFonts w:ascii="Times New Roman" w:eastAsia="Aptos" w:hAnsi="Times New Roman" w:cs="Times New Roman"/>
          <w:lang w:val="en-GB"/>
        </w:rPr>
        <w:t xml:space="preserve">Rao, X., Zhang, Y. (2020). Livestock insurance, moral hazard, and farmers’ decisions: A field experiment among hog farms in China. The Geneva Papers on Risk and Insurance - Issues and Practice, 45(1), 134–156. https://doi.org/10.1057/s41288-019-00151-9iew, 8(2). </w:t>
      </w:r>
      <w:hyperlink r:id="rId348" w:history="1">
        <w:r w:rsidRPr="00223386">
          <w:rPr>
            <w:rFonts w:ascii="Times New Roman" w:eastAsia="Aptos" w:hAnsi="Times New Roman" w:cs="Times New Roman"/>
            <w:color w:val="467886"/>
            <w:u w:val="single"/>
            <w:lang w:val="en-GB"/>
          </w:rPr>
          <w:t>https://doi.org/10.1108/CAER-05-2014-0045</w:t>
        </w:r>
      </w:hyperlink>
    </w:p>
    <w:p w14:paraId="309973D6"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eastAsia="pl-PL"/>
          <w14:ligatures w14:val="none"/>
        </w:rPr>
      </w:pPr>
      <w:r w:rsidRPr="00223386">
        <w:rPr>
          <w:rFonts w:ascii="Times New Roman" w:eastAsia="Times New Roman" w:hAnsi="Times New Roman" w:cs="Times New Roman"/>
          <w:bCs/>
          <w:kern w:val="0"/>
          <w:lang w:eastAsia="pl-PL"/>
          <w14:ligatures w14:val="none"/>
        </w:rPr>
        <w:t xml:space="preserve">Rawa, G. (2023). Determinants of Farmers’ Participation in the Production Insurance System / Determinanty uczestnictwa rolników w systemie ubezpieczeń produkcyjnych. Zagadnienia Ekonomiki Rolnej /. </w:t>
      </w:r>
      <w:r w:rsidRPr="00223386">
        <w:rPr>
          <w:rFonts w:ascii="Times New Roman" w:eastAsia="Times New Roman" w:hAnsi="Times New Roman" w:cs="Times New Roman"/>
          <w:bCs/>
          <w:i/>
          <w:kern w:val="0"/>
          <w:lang w:eastAsia="pl-PL"/>
          <w14:ligatures w14:val="none"/>
        </w:rPr>
        <w:t>Problems of Agricultural Economics</w:t>
      </w:r>
      <w:r w:rsidRPr="00223386">
        <w:rPr>
          <w:rFonts w:ascii="Times New Roman" w:eastAsia="Times New Roman" w:hAnsi="Times New Roman" w:cs="Times New Roman"/>
          <w:bCs/>
          <w:kern w:val="0"/>
          <w:lang w:eastAsia="pl-PL"/>
          <w14:ligatures w14:val="none"/>
        </w:rPr>
        <w:t>, 375(2), s. 51-67. https://doi.org/10.30858/zer/166603</w:t>
      </w:r>
    </w:p>
    <w:p w14:paraId="09FDAA58"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Rehder</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B. (2013)</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Categorization as causal reasoning, Cognitive Science, 27(5), 709-748</w:t>
      </w:r>
    </w:p>
    <w:p w14:paraId="637C9E06" w14:textId="77777777" w:rsidR="002A58EC" w:rsidRPr="00075153" w:rsidRDefault="002A58EC" w:rsidP="002A58EC">
      <w:pPr>
        <w:pStyle w:val="Akapitzlist"/>
        <w:numPr>
          <w:ilvl w:val="0"/>
          <w:numId w:val="81"/>
        </w:numPr>
        <w:spacing w:after="0" w:line="264" w:lineRule="auto"/>
        <w:ind w:hanging="720"/>
        <w:jc w:val="both"/>
        <w:rPr>
          <w:rFonts w:ascii="Times New Roman" w:hAnsi="Times New Roman" w:cs="Times New Roman"/>
          <w:lang w:val="en-US"/>
        </w:rPr>
      </w:pPr>
      <w:r w:rsidRPr="00223386">
        <w:rPr>
          <w:rFonts w:ascii="Times New Roman" w:hAnsi="Times New Roman" w:cs="Times New Roman"/>
          <w:lang w:val="en-GB"/>
        </w:rPr>
        <w:t xml:space="preserve">Rios-Avila, F., Callaway, B., Sant’Anna, P. H. (2021, August). csdid: Difference-in-differences with multiple time periods in stata. </w:t>
      </w:r>
      <w:r w:rsidRPr="00075153">
        <w:rPr>
          <w:rFonts w:ascii="Times New Roman" w:hAnsi="Times New Roman" w:cs="Times New Roman"/>
          <w:lang w:val="en-US"/>
        </w:rPr>
        <w:t>In Stata Conference (p. 47).</w:t>
      </w:r>
    </w:p>
    <w:p w14:paraId="3EC744E4"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en-GB"/>
        </w:rPr>
        <w:t>Rios-Avila, F., Sant'Anna, P., Naqvi, A. (2022). DRDID: Stata module for the estimation of doubly robust difference-in-difference models.</w:t>
      </w:r>
    </w:p>
    <w:p w14:paraId="7DAAAA34"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30131">
        <w:rPr>
          <w:rFonts w:ascii="Times New Roman" w:eastAsia="Times New Roman" w:hAnsi="Times New Roman" w:cs="Times New Roman"/>
          <w:kern w:val="0"/>
          <w:lang w:val="en-US" w:eastAsia="pl-PL"/>
          <w14:ligatures w14:val="none"/>
        </w:rPr>
        <w:t>Rogers</w:t>
      </w:r>
      <w:r>
        <w:rPr>
          <w:rFonts w:ascii="Times New Roman" w:eastAsia="Times New Roman" w:hAnsi="Times New Roman" w:cs="Times New Roman"/>
          <w:kern w:val="0"/>
          <w:lang w:val="en-US" w:eastAsia="pl-PL"/>
          <w14:ligatures w14:val="none"/>
        </w:rPr>
        <w:t>,</w:t>
      </w:r>
      <w:r w:rsidRPr="00130131">
        <w:rPr>
          <w:rFonts w:ascii="Times New Roman" w:eastAsia="Times New Roman" w:hAnsi="Times New Roman" w:cs="Times New Roman"/>
          <w:kern w:val="0"/>
          <w:lang w:val="en-US" w:eastAsia="pl-PL"/>
          <w14:ligatures w14:val="none"/>
        </w:rPr>
        <w:t xml:space="preserve"> J.P. (2004)</w:t>
      </w:r>
      <w:r>
        <w:rPr>
          <w:rFonts w:ascii="Times New Roman" w:eastAsia="Times New Roman" w:hAnsi="Times New Roman" w:cs="Times New Roman"/>
          <w:kern w:val="0"/>
          <w:lang w:val="en-US" w:eastAsia="pl-PL"/>
          <w14:ligatures w14:val="none"/>
        </w:rPr>
        <w:t>.</w:t>
      </w:r>
      <w:r w:rsidRPr="00130131">
        <w:rPr>
          <w:rFonts w:ascii="Times New Roman" w:eastAsia="Times New Roman" w:hAnsi="Times New Roman" w:cs="Times New Roman"/>
          <w:kern w:val="0"/>
          <w:lang w:val="en-US" w:eastAsia="pl-PL"/>
          <w14:ligatures w14:val="none"/>
        </w:rPr>
        <w:t xml:space="preserve"> Logic Models, in: S. Mathison (ed) Encyclopedia of Evaluation, 232-4, Newbury Park, CA, Sage, dostęp 15.08.2023</w:t>
      </w:r>
    </w:p>
    <w:p w14:paraId="175082C1"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i/>
          <w:iCs/>
          <w:spacing w:val="2"/>
          <w:kern w:val="0"/>
          <w:lang w:val="en-US" w:eastAsia="pl-PL"/>
          <w14:ligatures w14:val="none"/>
        </w:rPr>
      </w:pPr>
      <w:r w:rsidRPr="00130131">
        <w:rPr>
          <w:rFonts w:ascii="Times New Roman" w:eastAsia="Calibri" w:hAnsi="Times New Roman" w:cs="Times New Roman"/>
          <w:spacing w:val="2"/>
          <w:kern w:val="0"/>
          <w:lang w:val="en-US" w:eastAsia="pl-PL"/>
          <w14:ligatures w14:val="none"/>
        </w:rPr>
        <w:t>Rogers</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J.P. (2008)</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Using programme theory to evaluate complicated and complex aspects of interventions, Evaluation, 14(1), 29-48, doi: 10.1177/1356389007084674</w:t>
      </w:r>
    </w:p>
    <w:p w14:paraId="06B4F551"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Rogers, E. M. (2003). </w:t>
      </w:r>
      <w:r w:rsidRPr="00223386">
        <w:rPr>
          <w:rFonts w:ascii="Times New Roman" w:eastAsia="Aptos" w:hAnsi="Times New Roman" w:cs="Times New Roman"/>
          <w:i/>
          <w:iCs/>
          <w:lang w:val="en-US"/>
        </w:rPr>
        <w:t>Diffusion of Innovations.</w:t>
      </w:r>
      <w:r w:rsidRPr="00223386">
        <w:rPr>
          <w:rFonts w:ascii="Times New Roman" w:eastAsia="Aptos" w:hAnsi="Times New Roman" w:cs="Times New Roman"/>
          <w:lang w:val="en-US"/>
        </w:rPr>
        <w:t xml:space="preserve"> New York, NY: Free Press.</w:t>
      </w:r>
    </w:p>
    <w:p w14:paraId="6733D7AD"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lang w:val="de-AT"/>
        </w:rPr>
        <w:t>Rosenbaum</w:t>
      </w:r>
      <w:r>
        <w:rPr>
          <w:rFonts w:ascii="Times New Roman" w:hAnsi="Times New Roman" w:cs="Times New Roman"/>
          <w:lang w:val="de-AT"/>
        </w:rPr>
        <w:t>,</w:t>
      </w:r>
      <w:r w:rsidRPr="00223386">
        <w:rPr>
          <w:rFonts w:ascii="Times New Roman" w:hAnsi="Times New Roman" w:cs="Times New Roman"/>
          <w:lang w:val="de-AT"/>
        </w:rPr>
        <w:t xml:space="preserve"> P.R., Rubin</w:t>
      </w:r>
      <w:r>
        <w:rPr>
          <w:rFonts w:ascii="Times New Roman" w:hAnsi="Times New Roman" w:cs="Times New Roman"/>
          <w:lang w:val="de-AT"/>
        </w:rPr>
        <w:t>,</w:t>
      </w:r>
      <w:r w:rsidRPr="00223386">
        <w:rPr>
          <w:rFonts w:ascii="Times New Roman" w:hAnsi="Times New Roman" w:cs="Times New Roman"/>
          <w:lang w:val="de-AT"/>
        </w:rPr>
        <w:t xml:space="preserve"> D.B. (1983). </w:t>
      </w:r>
      <w:r w:rsidRPr="00223386">
        <w:rPr>
          <w:rFonts w:ascii="Times New Roman" w:hAnsi="Times New Roman" w:cs="Times New Roman"/>
          <w:lang w:val="en-GB"/>
        </w:rPr>
        <w:t>Reducing bias in observational studies using subclassification on the propensity score, Journal of the American Statistical Association, 79, s. 516–524.</w:t>
      </w:r>
    </w:p>
    <w:p w14:paraId="4AE5EAFA"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9435BA">
        <w:rPr>
          <w:rFonts w:ascii="Times New Roman" w:eastAsia="Times New Roman" w:hAnsi="Times New Roman" w:cs="Times New Roman"/>
          <w:bCs/>
          <w:kern w:val="0"/>
          <w:lang w:val="de-AT" w:eastAsia="pl-PL"/>
          <w14:ligatures w14:val="none"/>
        </w:rPr>
        <w:t xml:space="preserve">Rosenbaum, R.P., Rubin, B.D. (1983). </w:t>
      </w:r>
      <w:r w:rsidRPr="00130131">
        <w:rPr>
          <w:rFonts w:ascii="Times New Roman" w:eastAsia="Times New Roman" w:hAnsi="Times New Roman" w:cs="Times New Roman"/>
          <w:bCs/>
          <w:kern w:val="0"/>
          <w:lang w:val="en-US" w:eastAsia="pl-PL"/>
          <w14:ligatures w14:val="none"/>
        </w:rPr>
        <w:t>The central role of the propensity score in observational studies for causal effects, Biometrica, 70(1), 41-55</w:t>
      </w:r>
    </w:p>
    <w:p w14:paraId="71745E92"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Rossi, P. H., Lipsey, M. W., Freeman, H. E. (2004). </w:t>
      </w:r>
      <w:r w:rsidRPr="00223386">
        <w:rPr>
          <w:rFonts w:ascii="Times New Roman" w:eastAsia="Aptos" w:hAnsi="Times New Roman" w:cs="Times New Roman"/>
          <w:i/>
          <w:iCs/>
          <w:lang w:val="en-US"/>
        </w:rPr>
        <w:t>Evaluation: A Systematic Approach.</w:t>
      </w:r>
      <w:r w:rsidRPr="00223386">
        <w:rPr>
          <w:rFonts w:ascii="Times New Roman" w:eastAsia="Aptos" w:hAnsi="Times New Roman" w:cs="Times New Roman"/>
          <w:lang w:val="en-US"/>
        </w:rPr>
        <w:t xml:space="preserve"> Thousand Oaks, CA: SAGE Publications.</w:t>
      </w:r>
    </w:p>
    <w:p w14:paraId="185CFA82"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Roth, J. (2022). Pretest with caution: Event-study estimates after testing for parallel trends. </w:t>
      </w:r>
      <w:r w:rsidRPr="00223386">
        <w:rPr>
          <w:rFonts w:ascii="Times New Roman" w:hAnsi="Times New Roman" w:cs="Times New Roman"/>
        </w:rPr>
        <w:t>American Economic Review: Insights, 4(3), 305-322. https://doi.org/10.1257/aeri.20210236</w:t>
      </w:r>
    </w:p>
    <w:p w14:paraId="4202FD41"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en-GB"/>
        </w:rPr>
        <w:t>Roth, J., Sant’Anna, P. H., Bilinski, A., &amp; Poe, J. (2023). What’s trending in difference-in-differences? A synthesis of the recent econometrics literature. Journal of Econometrics, 235 (2), 2218-2244. https://doi.org/10.48550/arXiv.2201.01194</w:t>
      </w:r>
    </w:p>
    <w:p w14:paraId="07BA9104"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Rubin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B.D. (2005)</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Causal Inference Using Potential Outcomes, Journal of American Statistic Association, 100(469), 322-331</w:t>
      </w:r>
    </w:p>
    <w:p w14:paraId="1B59F73C" w14:textId="77777777" w:rsidR="002A58EC" w:rsidRPr="00130131" w:rsidRDefault="002A58EC" w:rsidP="002A58EC">
      <w:pPr>
        <w:pStyle w:val="Akapitzlist"/>
        <w:numPr>
          <w:ilvl w:val="0"/>
          <w:numId w:val="81"/>
        </w:numPr>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Rubin</w:t>
      </w:r>
      <w:r>
        <w:rPr>
          <w:rFonts w:ascii="Times New Roman" w:hAnsi="Times New Roman" w:cs="Times New Roman"/>
          <w:lang w:val="en-US"/>
        </w:rPr>
        <w:t>,</w:t>
      </w:r>
      <w:r w:rsidRPr="00130131">
        <w:rPr>
          <w:rFonts w:ascii="Times New Roman" w:hAnsi="Times New Roman" w:cs="Times New Roman"/>
          <w:lang w:val="en-US"/>
        </w:rPr>
        <w:t xml:space="preserve"> D. (1976)</w:t>
      </w:r>
      <w:r>
        <w:rPr>
          <w:rFonts w:ascii="Times New Roman" w:hAnsi="Times New Roman" w:cs="Times New Roman"/>
          <w:lang w:val="en-US"/>
        </w:rPr>
        <w:t>.</w:t>
      </w:r>
      <w:r w:rsidRPr="00130131">
        <w:rPr>
          <w:rFonts w:ascii="Times New Roman" w:hAnsi="Times New Roman" w:cs="Times New Roman"/>
          <w:lang w:val="en-US"/>
        </w:rPr>
        <w:t xml:space="preserve"> Inference and missing data, Biometrica, 63, 688-701</w:t>
      </w:r>
    </w:p>
    <w:p w14:paraId="656E75C9" w14:textId="77777777" w:rsidR="002A58EC" w:rsidRPr="00130131" w:rsidRDefault="002A58EC" w:rsidP="002A58EC">
      <w:pPr>
        <w:pStyle w:val="Akapitzlist"/>
        <w:numPr>
          <w:ilvl w:val="0"/>
          <w:numId w:val="81"/>
        </w:numPr>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Rubin</w:t>
      </w:r>
      <w:r>
        <w:rPr>
          <w:rFonts w:ascii="Times New Roman" w:hAnsi="Times New Roman" w:cs="Times New Roman"/>
          <w:lang w:val="en-US"/>
        </w:rPr>
        <w:t>,</w:t>
      </w:r>
      <w:r w:rsidRPr="00130131">
        <w:rPr>
          <w:rFonts w:ascii="Times New Roman" w:hAnsi="Times New Roman" w:cs="Times New Roman"/>
          <w:lang w:val="en-US"/>
        </w:rPr>
        <w:t xml:space="preserve"> D. (1978)</w:t>
      </w:r>
      <w:r>
        <w:rPr>
          <w:rFonts w:ascii="Times New Roman" w:hAnsi="Times New Roman" w:cs="Times New Roman"/>
          <w:lang w:val="en-US"/>
        </w:rPr>
        <w:t>.</w:t>
      </w:r>
      <w:r w:rsidRPr="00130131">
        <w:rPr>
          <w:rFonts w:ascii="Times New Roman" w:hAnsi="Times New Roman" w:cs="Times New Roman"/>
          <w:lang w:val="en-US"/>
        </w:rPr>
        <w:t xml:space="preserve"> Bayesian Inference for causal effects, Annals of Statistics, 6, 43-38</w:t>
      </w:r>
    </w:p>
    <w:p w14:paraId="59A99AAD"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Rubin, D. B. (1974). Estimating causal effects of treatments in randomized and nonrandomized studies. </w:t>
      </w:r>
      <w:r w:rsidRPr="00223386">
        <w:rPr>
          <w:rFonts w:ascii="Times New Roman" w:hAnsi="Times New Roman" w:cs="Times New Roman"/>
        </w:rPr>
        <w:t xml:space="preserve">Journal of Educational Psychology, 66 (5), 688-701. https://doi.org/10.1037/h0037350 </w:t>
      </w:r>
    </w:p>
    <w:p w14:paraId="5A9FC5F3"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en-GB"/>
        </w:rPr>
        <w:t>Sant’Anna, P. H., Zhao, J. (2020). Doubly robust difference-in-differences estimators. Journal of Econometrics, 219(1), 101-122. https://doi.org/10.1016/j.jeconom.2020.06.003</w:t>
      </w:r>
    </w:p>
    <w:p w14:paraId="3E79D2B8"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Santa Fe Institute (2014)</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What is complexity? dostęp: 16.08.2023</w:t>
      </w:r>
    </w:p>
    <w:p w14:paraId="6295B5B5" w14:textId="77777777" w:rsidR="002A58EC" w:rsidRPr="00223386" w:rsidRDefault="002A58EC" w:rsidP="002A58EC">
      <w:pPr>
        <w:numPr>
          <w:ilvl w:val="0"/>
          <w:numId w:val="81"/>
        </w:numPr>
        <w:autoSpaceDE w:val="0"/>
        <w:autoSpaceDN w:val="0"/>
        <w:adjustRightInd w:val="0"/>
        <w:spacing w:after="0" w:line="240" w:lineRule="auto"/>
        <w:ind w:hanging="720"/>
        <w:contextualSpacing/>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bCs/>
          <w:kern w:val="0"/>
          <w:lang w:val="en-US" w:eastAsia="pl-PL"/>
          <w14:ligatures w14:val="none"/>
        </w:rPr>
        <w:t xml:space="preserve">Santeramo, F.G. (2018). Imperfect information and participation in insurance markets: evidence from Italy. </w:t>
      </w:r>
      <w:r w:rsidRPr="009435BA">
        <w:rPr>
          <w:rFonts w:ascii="Times New Roman" w:eastAsia="Times New Roman" w:hAnsi="Times New Roman" w:cs="Times New Roman"/>
          <w:bCs/>
          <w:iCs/>
          <w:kern w:val="0"/>
          <w:lang w:val="en-US" w:eastAsia="pl-PL"/>
          <w14:ligatures w14:val="none"/>
        </w:rPr>
        <w:t>Agricultural Finance Review</w:t>
      </w:r>
      <w:r w:rsidRPr="00223386">
        <w:rPr>
          <w:rFonts w:ascii="Times New Roman" w:eastAsia="Times New Roman" w:hAnsi="Times New Roman" w:cs="Times New Roman"/>
          <w:bCs/>
          <w:kern w:val="0"/>
          <w:lang w:val="en-US" w:eastAsia="pl-PL"/>
          <w14:ligatures w14:val="none"/>
        </w:rPr>
        <w:t xml:space="preserve">, 78(2), p. 193-194. </w:t>
      </w:r>
      <w:hyperlink r:id="rId349" w:tooltip="Dokumentacja: https://doi.org/10.1108/AFR-06-2017-0053" w:history="1">
        <w:r w:rsidRPr="00223386">
          <w:rPr>
            <w:rFonts w:ascii="Times New Roman" w:eastAsia="Times New Roman" w:hAnsi="Times New Roman" w:cs="Times New Roman"/>
            <w:bCs/>
            <w:kern w:val="0"/>
            <w:lang w:val="en-US" w:eastAsia="pl-PL"/>
            <w14:ligatures w14:val="none"/>
          </w:rPr>
          <w:t>https://doi.org/10.1108/AFR-06-2017-0053</w:t>
        </w:r>
      </w:hyperlink>
    </w:p>
    <w:p w14:paraId="2468CAEE"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eastAsia="pl-PL"/>
          <w14:ligatures w14:val="none"/>
        </w:rPr>
      </w:pPr>
      <w:r w:rsidRPr="00223386">
        <w:rPr>
          <w:rFonts w:ascii="Times New Roman" w:eastAsia="Times New Roman" w:hAnsi="Times New Roman" w:cs="Times New Roman"/>
          <w:bCs/>
          <w:kern w:val="0"/>
          <w:lang w:val="en-US" w:eastAsia="pl-PL"/>
          <w14:ligatures w14:val="none"/>
        </w:rPr>
        <w:t xml:space="preserve">Santeramo, F.G., Lamonaca, E., Maccarone, I., Tappi, M. (2024). Extreme weather events and crop insurance demand. </w:t>
      </w:r>
      <w:r w:rsidRPr="00223386">
        <w:rPr>
          <w:rFonts w:ascii="Times New Roman" w:eastAsia="Times New Roman" w:hAnsi="Times New Roman" w:cs="Times New Roman"/>
          <w:bCs/>
          <w:i/>
          <w:kern w:val="0"/>
          <w:lang w:eastAsia="pl-PL"/>
          <w14:ligatures w14:val="none"/>
        </w:rPr>
        <w:t>Heliyon</w:t>
      </w:r>
      <w:r w:rsidRPr="00223386">
        <w:rPr>
          <w:rFonts w:ascii="Times New Roman" w:eastAsia="Times New Roman" w:hAnsi="Times New Roman" w:cs="Times New Roman"/>
          <w:bCs/>
          <w:kern w:val="0"/>
          <w:lang w:eastAsia="pl-PL"/>
          <w14:ligatures w14:val="none"/>
        </w:rPr>
        <w:t xml:space="preserve">, 10, e27839. </w:t>
      </w:r>
      <w:hyperlink r:id="rId350" w:tgtFrame="_blank" w:history="1">
        <w:r w:rsidRPr="00223386">
          <w:rPr>
            <w:rFonts w:ascii="Times New Roman" w:eastAsia="Times New Roman" w:hAnsi="Times New Roman" w:cs="Times New Roman"/>
            <w:bCs/>
            <w:kern w:val="0"/>
            <w:lang w:eastAsia="pl-PL"/>
            <w14:ligatures w14:val="none"/>
          </w:rPr>
          <w:t>https://doi.org/10.1016/j.heliyon.2024.e27839</w:t>
        </w:r>
      </w:hyperlink>
    </w:p>
    <w:p w14:paraId="633DCEB2" w14:textId="77777777" w:rsidR="002A58EC" w:rsidRPr="00130131" w:rsidRDefault="002A58EC" w:rsidP="002A58EC">
      <w:pPr>
        <w:pStyle w:val="Akapitzlist"/>
        <w:numPr>
          <w:ilvl w:val="0"/>
          <w:numId w:val="81"/>
        </w:numPr>
        <w:tabs>
          <w:tab w:val="num" w:pos="360"/>
        </w:tabs>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lang w:val="de-AT" w:eastAsia="pl-PL"/>
          <w14:ligatures w14:val="none"/>
        </w:rPr>
        <w:t>Schaper</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C., Beitzen-Heineke</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C., Theuvsen</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L.</w:t>
      </w:r>
      <w:r>
        <w:rPr>
          <w:rFonts w:ascii="Times New Roman" w:eastAsia="Times New Roman" w:hAnsi="Times New Roman" w:cs="Times New Roman"/>
          <w:bCs/>
          <w:kern w:val="0"/>
          <w:lang w:val="de-AT" w:eastAsia="pl-PL"/>
          <w14:ligatures w14:val="none"/>
        </w:rPr>
        <w:t xml:space="preserve"> (2008a).</w:t>
      </w:r>
      <w:r w:rsidRPr="00130131">
        <w:rPr>
          <w:rFonts w:ascii="Times New Roman" w:eastAsia="Times New Roman" w:hAnsi="Times New Roman" w:cs="Times New Roman"/>
          <w:bCs/>
          <w:kern w:val="0"/>
          <w:lang w:val="de-AT" w:eastAsia="pl-PL"/>
          <w14:ligatures w14:val="none"/>
        </w:rPr>
        <w:t xml:space="preserve"> Finanzierung und Organisation landwirtschaftlicher Biogasanlagen: Eine empirische Untersuchung, In: Yearbook of Socioeconomics in Agriculture, vol. 1</w:t>
      </w:r>
    </w:p>
    <w:p w14:paraId="552F7262" w14:textId="77777777" w:rsidR="002A58EC" w:rsidRPr="00130131" w:rsidRDefault="002A58EC" w:rsidP="002A58EC">
      <w:pPr>
        <w:pStyle w:val="Akapitzlist"/>
        <w:numPr>
          <w:ilvl w:val="0"/>
          <w:numId w:val="81"/>
        </w:numPr>
        <w:tabs>
          <w:tab w:val="num" w:pos="360"/>
        </w:tabs>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lang w:val="de-AT" w:eastAsia="pl-PL"/>
          <w14:ligatures w14:val="none"/>
        </w:rPr>
        <w:t>Schaper</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C., Wocken</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C., Abeln</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K., Lassen</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B., Schierenbeck</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S., Spiller</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A., Theuvsen</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L.</w:t>
      </w:r>
      <w:r>
        <w:rPr>
          <w:rFonts w:ascii="Times New Roman" w:eastAsia="Times New Roman" w:hAnsi="Times New Roman" w:cs="Times New Roman"/>
          <w:bCs/>
          <w:kern w:val="0"/>
          <w:lang w:val="de-AT" w:eastAsia="pl-PL"/>
          <w14:ligatures w14:val="none"/>
        </w:rPr>
        <w:t xml:space="preserve"> (2008a).</w:t>
      </w:r>
      <w:r w:rsidRPr="00130131">
        <w:rPr>
          <w:rFonts w:ascii="Times New Roman" w:eastAsia="Times New Roman" w:hAnsi="Times New Roman" w:cs="Times New Roman"/>
          <w:bCs/>
          <w:kern w:val="0"/>
          <w:lang w:val="de-AT" w:eastAsia="pl-PL"/>
          <w14:ligatures w14:val="none"/>
        </w:rPr>
        <w:t>Risikomanagement in Milchviehbetrieben: Eine empirische Analyse vor dem Hintergrund der sich ändernden EU Milchmarktpolitik, In: Risikomanagement in der Landwirtschaft. Schriftenreihe der Landwirtschaftlichen Retenbank, Band 23, Frankfurt Main</w:t>
      </w:r>
    </w:p>
    <w:p w14:paraId="1843ECC6" w14:textId="77777777" w:rsidR="002A58EC" w:rsidRPr="00130131" w:rsidRDefault="002A58EC" w:rsidP="002A58EC">
      <w:pPr>
        <w:pStyle w:val="Akapitzlist"/>
        <w:numPr>
          <w:ilvl w:val="0"/>
          <w:numId w:val="81"/>
        </w:numPr>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lang w:val="de-AT" w:eastAsia="pl-PL"/>
          <w14:ligatures w14:val="none"/>
        </w:rPr>
        <w:t>Schaper</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Ch., Deimel</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M., Theuwsen</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L.</w:t>
      </w:r>
      <w:r>
        <w:rPr>
          <w:rFonts w:ascii="Times New Roman" w:eastAsia="Times New Roman" w:hAnsi="Times New Roman" w:cs="Times New Roman"/>
          <w:bCs/>
          <w:kern w:val="0"/>
          <w:lang w:val="de-AT" w:eastAsia="pl-PL"/>
          <w14:ligatures w14:val="none"/>
        </w:rPr>
        <w:t xml:space="preserve"> (2011).</w:t>
      </w:r>
      <w:r w:rsidRPr="00130131">
        <w:rPr>
          <w:rFonts w:ascii="Times New Roman" w:eastAsia="Times New Roman" w:hAnsi="Times New Roman" w:cs="Times New Roman"/>
          <w:bCs/>
          <w:kern w:val="0"/>
          <w:lang w:val="de-AT" w:eastAsia="pl-PL"/>
          <w14:ligatures w14:val="none"/>
        </w:rPr>
        <w:t xml:space="preserve"> </w:t>
      </w:r>
      <w:r w:rsidRPr="00130131">
        <w:rPr>
          <w:rFonts w:ascii="Times New Roman" w:eastAsia="Times New Roman" w:hAnsi="Times New Roman" w:cs="Times New Roman"/>
          <w:bCs/>
          <w:color w:val="111827"/>
          <w:kern w:val="0"/>
          <w:shd w:val="clear" w:color="auto" w:fill="FFFFFF"/>
          <w:lang w:val="de-AT" w:eastAsia="pl-PL"/>
          <w14:ligatures w14:val="none"/>
        </w:rPr>
        <w:t xml:space="preserve">Determinanten der </w:t>
      </w:r>
      <w:bookmarkStart w:id="46" w:name="_Hlk110940141"/>
      <w:r w:rsidRPr="00130131">
        <w:rPr>
          <w:rFonts w:ascii="Times New Roman" w:eastAsia="Times New Roman" w:hAnsi="Times New Roman" w:cs="Times New Roman"/>
          <w:bCs/>
          <w:color w:val="111827"/>
          <w:kern w:val="0"/>
          <w:shd w:val="clear" w:color="auto" w:fill="FFFFFF"/>
          <w:lang w:val="de-AT" w:eastAsia="pl-PL"/>
          <w14:ligatures w14:val="none"/>
        </w:rPr>
        <w:t>Wettbewerbsfähigkeit</w:t>
      </w:r>
      <w:bookmarkEnd w:id="46"/>
      <w:r w:rsidRPr="00130131">
        <w:rPr>
          <w:rFonts w:ascii="Times New Roman" w:eastAsia="Times New Roman" w:hAnsi="Times New Roman" w:cs="Times New Roman"/>
          <w:bCs/>
          <w:color w:val="111827"/>
          <w:kern w:val="0"/>
          <w:shd w:val="clear" w:color="auto" w:fill="FFFFFF"/>
          <w:lang w:val="de-AT" w:eastAsia="pl-PL"/>
          <w14:ligatures w14:val="none"/>
        </w:rPr>
        <w:t xml:space="preserve"> „erweiterter Familienbetriebe“ – Ergebnisse einer Betriebsleiterbefragung</w:t>
      </w:r>
      <w:r w:rsidRPr="00130131">
        <w:rPr>
          <w:rFonts w:ascii="Times New Roman" w:eastAsia="Times New Roman" w:hAnsi="Times New Roman" w:cs="Times New Roman"/>
          <w:bCs/>
          <w:kern w:val="0"/>
          <w:lang w:val="de-AT" w:eastAsia="pl-PL"/>
          <w14:ligatures w14:val="none"/>
        </w:rPr>
        <w:t xml:space="preserve">, German Journal of Agricultural Economics, 60 </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1</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w:t>
      </w:r>
    </w:p>
    <w:p w14:paraId="00DF333D" w14:textId="77777777" w:rsidR="002A58EC" w:rsidRPr="00130131" w:rsidRDefault="002A58EC" w:rsidP="002A58EC">
      <w:pPr>
        <w:pStyle w:val="Akapitzlist"/>
        <w:numPr>
          <w:ilvl w:val="0"/>
          <w:numId w:val="81"/>
        </w:numPr>
        <w:tabs>
          <w:tab w:val="num" w:pos="360"/>
        </w:tabs>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lang w:val="de-AT" w:eastAsia="pl-PL"/>
          <w14:ligatures w14:val="none"/>
        </w:rPr>
        <w:t>Schmitt</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G.</w:t>
      </w:r>
      <w:r w:rsidRPr="00A53385">
        <w:rPr>
          <w:rFonts w:ascii="Times New Roman" w:eastAsia="Times New Roman" w:hAnsi="Times New Roman" w:cs="Times New Roman"/>
          <w:bCs/>
          <w:kern w:val="0"/>
          <w:lang w:val="de-AT" w:eastAsia="pl-PL"/>
          <w14:ligatures w14:val="none"/>
        </w:rPr>
        <w:t xml:space="preserve"> </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1988</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Wie optimal ist eigentlich die „optimale“ Betriebsgröβe in der Landwirtschaft?, Arbeitsbericht, 37</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8</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w:t>
      </w:r>
    </w:p>
    <w:p w14:paraId="0DBD4D55" w14:textId="77777777" w:rsidR="002A58EC" w:rsidRPr="00130131" w:rsidRDefault="002A58EC" w:rsidP="002A58EC">
      <w:pPr>
        <w:pStyle w:val="Akapitzlist"/>
        <w:numPr>
          <w:ilvl w:val="0"/>
          <w:numId w:val="81"/>
        </w:numPr>
        <w:tabs>
          <w:tab w:val="num" w:pos="360"/>
        </w:tabs>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lang w:val="de-AT" w:eastAsia="pl-PL"/>
          <w14:ligatures w14:val="none"/>
        </w:rPr>
        <w:t>Schmitt</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G.</w:t>
      </w:r>
      <w:r>
        <w:rPr>
          <w:rFonts w:ascii="Times New Roman" w:eastAsia="Times New Roman" w:hAnsi="Times New Roman" w:cs="Times New Roman"/>
          <w:bCs/>
          <w:kern w:val="0"/>
          <w:lang w:val="de-AT" w:eastAsia="pl-PL"/>
          <w14:ligatures w14:val="none"/>
        </w:rPr>
        <w:t xml:space="preserve"> (1991). </w:t>
      </w:r>
      <w:r w:rsidRPr="00130131">
        <w:rPr>
          <w:rFonts w:ascii="Times New Roman" w:eastAsia="Times New Roman" w:hAnsi="Times New Roman" w:cs="Times New Roman"/>
          <w:bCs/>
          <w:kern w:val="0"/>
          <w:lang w:val="de-AT" w:eastAsia="pl-PL"/>
          <w14:ligatures w14:val="none"/>
        </w:rPr>
        <w:t>Zu den Zukunftschancen von Produktivgenossenschaften in der Landwirtschaft-Stellungnahme zu den gleichnamigen Beitrag von Rolf Steding und weiteren Bacträgen, Agrarrecht, 21</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8</w:t>
      </w:r>
      <w:r>
        <w:rPr>
          <w:rFonts w:ascii="Times New Roman" w:eastAsia="Times New Roman" w:hAnsi="Times New Roman" w:cs="Times New Roman"/>
          <w:bCs/>
          <w:kern w:val="0"/>
          <w:lang w:val="de-AT" w:eastAsia="pl-PL"/>
          <w14:ligatures w14:val="none"/>
        </w:rPr>
        <w:t>)</w:t>
      </w:r>
    </w:p>
    <w:p w14:paraId="324C62C3"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Schmitt</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(2020)</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The causal mechanism claim in evaluation: Does the prophecy fulfill? New Directions for Evaluation, 167, 11-26</w:t>
      </w:r>
    </w:p>
    <w:p w14:paraId="3775B09D"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Schmitt</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Beach</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 (2015)</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The contribution of process tracing to theory-based evaluations of complex aid and instruments, Evaluation, 21, 429-47</w:t>
      </w:r>
    </w:p>
    <w:p w14:paraId="39054A18" w14:textId="77777777" w:rsidR="002A58EC" w:rsidRPr="00130131" w:rsidRDefault="002A58EC" w:rsidP="002A58EC">
      <w:pPr>
        <w:pStyle w:val="Akapitzlist"/>
        <w:numPr>
          <w:ilvl w:val="0"/>
          <w:numId w:val="81"/>
        </w:numPr>
        <w:tabs>
          <w:tab w:val="num" w:pos="360"/>
        </w:tabs>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lang w:val="de-AT" w:eastAsia="pl-PL"/>
          <w14:ligatures w14:val="none"/>
        </w:rPr>
        <w:t>Schuele</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H., Organisations- und Managemenstrukturen landwirtschaftlicher Groβetriebe, Köllen-Verlag, Bonn, 1997</w:t>
      </w:r>
    </w:p>
    <w:p w14:paraId="1AF84ECA"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de-AT" w:eastAsia="pl-PL"/>
          <w14:ligatures w14:val="none"/>
        </w:rPr>
      </w:pPr>
      <w:bookmarkStart w:id="47" w:name="_Hlk152839801"/>
      <w:r w:rsidRPr="00130131">
        <w:rPr>
          <w:rFonts w:ascii="Times New Roman" w:eastAsia="Calibri" w:hAnsi="Times New Roman" w:cs="Times New Roman"/>
          <w:spacing w:val="2"/>
          <w:kern w:val="0"/>
          <w:lang w:val="de-AT" w:eastAsia="pl-PL"/>
          <w14:ligatures w14:val="none"/>
        </w:rPr>
        <w:t>Schwedersky</w:t>
      </w:r>
      <w:r>
        <w:rPr>
          <w:rFonts w:ascii="Times New Roman" w:eastAsia="Calibri" w:hAnsi="Times New Roman" w:cs="Times New Roman"/>
          <w:spacing w:val="2"/>
          <w:kern w:val="0"/>
          <w:lang w:val="de-AT" w:eastAsia="pl-PL"/>
          <w14:ligatures w14:val="none"/>
        </w:rPr>
        <w:t>,</w:t>
      </w:r>
      <w:r w:rsidRPr="00130131">
        <w:rPr>
          <w:rFonts w:ascii="Times New Roman" w:eastAsia="Calibri" w:hAnsi="Times New Roman" w:cs="Times New Roman"/>
          <w:spacing w:val="2"/>
          <w:kern w:val="0"/>
          <w:lang w:val="de-AT" w:eastAsia="pl-PL"/>
          <w14:ligatures w14:val="none"/>
        </w:rPr>
        <w:t xml:space="preserve"> T., Bruder</w:t>
      </w:r>
      <w:r>
        <w:rPr>
          <w:rFonts w:ascii="Times New Roman" w:eastAsia="Calibri" w:hAnsi="Times New Roman" w:cs="Times New Roman"/>
          <w:spacing w:val="2"/>
          <w:kern w:val="0"/>
          <w:lang w:val="de-AT" w:eastAsia="pl-PL"/>
          <w14:ligatures w14:val="none"/>
        </w:rPr>
        <w:t>,</w:t>
      </w:r>
      <w:r w:rsidRPr="00130131">
        <w:rPr>
          <w:rFonts w:ascii="Times New Roman" w:eastAsia="Calibri" w:hAnsi="Times New Roman" w:cs="Times New Roman"/>
          <w:spacing w:val="2"/>
          <w:kern w:val="0"/>
          <w:lang w:val="de-AT" w:eastAsia="pl-PL"/>
          <w14:ligatures w14:val="none"/>
        </w:rPr>
        <w:t xml:space="preserve"> M., Steckhan</w:t>
      </w:r>
      <w:r>
        <w:rPr>
          <w:rFonts w:ascii="Times New Roman" w:eastAsia="Calibri" w:hAnsi="Times New Roman" w:cs="Times New Roman"/>
          <w:spacing w:val="2"/>
          <w:kern w:val="0"/>
          <w:lang w:val="de-AT" w:eastAsia="pl-PL"/>
          <w14:ligatures w14:val="none"/>
        </w:rPr>
        <w:t>,</w:t>
      </w:r>
      <w:r w:rsidRPr="00130131">
        <w:rPr>
          <w:rFonts w:ascii="Times New Roman" w:eastAsia="Calibri" w:hAnsi="Times New Roman" w:cs="Times New Roman"/>
          <w:spacing w:val="2"/>
          <w:kern w:val="0"/>
          <w:lang w:val="de-AT" w:eastAsia="pl-PL"/>
          <w14:ligatures w14:val="none"/>
        </w:rPr>
        <w:t xml:space="preserve"> H., Kunert</w:t>
      </w:r>
      <w:r>
        <w:rPr>
          <w:rFonts w:ascii="Times New Roman" w:eastAsia="Calibri" w:hAnsi="Times New Roman" w:cs="Times New Roman"/>
          <w:spacing w:val="2"/>
          <w:kern w:val="0"/>
          <w:lang w:val="de-AT" w:eastAsia="pl-PL"/>
          <w14:ligatures w14:val="none"/>
        </w:rPr>
        <w:t>,</w:t>
      </w:r>
      <w:r w:rsidRPr="00130131">
        <w:rPr>
          <w:rFonts w:ascii="Times New Roman" w:eastAsia="Calibri" w:hAnsi="Times New Roman" w:cs="Times New Roman"/>
          <w:spacing w:val="2"/>
          <w:kern w:val="0"/>
          <w:lang w:val="de-AT" w:eastAsia="pl-PL"/>
          <w14:ligatures w14:val="none"/>
        </w:rPr>
        <w:t xml:space="preserve"> L., Hermanns</w:t>
      </w:r>
      <w:r>
        <w:rPr>
          <w:rFonts w:ascii="Times New Roman" w:eastAsia="Calibri" w:hAnsi="Times New Roman" w:cs="Times New Roman"/>
          <w:spacing w:val="2"/>
          <w:kern w:val="0"/>
          <w:lang w:val="de-AT" w:eastAsia="pl-PL"/>
          <w14:ligatures w14:val="none"/>
        </w:rPr>
        <w:t>,</w:t>
      </w:r>
      <w:r w:rsidRPr="00130131">
        <w:rPr>
          <w:rFonts w:ascii="Times New Roman" w:eastAsia="Calibri" w:hAnsi="Times New Roman" w:cs="Times New Roman"/>
          <w:spacing w:val="2"/>
          <w:kern w:val="0"/>
          <w:lang w:val="de-AT" w:eastAsia="pl-PL"/>
          <w14:ligatures w14:val="none"/>
        </w:rPr>
        <w:t xml:space="preserve"> K. (2022)</w:t>
      </w:r>
      <w:bookmarkEnd w:id="47"/>
      <w:r>
        <w:rPr>
          <w:rFonts w:ascii="Times New Roman" w:eastAsia="Calibri" w:hAnsi="Times New Roman" w:cs="Times New Roman"/>
          <w:spacing w:val="2"/>
          <w:kern w:val="0"/>
          <w:lang w:val="de-AT" w:eastAsia="pl-PL"/>
          <w14:ligatures w14:val="none"/>
        </w:rPr>
        <w:t>.</w:t>
      </w:r>
      <w:r w:rsidRPr="00130131">
        <w:rPr>
          <w:rFonts w:ascii="Times New Roman" w:eastAsia="Calibri" w:hAnsi="Times New Roman" w:cs="Times New Roman"/>
          <w:spacing w:val="2"/>
          <w:kern w:val="0"/>
          <w:lang w:val="de-AT" w:eastAsia="pl-PL"/>
          <w14:ligatures w14:val="none"/>
        </w:rPr>
        <w:t xml:space="preserve"> </w:t>
      </w:r>
      <w:r w:rsidRPr="00130131">
        <w:rPr>
          <w:rFonts w:ascii="Times New Roman" w:eastAsia="Times New Roman" w:hAnsi="Times New Roman" w:cs="Times New Roman"/>
          <w:spacing w:val="2"/>
          <w:kern w:val="0"/>
          <w:lang w:val="de-AT" w:eastAsia="pl-PL"/>
          <w14:ligatures w14:val="none"/>
        </w:rPr>
        <w:t>Überlegungen zur Methodologie von systemischen institutionellen Evaluierungen: das Beispiel der Evaluierung von Engagement Global,  Zeitschrift für Evaluation, 21(2), 293-315,</w:t>
      </w:r>
      <w:r w:rsidRPr="00130131">
        <w:rPr>
          <w:rFonts w:ascii="Times New Roman" w:eastAsia="Times New Roman" w:hAnsi="Times New Roman" w:cs="Times New Roman"/>
          <w:i/>
          <w:iCs/>
          <w:spacing w:val="2"/>
          <w:kern w:val="0"/>
          <w:lang w:val="de-AT" w:eastAsia="pl-PL"/>
          <w14:ligatures w14:val="none"/>
        </w:rPr>
        <w:t xml:space="preserve"> </w:t>
      </w:r>
      <w:r w:rsidRPr="00130131">
        <w:rPr>
          <w:rFonts w:ascii="Times New Roman" w:eastAsia="Times New Roman" w:hAnsi="Times New Roman" w:cs="Times New Roman"/>
          <w:spacing w:val="2"/>
          <w:kern w:val="0"/>
          <w:lang w:val="de-AT" w:eastAsia="pl-PL"/>
          <w14:ligatures w14:val="none"/>
        </w:rPr>
        <w:t xml:space="preserve">doi: </w:t>
      </w:r>
      <w:hyperlink r:id="rId351" w:history="1">
        <w:r w:rsidRPr="00130131">
          <w:rPr>
            <w:rFonts w:ascii="Times New Roman" w:eastAsia="Times New Roman" w:hAnsi="Times New Roman" w:cs="Times New Roman"/>
            <w:spacing w:val="2"/>
            <w:kern w:val="0"/>
            <w:lang w:val="de-AT" w:eastAsia="pl-PL"/>
            <w14:ligatures w14:val="none"/>
          </w:rPr>
          <w:t>https://doi.org/10.31244/zfe.2022.02.06</w:t>
        </w:r>
      </w:hyperlink>
    </w:p>
    <w:p w14:paraId="42F36D94"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i/>
          <w:iCs/>
          <w:spacing w:val="2"/>
          <w:kern w:val="0"/>
          <w:lang w:val="de-AT" w:eastAsia="pl-PL"/>
          <w14:ligatures w14:val="none"/>
        </w:rPr>
      </w:pPr>
      <w:r w:rsidRPr="00130131">
        <w:rPr>
          <w:rFonts w:ascii="Times New Roman" w:eastAsia="Calibri" w:hAnsi="Times New Roman" w:cs="Times New Roman"/>
          <w:spacing w:val="2"/>
          <w:kern w:val="0"/>
          <w:lang w:val="de-AT" w:eastAsia="pl-PL"/>
          <w14:ligatures w14:val="none"/>
        </w:rPr>
        <w:t>Schwedersky</w:t>
      </w:r>
      <w:r>
        <w:rPr>
          <w:rFonts w:ascii="Times New Roman" w:eastAsia="Calibri" w:hAnsi="Times New Roman" w:cs="Times New Roman"/>
          <w:spacing w:val="2"/>
          <w:kern w:val="0"/>
          <w:lang w:val="de-AT" w:eastAsia="pl-PL"/>
          <w14:ligatures w14:val="none"/>
        </w:rPr>
        <w:t>,</w:t>
      </w:r>
      <w:r w:rsidRPr="00130131">
        <w:rPr>
          <w:rFonts w:ascii="Times New Roman" w:eastAsia="Calibri" w:hAnsi="Times New Roman" w:cs="Times New Roman"/>
          <w:spacing w:val="2"/>
          <w:kern w:val="0"/>
          <w:lang w:val="de-AT" w:eastAsia="pl-PL"/>
          <w14:ligatures w14:val="none"/>
        </w:rPr>
        <w:t xml:space="preserve"> T., Bruder</w:t>
      </w:r>
      <w:r>
        <w:rPr>
          <w:rFonts w:ascii="Times New Roman" w:eastAsia="Calibri" w:hAnsi="Times New Roman" w:cs="Times New Roman"/>
          <w:spacing w:val="2"/>
          <w:kern w:val="0"/>
          <w:lang w:val="de-AT" w:eastAsia="pl-PL"/>
          <w14:ligatures w14:val="none"/>
        </w:rPr>
        <w:t>,</w:t>
      </w:r>
      <w:r w:rsidRPr="00130131">
        <w:rPr>
          <w:rFonts w:ascii="Times New Roman" w:eastAsia="Calibri" w:hAnsi="Times New Roman" w:cs="Times New Roman"/>
          <w:spacing w:val="2"/>
          <w:kern w:val="0"/>
          <w:lang w:val="de-AT" w:eastAsia="pl-PL"/>
          <w14:ligatures w14:val="none"/>
        </w:rPr>
        <w:t xml:space="preserve"> M., Steckhan</w:t>
      </w:r>
      <w:r>
        <w:rPr>
          <w:rFonts w:ascii="Times New Roman" w:eastAsia="Calibri" w:hAnsi="Times New Roman" w:cs="Times New Roman"/>
          <w:spacing w:val="2"/>
          <w:kern w:val="0"/>
          <w:lang w:val="de-AT" w:eastAsia="pl-PL"/>
          <w14:ligatures w14:val="none"/>
        </w:rPr>
        <w:t>,</w:t>
      </w:r>
      <w:r w:rsidRPr="00130131">
        <w:rPr>
          <w:rFonts w:ascii="Times New Roman" w:eastAsia="Calibri" w:hAnsi="Times New Roman" w:cs="Times New Roman"/>
          <w:spacing w:val="2"/>
          <w:kern w:val="0"/>
          <w:lang w:val="de-AT" w:eastAsia="pl-PL"/>
          <w14:ligatures w14:val="none"/>
        </w:rPr>
        <w:t xml:space="preserve"> H., Kunert</w:t>
      </w:r>
      <w:r>
        <w:rPr>
          <w:rFonts w:ascii="Times New Roman" w:eastAsia="Calibri" w:hAnsi="Times New Roman" w:cs="Times New Roman"/>
          <w:spacing w:val="2"/>
          <w:kern w:val="0"/>
          <w:lang w:val="de-AT" w:eastAsia="pl-PL"/>
          <w14:ligatures w14:val="none"/>
        </w:rPr>
        <w:t>,</w:t>
      </w:r>
      <w:r w:rsidRPr="00130131">
        <w:rPr>
          <w:rFonts w:ascii="Times New Roman" w:eastAsia="Calibri" w:hAnsi="Times New Roman" w:cs="Times New Roman"/>
          <w:spacing w:val="2"/>
          <w:kern w:val="0"/>
          <w:lang w:val="de-AT" w:eastAsia="pl-PL"/>
          <w14:ligatures w14:val="none"/>
        </w:rPr>
        <w:t xml:space="preserve"> L., Hermanns</w:t>
      </w:r>
      <w:r>
        <w:rPr>
          <w:rFonts w:ascii="Times New Roman" w:eastAsia="Calibri" w:hAnsi="Times New Roman" w:cs="Times New Roman"/>
          <w:spacing w:val="2"/>
          <w:kern w:val="0"/>
          <w:lang w:val="de-AT" w:eastAsia="pl-PL"/>
          <w14:ligatures w14:val="none"/>
        </w:rPr>
        <w:t>,</w:t>
      </w:r>
      <w:r w:rsidRPr="00130131">
        <w:rPr>
          <w:rFonts w:ascii="Times New Roman" w:eastAsia="Calibri" w:hAnsi="Times New Roman" w:cs="Times New Roman"/>
          <w:spacing w:val="2"/>
          <w:kern w:val="0"/>
          <w:lang w:val="de-AT" w:eastAsia="pl-PL"/>
          <w14:ligatures w14:val="none"/>
        </w:rPr>
        <w:t xml:space="preserve"> K. (2020)</w:t>
      </w:r>
      <w:r>
        <w:rPr>
          <w:rFonts w:ascii="Times New Roman" w:eastAsia="Calibri" w:hAnsi="Times New Roman" w:cs="Times New Roman"/>
          <w:spacing w:val="2"/>
          <w:kern w:val="0"/>
          <w:lang w:val="de-AT" w:eastAsia="pl-PL"/>
          <w14:ligatures w14:val="none"/>
        </w:rPr>
        <w:t>.</w:t>
      </w:r>
      <w:r w:rsidRPr="00130131">
        <w:rPr>
          <w:rFonts w:ascii="Times New Roman" w:eastAsia="Calibri" w:hAnsi="Times New Roman" w:cs="Times New Roman"/>
          <w:i/>
          <w:iCs/>
          <w:spacing w:val="2"/>
          <w:kern w:val="0"/>
          <w:lang w:val="de-AT" w:eastAsia="pl-PL"/>
          <w14:ligatures w14:val="none"/>
        </w:rPr>
        <w:t xml:space="preserve"> </w:t>
      </w:r>
      <w:r w:rsidRPr="00130131">
        <w:rPr>
          <w:rFonts w:ascii="Times New Roman" w:eastAsia="Calibri" w:hAnsi="Times New Roman" w:cs="Times New Roman"/>
          <w:spacing w:val="2"/>
          <w:kern w:val="0"/>
          <w:lang w:val="de-AT" w:eastAsia="pl-PL"/>
          <w14:ligatures w14:val="none"/>
        </w:rPr>
        <w:t>Institutionelle Evaluierung von Engagement Global, Deutsches Evaluierungsinstitut der Entwicklungszusammenarbeit, (DEval), Bonn</w:t>
      </w:r>
    </w:p>
    <w:p w14:paraId="0FBFAA93"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Scriven</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 (1969)</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An introduction to metaevaluation. Educational Product Report, 2(5), 36-38</w:t>
      </w:r>
    </w:p>
    <w:p w14:paraId="46FF7AC8"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Scriven</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M. (1974)</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Pros and cons about goal free evaluation, In: W.J. Popham (Ed.), Evaluation in education: Current applications, 34-67, Thousand Oaka, CA: Sage</w:t>
      </w:r>
    </w:p>
    <w:p w14:paraId="52161908"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Scriven</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 (1998)</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Minimalist theory: The least theory that practice requires, American Journal of Evaluation, 19(1), 57-70, </w:t>
      </w:r>
      <w:hyperlink r:id="rId352" w:tgtFrame="_blank" w:tooltip="Persistent link using digital object identifier" w:history="1">
        <w:r w:rsidRPr="00130131">
          <w:rPr>
            <w:rFonts w:ascii="Times New Roman" w:eastAsia="Times New Roman" w:hAnsi="Times New Roman" w:cs="Times New Roman"/>
            <w:bCs/>
            <w:color w:val="1F1F1F"/>
            <w:kern w:val="0"/>
            <w:lang w:val="en-US" w:eastAsia="pl-PL"/>
            <w14:ligatures w14:val="none"/>
          </w:rPr>
          <w:t>doi.org/10.1016/S1098-2140(99)80180-5</w:t>
        </w:r>
      </w:hyperlink>
    </w:p>
    <w:p w14:paraId="34CB2199"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Scriven</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 (2009)</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Meta-evaluation revisited, Journal of Multidiscipling Evaluation, 6(11), 3-8, doi.org/10.56645/jmde.v6i11.220</w:t>
      </w:r>
    </w:p>
    <w:p w14:paraId="6FD4AE51"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eastAsia="pl-PL"/>
          <w14:ligatures w14:val="none"/>
        </w:rPr>
      </w:pPr>
      <w:r w:rsidRPr="00223386">
        <w:rPr>
          <w:rFonts w:ascii="Times New Roman" w:eastAsia="Times New Roman" w:hAnsi="Times New Roman" w:cs="Times New Roman"/>
          <w:bCs/>
          <w:kern w:val="0"/>
          <w:lang w:val="en-US" w:eastAsia="pl-PL"/>
          <w14:ligatures w14:val="none"/>
        </w:rPr>
        <w:t xml:space="preserve">Shaibu, M. U., Ibitoye, S. J., Ibrahim, M. K. (2016). Impact of Nigeria Agricultural Insurance Scheme (NAIS) on Farmers’ Welfare in Kogi State, Nigeria: A Propensity Score Matching (PSM) Approach. </w:t>
      </w:r>
      <w:r w:rsidRPr="00223386">
        <w:rPr>
          <w:rFonts w:ascii="Times New Roman" w:eastAsia="Times New Roman" w:hAnsi="Times New Roman" w:cs="Times New Roman"/>
          <w:bCs/>
          <w:kern w:val="0"/>
          <w:lang w:eastAsia="pl-PL"/>
          <w14:ligatures w14:val="none"/>
        </w:rPr>
        <w:t xml:space="preserve">NSUK Journal of Science &amp; Technology, 6(1), </w:t>
      </w:r>
      <w:r w:rsidRPr="00223386">
        <w:rPr>
          <w:rFonts w:ascii="Times New Roman" w:eastAsia="Times New Roman" w:hAnsi="Times New Roman" w:cs="Times New Roman"/>
          <w:bCs/>
          <w:kern w:val="0"/>
          <w:lang w:eastAsia="pl-PL"/>
          <w14:ligatures w14:val="none"/>
        </w:rPr>
        <w:br/>
        <w:t xml:space="preserve">p. 64-69. </w:t>
      </w:r>
    </w:p>
    <w:p w14:paraId="4D303B0F"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Shamashree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 Singh</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K. (2013)</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From projects to systems: Being explicit about assumptions in systems-levels theories of change, Evaluation and Program Planning, 97, 102263</w:t>
      </w:r>
    </w:p>
    <w:p w14:paraId="4E567C00"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bCs/>
          <w:kern w:val="0"/>
          <w:lang w:val="en-US" w:eastAsia="pl-PL"/>
          <w14:ligatures w14:val="none"/>
        </w:rPr>
        <w:t xml:space="preserve">Sihem, E. (2019). Economic and socio-cultural determinants of agricultural insurance demand across countries. </w:t>
      </w:r>
      <w:r w:rsidRPr="00223386">
        <w:rPr>
          <w:rFonts w:ascii="Times New Roman" w:eastAsia="Times New Roman" w:hAnsi="Times New Roman" w:cs="Times New Roman"/>
          <w:bCs/>
          <w:i/>
          <w:kern w:val="0"/>
          <w:lang w:val="en-US" w:eastAsia="pl-PL"/>
          <w14:ligatures w14:val="none"/>
        </w:rPr>
        <w:t>J. Saudi Soc. Agric. Sci.</w:t>
      </w:r>
      <w:r w:rsidRPr="00223386">
        <w:rPr>
          <w:rFonts w:ascii="Times New Roman" w:eastAsia="Times New Roman" w:hAnsi="Times New Roman" w:cs="Times New Roman"/>
          <w:bCs/>
          <w:kern w:val="0"/>
          <w:lang w:val="en-US" w:eastAsia="pl-PL"/>
          <w14:ligatures w14:val="none"/>
        </w:rPr>
        <w:t xml:space="preserve">, 18 (2), p. 177-187.  </w:t>
      </w:r>
      <w:hyperlink r:id="rId353" w:tgtFrame="_blank" w:tooltip="Trwałe łącze wykorzystujące cyfrowy identyfikator obiektu" w:history="1">
        <w:r w:rsidRPr="00223386">
          <w:rPr>
            <w:rFonts w:ascii="Times New Roman" w:eastAsia="Times New Roman" w:hAnsi="Times New Roman" w:cs="Times New Roman"/>
            <w:bCs/>
            <w:kern w:val="0"/>
            <w:lang w:val="en-US" w:eastAsia="pl-PL"/>
            <w14:ligatures w14:val="none"/>
          </w:rPr>
          <w:t>https://doi.org/10.1016/j.jssas.2017.04.004</w:t>
        </w:r>
      </w:hyperlink>
    </w:p>
    <w:p w14:paraId="66DFE5C3" w14:textId="77777777" w:rsidR="002A58EC" w:rsidRPr="00223386" w:rsidRDefault="002A58EC" w:rsidP="002A58EC">
      <w:pPr>
        <w:numPr>
          <w:ilvl w:val="0"/>
          <w:numId w:val="81"/>
        </w:numPr>
        <w:autoSpaceDE w:val="0"/>
        <w:autoSpaceDN w:val="0"/>
        <w:adjustRightInd w:val="0"/>
        <w:spacing w:after="0" w:line="240" w:lineRule="auto"/>
        <w:ind w:hanging="720"/>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bCs/>
          <w:kern w:val="0"/>
          <w:lang w:val="en-US" w:eastAsia="pl-PL"/>
          <w14:ligatures w14:val="none"/>
        </w:rPr>
        <w:t xml:space="preserve">Silaban, B., Burhanuddin,  Harmini. (2022). The impact of rice farm insurance on the income of farmers in Indonesia.  </w:t>
      </w:r>
      <w:r w:rsidRPr="00223386">
        <w:rPr>
          <w:rFonts w:ascii="Times New Roman" w:eastAsia="Times New Roman" w:hAnsi="Times New Roman" w:cs="Times New Roman"/>
          <w:bCs/>
          <w:i/>
          <w:kern w:val="0"/>
          <w:lang w:val="en-US" w:eastAsia="pl-PL"/>
          <w14:ligatures w14:val="none"/>
        </w:rPr>
        <w:t>Jurnal Manajemen &amp; Agribisnis</w:t>
      </w:r>
      <w:r w:rsidRPr="00223386">
        <w:rPr>
          <w:rFonts w:ascii="Times New Roman" w:eastAsia="Times New Roman" w:hAnsi="Times New Roman" w:cs="Times New Roman"/>
          <w:bCs/>
          <w:kern w:val="0"/>
          <w:lang w:val="en-US" w:eastAsia="pl-PL"/>
          <w14:ligatures w14:val="none"/>
        </w:rPr>
        <w:t>, 19(1). https://doi.org/http://dx.doi.org/10.17358/jma.19.1.59</w:t>
      </w:r>
    </w:p>
    <w:p w14:paraId="367E5AE8"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lang w:val="de-AT" w:eastAsia="pl-PL"/>
          <w14:ligatures w14:val="none"/>
        </w:rPr>
        <w:t>Silvestrini</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S. (2023)</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Meat im Quadrat- Was wir aus Meta-Evaluationen lernen können, Zeitschrift für Evaluation, 22(1), doi.org/10.31244/zfe.2023.01.07</w:t>
      </w:r>
    </w:p>
    <w:p w14:paraId="287253CB"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Simon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H., Rescher</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N. (1966)</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Cause and Counterfactual, Philosophy of Science, 33(4), 323-340, doi: 10.1086/288105</w:t>
      </w:r>
    </w:p>
    <w:p w14:paraId="45056099"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A53385">
        <w:rPr>
          <w:rFonts w:ascii="Times New Roman" w:eastAsia="Times New Roman" w:hAnsi="Times New Roman" w:cs="Times New Roman"/>
          <w:spacing w:val="2"/>
          <w:kern w:val="0"/>
          <w:lang w:val="de-AT" w:eastAsia="pl-PL"/>
          <w14:ligatures w14:val="none"/>
        </w:rPr>
        <w:t xml:space="preserve">Skevas, T., Lansik, A.O. (2014). </w:t>
      </w:r>
      <w:r w:rsidRPr="00130131">
        <w:rPr>
          <w:rFonts w:ascii="Times New Roman" w:eastAsia="Times New Roman" w:hAnsi="Times New Roman" w:cs="Times New Roman"/>
          <w:spacing w:val="2"/>
          <w:kern w:val="0"/>
          <w:lang w:val="en-US" w:eastAsia="pl-PL"/>
          <w14:ligatures w14:val="none"/>
        </w:rPr>
        <w:t>Reducing pesticide use and pesticide impact by productivity growth: the case of Dutch arable farming, Journal of Agricultural Economics, 65(1), 191-211</w:t>
      </w:r>
    </w:p>
    <w:p w14:paraId="7A579CDA"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Slovie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P., Fischhoff</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B. (1982)</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Targeting Risks, Risk Aanalysis, 2(4), 227-34</w:t>
      </w:r>
    </w:p>
    <w:p w14:paraId="0E295E25" w14:textId="77777777"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rPr>
      </w:pPr>
      <w:r w:rsidRPr="00223386">
        <w:rPr>
          <w:rFonts w:ascii="Times New Roman" w:eastAsia="Aptos" w:hAnsi="Times New Roman" w:cs="Times New Roman"/>
          <w:lang w:val="en-GB"/>
        </w:rPr>
        <w:t xml:space="preserve">Smith, J. A., Todd, P. E. (2005). Does matching overcome LaLonde's critique of nonexperimental estimators?. </w:t>
      </w:r>
      <w:r w:rsidRPr="00223386">
        <w:rPr>
          <w:rFonts w:ascii="Times New Roman" w:eastAsia="Aptos" w:hAnsi="Times New Roman" w:cs="Times New Roman"/>
        </w:rPr>
        <w:t>Journal of econometrics, 125(1-2), 305-353. https://doi.org/10.1016/j.jeconom.2004.04.011</w:t>
      </w:r>
    </w:p>
    <w:p w14:paraId="640D6A29" w14:textId="77777777" w:rsidR="002A58EC" w:rsidRPr="00130131" w:rsidRDefault="002A58EC" w:rsidP="002A58EC">
      <w:pPr>
        <w:numPr>
          <w:ilvl w:val="0"/>
          <w:numId w:val="81"/>
        </w:numPr>
        <w:tabs>
          <w:tab w:val="left" w:pos="2740"/>
        </w:tabs>
        <w:spacing w:after="0" w:line="264" w:lineRule="auto"/>
        <w:ind w:hanging="720"/>
        <w:contextualSpacing/>
        <w:jc w:val="both"/>
        <w:rPr>
          <w:rFonts w:ascii="Times New Roman" w:eastAsia="Calibri" w:hAnsi="Times New Roman" w:cs="Times New Roman"/>
          <w:lang w:val="de-AT"/>
        </w:rPr>
      </w:pPr>
      <w:r w:rsidRPr="00130131">
        <w:rPr>
          <w:rFonts w:ascii="Times New Roman" w:eastAsia="Calibri" w:hAnsi="Times New Roman" w:cs="Times New Roman"/>
          <w:lang w:val="de-AT"/>
        </w:rPr>
        <w:t>Spengler</w:t>
      </w:r>
      <w:r>
        <w:rPr>
          <w:rFonts w:ascii="Times New Roman" w:eastAsia="Calibri" w:hAnsi="Times New Roman" w:cs="Times New Roman"/>
          <w:lang w:val="de-AT"/>
        </w:rPr>
        <w:t>,</w:t>
      </w:r>
      <w:r w:rsidRPr="00130131">
        <w:rPr>
          <w:rFonts w:ascii="Times New Roman" w:eastAsia="Calibri" w:hAnsi="Times New Roman" w:cs="Times New Roman"/>
          <w:lang w:val="de-AT"/>
        </w:rPr>
        <w:t xml:space="preserve"> B., Schramek</w:t>
      </w:r>
      <w:r>
        <w:rPr>
          <w:rFonts w:ascii="Times New Roman" w:eastAsia="Calibri" w:hAnsi="Times New Roman" w:cs="Times New Roman"/>
          <w:lang w:val="de-AT"/>
        </w:rPr>
        <w:t>,</w:t>
      </w:r>
      <w:r w:rsidRPr="00130131">
        <w:rPr>
          <w:rFonts w:ascii="Times New Roman" w:eastAsia="Calibri" w:hAnsi="Times New Roman" w:cs="Times New Roman"/>
          <w:lang w:val="de-AT"/>
        </w:rPr>
        <w:t xml:space="preserve"> J. (2018)</w:t>
      </w:r>
      <w:r>
        <w:rPr>
          <w:rFonts w:ascii="Times New Roman" w:eastAsia="Calibri" w:hAnsi="Times New Roman" w:cs="Times New Roman"/>
          <w:lang w:val="de-AT"/>
        </w:rPr>
        <w:t>.</w:t>
      </w:r>
      <w:r w:rsidRPr="00130131">
        <w:rPr>
          <w:rFonts w:ascii="Times New Roman" w:eastAsia="Calibri" w:hAnsi="Times New Roman" w:cs="Times New Roman"/>
          <w:lang w:val="de-AT"/>
        </w:rPr>
        <w:t xml:space="preserve"> Bedarfsanalyse für Investitionsförderungen in Grenzertragsregionen - Ergebnisse einer Befragung von Landwirtinnen und Landwirten sowie aus Expertengesprächen in Baden-Württemberg, Hessen und Rheinland-Pfalz, </w:t>
      </w:r>
      <w:bookmarkStart w:id="48" w:name="_Hlk152154497"/>
      <w:r w:rsidRPr="00130131">
        <w:rPr>
          <w:rFonts w:ascii="Times New Roman" w:eastAsia="Calibri" w:hAnsi="Times New Roman" w:cs="Times New Roman"/>
          <w:lang w:val="de-AT"/>
        </w:rPr>
        <w:t>„Berichte über Landwirtschaft“</w:t>
      </w:r>
      <w:bookmarkEnd w:id="48"/>
      <w:r w:rsidRPr="00130131">
        <w:rPr>
          <w:rFonts w:ascii="Times New Roman" w:eastAsia="Calibri" w:hAnsi="Times New Roman" w:cs="Times New Roman"/>
          <w:lang w:val="de-AT"/>
        </w:rPr>
        <w:t>, 99</w:t>
      </w:r>
      <w:r>
        <w:rPr>
          <w:rFonts w:ascii="Times New Roman" w:eastAsia="Calibri" w:hAnsi="Times New Roman" w:cs="Times New Roman"/>
          <w:lang w:val="de-AT"/>
        </w:rPr>
        <w:t>(</w:t>
      </w:r>
      <w:r w:rsidRPr="00130131">
        <w:rPr>
          <w:rFonts w:ascii="Times New Roman" w:eastAsia="Calibri" w:hAnsi="Times New Roman" w:cs="Times New Roman"/>
          <w:lang w:val="de-AT"/>
        </w:rPr>
        <w:t>1</w:t>
      </w:r>
      <w:r>
        <w:rPr>
          <w:rFonts w:ascii="Times New Roman" w:eastAsia="Calibri" w:hAnsi="Times New Roman" w:cs="Times New Roman"/>
          <w:lang w:val="de-AT"/>
        </w:rPr>
        <w:t>)</w:t>
      </w:r>
      <w:r w:rsidRPr="00130131">
        <w:rPr>
          <w:rFonts w:ascii="Times New Roman" w:eastAsia="Calibri" w:hAnsi="Times New Roman" w:cs="Times New Roman"/>
          <w:lang w:val="de-AT"/>
        </w:rPr>
        <w:t>, s. 1-27</w:t>
      </w:r>
    </w:p>
    <w:p w14:paraId="71AE93FD"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rPr>
        <w:t xml:space="preserve">Spława-Neyman, J., Dąbrowska, D. M., Speed, T. P. (1990). </w:t>
      </w:r>
      <w:r w:rsidRPr="00223386">
        <w:rPr>
          <w:rFonts w:ascii="Times New Roman" w:hAnsi="Times New Roman" w:cs="Times New Roman"/>
          <w:lang w:val="en-US"/>
        </w:rPr>
        <w:t>On the Application of Probability Theory to Agricultural Experiments. Essay on Principles. Section 9. Statistical Science, 5(4), 465–472. </w:t>
      </w:r>
      <w:hyperlink r:id="rId354" w:history="1">
        <w:r w:rsidRPr="00223386">
          <w:rPr>
            <w:rStyle w:val="Hipercze"/>
            <w:rFonts w:ascii="Times New Roman" w:hAnsi="Times New Roman" w:cs="Times New Roman"/>
            <w:lang w:val="en-US"/>
          </w:rPr>
          <w:t>https://doi.org/10.1214/ss/1177012031.</w:t>
        </w:r>
      </w:hyperlink>
    </w:p>
    <w:p w14:paraId="51703CBB"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Stern, N. (2006). </w:t>
      </w:r>
      <w:r w:rsidRPr="00223386">
        <w:rPr>
          <w:rFonts w:ascii="Times New Roman" w:eastAsia="Aptos" w:hAnsi="Times New Roman" w:cs="Times New Roman"/>
          <w:i/>
          <w:iCs/>
          <w:lang w:val="en-US"/>
        </w:rPr>
        <w:t xml:space="preserve">The Economics of Climate Change: The Stern Review. </w:t>
      </w:r>
      <w:r w:rsidRPr="00223386">
        <w:rPr>
          <w:rFonts w:ascii="Times New Roman" w:eastAsia="Aptos" w:hAnsi="Times New Roman" w:cs="Times New Roman"/>
          <w:lang w:val="en-US"/>
        </w:rPr>
        <w:t>Cambridge, UK: Cambridge University Press.</w:t>
      </w:r>
    </w:p>
    <w:p w14:paraId="59D6BA75"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bCs/>
          <w:kern w:val="0"/>
          <w:lang w:val="en-US" w:eastAsia="pl-PL"/>
          <w14:ligatures w14:val="none"/>
        </w:rPr>
        <w:t xml:space="preserve">Stojanović, Ž., Rakonjac-Antić, T., Koprivica, M. (2019). Farmers’ Willingness to Purchase Crop Insurance: Evidence from Wheat and Raspberry Sectors in Serbia. </w:t>
      </w:r>
      <w:r w:rsidRPr="00223386">
        <w:rPr>
          <w:rFonts w:ascii="Times New Roman" w:eastAsia="Times New Roman" w:hAnsi="Times New Roman" w:cs="Times New Roman"/>
          <w:bCs/>
          <w:i/>
          <w:kern w:val="0"/>
          <w:lang w:val="en-US" w:eastAsia="pl-PL"/>
          <w14:ligatures w14:val="none"/>
        </w:rPr>
        <w:t>Economics of Agriculture</w:t>
      </w:r>
      <w:r w:rsidRPr="00223386">
        <w:rPr>
          <w:rFonts w:ascii="Times New Roman" w:eastAsia="Times New Roman" w:hAnsi="Times New Roman" w:cs="Times New Roman"/>
          <w:bCs/>
          <w:kern w:val="0"/>
          <w:lang w:val="en-US" w:eastAsia="pl-PL"/>
          <w14:ligatures w14:val="none"/>
        </w:rPr>
        <w:t>, 66(4), 1107-1125. </w:t>
      </w:r>
      <w:hyperlink r:id="rId355" w:history="1">
        <w:r w:rsidRPr="00223386">
          <w:rPr>
            <w:rFonts w:ascii="Times New Roman" w:eastAsia="Times New Roman" w:hAnsi="Times New Roman" w:cs="Times New Roman"/>
            <w:bCs/>
            <w:kern w:val="0"/>
            <w:lang w:val="en-US" w:eastAsia="pl-PL"/>
            <w14:ligatures w14:val="none"/>
          </w:rPr>
          <w:t>https://doi.org/10.5937/ekoPolj1904107S</w:t>
        </w:r>
      </w:hyperlink>
    </w:p>
    <w:p w14:paraId="1DBC0342"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lang w:val="en-GB"/>
        </w:rPr>
        <w:t>Strawiński</w:t>
      </w:r>
      <w:r>
        <w:rPr>
          <w:rFonts w:ascii="Times New Roman" w:hAnsi="Times New Roman" w:cs="Times New Roman"/>
          <w:lang w:val="en-GB"/>
        </w:rPr>
        <w:t>,</w:t>
      </w:r>
      <w:r w:rsidRPr="00223386">
        <w:rPr>
          <w:rFonts w:ascii="Times New Roman" w:hAnsi="Times New Roman" w:cs="Times New Roman"/>
          <w:lang w:val="en-GB"/>
        </w:rPr>
        <w:t xml:space="preserve"> P. (2024). Propensity Score Matching, </w:t>
      </w:r>
      <w:hyperlink r:id="rId356" w:history="1">
        <w:r w:rsidRPr="00223386">
          <w:rPr>
            <w:rStyle w:val="Hipercze"/>
            <w:rFonts w:ascii="Times New Roman" w:hAnsi="Times New Roman" w:cs="Times New Roman"/>
            <w:lang w:val="en-GB"/>
          </w:rPr>
          <w:t>https://coin.wne.uw.edu.pl/pstrawinski/dydaktyka.html</w:t>
        </w:r>
      </w:hyperlink>
      <w:r w:rsidRPr="00223386">
        <w:rPr>
          <w:rFonts w:ascii="Times New Roman" w:hAnsi="Times New Roman" w:cs="Times New Roman"/>
          <w:lang w:val="en-GB"/>
        </w:rPr>
        <w:t xml:space="preserve"> (dostęp: 1.09.2024).</w:t>
      </w:r>
    </w:p>
    <w:p w14:paraId="50D5ABE7"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lang w:val="en-GB"/>
        </w:rPr>
        <w:t>Stuart, E. A. (2008). Developing practical recommendations for the use of propensity scores: Discussion of ‘A critical appraisal of propensity score matching in the medical literature between 1996 and 2003’ by Peter Austin. Statistics in Medicine, 27(12), 2062–2065. https://doi.org/10.1002/sim.3207</w:t>
      </w:r>
    </w:p>
    <w:p w14:paraId="3030AE36"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Stufflebeam D. (2001)</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Evaluation models, New Directions for Evaluation, 76, 68-81, doi.org/10.1002/ev.3</w:t>
      </w:r>
    </w:p>
    <w:p w14:paraId="569819AB"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Stufflebeam D.L., Coryn C.L. (2014)</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Evaluation theory, models, and applications, John Willey &amp; Sons</w:t>
      </w:r>
    </w:p>
    <w:p w14:paraId="241D9CF9"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Stufflebeam D.L., Shinkfeld A.J. (2007)</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Evaluation theory, models, and applications, Jossey – Bass</w:t>
      </w:r>
    </w:p>
    <w:p w14:paraId="1F1BCCDC"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Tashakkori, A., Teddlie, C. (2010). </w:t>
      </w:r>
      <w:r w:rsidRPr="00223386">
        <w:rPr>
          <w:rFonts w:ascii="Times New Roman" w:eastAsia="Aptos" w:hAnsi="Times New Roman" w:cs="Times New Roman"/>
          <w:i/>
          <w:iCs/>
          <w:lang w:val="en-US"/>
        </w:rPr>
        <w:t>SAGE Handbook of Mixed Methods in Social &amp; Behavioral Research.</w:t>
      </w:r>
      <w:r w:rsidRPr="00223386">
        <w:rPr>
          <w:rFonts w:ascii="Times New Roman" w:eastAsia="Aptos" w:hAnsi="Times New Roman" w:cs="Times New Roman"/>
          <w:lang w:val="en-US"/>
        </w:rPr>
        <w:t xml:space="preserve"> Thousand Oaks, : SAGE Publications.</w:t>
      </w:r>
    </w:p>
    <w:p w14:paraId="088EC394"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lang w:val="en-GB"/>
        </w:rPr>
        <w:t>Thoemmes, F. J.,  Kim, E. S. (2011). A systematic review of propensity score methods in the social sciences. Multivariate Behavioral Research, 46(1), 90–118. https://doi.org/10.1080/00273171.2011.540475</w:t>
      </w:r>
    </w:p>
    <w:p w14:paraId="67F1CC52"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Thompson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S.K. (2002)</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Sampling, second edition, John Wiley, New York</w:t>
      </w:r>
    </w:p>
    <w:p w14:paraId="42385189"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eastAsia="pl-PL"/>
          <w14:ligatures w14:val="none"/>
        </w:rPr>
      </w:pPr>
      <w:r w:rsidRPr="00223386">
        <w:rPr>
          <w:rFonts w:ascii="Times New Roman" w:eastAsia="Times New Roman" w:hAnsi="Times New Roman" w:cs="Times New Roman"/>
          <w:bCs/>
          <w:kern w:val="0"/>
          <w:lang w:val="en-US" w:eastAsia="pl-PL"/>
          <w14:ligatures w14:val="none"/>
        </w:rPr>
        <w:t xml:space="preserve">Timpanaro, G., Chinnici, G., Selvaggi, R., Cascone, G., Foti, V. T., Scuderi, </w:t>
      </w:r>
      <w:r w:rsidRPr="00223386">
        <w:rPr>
          <w:rFonts w:ascii="Times New Roman" w:eastAsia="Times New Roman" w:hAnsi="Times New Roman" w:cs="Times New Roman"/>
          <w:bCs/>
          <w:kern w:val="0"/>
          <w:lang w:val="en-US" w:eastAsia="pl-PL"/>
          <w14:ligatures w14:val="none"/>
        </w:rPr>
        <w:br/>
        <w:t>A. (2023). Farmer’s adoption of agricultural insurance for Mediterranean crops as an innovative behavior. </w:t>
      </w:r>
      <w:r w:rsidRPr="00223386">
        <w:rPr>
          <w:rFonts w:ascii="Times New Roman" w:eastAsia="Times New Roman" w:hAnsi="Times New Roman" w:cs="Times New Roman"/>
          <w:bCs/>
          <w:i/>
          <w:kern w:val="0"/>
          <w:lang w:eastAsia="pl-PL"/>
          <w14:ligatures w14:val="none"/>
        </w:rPr>
        <w:t>Economia Agro-Alimentare Food Economy</w:t>
      </w:r>
      <w:r w:rsidRPr="00223386">
        <w:rPr>
          <w:rFonts w:ascii="Times New Roman" w:eastAsia="Times New Roman" w:hAnsi="Times New Roman" w:cs="Times New Roman"/>
          <w:bCs/>
          <w:kern w:val="0"/>
          <w:lang w:eastAsia="pl-PL"/>
          <w14:ligatures w14:val="none"/>
        </w:rPr>
        <w:t xml:space="preserve">, 25(2). </w:t>
      </w:r>
      <w:hyperlink r:id="rId357" w:history="1">
        <w:r w:rsidRPr="00223386">
          <w:rPr>
            <w:rFonts w:ascii="Times New Roman" w:eastAsia="Times New Roman" w:hAnsi="Times New Roman" w:cs="Times New Roman"/>
            <w:bCs/>
            <w:kern w:val="0"/>
            <w:lang w:val="en-US" w:eastAsia="pl-PL"/>
            <w14:ligatures w14:val="none"/>
          </w:rPr>
          <w:t>https://doi.org/10.3280/ecag2023oa14966</w:t>
        </w:r>
      </w:hyperlink>
    </w:p>
    <w:p w14:paraId="059CD641"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Tsiboe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F., Turner</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 (2022)</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The Causal Dependence of Crop Insurance Demand Response on Premium Subsidies: U.S. Department of Agriculture, Economic Research Service, www. dylenturner.org., dostęp 17.07.2024</w:t>
      </w:r>
    </w:p>
    <w:p w14:paraId="6CD43B26"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Tsiboe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F., Turner</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D. (2023)</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Econometric identification of crop insurance, Agricultural and Resource Economic Review, 52(3), 476-497</w:t>
      </w:r>
    </w:p>
    <w:p w14:paraId="24EE2235"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Turban, E., Volonino, L.,Wood, G. R. (2015). </w:t>
      </w:r>
      <w:r w:rsidRPr="00223386">
        <w:rPr>
          <w:rFonts w:ascii="Times New Roman" w:eastAsia="Aptos" w:hAnsi="Times New Roman" w:cs="Times New Roman"/>
          <w:i/>
          <w:iCs/>
          <w:lang w:val="en-US"/>
        </w:rPr>
        <w:t>Information Technology for Management: Digital Strategies for Insight, Action, and Sustainable Performance. H</w:t>
      </w:r>
      <w:r w:rsidRPr="00223386">
        <w:rPr>
          <w:rFonts w:ascii="Times New Roman" w:eastAsia="Aptos" w:hAnsi="Times New Roman" w:cs="Times New Roman"/>
          <w:lang w:val="en-US"/>
        </w:rPr>
        <w:t>oboken, NJ: Wiley.</w:t>
      </w:r>
    </w:p>
    <w:p w14:paraId="5EA31967"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Valters</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C., Whitty</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B. (2017)</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The politics of the results agenda in DFID: 1997-2017, London, England: Overseas Development Institute, dostęp: 20.08.2023</w:t>
      </w:r>
    </w:p>
    <w:p w14:paraId="32126F91"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Vedung</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E. (1997)</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Public policy and program evaluation, Routledge, New York</w:t>
      </w:r>
    </w:p>
    <w:p w14:paraId="084EDDC7"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Vedung</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E. (2004)</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Evaluation models and the welfare sector, In: I. Julkunen (Ed), Perspectives, model and methods in evaluating the welfare sector. A Nordic approach, 41-52, National Research and Development Centre for Welfare and Health, Helsinki</w:t>
      </w:r>
    </w:p>
    <w:p w14:paraId="549ED570"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D9451D">
        <w:rPr>
          <w:rFonts w:ascii="Times New Roman" w:eastAsia="Times New Roman" w:hAnsi="Times New Roman" w:cs="Times New Roman"/>
          <w:spacing w:val="2"/>
          <w:kern w:val="0"/>
          <w:lang w:val="de-AT" w:eastAsia="pl-PL"/>
          <w14:ligatures w14:val="none"/>
        </w:rPr>
        <w:t xml:space="preserve">Vermeersch, Ch., Rothenbühler, E., Sturdy, J. (2012). </w:t>
      </w:r>
      <w:r w:rsidRPr="00130131">
        <w:rPr>
          <w:rFonts w:ascii="Times New Roman" w:eastAsia="Times New Roman" w:hAnsi="Times New Roman" w:cs="Times New Roman"/>
          <w:spacing w:val="2"/>
          <w:kern w:val="0"/>
          <w:lang w:val="en-US" w:eastAsia="pl-PL"/>
          <w14:ligatures w14:val="none"/>
        </w:rPr>
        <w:t>Impact Evaluation Toolkit: Measuring the Impact of Results – Based Financing on Material and Cild Health, World Bank, Washington, DC</w:t>
      </w:r>
    </w:p>
    <w:p w14:paraId="6C6F01BA"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Villa, J. M. (2016). diff: Simplifying the estimation of difference-in-differences treatment effects. </w:t>
      </w:r>
      <w:r w:rsidRPr="00223386">
        <w:rPr>
          <w:rFonts w:ascii="Times New Roman" w:hAnsi="Times New Roman" w:cs="Times New Roman"/>
        </w:rPr>
        <w:t>The Stata Journal, 16(1), 52-71. https://doi.org/10.1177/1536867X1601600108</w:t>
      </w:r>
    </w:p>
    <w:p w14:paraId="79A226D1" w14:textId="77777777" w:rsidR="002A58EC" w:rsidRPr="00130131" w:rsidRDefault="002A58EC" w:rsidP="002A58EC">
      <w:pPr>
        <w:pStyle w:val="Akapitzlist"/>
        <w:numPr>
          <w:ilvl w:val="0"/>
          <w:numId w:val="81"/>
        </w:numPr>
        <w:tabs>
          <w:tab w:val="num" w:pos="360"/>
        </w:tabs>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lang w:val="de-AT" w:eastAsia="pl-PL"/>
          <w14:ligatures w14:val="none"/>
        </w:rPr>
        <w:t>Von dem Bussche</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P.</w:t>
      </w:r>
      <w:r>
        <w:rPr>
          <w:rFonts w:ascii="Times New Roman" w:eastAsia="Times New Roman" w:hAnsi="Times New Roman" w:cs="Times New Roman"/>
          <w:bCs/>
          <w:kern w:val="0"/>
          <w:lang w:val="de-AT" w:eastAsia="pl-PL"/>
          <w14:ligatures w14:val="none"/>
        </w:rPr>
        <w:t xml:space="preserve"> (2005).</w:t>
      </w:r>
      <w:r w:rsidRPr="00130131">
        <w:rPr>
          <w:rFonts w:ascii="Times New Roman" w:eastAsia="Times New Roman" w:hAnsi="Times New Roman" w:cs="Times New Roman"/>
          <w:bCs/>
          <w:kern w:val="0"/>
          <w:lang w:val="de-AT" w:eastAsia="pl-PL"/>
          <w14:ligatures w14:val="none"/>
        </w:rPr>
        <w:t xml:space="preserve"> Das neue Leitbild: Der erweiterte Familienbetrieb, In DLG(Hrsg): Mehr Markt für Landwirte, Konsequenzen und Strategie, DLG Verlag, Frankfurt/Main</w:t>
      </w:r>
    </w:p>
    <w:p w14:paraId="5CB80FA4"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de-AT" w:eastAsia="pl-PL"/>
          <w14:ligatures w14:val="none"/>
        </w:rPr>
      </w:pPr>
      <w:r w:rsidRPr="00130131">
        <w:rPr>
          <w:rFonts w:ascii="Times New Roman" w:eastAsia="Calibri" w:hAnsi="Times New Roman" w:cs="Times New Roman"/>
          <w:spacing w:val="2"/>
          <w:kern w:val="0"/>
          <w:lang w:val="de-AT" w:eastAsia="pl-PL"/>
          <w14:ligatures w14:val="none"/>
        </w:rPr>
        <w:t>Von Werthen</w:t>
      </w:r>
      <w:r>
        <w:rPr>
          <w:rFonts w:ascii="Times New Roman" w:eastAsia="Calibri" w:hAnsi="Times New Roman" w:cs="Times New Roman"/>
          <w:spacing w:val="2"/>
          <w:kern w:val="0"/>
          <w:lang w:val="de-AT" w:eastAsia="pl-PL"/>
          <w14:ligatures w14:val="none"/>
        </w:rPr>
        <w:t>,</w:t>
      </w:r>
      <w:r w:rsidRPr="00130131">
        <w:rPr>
          <w:rFonts w:ascii="Times New Roman" w:eastAsia="Calibri" w:hAnsi="Times New Roman" w:cs="Times New Roman"/>
          <w:spacing w:val="2"/>
          <w:kern w:val="0"/>
          <w:lang w:val="de-AT" w:eastAsia="pl-PL"/>
          <w14:ligatures w14:val="none"/>
        </w:rPr>
        <w:t xml:space="preserve"> A. (2020)</w:t>
      </w:r>
      <w:r>
        <w:rPr>
          <w:rFonts w:ascii="Times New Roman" w:eastAsia="Calibri" w:hAnsi="Times New Roman" w:cs="Times New Roman"/>
          <w:spacing w:val="2"/>
          <w:kern w:val="0"/>
          <w:lang w:val="de-AT" w:eastAsia="pl-PL"/>
          <w14:ligatures w14:val="none"/>
        </w:rPr>
        <w:t>.</w:t>
      </w:r>
      <w:r w:rsidRPr="00130131">
        <w:rPr>
          <w:rFonts w:ascii="Times New Roman" w:eastAsia="Calibri" w:hAnsi="Times New Roman" w:cs="Times New Roman"/>
          <w:spacing w:val="2"/>
          <w:kern w:val="0"/>
          <w:lang w:val="de-AT" w:eastAsia="pl-PL"/>
          <w14:ligatures w14:val="none"/>
        </w:rPr>
        <w:t xml:space="preserve"> Theoriebasierte Evaluation: Entwicklung und Anwendung eines Verfahrensmodells zur Programmtheoriekonstruktion, </w:t>
      </w:r>
      <w:bookmarkStart w:id="49" w:name="_Hlk152579691"/>
      <w:r w:rsidRPr="00130131">
        <w:rPr>
          <w:rFonts w:ascii="Times New Roman" w:eastAsia="Calibri" w:hAnsi="Times New Roman" w:cs="Times New Roman"/>
          <w:spacing w:val="2"/>
          <w:kern w:val="0"/>
          <w:lang w:val="de-AT" w:eastAsia="pl-PL"/>
          <w14:ligatures w14:val="none"/>
        </w:rPr>
        <w:t>Springer, Heidelberg</w:t>
      </w:r>
      <w:bookmarkEnd w:id="49"/>
    </w:p>
    <w:p w14:paraId="1C3D0030" w14:textId="77777777" w:rsidR="002A58EC" w:rsidRPr="00130131" w:rsidRDefault="002A58EC" w:rsidP="002A58EC">
      <w:pPr>
        <w:pStyle w:val="Akapitzlist"/>
        <w:numPr>
          <w:ilvl w:val="0"/>
          <w:numId w:val="81"/>
        </w:numPr>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Wang</w:t>
      </w:r>
      <w:r>
        <w:rPr>
          <w:rFonts w:ascii="Times New Roman" w:hAnsi="Times New Roman" w:cs="Times New Roman"/>
          <w:lang w:val="en-US"/>
        </w:rPr>
        <w:t>,</w:t>
      </w:r>
      <w:r w:rsidRPr="00130131">
        <w:rPr>
          <w:rFonts w:ascii="Times New Roman" w:hAnsi="Times New Roman" w:cs="Times New Roman"/>
          <w:lang w:val="en-US"/>
        </w:rPr>
        <w:t xml:space="preserve"> H.H., Hanson</w:t>
      </w:r>
      <w:r>
        <w:rPr>
          <w:rFonts w:ascii="Times New Roman" w:hAnsi="Times New Roman" w:cs="Times New Roman"/>
          <w:lang w:val="en-US"/>
        </w:rPr>
        <w:t>,</w:t>
      </w:r>
      <w:r w:rsidRPr="00130131">
        <w:rPr>
          <w:rFonts w:ascii="Times New Roman" w:hAnsi="Times New Roman" w:cs="Times New Roman"/>
          <w:lang w:val="en-US"/>
        </w:rPr>
        <w:t xml:space="preserve"> S.D., Meyers</w:t>
      </w:r>
      <w:r>
        <w:rPr>
          <w:rFonts w:ascii="Times New Roman" w:hAnsi="Times New Roman" w:cs="Times New Roman"/>
          <w:lang w:val="en-US"/>
        </w:rPr>
        <w:t>,</w:t>
      </w:r>
      <w:r w:rsidRPr="00130131">
        <w:rPr>
          <w:rFonts w:ascii="Times New Roman" w:hAnsi="Times New Roman" w:cs="Times New Roman"/>
          <w:lang w:val="en-US"/>
        </w:rPr>
        <w:t xml:space="preserve"> R.J., Black</w:t>
      </w:r>
      <w:r>
        <w:rPr>
          <w:rFonts w:ascii="Times New Roman" w:hAnsi="Times New Roman" w:cs="Times New Roman"/>
          <w:lang w:val="en-US"/>
        </w:rPr>
        <w:t>,</w:t>
      </w:r>
      <w:r w:rsidRPr="00130131">
        <w:rPr>
          <w:rFonts w:ascii="Times New Roman" w:hAnsi="Times New Roman" w:cs="Times New Roman"/>
          <w:lang w:val="en-US"/>
        </w:rPr>
        <w:t xml:space="preserve"> J.R., (1998)</w:t>
      </w:r>
      <w:r>
        <w:rPr>
          <w:rFonts w:ascii="Times New Roman" w:hAnsi="Times New Roman" w:cs="Times New Roman"/>
          <w:lang w:val="en-US"/>
        </w:rPr>
        <w:t>.</w:t>
      </w:r>
      <w:r w:rsidRPr="00130131">
        <w:rPr>
          <w:rFonts w:ascii="Times New Roman" w:hAnsi="Times New Roman" w:cs="Times New Roman"/>
          <w:lang w:val="en-US"/>
        </w:rPr>
        <w:t xml:space="preserve"> The effects of crop yield insurance on farmer participation and welfare, American Journal of Agricultural Economics, 80, 806-820</w:t>
      </w:r>
    </w:p>
    <w:p w14:paraId="6B3D03B5" w14:textId="77777777" w:rsidR="002A58EC" w:rsidRPr="00130131" w:rsidRDefault="002A58EC" w:rsidP="002A58EC">
      <w:pPr>
        <w:pStyle w:val="Akapitzlist"/>
        <w:numPr>
          <w:ilvl w:val="0"/>
          <w:numId w:val="81"/>
        </w:numPr>
        <w:spacing w:after="0" w:line="264" w:lineRule="auto"/>
        <w:ind w:hanging="720"/>
        <w:jc w:val="both"/>
        <w:rPr>
          <w:rFonts w:ascii="Times New Roman" w:hAnsi="Times New Roman" w:cs="Times New Roman"/>
          <w:lang w:val="en-US"/>
        </w:rPr>
      </w:pPr>
      <w:r w:rsidRPr="00832026">
        <w:rPr>
          <w:rFonts w:ascii="Times New Roman" w:hAnsi="Times New Roman" w:cs="Times New Roman"/>
          <w:lang w:val="de-AT"/>
        </w:rPr>
        <w:t xml:space="preserve">Wang, K., Zhang, Q., Kimura, S., Akter, S., (2015). </w:t>
      </w:r>
      <w:r w:rsidRPr="00130131">
        <w:rPr>
          <w:rFonts w:ascii="Times New Roman" w:hAnsi="Times New Roman" w:cs="Times New Roman"/>
          <w:lang w:val="en-US"/>
        </w:rPr>
        <w:t>Is the crop insurance program effective in China? Evidence from farmers analysis in five provinces, Journal of Integrative Agriculture, 14 (10), 2109-2120</w:t>
      </w:r>
    </w:p>
    <w:p w14:paraId="1EC42187"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bCs/>
          <w:kern w:val="0"/>
          <w:lang w:val="en-US" w:eastAsia="pl-PL"/>
          <w14:ligatures w14:val="none"/>
        </w:rPr>
        <w:t>Wąs, A., Kobus, P. (2018). Factors Determining the Crop Insurance Level in Poland Taking into Account the Level of Farm Subsidising. The Common Agricultural Policy of the European Union – the present and the future, EU Member States point of view, [in] ed. M. Wigier, A. Kowalski, series Monographs of Multi-Annual Programme, no 73.1, IAFE-NRI, Warsaw, ISBN: 978-83-7658-743-1.</w:t>
      </w:r>
    </w:p>
    <w:p w14:paraId="65470BBC"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30131">
        <w:rPr>
          <w:rFonts w:ascii="Times New Roman" w:eastAsia="Calibri" w:hAnsi="Times New Roman" w:cs="Times New Roman"/>
          <w:spacing w:val="2"/>
          <w:kern w:val="0"/>
          <w:lang w:val="en-US" w:eastAsia="pl-PL"/>
          <w14:ligatures w14:val="none"/>
        </w:rPr>
        <w:t>Weisbord</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M.R. (1976)</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Organizational Diagnosis: Six Places to Look for Trouble with or without a Theory, Group and Organization Studies, 1(4), 430-447,</w:t>
      </w:r>
      <w:r w:rsidRPr="00130131">
        <w:rPr>
          <w:rFonts w:ascii="Times New Roman" w:eastAsia="Times New Roman" w:hAnsi="Times New Roman" w:cs="Times New Roman"/>
          <w:kern w:val="0"/>
          <w:lang w:val="en-US" w:eastAsia="pl-PL"/>
          <w14:ligatures w14:val="none"/>
        </w:rPr>
        <w:t xml:space="preserve"> </w:t>
      </w:r>
      <w:r w:rsidRPr="00130131">
        <w:rPr>
          <w:rFonts w:ascii="Times New Roman" w:eastAsia="Times New Roman" w:hAnsi="Times New Roman" w:cs="Times New Roman"/>
          <w:spacing w:val="2"/>
          <w:kern w:val="0"/>
          <w:shd w:val="clear" w:color="auto" w:fill="FFFFFF"/>
          <w:lang w:val="en-US" w:eastAsia="pl-PL"/>
          <w14:ligatures w14:val="none"/>
        </w:rPr>
        <w:t>https://doi.org/10.1177/105960117600100405</w:t>
      </w:r>
    </w:p>
    <w:p w14:paraId="719A2760"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kern w:val="0"/>
          <w:lang w:val="en-US" w:eastAsia="pl-PL"/>
          <w14:ligatures w14:val="none"/>
        </w:rPr>
        <w:t>Weiss</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C.H. (1997)</w:t>
      </w:r>
      <w:r>
        <w:rPr>
          <w:rFonts w:ascii="Times New Roman" w:eastAsia="Times New Roman" w:hAnsi="Times New Roman" w:cs="Times New Roman"/>
          <w:bCs/>
          <w:kern w:val="0"/>
          <w:lang w:val="en-US" w:eastAsia="pl-PL"/>
          <w14:ligatures w14:val="none"/>
        </w:rPr>
        <w:t>.</w:t>
      </w:r>
      <w:r w:rsidRPr="00130131">
        <w:rPr>
          <w:rFonts w:ascii="Times New Roman" w:eastAsia="Times New Roman" w:hAnsi="Times New Roman" w:cs="Times New Roman"/>
          <w:bCs/>
          <w:kern w:val="0"/>
          <w:lang w:val="en-US" w:eastAsia="pl-PL"/>
          <w14:ligatures w14:val="none"/>
        </w:rPr>
        <w:t xml:space="preserve"> Theory based evaluation: Past, present, and future, New Directions for Evaluation, 76, 68-81, doi.org/10.1002/ev.1086</w:t>
      </w:r>
    </w:p>
    <w:p w14:paraId="41E58649" w14:textId="77777777"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US"/>
        </w:rPr>
      </w:pPr>
      <w:r w:rsidRPr="00223386">
        <w:rPr>
          <w:rFonts w:ascii="Times New Roman" w:eastAsia="Aptos" w:hAnsi="Times New Roman" w:cs="Times New Roman"/>
          <w:lang w:val="en-US"/>
        </w:rPr>
        <w:t xml:space="preserve">Weiss, C. H. (1998). </w:t>
      </w:r>
      <w:r w:rsidRPr="00223386">
        <w:rPr>
          <w:rFonts w:ascii="Times New Roman" w:eastAsia="Aptos" w:hAnsi="Times New Roman" w:cs="Times New Roman"/>
          <w:i/>
          <w:iCs/>
          <w:lang w:val="en-US"/>
        </w:rPr>
        <w:t>Evaluation: Methods for Studying Programs and Policies.</w:t>
      </w:r>
      <w:r w:rsidRPr="00223386">
        <w:rPr>
          <w:rFonts w:ascii="Times New Roman" w:eastAsia="Aptos" w:hAnsi="Times New Roman" w:cs="Times New Roman"/>
          <w:lang w:val="en-US"/>
        </w:rPr>
        <w:t xml:space="preserve"> Upper Saddle River, NJ: Prentice Hall. </w:t>
      </w:r>
    </w:p>
    <w:p w14:paraId="1D5D7477"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832026">
        <w:rPr>
          <w:rFonts w:ascii="Times New Roman" w:eastAsia="Times New Roman" w:hAnsi="Times New Roman" w:cs="Times New Roman"/>
          <w:bCs/>
          <w:kern w:val="0"/>
          <w:lang w:val="de-AT" w:eastAsia="pl-PL"/>
          <w14:ligatures w14:val="none"/>
        </w:rPr>
        <w:t xml:space="preserve">Weitzman, B.C., Silver, D., Dillmab, K., (2002). </w:t>
      </w:r>
      <w:r w:rsidRPr="00130131">
        <w:rPr>
          <w:rFonts w:ascii="Times New Roman" w:eastAsia="Times New Roman" w:hAnsi="Times New Roman" w:cs="Times New Roman"/>
          <w:bCs/>
          <w:kern w:val="0"/>
          <w:lang w:val="en-US" w:eastAsia="pl-PL"/>
          <w14:ligatures w14:val="none"/>
        </w:rPr>
        <w:t>Integrating a comparison group design into a theory of change evaluation: The case of the Urban health initiative, American Journal of Evaluation, 23(4), 371-385, doi.org/10.1177/109821400202300402</w:t>
      </w:r>
    </w:p>
    <w:p w14:paraId="2549B9D2" w14:textId="77777777" w:rsidR="002A58EC" w:rsidRPr="00130131" w:rsidRDefault="002A58EC" w:rsidP="002A58EC">
      <w:pPr>
        <w:numPr>
          <w:ilvl w:val="0"/>
          <w:numId w:val="81"/>
        </w:numPr>
        <w:spacing w:after="0" w:line="264" w:lineRule="auto"/>
        <w:ind w:hanging="720"/>
        <w:jc w:val="both"/>
        <w:rPr>
          <w:rFonts w:ascii="Times New Roman" w:eastAsia="Calibri" w:hAnsi="Times New Roman" w:cs="Times New Roman"/>
          <w:spacing w:val="2"/>
          <w:kern w:val="0"/>
          <w:lang w:val="en-US" w:eastAsia="pl-PL"/>
          <w14:ligatures w14:val="none"/>
        </w:rPr>
      </w:pPr>
      <w:r w:rsidRPr="00130131">
        <w:rPr>
          <w:rFonts w:ascii="Times New Roman" w:eastAsia="Calibri" w:hAnsi="Times New Roman" w:cs="Times New Roman"/>
          <w:spacing w:val="2"/>
          <w:kern w:val="0"/>
          <w:lang w:val="en-US" w:eastAsia="pl-PL"/>
          <w14:ligatures w14:val="none"/>
        </w:rPr>
        <w:t>White</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H., Menon</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R., Waddington</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H. (2018)</w:t>
      </w:r>
      <w:r>
        <w:rPr>
          <w:rFonts w:ascii="Times New Roman" w:eastAsia="Calibri" w:hAnsi="Times New Roman" w:cs="Times New Roman"/>
          <w:spacing w:val="2"/>
          <w:kern w:val="0"/>
          <w:lang w:val="en-US" w:eastAsia="pl-PL"/>
          <w14:ligatures w14:val="none"/>
        </w:rPr>
        <w:t>.</w:t>
      </w:r>
      <w:r w:rsidRPr="00130131">
        <w:rPr>
          <w:rFonts w:ascii="Times New Roman" w:eastAsia="Calibri" w:hAnsi="Times New Roman" w:cs="Times New Roman"/>
          <w:spacing w:val="2"/>
          <w:kern w:val="0"/>
          <w:lang w:val="en-US" w:eastAsia="pl-PL"/>
          <w14:ligatures w14:val="none"/>
        </w:rPr>
        <w:t xml:space="preserve"> Community-driven development: does it build social cohesion or infrastructure? A mixed-method evidence syntesis, no. 30, 3ie, </w:t>
      </w:r>
      <w:hyperlink w:history="1">
        <w:r w:rsidRPr="005A78A3">
          <w:rPr>
            <w:rStyle w:val="Hipercze"/>
            <w:rFonts w:ascii="Times New Roman" w:eastAsia="Calibri" w:hAnsi="Times New Roman" w:cs="Times New Roman"/>
            <w:spacing w:val="2"/>
            <w:kern w:val="0"/>
            <w:lang w:val="en-US" w:eastAsia="pl-PL"/>
            <w14:ligatures w14:val="none"/>
          </w:rPr>
          <w:t>https:// www.3ieimpact.org/evidence-hub /publications /working-papers/community-driven-development-does</w:t>
        </w:r>
      </w:hyperlink>
      <w:r w:rsidRPr="00130131">
        <w:rPr>
          <w:rFonts w:ascii="Times New Roman" w:eastAsia="Calibri" w:hAnsi="Times New Roman" w:cs="Times New Roman"/>
          <w:spacing w:val="2"/>
          <w:kern w:val="0"/>
          <w:lang w:val="en-US" w:eastAsia="pl-PL"/>
          <w14:ligatures w14:val="none"/>
        </w:rPr>
        <w:t xml:space="preserve"> it-build-social-cohesion (dostęp 5.04.2023)</w:t>
      </w:r>
    </w:p>
    <w:p w14:paraId="186A76CC"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lang w:val="de-AT" w:eastAsia="pl-PL"/>
          <w14:ligatures w14:val="none"/>
        </w:rPr>
        <w:t>Widmer</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T.(2023)</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Hinweise zur Konzeption und Realisierung von Meta-Evaluation, Zeitschrift für Evaluation, 22(1), 100-119, doi.org/10.31244/zfe. 2023.01.06</w:t>
      </w:r>
    </w:p>
    <w:p w14:paraId="475C2ADA"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color w:val="1F1F1F"/>
          <w:kern w:val="0"/>
          <w:lang w:val="de-AT" w:eastAsia="pl-PL"/>
          <w14:ligatures w14:val="none"/>
        </w:rPr>
        <w:t>Widmer</w:t>
      </w:r>
      <w:r>
        <w:rPr>
          <w:rFonts w:ascii="Times New Roman" w:eastAsia="Times New Roman" w:hAnsi="Times New Roman" w:cs="Times New Roman"/>
          <w:bCs/>
          <w:color w:val="1F1F1F"/>
          <w:kern w:val="0"/>
          <w:lang w:val="de-AT" w:eastAsia="pl-PL"/>
          <w14:ligatures w14:val="none"/>
        </w:rPr>
        <w:t>,</w:t>
      </w:r>
      <w:r w:rsidRPr="00130131">
        <w:rPr>
          <w:rFonts w:ascii="Times New Roman" w:eastAsia="Times New Roman" w:hAnsi="Times New Roman" w:cs="Times New Roman"/>
          <w:bCs/>
          <w:color w:val="1F1F1F"/>
          <w:kern w:val="0"/>
          <w:lang w:val="de-AT" w:eastAsia="pl-PL"/>
          <w14:ligatures w14:val="none"/>
        </w:rPr>
        <w:t xml:space="preserve"> T., De Rocchai</w:t>
      </w:r>
      <w:r>
        <w:rPr>
          <w:rFonts w:ascii="Times New Roman" w:eastAsia="Times New Roman" w:hAnsi="Times New Roman" w:cs="Times New Roman"/>
          <w:bCs/>
          <w:color w:val="1F1F1F"/>
          <w:kern w:val="0"/>
          <w:lang w:val="de-AT" w:eastAsia="pl-PL"/>
          <w14:ligatures w14:val="none"/>
        </w:rPr>
        <w:t>,</w:t>
      </w:r>
      <w:r w:rsidRPr="00130131">
        <w:rPr>
          <w:rFonts w:ascii="Times New Roman" w:eastAsia="Times New Roman" w:hAnsi="Times New Roman" w:cs="Times New Roman"/>
          <w:bCs/>
          <w:color w:val="1F1F1F"/>
          <w:kern w:val="0"/>
          <w:lang w:val="de-AT" w:eastAsia="pl-PL"/>
          <w14:ligatures w14:val="none"/>
        </w:rPr>
        <w:t xml:space="preserve"> T. (2012)</w:t>
      </w:r>
      <w:r>
        <w:rPr>
          <w:rFonts w:ascii="Times New Roman" w:eastAsia="Times New Roman" w:hAnsi="Times New Roman" w:cs="Times New Roman"/>
          <w:bCs/>
          <w:color w:val="1F1F1F"/>
          <w:kern w:val="0"/>
          <w:lang w:val="de-AT" w:eastAsia="pl-PL"/>
          <w14:ligatures w14:val="none"/>
        </w:rPr>
        <w:t>.</w:t>
      </w:r>
      <w:r w:rsidRPr="00130131">
        <w:rPr>
          <w:rFonts w:ascii="Times New Roman" w:eastAsia="Times New Roman" w:hAnsi="Times New Roman" w:cs="Times New Roman"/>
          <w:bCs/>
          <w:color w:val="1F1F1F"/>
          <w:kern w:val="0"/>
          <w:lang w:val="de-AT" w:eastAsia="pl-PL"/>
          <w14:ligatures w14:val="none"/>
        </w:rPr>
        <w:t xml:space="preserve"> Evaluation: Grundlagen und Anvendungen, Rügger, Zürich</w:t>
      </w:r>
    </w:p>
    <w:p w14:paraId="35E4D69F"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Wilde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G.J.S. (1982)</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The theory of Risk Homeostasis: Implications for Safety and Health, Risk Analysis, 2(4), 209-225</w:t>
      </w:r>
    </w:p>
    <w:p w14:paraId="270A5B0B"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Williamson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(2011)</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Mechanistic theories of causality part I, Philosophy Compass, 6(6), 421-432, doi: 10.1111/j.1747-991.2011.00400</w:t>
      </w:r>
    </w:p>
    <w:p w14:paraId="53538133"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en-GB"/>
        </w:rPr>
        <w:t xml:space="preserve">Wing, C., Simon, K., &amp; Bello-Gomez, R. A. (2018). Designing difference in difference studies: best practices for public health policy research. Annual Review of Public Health, 39(1), 453-469. https://doi.org/10.1146/annurev-publhealth-040617-013507 </w:t>
      </w:r>
    </w:p>
    <w:p w14:paraId="459050F4"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eastAsia="Times New Roman" w:hAnsi="Times New Roman" w:cs="Times New Roman"/>
          <w:spacing w:val="2"/>
          <w:kern w:val="0"/>
          <w:lang w:val="en-US" w:eastAsia="pl-PL"/>
          <w14:ligatures w14:val="none"/>
        </w:rPr>
        <w:t>Woodard</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J.D., Yi</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(2020)</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Estimating of Insurance Deductible Demand under Endogenous Premium Rates, Journal of Risk and Insurance, 87(2), 477-500</w:t>
      </w:r>
    </w:p>
    <w:p w14:paraId="4C7E68CC"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rPr>
      </w:pPr>
      <w:r w:rsidRPr="00223386">
        <w:rPr>
          <w:rFonts w:ascii="Times New Roman" w:hAnsi="Times New Roman" w:cs="Times New Roman"/>
          <w:lang w:val="en-GB"/>
        </w:rPr>
        <w:t xml:space="preserve">Wooldridge, J. M. (2021). Two-way fixed effects, the two-way mundlak regression, and difference-in-differences estimators. </w:t>
      </w:r>
      <w:r w:rsidRPr="00223386">
        <w:rPr>
          <w:rFonts w:ascii="Times New Roman" w:hAnsi="Times New Roman" w:cs="Times New Roman"/>
        </w:rPr>
        <w:t>Available at SSRN 3906345.http://dx.doi.org/10.2139/ssrn.3906345</w:t>
      </w:r>
    </w:p>
    <w:p w14:paraId="288730E1" w14:textId="77777777" w:rsidR="002A58EC" w:rsidRPr="00130131" w:rsidRDefault="002A58EC" w:rsidP="002A58EC">
      <w:pPr>
        <w:numPr>
          <w:ilvl w:val="0"/>
          <w:numId w:val="81"/>
        </w:numPr>
        <w:spacing w:after="0" w:line="264" w:lineRule="auto"/>
        <w:ind w:hanging="720"/>
        <w:jc w:val="both"/>
        <w:rPr>
          <w:rFonts w:ascii="Times New Roman" w:eastAsia="Times New Roman" w:hAnsi="Times New Roman" w:cs="Times New Roman"/>
          <w:bCs/>
          <w:kern w:val="0"/>
          <w:lang w:val="en-US" w:eastAsia="pl-PL"/>
          <w14:ligatures w14:val="none"/>
        </w:rPr>
      </w:pPr>
      <w:r w:rsidRPr="00130131">
        <w:rPr>
          <w:rFonts w:ascii="Times New Roman" w:eastAsia="Times New Roman" w:hAnsi="Times New Roman" w:cs="Times New Roman"/>
          <w:bCs/>
          <w:color w:val="1F1F1F"/>
          <w:kern w:val="0"/>
          <w:lang w:val="en-US" w:eastAsia="pl-PL"/>
          <w14:ligatures w14:val="none"/>
        </w:rPr>
        <w:t>Worthen</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B.R., Sanders</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J.R., Fitzpatrick</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J.L. (1997)</w:t>
      </w:r>
      <w:r>
        <w:rPr>
          <w:rFonts w:ascii="Times New Roman" w:eastAsia="Times New Roman" w:hAnsi="Times New Roman" w:cs="Times New Roman"/>
          <w:bCs/>
          <w:color w:val="1F1F1F"/>
          <w:kern w:val="0"/>
          <w:lang w:val="en-US" w:eastAsia="pl-PL"/>
          <w14:ligatures w14:val="none"/>
        </w:rPr>
        <w:t>.</w:t>
      </w:r>
      <w:r w:rsidRPr="00130131">
        <w:rPr>
          <w:rFonts w:ascii="Times New Roman" w:eastAsia="Times New Roman" w:hAnsi="Times New Roman" w:cs="Times New Roman"/>
          <w:bCs/>
          <w:color w:val="1F1F1F"/>
          <w:kern w:val="0"/>
          <w:lang w:val="en-US" w:eastAsia="pl-PL"/>
          <w14:ligatures w14:val="none"/>
        </w:rPr>
        <w:t xml:space="preserve"> Program evaluation, Longman, New York</w:t>
      </w:r>
    </w:p>
    <w:p w14:paraId="656AE840"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Wu</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S., Goodwin</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B.K., Coble</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K. (2020)</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Moral hazard and subsidized crop insurance, Agricultural  Economics, 51, 131-142</w:t>
      </w:r>
    </w:p>
    <w:p w14:paraId="515CC826"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130131">
        <w:rPr>
          <w:rFonts w:ascii="Times New Roman" w:hAnsi="Times New Roman" w:cs="Times New Roman"/>
          <w:lang w:val="en-US"/>
        </w:rPr>
        <w:t>Xie</w:t>
      </w:r>
      <w:r>
        <w:rPr>
          <w:rFonts w:ascii="Times New Roman" w:hAnsi="Times New Roman" w:cs="Times New Roman"/>
          <w:lang w:val="en-US"/>
        </w:rPr>
        <w:t>,</w:t>
      </w:r>
      <w:r w:rsidRPr="00130131">
        <w:rPr>
          <w:rFonts w:ascii="Times New Roman" w:hAnsi="Times New Roman" w:cs="Times New Roman"/>
          <w:lang w:val="en-US"/>
        </w:rPr>
        <w:t xml:space="preserve"> Y. (2013)</w:t>
      </w:r>
      <w:r>
        <w:rPr>
          <w:rFonts w:ascii="Times New Roman" w:hAnsi="Times New Roman" w:cs="Times New Roman"/>
          <w:lang w:val="en-US"/>
        </w:rPr>
        <w:t>.</w:t>
      </w:r>
      <w:r w:rsidRPr="00130131">
        <w:rPr>
          <w:rFonts w:ascii="Times New Roman" w:hAnsi="Times New Roman" w:cs="Times New Roman"/>
          <w:lang w:val="en-US"/>
        </w:rPr>
        <w:t xml:space="preserve"> Population Heterogeneity and Causal Inference, Proceedings of the National Academy of Sciences, 110</w:t>
      </w:r>
    </w:p>
    <w:p w14:paraId="6F773F08"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eastAsia="pl-PL"/>
          <w14:ligatures w14:val="none"/>
        </w:rPr>
      </w:pPr>
      <w:r w:rsidRPr="00223386">
        <w:rPr>
          <w:rFonts w:ascii="Times New Roman" w:eastAsia="Times New Roman" w:hAnsi="Times New Roman" w:cs="Times New Roman"/>
          <w:bCs/>
          <w:kern w:val="0"/>
          <w:lang w:val="en-US" w:eastAsia="pl-PL"/>
          <w14:ligatures w14:val="none"/>
        </w:rPr>
        <w:t>Yanuarti, R., Aji, J.M.M., Rondhi, M. (2019). Risk aversion level influence on farmer's decision to participate in crop insurance: A review. </w:t>
      </w:r>
      <w:r w:rsidRPr="00223386">
        <w:rPr>
          <w:rFonts w:ascii="Times New Roman" w:eastAsia="Times New Roman" w:hAnsi="Times New Roman" w:cs="Times New Roman"/>
          <w:bCs/>
          <w:i/>
          <w:kern w:val="0"/>
          <w:lang w:eastAsia="pl-PL"/>
          <w14:ligatures w14:val="none"/>
        </w:rPr>
        <w:t>Agricultural Economics</w:t>
      </w:r>
      <w:r w:rsidRPr="00223386">
        <w:rPr>
          <w:rFonts w:ascii="Times New Roman" w:eastAsia="Times New Roman" w:hAnsi="Times New Roman" w:cs="Times New Roman"/>
          <w:bCs/>
          <w:kern w:val="0"/>
          <w:lang w:eastAsia="pl-PL"/>
          <w14:ligatures w14:val="none"/>
        </w:rPr>
        <w:t>, 65(10), p. 481-489. https://doi.org/10.17221/93/2019-AGRICECON</w:t>
      </w:r>
    </w:p>
    <w:p w14:paraId="4CB9FEF5" w14:textId="77777777" w:rsidR="002A58EC" w:rsidRPr="00223386" w:rsidRDefault="002A58EC" w:rsidP="002A58EC">
      <w:pPr>
        <w:pStyle w:val="Akapitzlist"/>
        <w:numPr>
          <w:ilvl w:val="0"/>
          <w:numId w:val="81"/>
        </w:numPr>
        <w:spacing w:after="0" w:line="264" w:lineRule="auto"/>
        <w:ind w:hanging="720"/>
        <w:jc w:val="both"/>
        <w:rPr>
          <w:rFonts w:ascii="Times New Roman" w:hAnsi="Times New Roman" w:cs="Times New Roman"/>
          <w:lang w:val="en-GB"/>
        </w:rPr>
      </w:pPr>
      <w:r w:rsidRPr="00223386">
        <w:rPr>
          <w:rFonts w:ascii="Times New Roman" w:hAnsi="Times New Roman" w:cs="Times New Roman"/>
          <w:lang w:val="en-GB"/>
        </w:rPr>
        <w:t>Young, A. M. (2023). Factors Affecting Crop Insurance Use Among Underserved Producers (Master's thesis, Oklahoma State University).</w:t>
      </w:r>
    </w:p>
    <w:p w14:paraId="1676C9F5" w14:textId="77777777" w:rsidR="002A58EC" w:rsidRPr="00223386" w:rsidRDefault="002A58EC" w:rsidP="002A58EC">
      <w:pPr>
        <w:numPr>
          <w:ilvl w:val="0"/>
          <w:numId w:val="81"/>
        </w:numPr>
        <w:spacing w:after="0" w:line="240" w:lineRule="auto"/>
        <w:ind w:hanging="720"/>
        <w:jc w:val="both"/>
        <w:rPr>
          <w:rFonts w:ascii="Times New Roman" w:eastAsia="Times New Roman" w:hAnsi="Times New Roman" w:cs="Times New Roman"/>
          <w:bCs/>
          <w:kern w:val="0"/>
          <w:lang w:val="en-US" w:eastAsia="pl-PL"/>
          <w14:ligatures w14:val="none"/>
        </w:rPr>
      </w:pPr>
      <w:r w:rsidRPr="00223386">
        <w:rPr>
          <w:rFonts w:ascii="Times New Roman" w:eastAsia="Times New Roman" w:hAnsi="Times New Roman" w:cs="Times New Roman"/>
          <w:bCs/>
          <w:kern w:val="0"/>
          <w:lang w:val="en-US" w:eastAsia="pl-PL"/>
          <w14:ligatures w14:val="none"/>
        </w:rPr>
        <w:t>Youngjune, K., Jisang, Y., Dustin, L.P. (2018).  Effects of crop insurance on farm disinvestment and exit decisions. </w:t>
      </w:r>
      <w:r w:rsidRPr="00223386">
        <w:rPr>
          <w:rFonts w:ascii="Times New Roman" w:eastAsia="Times New Roman" w:hAnsi="Times New Roman" w:cs="Times New Roman"/>
          <w:bCs/>
          <w:i/>
          <w:kern w:val="0"/>
          <w:lang w:val="en-US" w:eastAsia="pl-PL"/>
          <w14:ligatures w14:val="none"/>
        </w:rPr>
        <w:t>European Review of Agricultural Economics</w:t>
      </w:r>
      <w:r w:rsidRPr="00223386">
        <w:rPr>
          <w:rFonts w:ascii="Times New Roman" w:eastAsia="Times New Roman" w:hAnsi="Times New Roman" w:cs="Times New Roman"/>
          <w:bCs/>
          <w:kern w:val="0"/>
          <w:lang w:val="en-US" w:eastAsia="pl-PL"/>
          <w14:ligatures w14:val="none"/>
        </w:rPr>
        <w:t>, 47, 1, p. 324-347. </w:t>
      </w:r>
      <w:hyperlink r:id="rId358" w:history="1">
        <w:r w:rsidRPr="00223386">
          <w:rPr>
            <w:rFonts w:ascii="Times New Roman" w:eastAsia="Times New Roman" w:hAnsi="Times New Roman" w:cs="Times New Roman"/>
            <w:bCs/>
            <w:kern w:val="0"/>
            <w:lang w:val="en-US" w:eastAsia="pl-PL"/>
            <w14:ligatures w14:val="none"/>
          </w:rPr>
          <w:t>https://doi.org/10.1093/erae/jbz035</w:t>
        </w:r>
      </w:hyperlink>
    </w:p>
    <w:p w14:paraId="662E8462"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130131">
        <w:rPr>
          <w:rFonts w:ascii="Times New Roman" w:eastAsia="Times New Roman" w:hAnsi="Times New Roman" w:cs="Times New Roman"/>
          <w:spacing w:val="2"/>
          <w:kern w:val="0"/>
          <w:lang w:val="en-US" w:eastAsia="pl-PL"/>
          <w14:ligatures w14:val="none"/>
        </w:rPr>
        <w:t>Yu</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J., Summer</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A.D. (2018)</w:t>
      </w:r>
      <w:r>
        <w:rPr>
          <w:rFonts w:ascii="Times New Roman" w:eastAsia="Times New Roman" w:hAnsi="Times New Roman" w:cs="Times New Roman"/>
          <w:spacing w:val="2"/>
          <w:kern w:val="0"/>
          <w:lang w:val="en-US" w:eastAsia="pl-PL"/>
          <w14:ligatures w14:val="none"/>
        </w:rPr>
        <w:t>.</w:t>
      </w:r>
      <w:r w:rsidRPr="00130131">
        <w:rPr>
          <w:rFonts w:ascii="Times New Roman" w:eastAsia="Times New Roman" w:hAnsi="Times New Roman" w:cs="Times New Roman"/>
          <w:spacing w:val="2"/>
          <w:kern w:val="0"/>
          <w:lang w:val="en-US" w:eastAsia="pl-PL"/>
          <w14:ligatures w14:val="none"/>
        </w:rPr>
        <w:t xml:space="preserve"> Effect of subsidized crop insurance on crop choices, Agricultural Economics, 49(4), 535-545</w:t>
      </w:r>
    </w:p>
    <w:p w14:paraId="21998F47"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en-US"/>
        </w:rPr>
      </w:pPr>
      <w:r w:rsidRPr="00D2004C">
        <w:rPr>
          <w:rFonts w:ascii="Times New Roman" w:eastAsia="Times New Roman" w:hAnsi="Times New Roman" w:cs="Times New Roman"/>
          <w:spacing w:val="2"/>
          <w:kern w:val="0"/>
          <w:lang w:val="de-AT" w:eastAsia="pl-PL"/>
          <w14:ligatures w14:val="none"/>
        </w:rPr>
        <w:t xml:space="preserve">Yu, J., Summer, A.D., Lee, H. (2021). </w:t>
      </w:r>
      <w:r w:rsidRPr="00130131">
        <w:rPr>
          <w:rFonts w:ascii="Times New Roman" w:eastAsia="Times New Roman" w:hAnsi="Times New Roman" w:cs="Times New Roman"/>
          <w:spacing w:val="2"/>
          <w:kern w:val="0"/>
          <w:lang w:val="en-US" w:eastAsia="pl-PL"/>
          <w14:ligatures w14:val="none"/>
        </w:rPr>
        <w:t>Premium rates and selection in specialty crop insurance markets: Evidence from the catastrophic coverage participation, Food Policy, 101</w:t>
      </w:r>
    </w:p>
    <w:p w14:paraId="1B1A4AF2" w14:textId="77777777" w:rsidR="002A58EC" w:rsidRPr="00223386" w:rsidRDefault="002A58EC" w:rsidP="002A58EC">
      <w:pPr>
        <w:pStyle w:val="Akapitzlist"/>
        <w:numPr>
          <w:ilvl w:val="0"/>
          <w:numId w:val="81"/>
        </w:numPr>
        <w:spacing w:after="0" w:line="259" w:lineRule="auto"/>
        <w:ind w:hanging="720"/>
        <w:jc w:val="both"/>
        <w:rPr>
          <w:rFonts w:ascii="Times New Roman" w:hAnsi="Times New Roman" w:cs="Times New Roman"/>
          <w:lang w:val="en-GB"/>
        </w:rPr>
      </w:pPr>
      <w:r w:rsidRPr="00223386">
        <w:rPr>
          <w:rFonts w:ascii="Times New Roman" w:hAnsi="Times New Roman" w:cs="Times New Roman"/>
          <w:lang w:val="en-GB"/>
        </w:rPr>
        <w:t>Zakrison, T. L., Austin, P. C.,  McCredie, V. A. (2018). A systematic review of propensity score methods in the acute care surgery literature: Avoiding the pitfalls and proposing a set of reporting guidelines. European Journal of Trauma and Emergency Surgery, 44(3), 385–395. https://doi.org/10.1007/s00068-017-0786-6</w:t>
      </w:r>
    </w:p>
    <w:p w14:paraId="5AB9E993" w14:textId="77777777" w:rsidR="002A58EC" w:rsidRPr="00130131" w:rsidRDefault="002A58EC" w:rsidP="002A58EC">
      <w:pPr>
        <w:pStyle w:val="Akapitzlist"/>
        <w:numPr>
          <w:ilvl w:val="0"/>
          <w:numId w:val="81"/>
        </w:numPr>
        <w:tabs>
          <w:tab w:val="num" w:pos="360"/>
        </w:tabs>
        <w:spacing w:after="0" w:line="264" w:lineRule="auto"/>
        <w:ind w:hanging="720"/>
        <w:jc w:val="both"/>
        <w:rPr>
          <w:rFonts w:ascii="Times New Roman" w:eastAsia="Times New Roman" w:hAnsi="Times New Roman" w:cs="Times New Roman"/>
          <w:bCs/>
          <w:kern w:val="0"/>
          <w:lang w:val="de-AT" w:eastAsia="pl-PL"/>
          <w14:ligatures w14:val="none"/>
        </w:rPr>
      </w:pPr>
      <w:r w:rsidRPr="00130131">
        <w:rPr>
          <w:rFonts w:ascii="Times New Roman" w:eastAsia="Times New Roman" w:hAnsi="Times New Roman" w:cs="Times New Roman"/>
          <w:bCs/>
          <w:kern w:val="0"/>
          <w:lang w:val="de-AT" w:eastAsia="pl-PL"/>
          <w14:ligatures w14:val="none"/>
        </w:rPr>
        <w:t>Zander</w:t>
      </w:r>
      <w:r>
        <w:rPr>
          <w:rFonts w:ascii="Times New Roman" w:eastAsia="Times New Roman" w:hAnsi="Times New Roman" w:cs="Times New Roman"/>
          <w:bCs/>
          <w:kern w:val="0"/>
          <w:lang w:val="de-AT" w:eastAsia="pl-PL"/>
          <w14:ligatures w14:val="none"/>
        </w:rPr>
        <w:t>,</w:t>
      </w:r>
      <w:r w:rsidRPr="00130131">
        <w:rPr>
          <w:rFonts w:ascii="Times New Roman" w:eastAsia="Times New Roman" w:hAnsi="Times New Roman" w:cs="Times New Roman"/>
          <w:bCs/>
          <w:kern w:val="0"/>
          <w:lang w:val="de-AT" w:eastAsia="pl-PL"/>
          <w14:ligatures w14:val="none"/>
        </w:rPr>
        <w:t xml:space="preserve"> K.</w:t>
      </w:r>
      <w:r>
        <w:rPr>
          <w:rFonts w:ascii="Times New Roman" w:eastAsia="Times New Roman" w:hAnsi="Times New Roman" w:cs="Times New Roman"/>
          <w:bCs/>
          <w:kern w:val="0"/>
          <w:lang w:val="de-AT" w:eastAsia="pl-PL"/>
          <w14:ligatures w14:val="none"/>
        </w:rPr>
        <w:t xml:space="preserve"> (2008).</w:t>
      </w:r>
      <w:r w:rsidRPr="00130131">
        <w:rPr>
          <w:rFonts w:ascii="Times New Roman" w:eastAsia="Times New Roman" w:hAnsi="Times New Roman" w:cs="Times New Roman"/>
          <w:bCs/>
          <w:kern w:val="0"/>
          <w:lang w:val="de-AT" w:eastAsia="pl-PL"/>
          <w14:ligatures w14:val="none"/>
        </w:rPr>
        <w:t xml:space="preserve"> Betriebsleiterpersönlichkeit und Entwicklungswege ökologischer Betriebe. Tagungsband der 18.ÖGA- Jahrestagung, Wien</w:t>
      </w:r>
    </w:p>
    <w:p w14:paraId="29428711" w14:textId="77777777"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rPr>
      </w:pPr>
      <w:r w:rsidRPr="00223386">
        <w:rPr>
          <w:rFonts w:ascii="Times New Roman" w:eastAsia="Aptos" w:hAnsi="Times New Roman" w:cs="Times New Roman"/>
          <w:lang w:val="en-GB"/>
        </w:rPr>
        <w:t xml:space="preserve">Zhang, M., Hong, Y.,  Zhu, B. (2022). Does national innovative city pilot policy promote green technology progress? </w:t>
      </w:r>
      <w:r w:rsidRPr="00223386">
        <w:rPr>
          <w:rFonts w:ascii="Times New Roman" w:eastAsia="Aptos" w:hAnsi="Times New Roman" w:cs="Times New Roman"/>
        </w:rPr>
        <w:t>Evidence from China. Journal of Cleaner Production, 363, 132461</w:t>
      </w:r>
    </w:p>
    <w:p w14:paraId="784468C5" w14:textId="2AB385A8" w:rsidR="002A58EC" w:rsidRPr="00223386" w:rsidRDefault="002A58EC" w:rsidP="002A58EC">
      <w:pPr>
        <w:numPr>
          <w:ilvl w:val="0"/>
          <w:numId w:val="81"/>
        </w:numPr>
        <w:spacing w:after="0" w:line="259" w:lineRule="auto"/>
        <w:ind w:hanging="720"/>
        <w:contextualSpacing/>
        <w:jc w:val="both"/>
        <w:rPr>
          <w:rFonts w:ascii="Times New Roman" w:eastAsia="Aptos" w:hAnsi="Times New Roman" w:cs="Times New Roman"/>
          <w:lang w:val="en-GB"/>
        </w:rPr>
      </w:pPr>
      <w:r w:rsidRPr="00223386">
        <w:rPr>
          <w:rFonts w:ascii="Times New Roman" w:eastAsia="Aptos" w:hAnsi="Times New Roman" w:cs="Times New Roman"/>
          <w:lang w:val="en-GB"/>
        </w:rPr>
        <w:t>Zhao, Y.</w:t>
      </w:r>
      <w:r w:rsidR="002C560A">
        <w:rPr>
          <w:rFonts w:ascii="Times New Roman" w:eastAsia="Aptos" w:hAnsi="Times New Roman" w:cs="Times New Roman"/>
          <w:lang w:val="en-GB"/>
        </w:rPr>
        <w:t>F</w:t>
      </w:r>
      <w:r w:rsidRPr="00223386">
        <w:rPr>
          <w:rFonts w:ascii="Times New Roman" w:eastAsia="Aptos" w:hAnsi="Times New Roman" w:cs="Times New Roman"/>
          <w:lang w:val="en-GB"/>
        </w:rPr>
        <w:t>., Chai, Z., Delgado, M.S.,  Preckel, P.V. (2016). An empirical analysis of the effect of crop insurance on farmers’ income: Results from Inner Mongolia in China. China Agricultural Economic Review, 8(2). https://doi.org/10.1108/CAER-05-2014-0045</w:t>
      </w:r>
    </w:p>
    <w:p w14:paraId="73744659" w14:textId="77777777" w:rsidR="002A58EC" w:rsidRPr="00130131" w:rsidRDefault="002A58EC" w:rsidP="002A58EC">
      <w:pPr>
        <w:pStyle w:val="Akapitzlist"/>
        <w:numPr>
          <w:ilvl w:val="0"/>
          <w:numId w:val="81"/>
        </w:numPr>
        <w:tabs>
          <w:tab w:val="left" w:pos="1460"/>
        </w:tabs>
        <w:spacing w:after="0" w:line="264" w:lineRule="auto"/>
        <w:ind w:hanging="720"/>
        <w:jc w:val="both"/>
        <w:rPr>
          <w:rStyle w:val="Hipercze"/>
          <w:rFonts w:ascii="Times New Roman" w:hAnsi="Times New Roman" w:cs="Times New Roman"/>
          <w:lang w:val="en-US"/>
        </w:rPr>
      </w:pPr>
      <w:r w:rsidRPr="00130131">
        <w:rPr>
          <w:rFonts w:ascii="Times New Roman" w:hAnsi="Times New Roman" w:cs="Times New Roman"/>
          <w:lang w:val="en-US"/>
        </w:rPr>
        <w:t>Zhou</w:t>
      </w:r>
      <w:r>
        <w:rPr>
          <w:rFonts w:ascii="Times New Roman" w:hAnsi="Times New Roman" w:cs="Times New Roman"/>
          <w:lang w:val="en-US"/>
        </w:rPr>
        <w:t>,</w:t>
      </w:r>
      <w:r w:rsidRPr="00130131">
        <w:rPr>
          <w:rFonts w:ascii="Times New Roman" w:hAnsi="Times New Roman" w:cs="Times New Roman"/>
          <w:lang w:val="en-US"/>
        </w:rPr>
        <w:t xml:space="preserve"> X., Opacic</w:t>
      </w:r>
      <w:r>
        <w:rPr>
          <w:rFonts w:ascii="Times New Roman" w:hAnsi="Times New Roman" w:cs="Times New Roman"/>
          <w:lang w:val="en-US"/>
        </w:rPr>
        <w:t>,</w:t>
      </w:r>
      <w:r w:rsidRPr="00130131">
        <w:rPr>
          <w:rFonts w:ascii="Times New Roman" w:hAnsi="Times New Roman" w:cs="Times New Roman"/>
          <w:lang w:val="en-US"/>
        </w:rPr>
        <w:t xml:space="preserve"> A. (2022)</w:t>
      </w:r>
      <w:r>
        <w:rPr>
          <w:rFonts w:ascii="Times New Roman" w:hAnsi="Times New Roman" w:cs="Times New Roman"/>
          <w:lang w:val="en-US"/>
        </w:rPr>
        <w:t>.</w:t>
      </w:r>
      <w:r w:rsidRPr="00130131">
        <w:rPr>
          <w:rFonts w:ascii="Times New Roman" w:hAnsi="Times New Roman" w:cs="Times New Roman"/>
          <w:lang w:val="en-US"/>
        </w:rPr>
        <w:t xml:space="preserve"> Marginal Interventional Effects, xiang </w:t>
      </w:r>
      <w:hyperlink r:id="rId359" w:history="1">
        <w:r w:rsidRPr="00130131">
          <w:rPr>
            <w:rStyle w:val="Hipercze"/>
            <w:rFonts w:ascii="Times New Roman" w:hAnsi="Times New Roman" w:cs="Times New Roman"/>
            <w:lang w:val="en-US"/>
          </w:rPr>
          <w:t>zhou@fas.harvard.edu</w:t>
        </w:r>
      </w:hyperlink>
    </w:p>
    <w:p w14:paraId="4EBBBD0A" w14:textId="77777777" w:rsidR="002A58EC" w:rsidRPr="00223386" w:rsidRDefault="002A58EC" w:rsidP="002A58EC">
      <w:pPr>
        <w:numPr>
          <w:ilvl w:val="0"/>
          <w:numId w:val="81"/>
        </w:numPr>
        <w:spacing w:after="0" w:line="264" w:lineRule="auto"/>
        <w:ind w:hanging="720"/>
        <w:contextualSpacing/>
        <w:jc w:val="both"/>
        <w:rPr>
          <w:rFonts w:ascii="Times New Roman" w:eastAsia="Aptos" w:hAnsi="Times New Roman" w:cs="Times New Roman"/>
        </w:rPr>
      </w:pPr>
      <w:r w:rsidRPr="00223386">
        <w:rPr>
          <w:rFonts w:ascii="Times New Roman" w:eastAsia="Aptos" w:hAnsi="Times New Roman" w:cs="Times New Roman"/>
          <w:lang w:val="de-AT"/>
        </w:rPr>
        <w:t xml:space="preserve">Zhu, B., Zhang, M., Huang, L., Wang, P., Su, B., &amp; Wei, Y. M. (2020). </w:t>
      </w:r>
      <w:r w:rsidRPr="00223386">
        <w:rPr>
          <w:rFonts w:ascii="Times New Roman" w:eastAsia="Aptos" w:hAnsi="Times New Roman" w:cs="Times New Roman"/>
          <w:lang w:val="en-GB"/>
        </w:rPr>
        <w:t xml:space="preserve">Exploring the effect of carbon trading mechanism on China's green development efficiency: a novel integrated approach. </w:t>
      </w:r>
      <w:r w:rsidRPr="00223386">
        <w:rPr>
          <w:rFonts w:ascii="Times New Roman" w:eastAsia="Aptos" w:hAnsi="Times New Roman" w:cs="Times New Roman"/>
        </w:rPr>
        <w:t>Energy Economics, 85, 104601.https://doi.org/10.1016/j.eneco.2019.104601</w:t>
      </w:r>
    </w:p>
    <w:p w14:paraId="13501A74"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hAnsi="Times New Roman" w:cs="Times New Roman"/>
          <w:lang w:val="de-AT"/>
        </w:rPr>
      </w:pPr>
      <w:r w:rsidRPr="00D2004C">
        <w:rPr>
          <w:rStyle w:val="Hipercze"/>
          <w:rFonts w:ascii="Times New Roman" w:hAnsi="Times New Roman" w:cs="Times New Roman"/>
          <w:color w:val="auto"/>
          <w:u w:val="none"/>
          <w:lang w:val="de-AT"/>
        </w:rPr>
        <w:t>Zierke</w:t>
      </w:r>
      <w:r>
        <w:rPr>
          <w:rStyle w:val="Hipercze"/>
          <w:rFonts w:ascii="Times New Roman" w:hAnsi="Times New Roman" w:cs="Times New Roman"/>
          <w:lang w:val="de-AT"/>
        </w:rPr>
        <w:t>,</w:t>
      </w:r>
      <w:r w:rsidRPr="00D2004C">
        <w:rPr>
          <w:rStyle w:val="Hipercze"/>
          <w:rFonts w:ascii="Times New Roman" w:hAnsi="Times New Roman" w:cs="Times New Roman"/>
          <w:color w:val="auto"/>
          <w:u w:val="none"/>
          <w:lang w:val="de-AT"/>
        </w:rPr>
        <w:t xml:space="preserve"> N. (2022)</w:t>
      </w:r>
      <w:r>
        <w:rPr>
          <w:rStyle w:val="Hipercze"/>
          <w:rFonts w:ascii="Times New Roman" w:hAnsi="Times New Roman" w:cs="Times New Roman"/>
          <w:lang w:val="de-AT"/>
        </w:rPr>
        <w:t>.</w:t>
      </w:r>
      <w:r w:rsidRPr="00D2004C">
        <w:rPr>
          <w:rStyle w:val="Hipercze"/>
          <w:rFonts w:ascii="Times New Roman" w:hAnsi="Times New Roman" w:cs="Times New Roman"/>
          <w:color w:val="auto"/>
          <w:u w:val="none"/>
          <w:lang w:val="de-AT"/>
        </w:rPr>
        <w:t xml:space="preserve"> Einführung in das Datenmanagement und die Datenausvertung, in:</w:t>
      </w:r>
      <w:r w:rsidRPr="00D2004C">
        <w:rPr>
          <w:rFonts w:ascii="Times New Roman" w:eastAsia="Times New Roman" w:hAnsi="Times New Roman" w:cs="Times New Roman"/>
          <w:spacing w:val="2"/>
          <w:kern w:val="0"/>
          <w:lang w:val="de-AT" w:eastAsia="pl-PL"/>
          <w14:ligatures w14:val="none"/>
        </w:rPr>
        <w:t xml:space="preserve"> </w:t>
      </w:r>
      <w:r w:rsidRPr="00130131">
        <w:rPr>
          <w:rFonts w:ascii="Times New Roman" w:eastAsia="Times New Roman" w:hAnsi="Times New Roman" w:cs="Times New Roman"/>
          <w:spacing w:val="2"/>
          <w:kern w:val="0"/>
          <w:lang w:val="de-AT" w:eastAsia="pl-PL"/>
          <w14:ligatures w14:val="none"/>
        </w:rPr>
        <w:t>Handbuch zur Evaluation. Eine praktische Handlungsanleitung, 2. überarbeitete und erweiterte Auflage, WAXMANN, Münster, New York</w:t>
      </w:r>
    </w:p>
    <w:p w14:paraId="03138440" w14:textId="77777777" w:rsidR="002A58EC" w:rsidRPr="00130131" w:rsidRDefault="002A58EC" w:rsidP="002A58EC">
      <w:pPr>
        <w:pStyle w:val="Akapitzlist"/>
        <w:numPr>
          <w:ilvl w:val="0"/>
          <w:numId w:val="81"/>
        </w:numPr>
        <w:tabs>
          <w:tab w:val="left" w:pos="1460"/>
        </w:tabs>
        <w:spacing w:after="0" w:line="264" w:lineRule="auto"/>
        <w:ind w:hanging="720"/>
        <w:jc w:val="both"/>
        <w:rPr>
          <w:rFonts w:ascii="Times New Roman" w:eastAsia="Times New Roman" w:hAnsi="Times New Roman" w:cs="Times New Roman"/>
          <w:spacing w:val="2"/>
          <w:kern w:val="0"/>
          <w:lang w:val="en-US" w:eastAsia="pl-PL"/>
          <w14:ligatures w14:val="none"/>
        </w:rPr>
      </w:pPr>
      <w:r w:rsidRPr="00D2004C">
        <w:rPr>
          <w:rFonts w:ascii="Times New Roman" w:eastAsia="Times New Roman" w:hAnsi="Times New Roman" w:cs="Times New Roman"/>
          <w:spacing w:val="2"/>
          <w:kern w:val="0"/>
          <w:lang w:val="de-AT" w:eastAsia="pl-PL"/>
          <w14:ligatures w14:val="none"/>
        </w:rPr>
        <w:t xml:space="preserve">Zubor-Nemes, A., Fogarasi, J., Molnár, A., Kemény, G. (2018). </w:t>
      </w:r>
      <w:r w:rsidRPr="00130131">
        <w:rPr>
          <w:rFonts w:ascii="Times New Roman" w:eastAsia="Times New Roman" w:hAnsi="Times New Roman" w:cs="Times New Roman"/>
          <w:spacing w:val="2"/>
          <w:kern w:val="0"/>
          <w:lang w:val="en-US" w:eastAsia="pl-PL"/>
          <w14:ligatures w14:val="none"/>
        </w:rPr>
        <w:t>Farmers’ responses to the changes in Hungarian agricultural insurance system, Agricultural Finance Review, 78(2), 275-288</w:t>
      </w:r>
    </w:p>
    <w:p w14:paraId="315D185C" w14:textId="77777777" w:rsidR="002A58EC" w:rsidRPr="002A58EC" w:rsidRDefault="002A58EC" w:rsidP="002A58EC">
      <w:pPr>
        <w:rPr>
          <w:rFonts w:ascii="Times New Roman" w:eastAsia="Aptos" w:hAnsi="Times New Roman" w:cs="Times New Roman"/>
          <w:sz w:val="28"/>
          <w:szCs w:val="28"/>
          <w:lang w:val="en-US"/>
        </w:rPr>
      </w:pPr>
    </w:p>
    <w:sectPr w:rsidR="002A58EC" w:rsidRPr="002A58EC" w:rsidSect="00D765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8500E" w14:textId="77777777" w:rsidR="00D165C6" w:rsidRDefault="00D165C6" w:rsidP="00375D7D">
      <w:pPr>
        <w:spacing w:after="0" w:line="240" w:lineRule="auto"/>
      </w:pPr>
      <w:r>
        <w:separator/>
      </w:r>
    </w:p>
  </w:endnote>
  <w:endnote w:type="continuationSeparator" w:id="0">
    <w:p w14:paraId="68EA9182" w14:textId="77777777" w:rsidR="00D165C6" w:rsidRDefault="00D165C6" w:rsidP="00375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Times New Romans">
    <w:altName w:val="Times New Roman"/>
    <w:panose1 w:val="00000000000000000000"/>
    <w:charset w:val="00"/>
    <w:family w:val="roman"/>
    <w:notTrueType/>
    <w:pitch w:val="default"/>
  </w:font>
  <w:font w:name="Lato">
    <w:panose1 w:val="020F0502020204030203"/>
    <w:charset w:val="EE"/>
    <w:family w:val="swiss"/>
    <w:pitch w:val="variable"/>
    <w:sig w:usb0="E10002FF" w:usb1="5000ECFF" w:usb2="00000021" w:usb3="00000000" w:csb0="0000019F" w:csb1="00000000"/>
  </w:font>
  <w:font w:name="CIDFont+F4">
    <w:altName w:val="MS Mincho"/>
    <w:panose1 w:val="00000000000000000000"/>
    <w:charset w:val="80"/>
    <w:family w:val="auto"/>
    <w:notTrueType/>
    <w:pitch w:val="default"/>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 w:name="RMTMI">
    <w:altName w:val="Arial Unicode MS"/>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101193"/>
      <w:docPartObj>
        <w:docPartGallery w:val="Page Numbers (Bottom of Page)"/>
        <w:docPartUnique/>
      </w:docPartObj>
    </w:sdtPr>
    <w:sdtContent>
      <w:p w14:paraId="7D67D46C" w14:textId="77777777" w:rsidR="008D28A7" w:rsidRDefault="008D28A7">
        <w:pPr>
          <w:pStyle w:val="Stopka"/>
          <w:jc w:val="center"/>
        </w:pPr>
        <w:r>
          <w:fldChar w:fldCharType="begin"/>
        </w:r>
        <w:r>
          <w:instrText>PAGE   \* MERGEFORMAT</w:instrText>
        </w:r>
        <w:r>
          <w:fldChar w:fldCharType="separate"/>
        </w:r>
        <w:r>
          <w:t>2</w:t>
        </w:r>
        <w:r>
          <w:fldChar w:fldCharType="end"/>
        </w:r>
      </w:p>
    </w:sdtContent>
  </w:sdt>
  <w:p w14:paraId="134D2F9F" w14:textId="77777777" w:rsidR="008D28A7" w:rsidRDefault="008D28A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523256"/>
      <w:docPartObj>
        <w:docPartGallery w:val="Page Numbers (Bottom of Page)"/>
        <w:docPartUnique/>
      </w:docPartObj>
    </w:sdtPr>
    <w:sdtContent>
      <w:p w14:paraId="4E2D12CD" w14:textId="77777777" w:rsidR="00532D01" w:rsidRDefault="00532D01">
        <w:pPr>
          <w:pStyle w:val="Stopka"/>
          <w:jc w:val="center"/>
        </w:pPr>
        <w:r>
          <w:fldChar w:fldCharType="begin"/>
        </w:r>
        <w:r>
          <w:instrText>PAGE   \* MERGEFORMAT</w:instrText>
        </w:r>
        <w:r>
          <w:fldChar w:fldCharType="separate"/>
        </w:r>
        <w:r>
          <w:t>2</w:t>
        </w:r>
        <w:r>
          <w:fldChar w:fldCharType="end"/>
        </w:r>
      </w:p>
    </w:sdtContent>
  </w:sdt>
  <w:p w14:paraId="32370F5A" w14:textId="77777777" w:rsidR="00532D01" w:rsidRDefault="00532D0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426214"/>
      <w:docPartObj>
        <w:docPartGallery w:val="Page Numbers (Bottom of Page)"/>
        <w:docPartUnique/>
      </w:docPartObj>
    </w:sdtPr>
    <w:sdtContent>
      <w:p w14:paraId="77012A38" w14:textId="77777777" w:rsidR="002F50E8" w:rsidRDefault="002F50E8">
        <w:pPr>
          <w:pStyle w:val="Stopka"/>
          <w:jc w:val="center"/>
        </w:pPr>
        <w:r>
          <w:fldChar w:fldCharType="begin"/>
        </w:r>
        <w:r>
          <w:instrText>PAGE   \* MERGEFORMAT</w:instrText>
        </w:r>
        <w:r>
          <w:fldChar w:fldCharType="separate"/>
        </w:r>
        <w:r>
          <w:t>2</w:t>
        </w:r>
        <w:r>
          <w:fldChar w:fldCharType="end"/>
        </w:r>
      </w:p>
    </w:sdtContent>
  </w:sdt>
  <w:p w14:paraId="02BD9DC9" w14:textId="77777777" w:rsidR="002F50E8" w:rsidRDefault="002F50E8">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685042"/>
      <w:docPartObj>
        <w:docPartGallery w:val="Page Numbers (Bottom of Page)"/>
        <w:docPartUnique/>
      </w:docPartObj>
    </w:sdtPr>
    <w:sdtContent>
      <w:p w14:paraId="50282CA7" w14:textId="77777777" w:rsidR="00BB2E5D" w:rsidRDefault="00BB2E5D">
        <w:pPr>
          <w:pStyle w:val="Stopka"/>
          <w:jc w:val="center"/>
        </w:pPr>
        <w:r>
          <w:fldChar w:fldCharType="begin"/>
        </w:r>
        <w:r>
          <w:instrText>PAGE   \* MERGEFORMAT</w:instrText>
        </w:r>
        <w:r>
          <w:fldChar w:fldCharType="separate"/>
        </w:r>
        <w:r>
          <w:t>2</w:t>
        </w:r>
        <w:r>
          <w:fldChar w:fldCharType="end"/>
        </w:r>
      </w:p>
    </w:sdtContent>
  </w:sdt>
  <w:p w14:paraId="3045DAEF" w14:textId="77777777" w:rsidR="00BB2E5D" w:rsidRDefault="00BB2E5D">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05442"/>
      <w:docPartObj>
        <w:docPartGallery w:val="Page Numbers (Bottom of Page)"/>
        <w:docPartUnique/>
      </w:docPartObj>
    </w:sdtPr>
    <w:sdtContent>
      <w:p w14:paraId="5121868C" w14:textId="6C855807" w:rsidR="00375D7D" w:rsidRDefault="00375D7D">
        <w:pPr>
          <w:pStyle w:val="Stopka"/>
          <w:jc w:val="center"/>
        </w:pPr>
        <w:r>
          <w:fldChar w:fldCharType="begin"/>
        </w:r>
        <w:r>
          <w:instrText>PAGE   \* MERGEFORMAT</w:instrText>
        </w:r>
        <w:r>
          <w:fldChar w:fldCharType="separate"/>
        </w:r>
        <w:r>
          <w:t>2</w:t>
        </w:r>
        <w:r>
          <w:fldChar w:fldCharType="end"/>
        </w:r>
      </w:p>
    </w:sdtContent>
  </w:sdt>
  <w:p w14:paraId="65863A32" w14:textId="77777777" w:rsidR="00375D7D" w:rsidRDefault="00375D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4DFB1" w14:textId="77777777" w:rsidR="00D165C6" w:rsidRDefault="00D165C6" w:rsidP="00375D7D">
      <w:pPr>
        <w:spacing w:after="0" w:line="240" w:lineRule="auto"/>
      </w:pPr>
      <w:r>
        <w:separator/>
      </w:r>
    </w:p>
  </w:footnote>
  <w:footnote w:type="continuationSeparator" w:id="0">
    <w:p w14:paraId="2328A7F3" w14:textId="77777777" w:rsidR="00D165C6" w:rsidRDefault="00D165C6" w:rsidP="00375D7D">
      <w:pPr>
        <w:spacing w:after="0" w:line="240" w:lineRule="auto"/>
      </w:pPr>
      <w:r>
        <w:continuationSeparator/>
      </w:r>
    </w:p>
  </w:footnote>
  <w:footnote w:id="1">
    <w:p w14:paraId="36A17D08" w14:textId="77777777" w:rsidR="001D0854" w:rsidRPr="00061AA9" w:rsidRDefault="001D0854" w:rsidP="001D0854">
      <w:pPr>
        <w:jc w:val="both"/>
        <w:rPr>
          <w:rFonts w:ascii="Times New Roman" w:hAnsi="Times New Roman" w:cs="Times New Roman"/>
        </w:rPr>
      </w:pPr>
      <w:r w:rsidRPr="00061AA9">
        <w:rPr>
          <w:rStyle w:val="Odwoanieprzypisudolnego"/>
        </w:rPr>
        <w:footnoteRef/>
      </w:r>
      <w:r w:rsidRPr="00061AA9">
        <w:t xml:space="preserve"> </w:t>
      </w:r>
      <w:r w:rsidRPr="00061AA9">
        <w:rPr>
          <w:rFonts w:ascii="Times New Roman" w:hAnsi="Times New Roman" w:cs="Times New Roman"/>
        </w:rPr>
        <w:t>Grupa doświadczalna/ badana</w:t>
      </w:r>
      <w:r>
        <w:rPr>
          <w:rFonts w:ascii="Times New Roman" w:hAnsi="Times New Roman" w:cs="Times New Roman"/>
        </w:rPr>
        <w:t xml:space="preserve"> (treated),</w:t>
      </w:r>
      <w:r w:rsidRPr="00061AA9">
        <w:rPr>
          <w:rFonts w:ascii="Times New Roman" w:hAnsi="Times New Roman" w:cs="Times New Roman"/>
        </w:rPr>
        <w:t xml:space="preserve"> którą  badacze są silniej  zainteresowani</w:t>
      </w:r>
      <w:r>
        <w:rPr>
          <w:rFonts w:ascii="Times New Roman" w:hAnsi="Times New Roman" w:cs="Times New Roman"/>
        </w:rPr>
        <w:t xml:space="preserve">, </w:t>
      </w:r>
      <w:r w:rsidRPr="00061AA9">
        <w:rPr>
          <w:rFonts w:ascii="Times New Roman" w:hAnsi="Times New Roman" w:cs="Times New Roman"/>
        </w:rPr>
        <w:t>jest nazywana grup</w:t>
      </w:r>
      <w:r>
        <w:rPr>
          <w:rFonts w:ascii="Times New Roman" w:hAnsi="Times New Roman" w:cs="Times New Roman"/>
        </w:rPr>
        <w:t>ą</w:t>
      </w:r>
      <w:r w:rsidRPr="00061AA9">
        <w:rPr>
          <w:rFonts w:ascii="Times New Roman" w:hAnsi="Times New Roman" w:cs="Times New Roman"/>
        </w:rPr>
        <w:t xml:space="preserve"> poddan</w:t>
      </w:r>
      <w:r>
        <w:rPr>
          <w:rFonts w:ascii="Times New Roman" w:hAnsi="Times New Roman" w:cs="Times New Roman"/>
        </w:rPr>
        <w:t>ą</w:t>
      </w:r>
      <w:r w:rsidRPr="00061AA9">
        <w:rPr>
          <w:rFonts w:ascii="Times New Roman" w:hAnsi="Times New Roman" w:cs="Times New Roman"/>
        </w:rPr>
        <w:t xml:space="preserve"> oddziaływaniu (ang. treatment group)</w:t>
      </w:r>
      <w:r>
        <w:rPr>
          <w:rFonts w:ascii="Times New Roman" w:hAnsi="Times New Roman" w:cs="Times New Roman"/>
        </w:rPr>
        <w:t xml:space="preserve">, </w:t>
      </w:r>
      <w:r w:rsidRPr="00061AA9">
        <w:rPr>
          <w:rFonts w:ascii="Times New Roman" w:hAnsi="Times New Roman" w:cs="Times New Roman"/>
        </w:rPr>
        <w:t xml:space="preserve">a druga </w:t>
      </w:r>
      <w:r>
        <w:rPr>
          <w:rFonts w:ascii="Times New Roman" w:hAnsi="Times New Roman" w:cs="Times New Roman"/>
        </w:rPr>
        <w:t xml:space="preserve">- </w:t>
      </w:r>
      <w:r w:rsidRPr="00061AA9">
        <w:rPr>
          <w:rFonts w:ascii="Times New Roman" w:hAnsi="Times New Roman" w:cs="Times New Roman"/>
        </w:rPr>
        <w:t xml:space="preserve"> kontroln</w:t>
      </w:r>
      <w:r>
        <w:rPr>
          <w:rFonts w:ascii="Times New Roman" w:hAnsi="Times New Roman" w:cs="Times New Roman"/>
        </w:rPr>
        <w:t>ą</w:t>
      </w:r>
      <w:r w:rsidRPr="00061AA9">
        <w:rPr>
          <w:rFonts w:ascii="Times New Roman" w:hAnsi="Times New Roman" w:cs="Times New Roman"/>
        </w:rPr>
        <w:t xml:space="preserve"> (ang. control group). Por. Kukowska i in., 2005, s. 152; Strawiński, 202</w:t>
      </w:r>
      <w:r>
        <w:rPr>
          <w:rFonts w:ascii="Times New Roman" w:hAnsi="Times New Roman" w:cs="Times New Roman"/>
        </w:rPr>
        <w:t>4</w:t>
      </w:r>
      <w:r w:rsidRPr="00061AA9">
        <w:rPr>
          <w:rFonts w:ascii="Times New Roman" w:hAnsi="Times New Roman" w:cs="Times New Roman"/>
        </w:rPr>
        <w:t>.</w:t>
      </w:r>
    </w:p>
    <w:p w14:paraId="6C466D33" w14:textId="77777777" w:rsidR="001D0854" w:rsidRDefault="001D0854" w:rsidP="001D0854">
      <w:pPr>
        <w:pStyle w:val="Tekstprzypisudolnego"/>
      </w:pPr>
    </w:p>
  </w:footnote>
  <w:footnote w:id="2">
    <w:p w14:paraId="13C2D28F" w14:textId="05C17319" w:rsidR="00217022" w:rsidRPr="00575352" w:rsidRDefault="00217022" w:rsidP="00217022">
      <w:pPr>
        <w:pStyle w:val="Tekstprzypisudolnego"/>
        <w:spacing w:line="264" w:lineRule="auto"/>
        <w:jc w:val="both"/>
        <w:rPr>
          <w:rFonts w:ascii="Times New Roman" w:hAnsi="Times New Roman" w:cs="Times New Roman"/>
          <w:sz w:val="24"/>
          <w:szCs w:val="24"/>
        </w:rPr>
      </w:pPr>
      <w:r w:rsidRPr="009C5BB1">
        <w:rPr>
          <w:rStyle w:val="Odwoanieprzypisudolnego"/>
          <w:rFonts w:ascii="Times New Roman" w:hAnsi="Times New Roman" w:cs="Times New Roman"/>
          <w:spacing w:val="-2"/>
          <w:sz w:val="24"/>
          <w:szCs w:val="24"/>
        </w:rPr>
        <w:footnoteRef/>
      </w:r>
      <w:r w:rsidRPr="009C5BB1">
        <w:rPr>
          <w:rFonts w:ascii="Times New Roman" w:hAnsi="Times New Roman" w:cs="Times New Roman"/>
          <w:spacing w:val="-2"/>
          <w:sz w:val="24"/>
          <w:szCs w:val="24"/>
        </w:rPr>
        <w:t xml:space="preserve"> Wnioskowanie przyczynowe w tej metodzie zostało oparte na założeniach mechanizmu przedstawion</w:t>
      </w:r>
      <w:r>
        <w:rPr>
          <w:rFonts w:ascii="Times New Roman" w:hAnsi="Times New Roman" w:cs="Times New Roman"/>
          <w:spacing w:val="-2"/>
          <w:sz w:val="24"/>
          <w:szCs w:val="24"/>
        </w:rPr>
        <w:t>ego</w:t>
      </w:r>
      <w:r w:rsidRPr="009C5BB1">
        <w:rPr>
          <w:rFonts w:ascii="Times New Roman" w:hAnsi="Times New Roman" w:cs="Times New Roman"/>
          <w:spacing w:val="-2"/>
          <w:sz w:val="24"/>
          <w:szCs w:val="24"/>
        </w:rPr>
        <w:t xml:space="preserve"> pierwotnie w pracach: Rubin</w:t>
      </w:r>
      <w:r>
        <w:rPr>
          <w:rFonts w:ascii="Times New Roman" w:hAnsi="Times New Roman" w:cs="Times New Roman"/>
          <w:spacing w:val="-2"/>
          <w:sz w:val="24"/>
          <w:szCs w:val="24"/>
        </w:rPr>
        <w:t>a</w:t>
      </w:r>
      <w:r w:rsidRPr="009C5BB1">
        <w:rPr>
          <w:rFonts w:ascii="Times New Roman" w:hAnsi="Times New Roman" w:cs="Times New Roman"/>
          <w:spacing w:val="-2"/>
          <w:sz w:val="24"/>
          <w:szCs w:val="24"/>
        </w:rPr>
        <w:t xml:space="preserve"> (1974) </w:t>
      </w:r>
      <w:r w:rsidRPr="00575352">
        <w:rPr>
          <w:rFonts w:ascii="Times New Roman" w:hAnsi="Times New Roman" w:cs="Times New Roman"/>
          <w:spacing w:val="-2"/>
          <w:sz w:val="24"/>
          <w:szCs w:val="24"/>
        </w:rPr>
        <w:t>oraz Hollanda</w:t>
      </w:r>
      <w:r>
        <w:rPr>
          <w:rFonts w:ascii="Times New Roman" w:hAnsi="Times New Roman" w:cs="Times New Roman"/>
          <w:spacing w:val="-2"/>
          <w:sz w:val="24"/>
          <w:szCs w:val="24"/>
        </w:rPr>
        <w:t xml:space="preserve"> i</w:t>
      </w:r>
      <w:r w:rsidRPr="00575352">
        <w:rPr>
          <w:rFonts w:ascii="Times New Roman" w:hAnsi="Times New Roman" w:cs="Times New Roman"/>
          <w:spacing w:val="-2"/>
          <w:sz w:val="24"/>
          <w:szCs w:val="24"/>
        </w:rPr>
        <w:t xml:space="preserve"> Rubin</w:t>
      </w:r>
      <w:r>
        <w:rPr>
          <w:rFonts w:ascii="Times New Roman" w:hAnsi="Times New Roman" w:cs="Times New Roman"/>
          <w:spacing w:val="-2"/>
          <w:sz w:val="24"/>
          <w:szCs w:val="24"/>
        </w:rPr>
        <w:t xml:space="preserve">a </w:t>
      </w:r>
      <w:r w:rsidRPr="00575352">
        <w:rPr>
          <w:rFonts w:ascii="Times New Roman" w:hAnsi="Times New Roman" w:cs="Times New Roman"/>
          <w:spacing w:val="-2"/>
          <w:sz w:val="24"/>
          <w:szCs w:val="24"/>
        </w:rPr>
        <w:t xml:space="preserve">(1987). </w:t>
      </w:r>
    </w:p>
  </w:footnote>
  <w:footnote w:id="3">
    <w:p w14:paraId="56EBCAB3" w14:textId="77777777" w:rsidR="0076547B" w:rsidRPr="00057048" w:rsidRDefault="0076547B" w:rsidP="0076547B">
      <w:pPr>
        <w:pStyle w:val="Tekstprzypisudolnego"/>
        <w:spacing w:line="264" w:lineRule="auto"/>
        <w:jc w:val="both"/>
        <w:rPr>
          <w:lang w:val="en-GB"/>
        </w:rPr>
      </w:pPr>
      <w:r>
        <w:rPr>
          <w:rStyle w:val="Odwoanieprzypisudolnego"/>
        </w:rPr>
        <w:footnoteRef/>
      </w:r>
      <w:r>
        <w:t xml:space="preserve"> </w:t>
      </w:r>
      <w:r w:rsidRPr="00DF6D21">
        <w:rPr>
          <w:rFonts w:ascii="Times New Roman" w:hAnsi="Times New Roman" w:cs="Times New Roman"/>
          <w:sz w:val="24"/>
          <w:szCs w:val="24"/>
        </w:rPr>
        <w:t xml:space="preserve">Floriańczyk, Z., Osuch, D., Bocian, M., Malachowska, B., Cholewa, I. Plan wyboru próby gospodarstw rolnych Polskiego FADN od roku obrachunkowego 2019 wersja z dn. 25.10.2018 roku. </w:t>
      </w:r>
      <w:r w:rsidRPr="00DF6D21">
        <w:rPr>
          <w:rFonts w:ascii="Times New Roman" w:hAnsi="Times New Roman" w:cs="Times New Roman"/>
          <w:sz w:val="24"/>
          <w:szCs w:val="24"/>
          <w:lang w:val="en-GB"/>
        </w:rPr>
        <w:t>IERiGŻ-PIB: Warszawa</w:t>
      </w:r>
      <w:r>
        <w:rPr>
          <w:rFonts w:ascii="Times New Roman" w:hAnsi="Times New Roman" w:cs="Times New Roman"/>
          <w:sz w:val="24"/>
          <w:szCs w:val="24"/>
          <w:lang w:val="en-GB"/>
        </w:rPr>
        <w:t xml:space="preserve"> 2019.</w:t>
      </w:r>
    </w:p>
  </w:footnote>
  <w:footnote w:id="4">
    <w:p w14:paraId="2ECC104B" w14:textId="77777777" w:rsidR="0076547B" w:rsidRPr="00057048" w:rsidRDefault="0076547B" w:rsidP="00B509C5">
      <w:pPr>
        <w:pStyle w:val="Tekstprzypisudolnego"/>
        <w:jc w:val="both"/>
        <w:rPr>
          <w:rFonts w:ascii="Times New Roman" w:hAnsi="Times New Roman" w:cs="Times New Roman"/>
          <w:sz w:val="24"/>
          <w:szCs w:val="24"/>
          <w:lang w:val="en-GB"/>
        </w:rPr>
      </w:pPr>
      <w:r w:rsidRPr="00057048">
        <w:rPr>
          <w:rStyle w:val="Odwoanieprzypisudolnego"/>
          <w:rFonts w:ascii="Times New Roman" w:hAnsi="Times New Roman" w:cs="Times New Roman"/>
          <w:sz w:val="24"/>
          <w:szCs w:val="24"/>
        </w:rPr>
        <w:footnoteRef/>
      </w:r>
      <w:r w:rsidRPr="00057048">
        <w:rPr>
          <w:rFonts w:ascii="Times New Roman" w:hAnsi="Times New Roman" w:cs="Times New Roman"/>
          <w:sz w:val="24"/>
          <w:szCs w:val="24"/>
          <w:lang w:val="en-GB"/>
        </w:rPr>
        <w:t xml:space="preserve"> Neyman, J. On the Two Different Aspects of the Representative Method: The Method of Stratified Sampling and the Method of Purposive Selection. </w:t>
      </w:r>
      <w:r w:rsidRPr="00057048">
        <w:rPr>
          <w:rFonts w:ascii="Times New Roman" w:hAnsi="Times New Roman" w:cs="Times New Roman"/>
          <w:i/>
          <w:iCs/>
          <w:sz w:val="24"/>
          <w:szCs w:val="24"/>
          <w:lang w:val="en-GB"/>
        </w:rPr>
        <w:t>Journal of the Royal Statistical Society</w:t>
      </w:r>
      <w:r w:rsidRPr="00057048">
        <w:rPr>
          <w:rFonts w:ascii="Times New Roman" w:hAnsi="Times New Roman" w:cs="Times New Roman"/>
          <w:sz w:val="24"/>
          <w:szCs w:val="24"/>
          <w:lang w:val="en-GB"/>
        </w:rPr>
        <w:t>, 1934, 97(4),  ss. 558–625.</w:t>
      </w:r>
    </w:p>
  </w:footnote>
  <w:footnote w:id="5">
    <w:p w14:paraId="6599C9DC" w14:textId="77777777" w:rsidR="0076547B" w:rsidRPr="00BB6A1C" w:rsidRDefault="0076547B" w:rsidP="0076547B">
      <w:pPr>
        <w:pStyle w:val="Tekstprzypisudolnego"/>
        <w:jc w:val="both"/>
        <w:rPr>
          <w:rFonts w:ascii="Times New Roman" w:hAnsi="Times New Roman" w:cs="Times New Roman"/>
          <w:sz w:val="24"/>
          <w:szCs w:val="24"/>
        </w:rPr>
      </w:pPr>
      <w:r w:rsidRPr="00BB6A1C">
        <w:rPr>
          <w:rStyle w:val="Odwoanieprzypisudolnego"/>
          <w:rFonts w:ascii="Times New Roman" w:hAnsi="Times New Roman" w:cs="Times New Roman"/>
          <w:sz w:val="24"/>
          <w:szCs w:val="24"/>
        </w:rPr>
        <w:footnoteRef/>
      </w:r>
      <w:r w:rsidRPr="00057048">
        <w:rPr>
          <w:rFonts w:ascii="Times New Roman" w:hAnsi="Times New Roman" w:cs="Times New Roman"/>
          <w:sz w:val="24"/>
          <w:szCs w:val="24"/>
          <w:lang w:val="en-GB"/>
        </w:rPr>
        <w:t xml:space="preserve"> Floriańczyk, Z., Osuch, D., Bocian, M., Malachowska, B., Cholewa, I.. </w:t>
      </w:r>
      <w:r w:rsidRPr="00BB6A1C">
        <w:rPr>
          <w:rFonts w:ascii="Times New Roman" w:hAnsi="Times New Roman" w:cs="Times New Roman"/>
          <w:sz w:val="24"/>
          <w:szCs w:val="24"/>
        </w:rPr>
        <w:t>Plan wyboru próby gospodarstw rolnych Polskiego FADN</w:t>
      </w:r>
      <w:r>
        <w:rPr>
          <w:rFonts w:ascii="Times New Roman" w:hAnsi="Times New Roman" w:cs="Times New Roman"/>
          <w:sz w:val="24"/>
          <w:szCs w:val="24"/>
        </w:rPr>
        <w:t xml:space="preserve">… op.cit., </w:t>
      </w:r>
      <w:r w:rsidRPr="00BB6A1C">
        <w:rPr>
          <w:rFonts w:ascii="Times New Roman" w:hAnsi="Times New Roman" w:cs="Times New Roman"/>
          <w:sz w:val="24"/>
          <w:szCs w:val="24"/>
        </w:rPr>
        <w:t>. IERiGŻ-PIB: Warszawa,</w:t>
      </w:r>
      <w:r>
        <w:rPr>
          <w:rFonts w:ascii="Times New Roman" w:hAnsi="Times New Roman" w:cs="Times New Roman"/>
          <w:sz w:val="24"/>
          <w:szCs w:val="24"/>
        </w:rPr>
        <w:t xml:space="preserve"> s. 15.</w:t>
      </w:r>
    </w:p>
  </w:footnote>
  <w:footnote w:id="6">
    <w:p w14:paraId="57E1FB1A" w14:textId="77777777" w:rsidR="0076547B" w:rsidRPr="000F1685" w:rsidRDefault="0076547B" w:rsidP="00B509C5">
      <w:pPr>
        <w:pStyle w:val="Tekstprzypisudolnego"/>
        <w:jc w:val="both"/>
        <w:rPr>
          <w:rFonts w:ascii="Times New Roman" w:hAnsi="Times New Roman" w:cs="Times New Roman"/>
          <w:sz w:val="24"/>
          <w:szCs w:val="24"/>
        </w:rPr>
      </w:pPr>
      <w:r w:rsidRPr="000F1685">
        <w:rPr>
          <w:rStyle w:val="Odwoanieprzypisudolnego"/>
          <w:rFonts w:ascii="Times New Roman" w:hAnsi="Times New Roman" w:cs="Times New Roman"/>
          <w:sz w:val="24"/>
          <w:szCs w:val="24"/>
        </w:rPr>
        <w:footnoteRef/>
      </w:r>
      <w:r w:rsidRPr="00BB6A1C">
        <w:rPr>
          <w:rFonts w:ascii="Times New Roman" w:hAnsi="Times New Roman" w:cs="Times New Roman"/>
          <w:sz w:val="24"/>
          <w:szCs w:val="24"/>
        </w:rPr>
        <w:t xml:space="preserve"> </w:t>
      </w:r>
      <w:r w:rsidRPr="00BB6A1C">
        <w:rPr>
          <w:rFonts w:ascii="Times New Roman" w:hAnsi="Times New Roman" w:cs="Times New Roman"/>
          <w:color w:val="222222"/>
          <w:sz w:val="24"/>
          <w:szCs w:val="24"/>
          <w:shd w:val="clear" w:color="auto" w:fill="FFFFFF"/>
        </w:rPr>
        <w:t>Wąs</w:t>
      </w:r>
      <w:r>
        <w:rPr>
          <w:rFonts w:ascii="Times New Roman" w:hAnsi="Times New Roman" w:cs="Times New Roman"/>
          <w:color w:val="222222"/>
          <w:sz w:val="24"/>
          <w:szCs w:val="24"/>
          <w:shd w:val="clear" w:color="auto" w:fill="FFFFFF"/>
        </w:rPr>
        <w:t xml:space="preserve"> </w:t>
      </w:r>
      <w:r w:rsidRPr="00BB6A1C">
        <w:rPr>
          <w:rFonts w:ascii="Times New Roman" w:hAnsi="Times New Roman" w:cs="Times New Roman"/>
          <w:color w:val="222222"/>
          <w:sz w:val="24"/>
          <w:szCs w:val="24"/>
          <w:shd w:val="clear" w:color="auto" w:fill="FFFFFF"/>
        </w:rPr>
        <w:t xml:space="preserve"> A., Sulewski</w:t>
      </w:r>
      <w:r>
        <w:rPr>
          <w:rFonts w:ascii="Times New Roman" w:hAnsi="Times New Roman" w:cs="Times New Roman"/>
          <w:color w:val="222222"/>
          <w:sz w:val="24"/>
          <w:szCs w:val="24"/>
          <w:shd w:val="clear" w:color="auto" w:fill="FFFFFF"/>
        </w:rPr>
        <w:t xml:space="preserve"> </w:t>
      </w:r>
      <w:r w:rsidRPr="00BB6A1C">
        <w:rPr>
          <w:rFonts w:ascii="Times New Roman" w:hAnsi="Times New Roman" w:cs="Times New Roman"/>
          <w:color w:val="222222"/>
          <w:sz w:val="24"/>
          <w:szCs w:val="24"/>
          <w:shd w:val="clear" w:color="auto" w:fill="FFFFFF"/>
        </w:rPr>
        <w:t xml:space="preserve"> P., Kobus</w:t>
      </w:r>
      <w:r>
        <w:rPr>
          <w:rFonts w:ascii="Times New Roman" w:hAnsi="Times New Roman" w:cs="Times New Roman"/>
          <w:color w:val="222222"/>
          <w:sz w:val="24"/>
          <w:szCs w:val="24"/>
          <w:shd w:val="clear" w:color="auto" w:fill="FFFFFF"/>
        </w:rPr>
        <w:t xml:space="preserve"> </w:t>
      </w:r>
      <w:r w:rsidRPr="00BB6A1C">
        <w:rPr>
          <w:rFonts w:ascii="Times New Roman" w:hAnsi="Times New Roman" w:cs="Times New Roman"/>
          <w:color w:val="222222"/>
          <w:sz w:val="24"/>
          <w:szCs w:val="24"/>
          <w:shd w:val="clear" w:color="auto" w:fill="FFFFFF"/>
        </w:rPr>
        <w:t xml:space="preserve"> P., Majewski</w:t>
      </w:r>
      <w:r>
        <w:rPr>
          <w:rFonts w:ascii="Times New Roman" w:hAnsi="Times New Roman" w:cs="Times New Roman"/>
          <w:color w:val="222222"/>
          <w:sz w:val="24"/>
          <w:szCs w:val="24"/>
          <w:shd w:val="clear" w:color="auto" w:fill="FFFFFF"/>
        </w:rPr>
        <w:t xml:space="preserve"> </w:t>
      </w:r>
      <w:r w:rsidRPr="00BB6A1C">
        <w:rPr>
          <w:rFonts w:ascii="Times New Roman" w:hAnsi="Times New Roman" w:cs="Times New Roman"/>
          <w:color w:val="222222"/>
          <w:sz w:val="24"/>
          <w:szCs w:val="24"/>
          <w:shd w:val="clear" w:color="auto" w:fill="FFFFFF"/>
        </w:rPr>
        <w:t xml:space="preserve"> E., Pogodzińska</w:t>
      </w:r>
      <w:r>
        <w:rPr>
          <w:rFonts w:ascii="Times New Roman" w:hAnsi="Times New Roman" w:cs="Times New Roman"/>
          <w:color w:val="222222"/>
          <w:sz w:val="24"/>
          <w:szCs w:val="24"/>
          <w:shd w:val="clear" w:color="auto" w:fill="FFFFFF"/>
        </w:rPr>
        <w:t xml:space="preserve"> </w:t>
      </w:r>
      <w:r w:rsidRPr="00BB6A1C">
        <w:rPr>
          <w:rFonts w:ascii="Times New Roman" w:hAnsi="Times New Roman" w:cs="Times New Roman"/>
          <w:color w:val="222222"/>
          <w:sz w:val="24"/>
          <w:szCs w:val="24"/>
          <w:shd w:val="clear" w:color="auto" w:fill="FFFFFF"/>
        </w:rPr>
        <w:t xml:space="preserve"> K., Kulawik</w:t>
      </w:r>
      <w:r>
        <w:rPr>
          <w:rFonts w:ascii="Times New Roman" w:hAnsi="Times New Roman" w:cs="Times New Roman"/>
          <w:color w:val="222222"/>
          <w:sz w:val="24"/>
          <w:szCs w:val="24"/>
          <w:shd w:val="clear" w:color="auto" w:fill="FFFFFF"/>
        </w:rPr>
        <w:t xml:space="preserve"> </w:t>
      </w:r>
      <w:r w:rsidRPr="00BB6A1C">
        <w:rPr>
          <w:rFonts w:ascii="Times New Roman" w:hAnsi="Times New Roman" w:cs="Times New Roman"/>
          <w:color w:val="222222"/>
          <w:sz w:val="24"/>
          <w:szCs w:val="24"/>
          <w:shd w:val="clear" w:color="auto" w:fill="FFFFFF"/>
        </w:rPr>
        <w:t xml:space="preserve"> J., Soliwoda M., Kurdyś-Kujawska</w:t>
      </w:r>
      <w:r>
        <w:rPr>
          <w:rFonts w:ascii="Times New Roman" w:hAnsi="Times New Roman" w:cs="Times New Roman"/>
          <w:color w:val="222222"/>
          <w:sz w:val="24"/>
          <w:szCs w:val="24"/>
          <w:shd w:val="clear" w:color="auto" w:fill="FFFFFF"/>
        </w:rPr>
        <w:t xml:space="preserve"> </w:t>
      </w:r>
      <w:r w:rsidRPr="00BB6A1C">
        <w:rPr>
          <w:rFonts w:ascii="Times New Roman" w:hAnsi="Times New Roman" w:cs="Times New Roman"/>
          <w:color w:val="222222"/>
          <w:sz w:val="24"/>
          <w:szCs w:val="24"/>
          <w:shd w:val="clear" w:color="auto" w:fill="FFFFFF"/>
        </w:rPr>
        <w:t xml:space="preserve"> A., Osuch</w:t>
      </w:r>
      <w:r>
        <w:rPr>
          <w:rFonts w:ascii="Times New Roman" w:hAnsi="Times New Roman" w:cs="Times New Roman"/>
          <w:color w:val="222222"/>
          <w:sz w:val="24"/>
          <w:szCs w:val="24"/>
          <w:shd w:val="clear" w:color="auto" w:fill="FFFFFF"/>
        </w:rPr>
        <w:t xml:space="preserve"> </w:t>
      </w:r>
      <w:r w:rsidRPr="00BB6A1C">
        <w:rPr>
          <w:rFonts w:ascii="Times New Roman" w:hAnsi="Times New Roman" w:cs="Times New Roman"/>
          <w:color w:val="222222"/>
          <w:sz w:val="24"/>
          <w:szCs w:val="24"/>
          <w:shd w:val="clear" w:color="auto" w:fill="FFFFFF"/>
        </w:rPr>
        <w:t xml:space="preserve"> D., Kagan</w:t>
      </w:r>
      <w:r>
        <w:rPr>
          <w:rFonts w:ascii="Times New Roman" w:hAnsi="Times New Roman" w:cs="Times New Roman"/>
          <w:color w:val="222222"/>
          <w:sz w:val="24"/>
          <w:szCs w:val="24"/>
          <w:shd w:val="clear" w:color="auto" w:fill="FFFFFF"/>
        </w:rPr>
        <w:t xml:space="preserve"> </w:t>
      </w:r>
      <w:r w:rsidRPr="00BB6A1C">
        <w:rPr>
          <w:rFonts w:ascii="Times New Roman" w:hAnsi="Times New Roman" w:cs="Times New Roman"/>
          <w:color w:val="222222"/>
          <w:sz w:val="24"/>
          <w:szCs w:val="24"/>
          <w:shd w:val="clear" w:color="auto" w:fill="FFFFFF"/>
        </w:rPr>
        <w:t xml:space="preserve"> A., &amp; Herda-Kopańska</w:t>
      </w:r>
      <w:r>
        <w:rPr>
          <w:rFonts w:ascii="Times New Roman" w:hAnsi="Times New Roman" w:cs="Times New Roman"/>
          <w:color w:val="222222"/>
          <w:sz w:val="24"/>
          <w:szCs w:val="24"/>
          <w:shd w:val="clear" w:color="auto" w:fill="FFFFFF"/>
        </w:rPr>
        <w:t xml:space="preserve"> </w:t>
      </w:r>
      <w:r w:rsidRPr="00BB6A1C">
        <w:rPr>
          <w:rFonts w:ascii="Times New Roman" w:hAnsi="Times New Roman" w:cs="Times New Roman"/>
          <w:color w:val="222222"/>
          <w:sz w:val="24"/>
          <w:szCs w:val="24"/>
          <w:shd w:val="clear" w:color="auto" w:fill="FFFFFF"/>
        </w:rPr>
        <w:t xml:space="preserve"> J. (2020). </w:t>
      </w:r>
      <w:r w:rsidRPr="000F1685">
        <w:rPr>
          <w:rFonts w:ascii="Times New Roman" w:hAnsi="Times New Roman" w:cs="Times New Roman"/>
          <w:color w:val="222222"/>
          <w:sz w:val="24"/>
          <w:szCs w:val="24"/>
          <w:shd w:val="clear" w:color="auto" w:fill="FFFFFF"/>
        </w:rPr>
        <w:t>Percepcja ryzyka przez rolników, jego źródeł i nastawień do niego oraz preferencji dotyczących instrumentów i strategii zarządzania nim – wyniki badań ankietowych. W M. Soliwoda (red.), </w:t>
      </w:r>
      <w:r w:rsidRPr="000F1685">
        <w:rPr>
          <w:rFonts w:ascii="Times New Roman" w:hAnsi="Times New Roman" w:cs="Times New Roman"/>
          <w:i/>
          <w:iCs/>
          <w:color w:val="222222"/>
          <w:sz w:val="24"/>
          <w:szCs w:val="24"/>
          <w:shd w:val="clear" w:color="auto" w:fill="FFFFFF"/>
        </w:rPr>
        <w:t>Identyfikacja podstaw, przemian i problemów ubezpieczeń rolnych</w:t>
      </w:r>
      <w:r w:rsidRPr="000F1685">
        <w:rPr>
          <w:rFonts w:ascii="Times New Roman" w:hAnsi="Times New Roman" w:cs="Times New Roman"/>
          <w:color w:val="222222"/>
          <w:sz w:val="24"/>
          <w:szCs w:val="24"/>
          <w:shd w:val="clear" w:color="auto" w:fill="FFFFFF"/>
        </w:rPr>
        <w:t> (s. 552–654).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AC6"/>
    <w:multiLevelType w:val="hybridMultilevel"/>
    <w:tmpl w:val="99E6AF2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 w15:restartNumberingAfterBreak="0">
    <w:nsid w:val="0247150E"/>
    <w:multiLevelType w:val="multilevel"/>
    <w:tmpl w:val="D28CFCE2"/>
    <w:lvl w:ilvl="0">
      <w:start w:val="7"/>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2CD2AFC"/>
    <w:multiLevelType w:val="hybridMultilevel"/>
    <w:tmpl w:val="65062B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50F4294"/>
    <w:multiLevelType w:val="hybridMultilevel"/>
    <w:tmpl w:val="7E46D618"/>
    <w:lvl w:ilvl="0" w:tplc="503A3AC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76F606A"/>
    <w:multiLevelType w:val="hybridMultilevel"/>
    <w:tmpl w:val="018A7B08"/>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15:restartNumberingAfterBreak="0">
    <w:nsid w:val="0C025882"/>
    <w:multiLevelType w:val="hybridMultilevel"/>
    <w:tmpl w:val="74F428A8"/>
    <w:lvl w:ilvl="0" w:tplc="09D828E6">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485A3F"/>
    <w:multiLevelType w:val="hybridMultilevel"/>
    <w:tmpl w:val="BC582E30"/>
    <w:lvl w:ilvl="0" w:tplc="A5E6FB0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D3E2DD7"/>
    <w:multiLevelType w:val="hybridMultilevel"/>
    <w:tmpl w:val="B7AA6A9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0FA859A7"/>
    <w:multiLevelType w:val="hybridMultilevel"/>
    <w:tmpl w:val="26920544"/>
    <w:lvl w:ilvl="0" w:tplc="3FFAAD8C">
      <w:start w:val="1"/>
      <w:numFmt w:val="bullet"/>
      <w:lvlText w:val=""/>
      <w:lvlJc w:val="left"/>
      <w:pPr>
        <w:ind w:left="360" w:hanging="360"/>
      </w:pPr>
      <w:rPr>
        <w:rFonts w:ascii="Symbol" w:hAnsi="Symbol" w:hint="default"/>
        <w:sz w:val="24"/>
        <w:szCs w:val="24"/>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02D509A"/>
    <w:multiLevelType w:val="hybridMultilevel"/>
    <w:tmpl w:val="C1F20BEC"/>
    <w:lvl w:ilvl="0" w:tplc="ACAE2D1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10DB4C18"/>
    <w:multiLevelType w:val="hybridMultilevel"/>
    <w:tmpl w:val="EC88B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10528E7"/>
    <w:multiLevelType w:val="hybridMultilevel"/>
    <w:tmpl w:val="A014A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915600"/>
    <w:multiLevelType w:val="hybridMultilevel"/>
    <w:tmpl w:val="C2F85AF2"/>
    <w:lvl w:ilvl="0" w:tplc="91223008">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B95A07"/>
    <w:multiLevelType w:val="hybridMultilevel"/>
    <w:tmpl w:val="82928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3ED1898"/>
    <w:multiLevelType w:val="multilevel"/>
    <w:tmpl w:val="5E1E29D6"/>
    <w:lvl w:ilvl="0">
      <w:start w:val="6"/>
      <w:numFmt w:val="decimal"/>
      <w:lvlText w:val="%1"/>
      <w:lvlJc w:val="left"/>
      <w:pPr>
        <w:ind w:left="360" w:hanging="36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160" w:hanging="2160"/>
      </w:pPr>
      <w:rPr>
        <w:rFonts w:hint="default"/>
        <w:sz w:val="28"/>
      </w:rPr>
    </w:lvl>
  </w:abstractNum>
  <w:abstractNum w:abstractNumId="15" w15:restartNumberingAfterBreak="0">
    <w:nsid w:val="15EF1E16"/>
    <w:multiLevelType w:val="hybridMultilevel"/>
    <w:tmpl w:val="C6FA1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7763FB9"/>
    <w:multiLevelType w:val="hybridMultilevel"/>
    <w:tmpl w:val="1B2A9EAC"/>
    <w:lvl w:ilvl="0" w:tplc="E716FD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9300EF8"/>
    <w:multiLevelType w:val="hybridMultilevel"/>
    <w:tmpl w:val="276496FC"/>
    <w:lvl w:ilvl="0" w:tplc="DDAEFE7A">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A2E1DCB"/>
    <w:multiLevelType w:val="hybridMultilevel"/>
    <w:tmpl w:val="62860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5472E2"/>
    <w:multiLevelType w:val="hybridMultilevel"/>
    <w:tmpl w:val="5108F1AC"/>
    <w:lvl w:ilvl="0" w:tplc="E34EBCAC">
      <w:start w:val="1"/>
      <w:numFmt w:val="bullet"/>
      <w:lvlText w:val=""/>
      <w:lvlJc w:val="left"/>
      <w:pPr>
        <w:ind w:left="788" w:hanging="360"/>
      </w:pPr>
      <w:rPr>
        <w:rFonts w:ascii="Symbol" w:hAnsi="Symbol" w:hint="default"/>
      </w:rPr>
    </w:lvl>
    <w:lvl w:ilvl="1" w:tplc="CB5401B0">
      <w:start w:val="1"/>
      <w:numFmt w:val="bullet"/>
      <w:lvlText w:val="o"/>
      <w:lvlJc w:val="left"/>
      <w:pPr>
        <w:ind w:left="1508" w:hanging="360"/>
      </w:pPr>
      <w:rPr>
        <w:rFonts w:ascii="Courier New" w:hAnsi="Courier New" w:cs="Courier New" w:hint="default"/>
      </w:rPr>
    </w:lvl>
    <w:lvl w:ilvl="2" w:tplc="26D6311C">
      <w:start w:val="1"/>
      <w:numFmt w:val="bullet"/>
      <w:lvlText w:val=""/>
      <w:lvlJc w:val="left"/>
      <w:pPr>
        <w:ind w:left="2228" w:hanging="360"/>
      </w:pPr>
      <w:rPr>
        <w:rFonts w:ascii="Wingdings" w:hAnsi="Wingdings" w:hint="default"/>
      </w:rPr>
    </w:lvl>
    <w:lvl w:ilvl="3" w:tplc="672EA74A">
      <w:start w:val="1"/>
      <w:numFmt w:val="bullet"/>
      <w:lvlText w:val=""/>
      <w:lvlJc w:val="left"/>
      <w:pPr>
        <w:ind w:left="2948" w:hanging="360"/>
      </w:pPr>
      <w:rPr>
        <w:rFonts w:ascii="Symbol" w:hAnsi="Symbol" w:hint="default"/>
      </w:rPr>
    </w:lvl>
    <w:lvl w:ilvl="4" w:tplc="58F65690">
      <w:start w:val="1"/>
      <w:numFmt w:val="bullet"/>
      <w:lvlText w:val="o"/>
      <w:lvlJc w:val="left"/>
      <w:pPr>
        <w:ind w:left="3668" w:hanging="360"/>
      </w:pPr>
      <w:rPr>
        <w:rFonts w:ascii="Courier New" w:hAnsi="Courier New" w:cs="Courier New" w:hint="default"/>
      </w:rPr>
    </w:lvl>
    <w:lvl w:ilvl="5" w:tplc="2B6C38C2">
      <w:start w:val="1"/>
      <w:numFmt w:val="bullet"/>
      <w:lvlText w:val=""/>
      <w:lvlJc w:val="left"/>
      <w:pPr>
        <w:ind w:left="4388" w:hanging="360"/>
      </w:pPr>
      <w:rPr>
        <w:rFonts w:ascii="Wingdings" w:hAnsi="Wingdings" w:hint="default"/>
      </w:rPr>
    </w:lvl>
    <w:lvl w:ilvl="6" w:tplc="C6D2F85C">
      <w:start w:val="1"/>
      <w:numFmt w:val="bullet"/>
      <w:lvlText w:val=""/>
      <w:lvlJc w:val="left"/>
      <w:pPr>
        <w:ind w:left="5108" w:hanging="360"/>
      </w:pPr>
      <w:rPr>
        <w:rFonts w:ascii="Symbol" w:hAnsi="Symbol" w:hint="default"/>
      </w:rPr>
    </w:lvl>
    <w:lvl w:ilvl="7" w:tplc="A15E007E">
      <w:start w:val="1"/>
      <w:numFmt w:val="bullet"/>
      <w:lvlText w:val="o"/>
      <w:lvlJc w:val="left"/>
      <w:pPr>
        <w:ind w:left="5828" w:hanging="360"/>
      </w:pPr>
      <w:rPr>
        <w:rFonts w:ascii="Courier New" w:hAnsi="Courier New" w:cs="Courier New" w:hint="default"/>
      </w:rPr>
    </w:lvl>
    <w:lvl w:ilvl="8" w:tplc="4A6EF116">
      <w:start w:val="1"/>
      <w:numFmt w:val="bullet"/>
      <w:lvlText w:val=""/>
      <w:lvlJc w:val="left"/>
      <w:pPr>
        <w:ind w:left="6548" w:hanging="360"/>
      </w:pPr>
      <w:rPr>
        <w:rFonts w:ascii="Wingdings" w:hAnsi="Wingdings" w:hint="default"/>
      </w:rPr>
    </w:lvl>
  </w:abstractNum>
  <w:abstractNum w:abstractNumId="20" w15:restartNumberingAfterBreak="0">
    <w:nsid w:val="1DF032CB"/>
    <w:multiLevelType w:val="hybridMultilevel"/>
    <w:tmpl w:val="DA022C46"/>
    <w:lvl w:ilvl="0" w:tplc="8A26522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217E1BBB"/>
    <w:multiLevelType w:val="hybridMultilevel"/>
    <w:tmpl w:val="05EA4928"/>
    <w:lvl w:ilvl="0" w:tplc="04150001">
      <w:start w:val="1"/>
      <w:numFmt w:val="bullet"/>
      <w:lvlText w:val=""/>
      <w:lvlJc w:val="left"/>
      <w:pPr>
        <w:tabs>
          <w:tab w:val="num" w:pos="709"/>
        </w:tabs>
        <w:ind w:left="709" w:hanging="709"/>
      </w:pPr>
      <w:rPr>
        <w:rFonts w:ascii="Symbol" w:hAnsi="Symbol" w:hint="default"/>
        <w:sz w:val="22"/>
        <w:szCs w:val="22"/>
      </w:rPr>
    </w:lvl>
    <w:lvl w:ilvl="1" w:tplc="FFFFFFFF">
      <w:start w:val="1"/>
      <w:numFmt w:val="decimal"/>
      <w:lvlText w:val="(%2)"/>
      <w:lvlJc w:val="left"/>
      <w:pPr>
        <w:tabs>
          <w:tab w:val="num" w:pos="2007"/>
        </w:tabs>
        <w:ind w:left="2007" w:hanging="567"/>
      </w:pPr>
      <w:rPr>
        <w:rFonts w:hint="default"/>
      </w:rPr>
    </w:lvl>
    <w:lvl w:ilvl="2" w:tplc="FFFFFFFF">
      <w:start w:val="3"/>
      <w:numFmt w:val="decimal"/>
      <w:lvlText w:val="%3."/>
      <w:lvlJc w:val="left"/>
      <w:pPr>
        <w:tabs>
          <w:tab w:val="num" w:pos="2520"/>
        </w:tabs>
        <w:ind w:left="2520" w:hanging="360"/>
      </w:pPr>
      <w:rPr>
        <w:rFont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1A20815"/>
    <w:multiLevelType w:val="hybridMultilevel"/>
    <w:tmpl w:val="EF425CBC"/>
    <w:lvl w:ilvl="0" w:tplc="EBE433CC">
      <w:start w:val="1"/>
      <w:numFmt w:val="decimal"/>
      <w:pStyle w:val="Numerowanie1"/>
      <w:lvlText w:val="%1."/>
      <w:lvlJc w:val="left"/>
      <w:pPr>
        <w:tabs>
          <w:tab w:val="num" w:pos="360"/>
        </w:tabs>
        <w:ind w:left="360" w:hanging="360"/>
      </w:pPr>
      <w:rPr>
        <w:rFonts w:ascii="Times New Roman" w:eastAsia="Times New Roman" w:hAnsi="Times New Roman" w:cs="Times New Roman" w:hint="default"/>
        <w:b w:val="0"/>
      </w:rPr>
    </w:lvl>
    <w:lvl w:ilvl="1" w:tplc="04150019">
      <w:start w:val="1"/>
      <w:numFmt w:val="lowerLetter"/>
      <w:lvlText w:val="%2."/>
      <w:lvlJc w:val="left"/>
      <w:pPr>
        <w:tabs>
          <w:tab w:val="num" w:pos="1620"/>
        </w:tabs>
        <w:ind w:left="1620" w:hanging="360"/>
      </w:pPr>
    </w:lvl>
    <w:lvl w:ilvl="2" w:tplc="6FEADCBE">
      <w:start w:val="1"/>
      <w:numFmt w:val="decimal"/>
      <w:lvlText w:val="(%3)"/>
      <w:lvlJc w:val="left"/>
      <w:pPr>
        <w:tabs>
          <w:tab w:val="num" w:pos="2550"/>
        </w:tabs>
        <w:ind w:left="2550" w:hanging="390"/>
      </w:pPr>
      <w:rPr>
        <w:rFonts w:hint="default"/>
      </w:rPr>
    </w:lvl>
    <w:lvl w:ilvl="3" w:tplc="6062F92C">
      <w:start w:val="1"/>
      <w:numFmt w:val="decimal"/>
      <w:lvlText w:val="%4."/>
      <w:lvlJc w:val="left"/>
      <w:pPr>
        <w:tabs>
          <w:tab w:val="num" w:pos="3409"/>
        </w:tabs>
        <w:ind w:left="3409" w:hanging="709"/>
      </w:pPr>
      <w:rPr>
        <w:rFonts w:hint="default"/>
        <w:b/>
        <w:i w:val="0"/>
        <w:u w:val="single"/>
      </w:r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3" w15:restartNumberingAfterBreak="0">
    <w:nsid w:val="23AD4E45"/>
    <w:multiLevelType w:val="hybridMultilevel"/>
    <w:tmpl w:val="B1463902"/>
    <w:lvl w:ilvl="0" w:tplc="04150001">
      <w:start w:val="1"/>
      <w:numFmt w:val="bullet"/>
      <w:lvlText w:val=""/>
      <w:lvlJc w:val="left"/>
      <w:pPr>
        <w:tabs>
          <w:tab w:val="num" w:pos="709"/>
        </w:tabs>
        <w:ind w:left="709" w:hanging="709"/>
      </w:pPr>
      <w:rPr>
        <w:rFonts w:ascii="Symbol" w:hAnsi="Symbol" w:hint="default"/>
        <w:sz w:val="22"/>
        <w:szCs w:val="22"/>
      </w:rPr>
    </w:lvl>
    <w:lvl w:ilvl="1" w:tplc="FFFFFFFF">
      <w:start w:val="1"/>
      <w:numFmt w:val="decimal"/>
      <w:lvlText w:val="(%2)"/>
      <w:lvlJc w:val="left"/>
      <w:pPr>
        <w:tabs>
          <w:tab w:val="num" w:pos="2007"/>
        </w:tabs>
        <w:ind w:left="2007" w:hanging="567"/>
      </w:pPr>
      <w:rPr>
        <w:rFonts w:hint="default"/>
      </w:rPr>
    </w:lvl>
    <w:lvl w:ilvl="2" w:tplc="FFFFFFFF">
      <w:start w:val="3"/>
      <w:numFmt w:val="decimal"/>
      <w:lvlText w:val="%3."/>
      <w:lvlJc w:val="left"/>
      <w:pPr>
        <w:tabs>
          <w:tab w:val="num" w:pos="2520"/>
        </w:tabs>
        <w:ind w:left="2520" w:hanging="360"/>
      </w:pPr>
      <w:rPr>
        <w:rFont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23C91F9A"/>
    <w:multiLevelType w:val="hybridMultilevel"/>
    <w:tmpl w:val="C50AB900"/>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6EB477B"/>
    <w:multiLevelType w:val="hybridMultilevel"/>
    <w:tmpl w:val="A88E01EE"/>
    <w:lvl w:ilvl="0" w:tplc="1930A2D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271476A7"/>
    <w:multiLevelType w:val="hybridMultilevel"/>
    <w:tmpl w:val="BD0873B6"/>
    <w:lvl w:ilvl="0" w:tplc="446AEDC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BC55D05"/>
    <w:multiLevelType w:val="hybridMultilevel"/>
    <w:tmpl w:val="21982F72"/>
    <w:lvl w:ilvl="0" w:tplc="D28279C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31315F35"/>
    <w:multiLevelType w:val="hybridMultilevel"/>
    <w:tmpl w:val="84D68914"/>
    <w:lvl w:ilvl="0" w:tplc="6D0A9908">
      <w:start w:val="2"/>
      <w:numFmt w:val="decimal"/>
      <w:lvlText w:val="%1."/>
      <w:lvlJc w:val="left"/>
      <w:pPr>
        <w:ind w:left="1068" w:hanging="360"/>
      </w:pPr>
      <w:rPr>
        <w:rFonts w:ascii="Times New Roman" w:hAnsi="Times New Roman" w:cs="Times New Roman" w:hint="default"/>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81629B"/>
    <w:multiLevelType w:val="hybridMultilevel"/>
    <w:tmpl w:val="3E2A3FF8"/>
    <w:lvl w:ilvl="0" w:tplc="E1586B6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15:restartNumberingAfterBreak="0">
    <w:nsid w:val="333B0979"/>
    <w:multiLevelType w:val="hybridMultilevel"/>
    <w:tmpl w:val="C5887902"/>
    <w:lvl w:ilvl="0" w:tplc="6258346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39246442"/>
    <w:multiLevelType w:val="multilevel"/>
    <w:tmpl w:val="7D20A596"/>
    <w:lvl w:ilvl="0">
      <w:start w:val="5"/>
      <w:numFmt w:val="decimal"/>
      <w:lvlText w:val="%1."/>
      <w:lvlJc w:val="left"/>
      <w:pPr>
        <w:ind w:left="1429" w:hanging="360"/>
      </w:pPr>
      <w:rPr>
        <w:rFonts w:hint="default"/>
      </w:rPr>
    </w:lvl>
    <w:lvl w:ilvl="1">
      <w:start w:val="4"/>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2" w15:restartNumberingAfterBreak="0">
    <w:nsid w:val="3951214D"/>
    <w:multiLevelType w:val="hybridMultilevel"/>
    <w:tmpl w:val="6504A2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ABB4EB6"/>
    <w:multiLevelType w:val="hybridMultilevel"/>
    <w:tmpl w:val="ABE4D5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AC97C53"/>
    <w:multiLevelType w:val="hybridMultilevel"/>
    <w:tmpl w:val="E018A042"/>
    <w:lvl w:ilvl="0" w:tplc="80C8E424">
      <w:start w:val="1"/>
      <w:numFmt w:val="decimal"/>
      <w:lvlText w:val="%1."/>
      <w:lvlJc w:val="left"/>
      <w:pPr>
        <w:ind w:left="1068" w:hanging="360"/>
      </w:pPr>
      <w:rPr>
        <w:rFonts w:ascii="Times New Roman" w:hAnsi="Times New Roman" w:cs="Times New Roman" w:hint="default"/>
        <w:sz w:val="28"/>
        <w:szCs w:val="28"/>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3C1359D8"/>
    <w:multiLevelType w:val="hybridMultilevel"/>
    <w:tmpl w:val="D7DC8D80"/>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6" w15:restartNumberingAfterBreak="0">
    <w:nsid w:val="43763AA1"/>
    <w:multiLevelType w:val="hybridMultilevel"/>
    <w:tmpl w:val="BFF82586"/>
    <w:lvl w:ilvl="0" w:tplc="AE5202F8">
      <w:start w:val="3"/>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3FC4A33"/>
    <w:multiLevelType w:val="hybridMultilevel"/>
    <w:tmpl w:val="9FC600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5372230"/>
    <w:multiLevelType w:val="hybridMultilevel"/>
    <w:tmpl w:val="51F48178"/>
    <w:lvl w:ilvl="0" w:tplc="E74E36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5771E97"/>
    <w:multiLevelType w:val="hybridMultilevel"/>
    <w:tmpl w:val="A68A9DC2"/>
    <w:lvl w:ilvl="0" w:tplc="CB1697D8">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9FA3BD6"/>
    <w:multiLevelType w:val="hybridMultilevel"/>
    <w:tmpl w:val="71D8F4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A821B7A"/>
    <w:multiLevelType w:val="hybridMultilevel"/>
    <w:tmpl w:val="A808E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B512759"/>
    <w:multiLevelType w:val="hybridMultilevel"/>
    <w:tmpl w:val="609002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B9379F3"/>
    <w:multiLevelType w:val="hybridMultilevel"/>
    <w:tmpl w:val="25241A7A"/>
    <w:lvl w:ilvl="0" w:tplc="DF7C52A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15:restartNumberingAfterBreak="0">
    <w:nsid w:val="4B9B2E4F"/>
    <w:multiLevelType w:val="hybridMultilevel"/>
    <w:tmpl w:val="7BD63668"/>
    <w:lvl w:ilvl="0" w:tplc="38CE9CFC">
      <w:start w:val="4"/>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C1B6B2D"/>
    <w:multiLevelType w:val="multilevel"/>
    <w:tmpl w:val="997CD66C"/>
    <w:lvl w:ilvl="0">
      <w:start w:val="1"/>
      <w:numFmt w:val="decimal"/>
      <w:lvlText w:val="%1."/>
      <w:lvlJc w:val="left"/>
      <w:pPr>
        <w:ind w:left="1065" w:hanging="705"/>
      </w:pPr>
      <w:rPr>
        <w:rFonts w:ascii="Times New Roman" w:hAnsi="Times New Roman" w:cs="Times New Roman"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4C4F468F"/>
    <w:multiLevelType w:val="hybridMultilevel"/>
    <w:tmpl w:val="17BCCB9C"/>
    <w:lvl w:ilvl="0" w:tplc="CAA4AA20">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F2048CC"/>
    <w:multiLevelType w:val="hybridMultilevel"/>
    <w:tmpl w:val="56F0C9B0"/>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8" w15:restartNumberingAfterBreak="0">
    <w:nsid w:val="4FF36E8F"/>
    <w:multiLevelType w:val="hybridMultilevel"/>
    <w:tmpl w:val="482069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50797F39"/>
    <w:multiLevelType w:val="hybridMultilevel"/>
    <w:tmpl w:val="52BA19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1740D82"/>
    <w:multiLevelType w:val="hybridMultilevel"/>
    <w:tmpl w:val="A294B326"/>
    <w:lvl w:ilvl="0" w:tplc="008C668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1" w15:restartNumberingAfterBreak="0">
    <w:nsid w:val="53F47332"/>
    <w:multiLevelType w:val="hybridMultilevel"/>
    <w:tmpl w:val="2620F8D4"/>
    <w:lvl w:ilvl="0" w:tplc="7D2EC820">
      <w:start w:val="1"/>
      <w:numFmt w:val="bullet"/>
      <w:lvlText w:val=""/>
      <w:lvlJc w:val="left"/>
      <w:pPr>
        <w:ind w:left="1429" w:hanging="360"/>
      </w:pPr>
      <w:rPr>
        <w:rFonts w:ascii="Symbol" w:hAnsi="Symbol" w:hint="default"/>
        <w:sz w:val="20"/>
        <w:szCs w:val="2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54382844"/>
    <w:multiLevelType w:val="hybridMultilevel"/>
    <w:tmpl w:val="F81E36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54E92B05"/>
    <w:multiLevelType w:val="hybridMultilevel"/>
    <w:tmpl w:val="22323C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55CC4919"/>
    <w:multiLevelType w:val="hybridMultilevel"/>
    <w:tmpl w:val="F03CD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6FF4E40"/>
    <w:multiLevelType w:val="hybridMultilevel"/>
    <w:tmpl w:val="5F162F74"/>
    <w:lvl w:ilvl="0" w:tplc="6ADA9DC6">
      <w:start w:val="4"/>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73B3CC7"/>
    <w:multiLevelType w:val="hybridMultilevel"/>
    <w:tmpl w:val="90628D16"/>
    <w:lvl w:ilvl="0" w:tplc="8E62EB5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7" w15:restartNumberingAfterBreak="0">
    <w:nsid w:val="579E074B"/>
    <w:multiLevelType w:val="hybridMultilevel"/>
    <w:tmpl w:val="D5F6F27C"/>
    <w:lvl w:ilvl="0" w:tplc="F870930A">
      <w:start w:val="6"/>
      <w:numFmt w:val="decimal"/>
      <w:lvlText w:val="%1."/>
      <w:lvlJc w:val="left"/>
      <w:pPr>
        <w:ind w:left="720" w:hanging="360"/>
      </w:pPr>
      <w:rPr>
        <w:rFonts w:hint="default"/>
      </w:rPr>
    </w:lvl>
    <w:lvl w:ilvl="1" w:tplc="49B2B1F2">
      <w:start w:val="1"/>
      <w:numFmt w:val="decimal"/>
      <w:lvlText w:val="6.%2."/>
      <w:lvlJc w:val="left"/>
      <w:pPr>
        <w:ind w:left="1440" w:hanging="360"/>
      </w:pPr>
      <w:rPr>
        <w:rFonts w:hint="default"/>
        <w:sz w:val="28"/>
        <w:szCs w:val="28"/>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9C936F8"/>
    <w:multiLevelType w:val="hybridMultilevel"/>
    <w:tmpl w:val="BEEAC46A"/>
    <w:lvl w:ilvl="0" w:tplc="E3A850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AE25AAC"/>
    <w:multiLevelType w:val="hybridMultilevel"/>
    <w:tmpl w:val="6E169DDA"/>
    <w:lvl w:ilvl="0" w:tplc="588AFABA">
      <w:start w:val="1"/>
      <w:numFmt w:val="bullet"/>
      <w:lvlText w:val=""/>
      <w:lvlJc w:val="left"/>
      <w:pPr>
        <w:ind w:left="360" w:hanging="360"/>
      </w:pPr>
      <w:rPr>
        <w:rFonts w:ascii="Symbol" w:hAnsi="Symbol" w:hint="default"/>
        <w:sz w:val="24"/>
        <w:szCs w:val="2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5BBA4B07"/>
    <w:multiLevelType w:val="hybridMultilevel"/>
    <w:tmpl w:val="20748658"/>
    <w:lvl w:ilvl="0" w:tplc="975877B0">
      <w:start w:val="1"/>
      <w:numFmt w:val="decimal"/>
      <w:lvlText w:val="(%1)"/>
      <w:lvlJc w:val="left"/>
      <w:pPr>
        <w:ind w:left="1068" w:hanging="360"/>
      </w:pPr>
      <w:rPr>
        <w:rFonts w:eastAsiaTheme="minorEastAsia"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1" w15:restartNumberingAfterBreak="0">
    <w:nsid w:val="5C335042"/>
    <w:multiLevelType w:val="hybridMultilevel"/>
    <w:tmpl w:val="5020507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2" w15:restartNumberingAfterBreak="0">
    <w:nsid w:val="5E581DDE"/>
    <w:multiLevelType w:val="hybridMultilevel"/>
    <w:tmpl w:val="DB8AE1CC"/>
    <w:lvl w:ilvl="0" w:tplc="4B0C81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F3F32D5"/>
    <w:multiLevelType w:val="hybridMultilevel"/>
    <w:tmpl w:val="E46A334A"/>
    <w:lvl w:ilvl="0" w:tplc="D24A015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4" w15:restartNumberingAfterBreak="0">
    <w:nsid w:val="60A86680"/>
    <w:multiLevelType w:val="hybridMultilevel"/>
    <w:tmpl w:val="04C0AE50"/>
    <w:lvl w:ilvl="0" w:tplc="CDD8702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5" w15:restartNumberingAfterBreak="0">
    <w:nsid w:val="60E21208"/>
    <w:multiLevelType w:val="hybridMultilevel"/>
    <w:tmpl w:val="D2BAE83C"/>
    <w:lvl w:ilvl="0" w:tplc="FAE27A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6" w15:restartNumberingAfterBreak="0">
    <w:nsid w:val="63C13787"/>
    <w:multiLevelType w:val="hybridMultilevel"/>
    <w:tmpl w:val="80C8E370"/>
    <w:lvl w:ilvl="0" w:tplc="EA123E26">
      <w:start w:val="1"/>
      <w:numFmt w:val="decimal"/>
      <w:lvlText w:val="%1."/>
      <w:lvlJc w:val="left"/>
      <w:pPr>
        <w:ind w:left="524" w:hanging="360"/>
      </w:pPr>
      <w:rPr>
        <w:rFonts w:hint="default"/>
      </w:rPr>
    </w:lvl>
    <w:lvl w:ilvl="1" w:tplc="04150019" w:tentative="1">
      <w:start w:val="1"/>
      <w:numFmt w:val="lowerLetter"/>
      <w:lvlText w:val="%2."/>
      <w:lvlJc w:val="left"/>
      <w:pPr>
        <w:ind w:left="1244" w:hanging="360"/>
      </w:pPr>
    </w:lvl>
    <w:lvl w:ilvl="2" w:tplc="0415001B" w:tentative="1">
      <w:start w:val="1"/>
      <w:numFmt w:val="lowerRoman"/>
      <w:lvlText w:val="%3."/>
      <w:lvlJc w:val="right"/>
      <w:pPr>
        <w:ind w:left="1964" w:hanging="180"/>
      </w:pPr>
    </w:lvl>
    <w:lvl w:ilvl="3" w:tplc="0415000F" w:tentative="1">
      <w:start w:val="1"/>
      <w:numFmt w:val="decimal"/>
      <w:lvlText w:val="%4."/>
      <w:lvlJc w:val="left"/>
      <w:pPr>
        <w:ind w:left="2684" w:hanging="360"/>
      </w:pPr>
    </w:lvl>
    <w:lvl w:ilvl="4" w:tplc="04150019" w:tentative="1">
      <w:start w:val="1"/>
      <w:numFmt w:val="lowerLetter"/>
      <w:lvlText w:val="%5."/>
      <w:lvlJc w:val="left"/>
      <w:pPr>
        <w:ind w:left="3404" w:hanging="360"/>
      </w:pPr>
    </w:lvl>
    <w:lvl w:ilvl="5" w:tplc="0415001B" w:tentative="1">
      <w:start w:val="1"/>
      <w:numFmt w:val="lowerRoman"/>
      <w:lvlText w:val="%6."/>
      <w:lvlJc w:val="right"/>
      <w:pPr>
        <w:ind w:left="4124" w:hanging="180"/>
      </w:pPr>
    </w:lvl>
    <w:lvl w:ilvl="6" w:tplc="0415000F" w:tentative="1">
      <w:start w:val="1"/>
      <w:numFmt w:val="decimal"/>
      <w:lvlText w:val="%7."/>
      <w:lvlJc w:val="left"/>
      <w:pPr>
        <w:ind w:left="4844" w:hanging="360"/>
      </w:pPr>
    </w:lvl>
    <w:lvl w:ilvl="7" w:tplc="04150019" w:tentative="1">
      <w:start w:val="1"/>
      <w:numFmt w:val="lowerLetter"/>
      <w:lvlText w:val="%8."/>
      <w:lvlJc w:val="left"/>
      <w:pPr>
        <w:ind w:left="5564" w:hanging="360"/>
      </w:pPr>
    </w:lvl>
    <w:lvl w:ilvl="8" w:tplc="0415001B" w:tentative="1">
      <w:start w:val="1"/>
      <w:numFmt w:val="lowerRoman"/>
      <w:lvlText w:val="%9."/>
      <w:lvlJc w:val="right"/>
      <w:pPr>
        <w:ind w:left="6284" w:hanging="180"/>
      </w:pPr>
    </w:lvl>
  </w:abstractNum>
  <w:abstractNum w:abstractNumId="67" w15:restartNumberingAfterBreak="0">
    <w:nsid w:val="67090BD5"/>
    <w:multiLevelType w:val="hybridMultilevel"/>
    <w:tmpl w:val="6900C62C"/>
    <w:lvl w:ilvl="0" w:tplc="E27EAD06">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8" w15:restartNumberingAfterBreak="0">
    <w:nsid w:val="690F3A76"/>
    <w:multiLevelType w:val="hybridMultilevel"/>
    <w:tmpl w:val="EDD6BEC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9" w15:restartNumberingAfterBreak="0">
    <w:nsid w:val="69E07B7C"/>
    <w:multiLevelType w:val="hybridMultilevel"/>
    <w:tmpl w:val="F918D4F4"/>
    <w:lvl w:ilvl="0" w:tplc="13224AB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0" w15:restartNumberingAfterBreak="0">
    <w:nsid w:val="6C1234D8"/>
    <w:multiLevelType w:val="hybridMultilevel"/>
    <w:tmpl w:val="F75AFD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CBC3A4A"/>
    <w:multiLevelType w:val="hybridMultilevel"/>
    <w:tmpl w:val="4F4A1E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D32714A"/>
    <w:multiLevelType w:val="hybridMultilevel"/>
    <w:tmpl w:val="E55C87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74BF0F44"/>
    <w:multiLevelType w:val="hybridMultilevel"/>
    <w:tmpl w:val="AD00807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4" w15:restartNumberingAfterBreak="0">
    <w:nsid w:val="761B46AF"/>
    <w:multiLevelType w:val="hybridMultilevel"/>
    <w:tmpl w:val="B8B8E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75A7E19"/>
    <w:multiLevelType w:val="hybridMultilevel"/>
    <w:tmpl w:val="2C22A21E"/>
    <w:lvl w:ilvl="0" w:tplc="FB36FC12">
      <w:start w:val="1"/>
      <w:numFmt w:val="bullet"/>
      <w:lvlText w:val=""/>
      <w:lvlJc w:val="left"/>
      <w:pPr>
        <w:ind w:left="1428" w:hanging="360"/>
      </w:pPr>
      <w:rPr>
        <w:rFonts w:ascii="Symbol" w:hAnsi="Symbol" w:hint="default"/>
        <w:sz w:val="20"/>
        <w:szCs w:val="20"/>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6" w15:restartNumberingAfterBreak="0">
    <w:nsid w:val="79242045"/>
    <w:multiLevelType w:val="hybridMultilevel"/>
    <w:tmpl w:val="59A459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A531028"/>
    <w:multiLevelType w:val="hybridMultilevel"/>
    <w:tmpl w:val="2E9C9B30"/>
    <w:lvl w:ilvl="0" w:tplc="50C055F0">
      <w:start w:val="1"/>
      <w:numFmt w:val="lowerLetter"/>
      <w:lvlText w:val="%1)"/>
      <w:lvlJc w:val="left"/>
      <w:pPr>
        <w:ind w:left="2367" w:hanging="360"/>
      </w:pPr>
      <w:rPr>
        <w:rFonts w:hint="default"/>
      </w:rPr>
    </w:lvl>
    <w:lvl w:ilvl="1" w:tplc="04150019" w:tentative="1">
      <w:start w:val="1"/>
      <w:numFmt w:val="lowerLetter"/>
      <w:lvlText w:val="%2."/>
      <w:lvlJc w:val="left"/>
      <w:pPr>
        <w:ind w:left="3087" w:hanging="360"/>
      </w:pPr>
    </w:lvl>
    <w:lvl w:ilvl="2" w:tplc="0415001B" w:tentative="1">
      <w:start w:val="1"/>
      <w:numFmt w:val="lowerRoman"/>
      <w:lvlText w:val="%3."/>
      <w:lvlJc w:val="right"/>
      <w:pPr>
        <w:ind w:left="3807" w:hanging="180"/>
      </w:pPr>
    </w:lvl>
    <w:lvl w:ilvl="3" w:tplc="0415000F" w:tentative="1">
      <w:start w:val="1"/>
      <w:numFmt w:val="decimal"/>
      <w:lvlText w:val="%4."/>
      <w:lvlJc w:val="left"/>
      <w:pPr>
        <w:ind w:left="4527" w:hanging="360"/>
      </w:pPr>
    </w:lvl>
    <w:lvl w:ilvl="4" w:tplc="04150019" w:tentative="1">
      <w:start w:val="1"/>
      <w:numFmt w:val="lowerLetter"/>
      <w:lvlText w:val="%5."/>
      <w:lvlJc w:val="left"/>
      <w:pPr>
        <w:ind w:left="5247" w:hanging="360"/>
      </w:pPr>
    </w:lvl>
    <w:lvl w:ilvl="5" w:tplc="0415001B" w:tentative="1">
      <w:start w:val="1"/>
      <w:numFmt w:val="lowerRoman"/>
      <w:lvlText w:val="%6."/>
      <w:lvlJc w:val="right"/>
      <w:pPr>
        <w:ind w:left="5967" w:hanging="180"/>
      </w:pPr>
    </w:lvl>
    <w:lvl w:ilvl="6" w:tplc="0415000F" w:tentative="1">
      <w:start w:val="1"/>
      <w:numFmt w:val="decimal"/>
      <w:lvlText w:val="%7."/>
      <w:lvlJc w:val="left"/>
      <w:pPr>
        <w:ind w:left="6687" w:hanging="360"/>
      </w:pPr>
    </w:lvl>
    <w:lvl w:ilvl="7" w:tplc="04150019" w:tentative="1">
      <w:start w:val="1"/>
      <w:numFmt w:val="lowerLetter"/>
      <w:lvlText w:val="%8."/>
      <w:lvlJc w:val="left"/>
      <w:pPr>
        <w:ind w:left="7407" w:hanging="360"/>
      </w:pPr>
    </w:lvl>
    <w:lvl w:ilvl="8" w:tplc="0415001B" w:tentative="1">
      <w:start w:val="1"/>
      <w:numFmt w:val="lowerRoman"/>
      <w:lvlText w:val="%9."/>
      <w:lvlJc w:val="right"/>
      <w:pPr>
        <w:ind w:left="8127" w:hanging="180"/>
      </w:pPr>
    </w:lvl>
  </w:abstractNum>
  <w:abstractNum w:abstractNumId="78" w15:restartNumberingAfterBreak="0">
    <w:nsid w:val="7AA55980"/>
    <w:multiLevelType w:val="hybridMultilevel"/>
    <w:tmpl w:val="BA9A29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05101352">
    <w:abstractNumId w:val="78"/>
  </w:num>
  <w:num w:numId="2" w16cid:durableId="1938521319">
    <w:abstractNumId w:val="70"/>
  </w:num>
  <w:num w:numId="3" w16cid:durableId="1955745800">
    <w:abstractNumId w:val="25"/>
  </w:num>
  <w:num w:numId="4" w16cid:durableId="902639990">
    <w:abstractNumId w:val="32"/>
  </w:num>
  <w:num w:numId="5" w16cid:durableId="2033341205">
    <w:abstractNumId w:val="26"/>
  </w:num>
  <w:num w:numId="6" w16cid:durableId="2024236790">
    <w:abstractNumId w:val="20"/>
  </w:num>
  <w:num w:numId="7" w16cid:durableId="1553888619">
    <w:abstractNumId w:val="41"/>
  </w:num>
  <w:num w:numId="8" w16cid:durableId="714430077">
    <w:abstractNumId w:val="22"/>
  </w:num>
  <w:num w:numId="9" w16cid:durableId="1057433788">
    <w:abstractNumId w:val="22"/>
    <w:lvlOverride w:ilvl="0">
      <w:startOverride w:val="1"/>
    </w:lvlOverride>
  </w:num>
  <w:num w:numId="10" w16cid:durableId="10256275">
    <w:abstractNumId w:val="21"/>
  </w:num>
  <w:num w:numId="11" w16cid:durableId="1883131105">
    <w:abstractNumId w:val="62"/>
  </w:num>
  <w:num w:numId="12" w16cid:durableId="2040811321">
    <w:abstractNumId w:val="22"/>
    <w:lvlOverride w:ilvl="0">
      <w:startOverride w:val="1"/>
    </w:lvlOverride>
  </w:num>
  <w:num w:numId="13" w16cid:durableId="1840775323">
    <w:abstractNumId w:val="23"/>
  </w:num>
  <w:num w:numId="14" w16cid:durableId="134808046">
    <w:abstractNumId w:val="22"/>
    <w:lvlOverride w:ilvl="0">
      <w:startOverride w:val="1"/>
    </w:lvlOverride>
  </w:num>
  <w:num w:numId="15" w16cid:durableId="1035083997">
    <w:abstractNumId w:val="68"/>
  </w:num>
  <w:num w:numId="16" w16cid:durableId="323819604">
    <w:abstractNumId w:val="77"/>
  </w:num>
  <w:num w:numId="17" w16cid:durableId="1700626406">
    <w:abstractNumId w:val="22"/>
    <w:lvlOverride w:ilvl="0">
      <w:startOverride w:val="1"/>
    </w:lvlOverride>
  </w:num>
  <w:num w:numId="18" w16cid:durableId="1220442161">
    <w:abstractNumId w:val="56"/>
  </w:num>
  <w:num w:numId="19" w16cid:durableId="430860618">
    <w:abstractNumId w:val="18"/>
  </w:num>
  <w:num w:numId="20" w16cid:durableId="1439713607">
    <w:abstractNumId w:val="58"/>
  </w:num>
  <w:num w:numId="21" w16cid:durableId="1078400500">
    <w:abstractNumId w:val="76"/>
  </w:num>
  <w:num w:numId="22" w16cid:durableId="736051752">
    <w:abstractNumId w:val="28"/>
  </w:num>
  <w:num w:numId="23" w16cid:durableId="327951094">
    <w:abstractNumId w:val="73"/>
  </w:num>
  <w:num w:numId="24" w16cid:durableId="1767069977">
    <w:abstractNumId w:val="47"/>
  </w:num>
  <w:num w:numId="25" w16cid:durableId="321396250">
    <w:abstractNumId w:val="7"/>
  </w:num>
  <w:num w:numId="26" w16cid:durableId="1492984356">
    <w:abstractNumId w:val="38"/>
  </w:num>
  <w:num w:numId="27" w16cid:durableId="1476676683">
    <w:abstractNumId w:val="3"/>
  </w:num>
  <w:num w:numId="28" w16cid:durableId="1211461547">
    <w:abstractNumId w:val="31"/>
  </w:num>
  <w:num w:numId="29" w16cid:durableId="896551836">
    <w:abstractNumId w:val="34"/>
  </w:num>
  <w:num w:numId="30" w16cid:durableId="490947824">
    <w:abstractNumId w:val="16"/>
  </w:num>
  <w:num w:numId="31" w16cid:durableId="1332217988">
    <w:abstractNumId w:val="64"/>
  </w:num>
  <w:num w:numId="32" w16cid:durableId="692878726">
    <w:abstractNumId w:val="36"/>
  </w:num>
  <w:num w:numId="33" w16cid:durableId="2093547685">
    <w:abstractNumId w:val="29"/>
  </w:num>
  <w:num w:numId="34" w16cid:durableId="992761943">
    <w:abstractNumId w:val="33"/>
  </w:num>
  <w:num w:numId="35" w16cid:durableId="1871719356">
    <w:abstractNumId w:val="65"/>
  </w:num>
  <w:num w:numId="36" w16cid:durableId="875234349">
    <w:abstractNumId w:val="67"/>
  </w:num>
  <w:num w:numId="37" w16cid:durableId="2041935724">
    <w:abstractNumId w:val="44"/>
  </w:num>
  <w:num w:numId="38" w16cid:durableId="1081029444">
    <w:abstractNumId w:val="43"/>
  </w:num>
  <w:num w:numId="39" w16cid:durableId="706834801">
    <w:abstractNumId w:val="6"/>
  </w:num>
  <w:num w:numId="40" w16cid:durableId="160313193">
    <w:abstractNumId w:val="69"/>
  </w:num>
  <w:num w:numId="41" w16cid:durableId="1196429511">
    <w:abstractNumId w:val="9"/>
  </w:num>
  <w:num w:numId="42" w16cid:durableId="937981048">
    <w:abstractNumId w:val="63"/>
  </w:num>
  <w:num w:numId="43" w16cid:durableId="755394594">
    <w:abstractNumId w:val="71"/>
  </w:num>
  <w:num w:numId="44" w16cid:durableId="615331407">
    <w:abstractNumId w:val="13"/>
  </w:num>
  <w:num w:numId="45" w16cid:durableId="537160439">
    <w:abstractNumId w:val="74"/>
  </w:num>
  <w:num w:numId="46" w16cid:durableId="1111239155">
    <w:abstractNumId w:val="11"/>
  </w:num>
  <w:num w:numId="47" w16cid:durableId="1008678657">
    <w:abstractNumId w:val="61"/>
  </w:num>
  <w:num w:numId="48" w16cid:durableId="945770389">
    <w:abstractNumId w:val="40"/>
  </w:num>
  <w:num w:numId="49" w16cid:durableId="1986929695">
    <w:abstractNumId w:val="2"/>
  </w:num>
  <w:num w:numId="50" w16cid:durableId="85656870">
    <w:abstractNumId w:val="45"/>
  </w:num>
  <w:num w:numId="51" w16cid:durableId="578172255">
    <w:abstractNumId w:val="37"/>
  </w:num>
  <w:num w:numId="52" w16cid:durableId="1318419813">
    <w:abstractNumId w:val="72"/>
  </w:num>
  <w:num w:numId="53" w16cid:durableId="537356578">
    <w:abstractNumId w:val="15"/>
  </w:num>
  <w:num w:numId="54" w16cid:durableId="583225187">
    <w:abstractNumId w:val="48"/>
  </w:num>
  <w:num w:numId="55" w16cid:durableId="458036592">
    <w:abstractNumId w:val="10"/>
  </w:num>
  <w:num w:numId="56" w16cid:durableId="875702286">
    <w:abstractNumId w:val="59"/>
  </w:num>
  <w:num w:numId="57" w16cid:durableId="177307300">
    <w:abstractNumId w:val="1"/>
  </w:num>
  <w:num w:numId="58" w16cid:durableId="1090278182">
    <w:abstractNumId w:val="8"/>
  </w:num>
  <w:num w:numId="59" w16cid:durableId="1299147224">
    <w:abstractNumId w:val="54"/>
  </w:num>
  <w:num w:numId="60" w16cid:durableId="108665450">
    <w:abstractNumId w:val="17"/>
  </w:num>
  <w:num w:numId="61" w16cid:durableId="830295181">
    <w:abstractNumId w:val="5"/>
  </w:num>
  <w:num w:numId="62" w16cid:durableId="1492059498">
    <w:abstractNumId w:val="57"/>
  </w:num>
  <w:num w:numId="63" w16cid:durableId="516040069">
    <w:abstractNumId w:val="14"/>
  </w:num>
  <w:num w:numId="64" w16cid:durableId="1860125174">
    <w:abstractNumId w:val="60"/>
  </w:num>
  <w:num w:numId="65" w16cid:durableId="268389558">
    <w:abstractNumId w:val="55"/>
  </w:num>
  <w:num w:numId="66" w16cid:durableId="1941376133">
    <w:abstractNumId w:val="66"/>
  </w:num>
  <w:num w:numId="67" w16cid:durableId="55671736">
    <w:abstractNumId w:val="12"/>
  </w:num>
  <w:num w:numId="68" w16cid:durableId="1959943906">
    <w:abstractNumId w:val="39"/>
  </w:num>
  <w:num w:numId="69" w16cid:durableId="393624339">
    <w:abstractNumId w:val="50"/>
  </w:num>
  <w:num w:numId="70" w16cid:durableId="1992054914">
    <w:abstractNumId w:val="30"/>
  </w:num>
  <w:num w:numId="71" w16cid:durableId="1565604860">
    <w:abstractNumId w:val="0"/>
  </w:num>
  <w:num w:numId="72" w16cid:durableId="577203929">
    <w:abstractNumId w:val="35"/>
  </w:num>
  <w:num w:numId="73" w16cid:durableId="188304582">
    <w:abstractNumId w:val="4"/>
  </w:num>
  <w:num w:numId="74" w16cid:durableId="374280662">
    <w:abstractNumId w:val="19"/>
  </w:num>
  <w:num w:numId="75" w16cid:durableId="448279077">
    <w:abstractNumId w:val="27"/>
  </w:num>
  <w:num w:numId="76" w16cid:durableId="721297056">
    <w:abstractNumId w:val="49"/>
  </w:num>
  <w:num w:numId="77" w16cid:durableId="1494223721">
    <w:abstractNumId w:val="24"/>
  </w:num>
  <w:num w:numId="78" w16cid:durableId="594750205">
    <w:abstractNumId w:val="52"/>
  </w:num>
  <w:num w:numId="79" w16cid:durableId="538932410">
    <w:abstractNumId w:val="53"/>
  </w:num>
  <w:num w:numId="80" w16cid:durableId="1697736405">
    <w:abstractNumId w:val="42"/>
  </w:num>
  <w:num w:numId="81" w16cid:durableId="362365634">
    <w:abstractNumId w:val="46"/>
  </w:num>
  <w:num w:numId="82" w16cid:durableId="599097321">
    <w:abstractNumId w:val="51"/>
  </w:num>
  <w:num w:numId="83" w16cid:durableId="854997715">
    <w:abstractNumId w:val="75"/>
  </w:num>
  <w:num w:numId="84" w16cid:durableId="281160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ADA"/>
    <w:rsid w:val="00000BFC"/>
    <w:rsid w:val="0000755E"/>
    <w:rsid w:val="000077EA"/>
    <w:rsid w:val="0001101B"/>
    <w:rsid w:val="0001323E"/>
    <w:rsid w:val="00017B2D"/>
    <w:rsid w:val="000238D9"/>
    <w:rsid w:val="00036964"/>
    <w:rsid w:val="00052912"/>
    <w:rsid w:val="00052EE7"/>
    <w:rsid w:val="0005626D"/>
    <w:rsid w:val="0009297D"/>
    <w:rsid w:val="000A2DCE"/>
    <w:rsid w:val="000B3026"/>
    <w:rsid w:val="000C1DED"/>
    <w:rsid w:val="000C681B"/>
    <w:rsid w:val="000D6713"/>
    <w:rsid w:val="000E3B67"/>
    <w:rsid w:val="000E5008"/>
    <w:rsid w:val="000E7524"/>
    <w:rsid w:val="000F61BA"/>
    <w:rsid w:val="00107AD2"/>
    <w:rsid w:val="001250F6"/>
    <w:rsid w:val="00132C4F"/>
    <w:rsid w:val="001374B3"/>
    <w:rsid w:val="0014089E"/>
    <w:rsid w:val="00142B7A"/>
    <w:rsid w:val="00144BBF"/>
    <w:rsid w:val="00147122"/>
    <w:rsid w:val="00160606"/>
    <w:rsid w:val="00160A34"/>
    <w:rsid w:val="00160EAC"/>
    <w:rsid w:val="00163D6E"/>
    <w:rsid w:val="00163E78"/>
    <w:rsid w:val="0016569C"/>
    <w:rsid w:val="0017102F"/>
    <w:rsid w:val="001715AA"/>
    <w:rsid w:val="00173614"/>
    <w:rsid w:val="0018121E"/>
    <w:rsid w:val="00184BAB"/>
    <w:rsid w:val="00186400"/>
    <w:rsid w:val="00193FF3"/>
    <w:rsid w:val="001A1DF6"/>
    <w:rsid w:val="001A4CB6"/>
    <w:rsid w:val="001A62CB"/>
    <w:rsid w:val="001A64D4"/>
    <w:rsid w:val="001A78BA"/>
    <w:rsid w:val="001B05E9"/>
    <w:rsid w:val="001D0854"/>
    <w:rsid w:val="001D791E"/>
    <w:rsid w:val="001D7A10"/>
    <w:rsid w:val="001E24C5"/>
    <w:rsid w:val="001E6A51"/>
    <w:rsid w:val="00200606"/>
    <w:rsid w:val="002111C7"/>
    <w:rsid w:val="00217022"/>
    <w:rsid w:val="00226744"/>
    <w:rsid w:val="00226CC0"/>
    <w:rsid w:val="00227B5A"/>
    <w:rsid w:val="002357D1"/>
    <w:rsid w:val="00235A0B"/>
    <w:rsid w:val="00240250"/>
    <w:rsid w:val="0024241F"/>
    <w:rsid w:val="00250B28"/>
    <w:rsid w:val="002533B8"/>
    <w:rsid w:val="0025504F"/>
    <w:rsid w:val="00277AC4"/>
    <w:rsid w:val="0028057B"/>
    <w:rsid w:val="002904BB"/>
    <w:rsid w:val="002956E1"/>
    <w:rsid w:val="002A58EC"/>
    <w:rsid w:val="002B3215"/>
    <w:rsid w:val="002B3458"/>
    <w:rsid w:val="002B4DAA"/>
    <w:rsid w:val="002C2204"/>
    <w:rsid w:val="002C2B88"/>
    <w:rsid w:val="002C560A"/>
    <w:rsid w:val="002D1992"/>
    <w:rsid w:val="002D430C"/>
    <w:rsid w:val="002D46FE"/>
    <w:rsid w:val="002E127E"/>
    <w:rsid w:val="002E35B7"/>
    <w:rsid w:val="002F41C0"/>
    <w:rsid w:val="002F50E8"/>
    <w:rsid w:val="002F72C7"/>
    <w:rsid w:val="00300569"/>
    <w:rsid w:val="00302E35"/>
    <w:rsid w:val="00314562"/>
    <w:rsid w:val="003219BD"/>
    <w:rsid w:val="00321F1B"/>
    <w:rsid w:val="00323681"/>
    <w:rsid w:val="00327ABD"/>
    <w:rsid w:val="0033192E"/>
    <w:rsid w:val="00334492"/>
    <w:rsid w:val="003424DB"/>
    <w:rsid w:val="003456E6"/>
    <w:rsid w:val="003531EA"/>
    <w:rsid w:val="00362471"/>
    <w:rsid w:val="00362DC1"/>
    <w:rsid w:val="00375D7D"/>
    <w:rsid w:val="00382BCE"/>
    <w:rsid w:val="003925E3"/>
    <w:rsid w:val="003A104A"/>
    <w:rsid w:val="003A2B2C"/>
    <w:rsid w:val="003A5072"/>
    <w:rsid w:val="003A6284"/>
    <w:rsid w:val="003A7E8A"/>
    <w:rsid w:val="003C4C6E"/>
    <w:rsid w:val="003D393D"/>
    <w:rsid w:val="003D5F2D"/>
    <w:rsid w:val="003D6647"/>
    <w:rsid w:val="003E6CB7"/>
    <w:rsid w:val="003F02E6"/>
    <w:rsid w:val="003F2226"/>
    <w:rsid w:val="00410F75"/>
    <w:rsid w:val="00417BE1"/>
    <w:rsid w:val="004209E5"/>
    <w:rsid w:val="00430E24"/>
    <w:rsid w:val="0043259F"/>
    <w:rsid w:val="004339EA"/>
    <w:rsid w:val="00434E9A"/>
    <w:rsid w:val="00450411"/>
    <w:rsid w:val="00460D32"/>
    <w:rsid w:val="00465A50"/>
    <w:rsid w:val="00466CFC"/>
    <w:rsid w:val="0047107E"/>
    <w:rsid w:val="004737E7"/>
    <w:rsid w:val="00493B3B"/>
    <w:rsid w:val="00493C6B"/>
    <w:rsid w:val="004A1782"/>
    <w:rsid w:val="004C19D4"/>
    <w:rsid w:val="004C3C59"/>
    <w:rsid w:val="004D1ADA"/>
    <w:rsid w:val="004D5849"/>
    <w:rsid w:val="004E2926"/>
    <w:rsid w:val="004E59C1"/>
    <w:rsid w:val="004E6EA4"/>
    <w:rsid w:val="004E7A81"/>
    <w:rsid w:val="004F1198"/>
    <w:rsid w:val="004F422D"/>
    <w:rsid w:val="00503D61"/>
    <w:rsid w:val="00523D3F"/>
    <w:rsid w:val="00532D01"/>
    <w:rsid w:val="00536DE6"/>
    <w:rsid w:val="0055342F"/>
    <w:rsid w:val="005566EA"/>
    <w:rsid w:val="00563A9C"/>
    <w:rsid w:val="00564FDF"/>
    <w:rsid w:val="00593C7E"/>
    <w:rsid w:val="005A264B"/>
    <w:rsid w:val="005B07F0"/>
    <w:rsid w:val="005B1700"/>
    <w:rsid w:val="005B4913"/>
    <w:rsid w:val="005B507C"/>
    <w:rsid w:val="005D430A"/>
    <w:rsid w:val="005D76BC"/>
    <w:rsid w:val="005E1F14"/>
    <w:rsid w:val="005E2985"/>
    <w:rsid w:val="005E4185"/>
    <w:rsid w:val="005F7EAF"/>
    <w:rsid w:val="0060616A"/>
    <w:rsid w:val="00615F82"/>
    <w:rsid w:val="006300AE"/>
    <w:rsid w:val="006324FD"/>
    <w:rsid w:val="006344F1"/>
    <w:rsid w:val="00634B42"/>
    <w:rsid w:val="00635454"/>
    <w:rsid w:val="00645886"/>
    <w:rsid w:val="0064729F"/>
    <w:rsid w:val="0066611E"/>
    <w:rsid w:val="00674572"/>
    <w:rsid w:val="006777A8"/>
    <w:rsid w:val="0068666F"/>
    <w:rsid w:val="00690CC6"/>
    <w:rsid w:val="0069332A"/>
    <w:rsid w:val="006B3303"/>
    <w:rsid w:val="006B7CE7"/>
    <w:rsid w:val="006C4BC2"/>
    <w:rsid w:val="006D0C39"/>
    <w:rsid w:val="006D68C5"/>
    <w:rsid w:val="006E1EE3"/>
    <w:rsid w:val="006E595F"/>
    <w:rsid w:val="006E5A96"/>
    <w:rsid w:val="007014BA"/>
    <w:rsid w:val="00704B01"/>
    <w:rsid w:val="00707523"/>
    <w:rsid w:val="0072625F"/>
    <w:rsid w:val="00727412"/>
    <w:rsid w:val="00740325"/>
    <w:rsid w:val="0075456A"/>
    <w:rsid w:val="00754FCF"/>
    <w:rsid w:val="007608FF"/>
    <w:rsid w:val="007637E9"/>
    <w:rsid w:val="0076547B"/>
    <w:rsid w:val="007656FE"/>
    <w:rsid w:val="007660A8"/>
    <w:rsid w:val="00766632"/>
    <w:rsid w:val="007670B3"/>
    <w:rsid w:val="0076729F"/>
    <w:rsid w:val="007827CC"/>
    <w:rsid w:val="00783684"/>
    <w:rsid w:val="007838B9"/>
    <w:rsid w:val="00787BA4"/>
    <w:rsid w:val="007906F1"/>
    <w:rsid w:val="00790B83"/>
    <w:rsid w:val="0079156C"/>
    <w:rsid w:val="0079587D"/>
    <w:rsid w:val="007A2322"/>
    <w:rsid w:val="007A682E"/>
    <w:rsid w:val="007C1EC9"/>
    <w:rsid w:val="007C469E"/>
    <w:rsid w:val="007C5993"/>
    <w:rsid w:val="007C7395"/>
    <w:rsid w:val="007D3E13"/>
    <w:rsid w:val="007D7F0B"/>
    <w:rsid w:val="007E1DFD"/>
    <w:rsid w:val="007E28A9"/>
    <w:rsid w:val="00806371"/>
    <w:rsid w:val="0081110D"/>
    <w:rsid w:val="008200F1"/>
    <w:rsid w:val="00822ECF"/>
    <w:rsid w:val="00825192"/>
    <w:rsid w:val="00832380"/>
    <w:rsid w:val="00844A69"/>
    <w:rsid w:val="00846C55"/>
    <w:rsid w:val="008644ED"/>
    <w:rsid w:val="00867F48"/>
    <w:rsid w:val="00880BD1"/>
    <w:rsid w:val="008872BB"/>
    <w:rsid w:val="008A096C"/>
    <w:rsid w:val="008A28CF"/>
    <w:rsid w:val="008C0573"/>
    <w:rsid w:val="008C1529"/>
    <w:rsid w:val="008C797E"/>
    <w:rsid w:val="008D1C90"/>
    <w:rsid w:val="008D28A7"/>
    <w:rsid w:val="008D2AB6"/>
    <w:rsid w:val="008D7C42"/>
    <w:rsid w:val="008D7F61"/>
    <w:rsid w:val="008E4337"/>
    <w:rsid w:val="008F2C4F"/>
    <w:rsid w:val="00904519"/>
    <w:rsid w:val="00907C4A"/>
    <w:rsid w:val="0091677E"/>
    <w:rsid w:val="00941570"/>
    <w:rsid w:val="00966380"/>
    <w:rsid w:val="0098020A"/>
    <w:rsid w:val="00984200"/>
    <w:rsid w:val="00984892"/>
    <w:rsid w:val="00994156"/>
    <w:rsid w:val="0099549F"/>
    <w:rsid w:val="009B0352"/>
    <w:rsid w:val="009B0EC3"/>
    <w:rsid w:val="009B32AA"/>
    <w:rsid w:val="009B36F5"/>
    <w:rsid w:val="009C2CA7"/>
    <w:rsid w:val="009E7D35"/>
    <w:rsid w:val="009E7E96"/>
    <w:rsid w:val="00A10D98"/>
    <w:rsid w:val="00A14826"/>
    <w:rsid w:val="00A162B2"/>
    <w:rsid w:val="00A20BDC"/>
    <w:rsid w:val="00A26202"/>
    <w:rsid w:val="00A26C56"/>
    <w:rsid w:val="00A42706"/>
    <w:rsid w:val="00A433E9"/>
    <w:rsid w:val="00A457B7"/>
    <w:rsid w:val="00A5685B"/>
    <w:rsid w:val="00A56C28"/>
    <w:rsid w:val="00A66183"/>
    <w:rsid w:val="00A7335E"/>
    <w:rsid w:val="00A81831"/>
    <w:rsid w:val="00A84199"/>
    <w:rsid w:val="00A95600"/>
    <w:rsid w:val="00AA0C79"/>
    <w:rsid w:val="00AA5399"/>
    <w:rsid w:val="00AB4353"/>
    <w:rsid w:val="00AB5CF6"/>
    <w:rsid w:val="00AD2BEA"/>
    <w:rsid w:val="00AD4D3E"/>
    <w:rsid w:val="00AE589D"/>
    <w:rsid w:val="00AE5BF6"/>
    <w:rsid w:val="00B05024"/>
    <w:rsid w:val="00B10FEF"/>
    <w:rsid w:val="00B1341A"/>
    <w:rsid w:val="00B14F1F"/>
    <w:rsid w:val="00B245C4"/>
    <w:rsid w:val="00B25270"/>
    <w:rsid w:val="00B27B98"/>
    <w:rsid w:val="00B330F8"/>
    <w:rsid w:val="00B362D2"/>
    <w:rsid w:val="00B36B11"/>
    <w:rsid w:val="00B438CD"/>
    <w:rsid w:val="00B509C5"/>
    <w:rsid w:val="00B51384"/>
    <w:rsid w:val="00B634EA"/>
    <w:rsid w:val="00B718A7"/>
    <w:rsid w:val="00B71D6F"/>
    <w:rsid w:val="00B743A2"/>
    <w:rsid w:val="00B75278"/>
    <w:rsid w:val="00B7562B"/>
    <w:rsid w:val="00B76162"/>
    <w:rsid w:val="00B83E5D"/>
    <w:rsid w:val="00B84DC8"/>
    <w:rsid w:val="00B95A53"/>
    <w:rsid w:val="00BA04E2"/>
    <w:rsid w:val="00BA0572"/>
    <w:rsid w:val="00BA30BB"/>
    <w:rsid w:val="00BA33E2"/>
    <w:rsid w:val="00BB0E21"/>
    <w:rsid w:val="00BB2E5D"/>
    <w:rsid w:val="00BB6190"/>
    <w:rsid w:val="00BC6A85"/>
    <w:rsid w:val="00BF0281"/>
    <w:rsid w:val="00BF0F17"/>
    <w:rsid w:val="00BF449E"/>
    <w:rsid w:val="00C05EC4"/>
    <w:rsid w:val="00C1297C"/>
    <w:rsid w:val="00C138E2"/>
    <w:rsid w:val="00C16343"/>
    <w:rsid w:val="00C33862"/>
    <w:rsid w:val="00C37046"/>
    <w:rsid w:val="00C37E38"/>
    <w:rsid w:val="00C734EC"/>
    <w:rsid w:val="00C77F65"/>
    <w:rsid w:val="00C902CF"/>
    <w:rsid w:val="00C90D05"/>
    <w:rsid w:val="00C91135"/>
    <w:rsid w:val="00C917D6"/>
    <w:rsid w:val="00CA36B1"/>
    <w:rsid w:val="00CA5DB3"/>
    <w:rsid w:val="00CB04B2"/>
    <w:rsid w:val="00CB1749"/>
    <w:rsid w:val="00CB272C"/>
    <w:rsid w:val="00CB4A93"/>
    <w:rsid w:val="00CB538D"/>
    <w:rsid w:val="00CB6322"/>
    <w:rsid w:val="00CC3760"/>
    <w:rsid w:val="00CD0CB8"/>
    <w:rsid w:val="00CD58C1"/>
    <w:rsid w:val="00CD5DA4"/>
    <w:rsid w:val="00CF00A1"/>
    <w:rsid w:val="00D13DC3"/>
    <w:rsid w:val="00D165C6"/>
    <w:rsid w:val="00D2443C"/>
    <w:rsid w:val="00D270E4"/>
    <w:rsid w:val="00D34D26"/>
    <w:rsid w:val="00D36FEE"/>
    <w:rsid w:val="00D425DC"/>
    <w:rsid w:val="00D46A20"/>
    <w:rsid w:val="00D479EA"/>
    <w:rsid w:val="00D51FFE"/>
    <w:rsid w:val="00D60340"/>
    <w:rsid w:val="00D62138"/>
    <w:rsid w:val="00D72A31"/>
    <w:rsid w:val="00D73164"/>
    <w:rsid w:val="00D765AA"/>
    <w:rsid w:val="00D84122"/>
    <w:rsid w:val="00D942C1"/>
    <w:rsid w:val="00D94E90"/>
    <w:rsid w:val="00DA3446"/>
    <w:rsid w:val="00DA5EDF"/>
    <w:rsid w:val="00DB560D"/>
    <w:rsid w:val="00DB6AED"/>
    <w:rsid w:val="00DC19CB"/>
    <w:rsid w:val="00DC1CED"/>
    <w:rsid w:val="00DC31EA"/>
    <w:rsid w:val="00DD0E2F"/>
    <w:rsid w:val="00DE297E"/>
    <w:rsid w:val="00DE6CAC"/>
    <w:rsid w:val="00DF0783"/>
    <w:rsid w:val="00DF5B4C"/>
    <w:rsid w:val="00DF6B7A"/>
    <w:rsid w:val="00E05252"/>
    <w:rsid w:val="00E10527"/>
    <w:rsid w:val="00E10EE7"/>
    <w:rsid w:val="00E14A78"/>
    <w:rsid w:val="00E16DC9"/>
    <w:rsid w:val="00E1746E"/>
    <w:rsid w:val="00E21345"/>
    <w:rsid w:val="00E226AA"/>
    <w:rsid w:val="00E2771F"/>
    <w:rsid w:val="00E3014E"/>
    <w:rsid w:val="00E37AAA"/>
    <w:rsid w:val="00E37E83"/>
    <w:rsid w:val="00E41A4F"/>
    <w:rsid w:val="00E44B5B"/>
    <w:rsid w:val="00E458D8"/>
    <w:rsid w:val="00E463DA"/>
    <w:rsid w:val="00E466A0"/>
    <w:rsid w:val="00E65EA4"/>
    <w:rsid w:val="00E778DE"/>
    <w:rsid w:val="00E8503D"/>
    <w:rsid w:val="00E97DF2"/>
    <w:rsid w:val="00EA48A0"/>
    <w:rsid w:val="00EA5915"/>
    <w:rsid w:val="00EB4381"/>
    <w:rsid w:val="00ED0538"/>
    <w:rsid w:val="00ED1456"/>
    <w:rsid w:val="00ED549F"/>
    <w:rsid w:val="00EE04BC"/>
    <w:rsid w:val="00EF1EE5"/>
    <w:rsid w:val="00EF2E1B"/>
    <w:rsid w:val="00EF5D20"/>
    <w:rsid w:val="00F105C0"/>
    <w:rsid w:val="00F1531C"/>
    <w:rsid w:val="00F202F0"/>
    <w:rsid w:val="00F33216"/>
    <w:rsid w:val="00F3595A"/>
    <w:rsid w:val="00F36686"/>
    <w:rsid w:val="00F36D2D"/>
    <w:rsid w:val="00F41444"/>
    <w:rsid w:val="00F45E71"/>
    <w:rsid w:val="00F46117"/>
    <w:rsid w:val="00F55AAF"/>
    <w:rsid w:val="00F631AE"/>
    <w:rsid w:val="00F7798F"/>
    <w:rsid w:val="00F80C67"/>
    <w:rsid w:val="00F84F60"/>
    <w:rsid w:val="00F86E79"/>
    <w:rsid w:val="00F950A1"/>
    <w:rsid w:val="00F968DF"/>
    <w:rsid w:val="00FA24B5"/>
    <w:rsid w:val="00FA5FDB"/>
    <w:rsid w:val="00FB27E8"/>
    <w:rsid w:val="00FC4629"/>
    <w:rsid w:val="00FC6E62"/>
    <w:rsid w:val="00FD4185"/>
    <w:rsid w:val="00FD4EA0"/>
    <w:rsid w:val="00FD7A63"/>
    <w:rsid w:val="00FE1862"/>
    <w:rsid w:val="00FE6084"/>
    <w:rsid w:val="00FF76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FEE14"/>
  <w15:chartTrackingRefBased/>
  <w15:docId w15:val="{9A7643B7-0F75-4EC2-BA6A-FDB9E43A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D1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D1A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D1AD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D1AD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D1AD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D1AD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D1AD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D1AD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D1AD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D1AD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D1AD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D1AD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D1AD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D1AD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D1AD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D1AD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D1AD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D1ADA"/>
    <w:rPr>
      <w:rFonts w:eastAsiaTheme="majorEastAsia" w:cstheme="majorBidi"/>
      <w:color w:val="272727" w:themeColor="text1" w:themeTint="D8"/>
    </w:rPr>
  </w:style>
  <w:style w:type="paragraph" w:styleId="Tytu">
    <w:name w:val="Title"/>
    <w:basedOn w:val="Normalny"/>
    <w:next w:val="Normalny"/>
    <w:link w:val="TytuZnak"/>
    <w:uiPriority w:val="10"/>
    <w:qFormat/>
    <w:rsid w:val="004D1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D1AD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D1AD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D1AD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D1ADA"/>
    <w:pPr>
      <w:spacing w:before="160"/>
      <w:jc w:val="center"/>
    </w:pPr>
    <w:rPr>
      <w:i/>
      <w:iCs/>
      <w:color w:val="404040" w:themeColor="text1" w:themeTint="BF"/>
    </w:rPr>
  </w:style>
  <w:style w:type="character" w:customStyle="1" w:styleId="CytatZnak">
    <w:name w:val="Cytat Znak"/>
    <w:basedOn w:val="Domylnaczcionkaakapitu"/>
    <w:link w:val="Cytat"/>
    <w:uiPriority w:val="29"/>
    <w:rsid w:val="004D1ADA"/>
    <w:rPr>
      <w:i/>
      <w:iCs/>
      <w:color w:val="404040" w:themeColor="text1" w:themeTint="BF"/>
    </w:rPr>
  </w:style>
  <w:style w:type="paragraph" w:styleId="Akapitzlist">
    <w:name w:val="List Paragraph"/>
    <w:basedOn w:val="Normalny"/>
    <w:uiPriority w:val="34"/>
    <w:qFormat/>
    <w:rsid w:val="004D1ADA"/>
    <w:pPr>
      <w:ind w:left="720"/>
      <w:contextualSpacing/>
    </w:pPr>
  </w:style>
  <w:style w:type="character" w:styleId="Wyrnienieintensywne">
    <w:name w:val="Intense Emphasis"/>
    <w:basedOn w:val="Domylnaczcionkaakapitu"/>
    <w:uiPriority w:val="21"/>
    <w:qFormat/>
    <w:rsid w:val="004D1ADA"/>
    <w:rPr>
      <w:i/>
      <w:iCs/>
      <w:color w:val="0F4761" w:themeColor="accent1" w:themeShade="BF"/>
    </w:rPr>
  </w:style>
  <w:style w:type="paragraph" w:styleId="Cytatintensywny">
    <w:name w:val="Intense Quote"/>
    <w:basedOn w:val="Normalny"/>
    <w:next w:val="Normalny"/>
    <w:link w:val="CytatintensywnyZnak"/>
    <w:uiPriority w:val="30"/>
    <w:qFormat/>
    <w:rsid w:val="004D1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D1ADA"/>
    <w:rPr>
      <w:i/>
      <w:iCs/>
      <w:color w:val="0F4761" w:themeColor="accent1" w:themeShade="BF"/>
    </w:rPr>
  </w:style>
  <w:style w:type="character" w:styleId="Odwoanieintensywne">
    <w:name w:val="Intense Reference"/>
    <w:basedOn w:val="Domylnaczcionkaakapitu"/>
    <w:uiPriority w:val="32"/>
    <w:qFormat/>
    <w:rsid w:val="004D1ADA"/>
    <w:rPr>
      <w:b/>
      <w:bCs/>
      <w:smallCaps/>
      <w:color w:val="0F4761" w:themeColor="accent1" w:themeShade="BF"/>
      <w:spacing w:val="5"/>
    </w:rPr>
  </w:style>
  <w:style w:type="paragraph" w:styleId="Nagwek">
    <w:name w:val="header"/>
    <w:basedOn w:val="Normalny"/>
    <w:link w:val="NagwekZnak"/>
    <w:uiPriority w:val="99"/>
    <w:unhideWhenUsed/>
    <w:rsid w:val="00375D7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5D7D"/>
  </w:style>
  <w:style w:type="paragraph" w:styleId="Stopka">
    <w:name w:val="footer"/>
    <w:basedOn w:val="Normalny"/>
    <w:link w:val="StopkaZnak"/>
    <w:uiPriority w:val="99"/>
    <w:unhideWhenUsed/>
    <w:rsid w:val="00375D7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5D7D"/>
  </w:style>
  <w:style w:type="table" w:customStyle="1" w:styleId="Tabelalisty4akcent13">
    <w:name w:val="Tabela listy 4 — akcent 13"/>
    <w:basedOn w:val="Standardowy"/>
    <w:next w:val="Tabelalisty4akcent1"/>
    <w:uiPriority w:val="49"/>
    <w:rsid w:val="00375D7D"/>
    <w:pPr>
      <w:spacing w:after="0" w:line="240" w:lineRule="auto"/>
    </w:pPr>
    <w:rPr>
      <w:rFonts w:ascii="Calibri" w:eastAsia="Calibri" w:hAnsi="Calibri" w:cs="Times New Roman"/>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elalisty4akcent1">
    <w:name w:val="List Table 4 Accent 1"/>
    <w:basedOn w:val="Standardowy"/>
    <w:uiPriority w:val="49"/>
    <w:rsid w:val="00375D7D"/>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ipercze">
    <w:name w:val="Hyperlink"/>
    <w:basedOn w:val="Domylnaczcionkaakapitu"/>
    <w:uiPriority w:val="99"/>
    <w:unhideWhenUsed/>
    <w:rsid w:val="002F50E8"/>
    <w:rPr>
      <w:color w:val="467886" w:themeColor="hyperlink"/>
      <w:u w:val="single"/>
    </w:rPr>
  </w:style>
  <w:style w:type="paragraph" w:customStyle="1" w:styleId="Numerowanie1">
    <w:name w:val="Numerowanie 1"/>
    <w:basedOn w:val="Normalny"/>
    <w:rsid w:val="005566EA"/>
    <w:pPr>
      <w:numPr>
        <w:numId w:val="8"/>
      </w:numPr>
      <w:spacing w:after="0" w:line="264" w:lineRule="auto"/>
      <w:jc w:val="both"/>
    </w:pPr>
    <w:rPr>
      <w:rFonts w:ascii="Times New Roman" w:eastAsia="Times New Roman" w:hAnsi="Times New Roman" w:cs="Times New Roman"/>
      <w:bCs/>
      <w:kern w:val="0"/>
      <w:sz w:val="28"/>
      <w:lang w:eastAsia="pl-PL"/>
      <w14:ligatures w14:val="none"/>
    </w:rPr>
  </w:style>
  <w:style w:type="table" w:customStyle="1" w:styleId="Siatkatabelijasna1">
    <w:name w:val="Siatka tabeli — jasna1"/>
    <w:basedOn w:val="Standardowy"/>
    <w:next w:val="Siatkatabelijasna"/>
    <w:uiPriority w:val="40"/>
    <w:rsid w:val="00BF0F17"/>
    <w:pPr>
      <w:spacing w:after="0" w:line="240" w:lineRule="auto"/>
    </w:pPr>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iatkatabelijasna">
    <w:name w:val="Grid Table Light"/>
    <w:basedOn w:val="Standardowy"/>
    <w:uiPriority w:val="40"/>
    <w:rsid w:val="00BF0F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listy1">
    <w:name w:val="Bez listy1"/>
    <w:next w:val="Bezlisty"/>
    <w:uiPriority w:val="99"/>
    <w:semiHidden/>
    <w:unhideWhenUsed/>
    <w:rsid w:val="001D0854"/>
  </w:style>
  <w:style w:type="character" w:styleId="Nierozpoznanawzmianka">
    <w:name w:val="Unresolved Mention"/>
    <w:basedOn w:val="Domylnaczcionkaakapitu"/>
    <w:uiPriority w:val="99"/>
    <w:semiHidden/>
    <w:unhideWhenUsed/>
    <w:rsid w:val="001D0854"/>
    <w:rPr>
      <w:color w:val="605E5C"/>
      <w:shd w:val="clear" w:color="auto" w:fill="E1DFDD"/>
    </w:rPr>
  </w:style>
  <w:style w:type="table" w:styleId="Tabela-Siatka">
    <w:name w:val="Table Grid"/>
    <w:basedOn w:val="Standardowy"/>
    <w:uiPriority w:val="39"/>
    <w:rsid w:val="001D085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1D0854"/>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mo">
    <w:name w:val="mo"/>
    <w:basedOn w:val="Domylnaczcionkaakapitu"/>
    <w:rsid w:val="001D0854"/>
  </w:style>
  <w:style w:type="character" w:customStyle="1" w:styleId="mi">
    <w:name w:val="mi"/>
    <w:basedOn w:val="Domylnaczcionkaakapitu"/>
    <w:rsid w:val="001D0854"/>
  </w:style>
  <w:style w:type="paragraph" w:customStyle="1" w:styleId="p">
    <w:name w:val="p"/>
    <w:basedOn w:val="Normalny"/>
    <w:rsid w:val="001D0854"/>
    <w:pPr>
      <w:spacing w:before="100" w:beforeAutospacing="1" w:after="100" w:afterAutospacing="1" w:line="240" w:lineRule="auto"/>
    </w:pPr>
    <w:rPr>
      <w:rFonts w:ascii="Times New Roman" w:eastAsia="Times New Roman" w:hAnsi="Times New Roman" w:cs="Times New Roman"/>
      <w:kern w:val="0"/>
      <w:lang w:eastAsia="pl-PL"/>
    </w:rPr>
  </w:style>
  <w:style w:type="paragraph" w:styleId="Tekstprzypisudolnego">
    <w:name w:val="footnote text"/>
    <w:basedOn w:val="Normalny"/>
    <w:link w:val="TekstprzypisudolnegoZnak"/>
    <w:uiPriority w:val="99"/>
    <w:unhideWhenUsed/>
    <w:rsid w:val="001D085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D0854"/>
    <w:rPr>
      <w:sz w:val="20"/>
      <w:szCs w:val="20"/>
    </w:rPr>
  </w:style>
  <w:style w:type="character" w:styleId="Odwoanieprzypisudolnego">
    <w:name w:val="footnote reference"/>
    <w:basedOn w:val="Domylnaczcionkaakapitu"/>
    <w:uiPriority w:val="99"/>
    <w:semiHidden/>
    <w:unhideWhenUsed/>
    <w:rsid w:val="001D0854"/>
    <w:rPr>
      <w:vertAlign w:val="superscript"/>
    </w:rPr>
  </w:style>
  <w:style w:type="paragraph" w:styleId="Tekstprzypisukocowego">
    <w:name w:val="endnote text"/>
    <w:basedOn w:val="Normalny"/>
    <w:link w:val="TekstprzypisukocowegoZnak"/>
    <w:uiPriority w:val="99"/>
    <w:semiHidden/>
    <w:unhideWhenUsed/>
    <w:rsid w:val="001D085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D0854"/>
    <w:rPr>
      <w:sz w:val="20"/>
      <w:szCs w:val="20"/>
    </w:rPr>
  </w:style>
  <w:style w:type="character" w:styleId="Odwoanieprzypisukocowego">
    <w:name w:val="endnote reference"/>
    <w:basedOn w:val="Domylnaczcionkaakapitu"/>
    <w:uiPriority w:val="99"/>
    <w:semiHidden/>
    <w:unhideWhenUsed/>
    <w:rsid w:val="001D0854"/>
    <w:rPr>
      <w:vertAlign w:val="superscript"/>
    </w:rPr>
  </w:style>
  <w:style w:type="numbering" w:customStyle="1" w:styleId="Bezlisty2">
    <w:name w:val="Bez listy2"/>
    <w:next w:val="Bezlisty"/>
    <w:uiPriority w:val="99"/>
    <w:semiHidden/>
    <w:unhideWhenUsed/>
    <w:rsid w:val="00277AC4"/>
  </w:style>
  <w:style w:type="character" w:styleId="Uwydatnienie">
    <w:name w:val="Emphasis"/>
    <w:basedOn w:val="Domylnaczcionkaakapitu"/>
    <w:uiPriority w:val="20"/>
    <w:qFormat/>
    <w:rsid w:val="00277AC4"/>
    <w:rPr>
      <w:i/>
      <w:iCs/>
    </w:rPr>
  </w:style>
  <w:style w:type="character" w:styleId="Tekstzastpczy">
    <w:name w:val="Placeholder Text"/>
    <w:basedOn w:val="Domylnaczcionkaakapitu"/>
    <w:uiPriority w:val="99"/>
    <w:semiHidden/>
    <w:rsid w:val="00217022"/>
    <w:rPr>
      <w:color w:val="666666"/>
    </w:rPr>
  </w:style>
  <w:style w:type="paragraph" w:customStyle="1" w:styleId="Default">
    <w:name w:val="Default"/>
    <w:rsid w:val="00217022"/>
    <w:pPr>
      <w:autoSpaceDE w:val="0"/>
      <w:autoSpaceDN w:val="0"/>
      <w:adjustRightInd w:val="0"/>
      <w:spacing w:after="0" w:line="240" w:lineRule="auto"/>
    </w:pPr>
    <w:rPr>
      <w:rFonts w:ascii="Consolas" w:hAnsi="Consolas" w:cs="Consolas"/>
      <w:color w:val="000000"/>
      <w:kern w:val="0"/>
    </w:rPr>
  </w:style>
  <w:style w:type="table" w:customStyle="1" w:styleId="Tabela-Siatka1">
    <w:name w:val="Tabela - Siatka1"/>
    <w:basedOn w:val="Standardowy"/>
    <w:next w:val="Tabela-Siatka"/>
    <w:uiPriority w:val="39"/>
    <w:rsid w:val="00217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kod">
    <w:name w:val="HTML Code"/>
    <w:basedOn w:val="Domylnaczcionkaakapitu"/>
    <w:uiPriority w:val="99"/>
    <w:semiHidden/>
    <w:unhideWhenUsed/>
    <w:rsid w:val="00217022"/>
    <w:rPr>
      <w:rFonts w:ascii="Courier New" w:eastAsia="Times New Roman" w:hAnsi="Courier New" w:cs="Courier New"/>
      <w:sz w:val="20"/>
      <w:szCs w:val="20"/>
    </w:rPr>
  </w:style>
  <w:style w:type="character" w:customStyle="1" w:styleId="mn">
    <w:name w:val="mn"/>
    <w:basedOn w:val="Domylnaczcionkaakapitu"/>
    <w:rsid w:val="00217022"/>
  </w:style>
  <w:style w:type="character" w:customStyle="1" w:styleId="mjxassistivemathml">
    <w:name w:val="mjx_assistive_mathml"/>
    <w:basedOn w:val="Domylnaczcionkaakapitu"/>
    <w:rsid w:val="00217022"/>
  </w:style>
  <w:style w:type="character" w:customStyle="1" w:styleId="katex-mathml">
    <w:name w:val="katex-mathml"/>
    <w:basedOn w:val="Domylnaczcionkaakapitu"/>
    <w:rsid w:val="00217022"/>
  </w:style>
  <w:style w:type="character" w:customStyle="1" w:styleId="mord">
    <w:name w:val="mord"/>
    <w:basedOn w:val="Domylnaczcionkaakapitu"/>
    <w:rsid w:val="00217022"/>
  </w:style>
  <w:style w:type="character" w:customStyle="1" w:styleId="vlist-s">
    <w:name w:val="vlist-s"/>
    <w:basedOn w:val="Domylnaczcionkaakapitu"/>
    <w:rsid w:val="00217022"/>
  </w:style>
  <w:style w:type="paragraph" w:customStyle="1" w:styleId="katex-block">
    <w:name w:val="katex-block"/>
    <w:basedOn w:val="Normalny"/>
    <w:rsid w:val="00217022"/>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mopen">
    <w:name w:val="mopen"/>
    <w:basedOn w:val="Domylnaczcionkaakapitu"/>
    <w:rsid w:val="00217022"/>
  </w:style>
  <w:style w:type="character" w:customStyle="1" w:styleId="mclose">
    <w:name w:val="mclose"/>
    <w:basedOn w:val="Domylnaczcionkaakapitu"/>
    <w:rsid w:val="00217022"/>
  </w:style>
  <w:style w:type="character" w:customStyle="1" w:styleId="mrel">
    <w:name w:val="mrel"/>
    <w:basedOn w:val="Domylnaczcionkaakapitu"/>
    <w:rsid w:val="00217022"/>
  </w:style>
  <w:style w:type="character" w:customStyle="1" w:styleId="mbin">
    <w:name w:val="mbin"/>
    <w:basedOn w:val="Domylnaczcionkaakapitu"/>
    <w:rsid w:val="00217022"/>
  </w:style>
  <w:style w:type="paragraph" w:styleId="HTML-wstpniesformatowany">
    <w:name w:val="HTML Preformatted"/>
    <w:basedOn w:val="Normalny"/>
    <w:link w:val="HTML-wstpniesformatowanyZnak"/>
    <w:uiPriority w:val="99"/>
    <w:semiHidden/>
    <w:unhideWhenUsed/>
    <w:rsid w:val="0021702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217022"/>
    <w:rPr>
      <w:rFonts w:ascii="Consolas" w:hAnsi="Consolas"/>
      <w:sz w:val="20"/>
      <w:szCs w:val="20"/>
    </w:rPr>
  </w:style>
  <w:style w:type="numbering" w:customStyle="1" w:styleId="Bezlisty3">
    <w:name w:val="Bez listy3"/>
    <w:next w:val="Bezlisty"/>
    <w:uiPriority w:val="99"/>
    <w:semiHidden/>
    <w:unhideWhenUsed/>
    <w:rsid w:val="0068666F"/>
  </w:style>
  <w:style w:type="character" w:styleId="Odwoaniedokomentarza">
    <w:name w:val="annotation reference"/>
    <w:basedOn w:val="Domylnaczcionkaakapitu"/>
    <w:uiPriority w:val="99"/>
    <w:semiHidden/>
    <w:unhideWhenUsed/>
    <w:rsid w:val="0068666F"/>
    <w:rPr>
      <w:sz w:val="16"/>
      <w:szCs w:val="16"/>
    </w:rPr>
  </w:style>
  <w:style w:type="paragraph" w:styleId="Tekstkomentarza">
    <w:name w:val="annotation text"/>
    <w:basedOn w:val="Normalny"/>
    <w:link w:val="TekstkomentarzaZnak"/>
    <w:uiPriority w:val="99"/>
    <w:unhideWhenUsed/>
    <w:rsid w:val="0068666F"/>
    <w:pPr>
      <w:spacing w:after="200" w:line="240" w:lineRule="auto"/>
    </w:pPr>
    <w:rPr>
      <w:rFonts w:eastAsia="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rsid w:val="0068666F"/>
    <w:rPr>
      <w:rFonts w:eastAsia="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68666F"/>
    <w:rPr>
      <w:b/>
      <w:bCs/>
    </w:rPr>
  </w:style>
  <w:style w:type="character" w:customStyle="1" w:styleId="TematkomentarzaZnak">
    <w:name w:val="Temat komentarza Znak"/>
    <w:basedOn w:val="TekstkomentarzaZnak"/>
    <w:link w:val="Tematkomentarza"/>
    <w:uiPriority w:val="99"/>
    <w:semiHidden/>
    <w:rsid w:val="0068666F"/>
    <w:rPr>
      <w:rFonts w:eastAsia="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68666F"/>
    <w:pPr>
      <w:spacing w:after="0" w:line="240" w:lineRule="auto"/>
    </w:pPr>
    <w:rPr>
      <w:rFonts w:ascii="Tahoma" w:eastAsia="Times New Roman" w:hAnsi="Tahoma" w:cs="Tahoma"/>
      <w:kern w:val="0"/>
      <w:sz w:val="16"/>
      <w:szCs w:val="16"/>
      <w:lang w:eastAsia="pl-PL"/>
      <w14:ligatures w14:val="none"/>
    </w:rPr>
  </w:style>
  <w:style w:type="character" w:customStyle="1" w:styleId="TekstdymkaZnak">
    <w:name w:val="Tekst dymka Znak"/>
    <w:basedOn w:val="Domylnaczcionkaakapitu"/>
    <w:link w:val="Tekstdymka"/>
    <w:uiPriority w:val="99"/>
    <w:semiHidden/>
    <w:rsid w:val="0068666F"/>
    <w:rPr>
      <w:rFonts w:ascii="Tahoma" w:eastAsia="Times New Roman" w:hAnsi="Tahoma" w:cs="Tahoma"/>
      <w:kern w:val="0"/>
      <w:sz w:val="16"/>
      <w:szCs w:val="16"/>
      <w:lang w:eastAsia="pl-PL"/>
      <w14:ligatures w14:val="none"/>
    </w:rPr>
  </w:style>
  <w:style w:type="character" w:styleId="Pogrubienie">
    <w:name w:val="Strong"/>
    <w:basedOn w:val="Domylnaczcionkaakapitu"/>
    <w:uiPriority w:val="22"/>
    <w:qFormat/>
    <w:rsid w:val="0068666F"/>
    <w:rPr>
      <w:b/>
      <w:bCs/>
    </w:rPr>
  </w:style>
  <w:style w:type="character" w:customStyle="1" w:styleId="ng-star-inserted">
    <w:name w:val="ng-star-inserted"/>
    <w:basedOn w:val="Domylnaczcionkaakapitu"/>
    <w:rsid w:val="0068666F"/>
  </w:style>
  <w:style w:type="character" w:customStyle="1" w:styleId="bold">
    <w:name w:val="bold"/>
    <w:basedOn w:val="Domylnaczcionkaakapitu"/>
    <w:rsid w:val="0068666F"/>
  </w:style>
  <w:style w:type="character" w:customStyle="1" w:styleId="label">
    <w:name w:val="label"/>
    <w:basedOn w:val="Domylnaczcionkaakapitu"/>
    <w:rsid w:val="0068666F"/>
  </w:style>
  <w:style w:type="character" w:customStyle="1" w:styleId="anchor-text">
    <w:name w:val="anchor-text"/>
    <w:basedOn w:val="Domylnaczcionkaakapitu"/>
    <w:rsid w:val="0068666F"/>
  </w:style>
  <w:style w:type="character" w:customStyle="1" w:styleId="reference">
    <w:name w:val="reference"/>
    <w:basedOn w:val="Domylnaczcionkaakapitu"/>
    <w:rsid w:val="0068666F"/>
  </w:style>
  <w:style w:type="character" w:customStyle="1" w:styleId="A17">
    <w:name w:val="A17"/>
    <w:uiPriority w:val="99"/>
    <w:rsid w:val="0068666F"/>
    <w:rPr>
      <w:color w:val="000000"/>
      <w:sz w:val="13"/>
      <w:szCs w:val="13"/>
    </w:rPr>
  </w:style>
  <w:style w:type="character" w:customStyle="1" w:styleId="inlineblock">
    <w:name w:val="inlineblock"/>
    <w:basedOn w:val="Domylnaczcionkaakapitu"/>
    <w:rsid w:val="0068666F"/>
  </w:style>
  <w:style w:type="character" w:customStyle="1" w:styleId="italic">
    <w:name w:val="italic"/>
    <w:basedOn w:val="Domylnaczcionkaakapitu"/>
    <w:rsid w:val="0068666F"/>
  </w:style>
  <w:style w:type="character" w:customStyle="1" w:styleId="code">
    <w:name w:val="code"/>
    <w:basedOn w:val="Domylnaczcionkaakapitu"/>
    <w:rsid w:val="0068666F"/>
  </w:style>
  <w:style w:type="character" w:customStyle="1" w:styleId="A9">
    <w:name w:val="A9"/>
    <w:uiPriority w:val="99"/>
    <w:rsid w:val="0068666F"/>
    <w:rPr>
      <w:b/>
      <w:bCs/>
      <w:color w:val="000000"/>
      <w:sz w:val="14"/>
      <w:szCs w:val="14"/>
    </w:rPr>
  </w:style>
  <w:style w:type="paragraph" w:customStyle="1" w:styleId="Pa3">
    <w:name w:val="Pa3"/>
    <w:basedOn w:val="Default"/>
    <w:next w:val="Default"/>
    <w:uiPriority w:val="99"/>
    <w:rsid w:val="0068666F"/>
    <w:pPr>
      <w:spacing w:line="241" w:lineRule="atLeast"/>
    </w:pPr>
    <w:rPr>
      <w:rFonts w:ascii="Rockwell" w:eastAsia="Times New Roman" w:hAnsi="Rockwell" w:cs="Times New Roman"/>
      <w:color w:val="auto"/>
      <w:lang w:eastAsia="pl-PL"/>
      <w14:ligatures w14:val="none"/>
    </w:rPr>
  </w:style>
  <w:style w:type="character" w:customStyle="1" w:styleId="A6">
    <w:name w:val="A6"/>
    <w:uiPriority w:val="99"/>
    <w:rsid w:val="0068666F"/>
    <w:rPr>
      <w:rFonts w:cs="Rockwell"/>
      <w:color w:val="000000"/>
      <w:sz w:val="16"/>
      <w:szCs w:val="16"/>
    </w:rPr>
  </w:style>
  <w:style w:type="character" w:customStyle="1" w:styleId="mat-mdc-tooltip-trigger">
    <w:name w:val="mat-mdc-tooltip-trigger"/>
    <w:basedOn w:val="Domylnaczcionkaakapitu"/>
    <w:rsid w:val="0068666F"/>
  </w:style>
  <w:style w:type="character" w:customStyle="1" w:styleId="mdc-buttonlabel">
    <w:name w:val="mdc-button__label"/>
    <w:basedOn w:val="Domylnaczcionkaakapitu"/>
    <w:rsid w:val="0068666F"/>
  </w:style>
  <w:style w:type="character" w:customStyle="1" w:styleId="string-name">
    <w:name w:val="string-name"/>
    <w:basedOn w:val="Domylnaczcionkaakapitu"/>
    <w:rsid w:val="0068666F"/>
  </w:style>
  <w:style w:type="character" w:customStyle="1" w:styleId="surname">
    <w:name w:val="surname"/>
    <w:basedOn w:val="Domylnaczcionkaakapitu"/>
    <w:rsid w:val="0068666F"/>
  </w:style>
  <w:style w:type="character" w:customStyle="1" w:styleId="given-names">
    <w:name w:val="given-names"/>
    <w:basedOn w:val="Domylnaczcionkaakapitu"/>
    <w:rsid w:val="0068666F"/>
  </w:style>
  <w:style w:type="character" w:customStyle="1" w:styleId="year">
    <w:name w:val="year"/>
    <w:basedOn w:val="Domylnaczcionkaakapitu"/>
    <w:rsid w:val="0068666F"/>
  </w:style>
  <w:style w:type="character" w:customStyle="1" w:styleId="article-title">
    <w:name w:val="article-title"/>
    <w:basedOn w:val="Domylnaczcionkaakapitu"/>
    <w:rsid w:val="0068666F"/>
  </w:style>
  <w:style w:type="character" w:customStyle="1" w:styleId="source">
    <w:name w:val="source"/>
    <w:basedOn w:val="Domylnaczcionkaakapitu"/>
    <w:rsid w:val="0068666F"/>
  </w:style>
  <w:style w:type="character" w:customStyle="1" w:styleId="volume">
    <w:name w:val="volume"/>
    <w:basedOn w:val="Domylnaczcionkaakapitu"/>
    <w:rsid w:val="0068666F"/>
  </w:style>
  <w:style w:type="character" w:customStyle="1" w:styleId="fpage">
    <w:name w:val="fpage"/>
    <w:basedOn w:val="Domylnaczcionkaakapitu"/>
    <w:rsid w:val="0068666F"/>
  </w:style>
  <w:style w:type="character" w:customStyle="1" w:styleId="lpage">
    <w:name w:val="lpage"/>
    <w:basedOn w:val="Domylnaczcionkaakapitu"/>
    <w:rsid w:val="0068666F"/>
  </w:style>
  <w:style w:type="table" w:customStyle="1" w:styleId="Tabela-Siatka2">
    <w:name w:val="Tabela - Siatka2"/>
    <w:basedOn w:val="Standardowy"/>
    <w:next w:val="Tabela-Siatka"/>
    <w:uiPriority w:val="59"/>
    <w:rsid w:val="0068666F"/>
    <w:pPr>
      <w:spacing w:after="0" w:line="240" w:lineRule="auto"/>
    </w:pPr>
    <w:rPr>
      <w:rFonts w:eastAsia="Times New Roman"/>
      <w:kern w:val="0"/>
      <w:sz w:val="22"/>
      <w:szCs w:val="22"/>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
    <w:name w:val="Tabela - Siatka3"/>
    <w:basedOn w:val="Standardowy"/>
    <w:next w:val="Tabela-Siatka"/>
    <w:uiPriority w:val="39"/>
    <w:rsid w:val="0028057B"/>
    <w:pPr>
      <w:spacing w:after="0" w:line="240" w:lineRule="auto"/>
    </w:pPr>
    <w:rPr>
      <w:rFonts w:ascii="Aptos" w:eastAsia="Aptos" w:hAnsi="Aptos"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99" Type="http://schemas.openxmlformats.org/officeDocument/2006/relationships/hyperlink" Target="https://rdrr.io/r/base/c.html" TargetMode="External"/><Relationship Id="rId21" Type="http://schemas.openxmlformats.org/officeDocument/2006/relationships/oleObject" Target="embeddings/oleObject3.bin"/><Relationship Id="rId63" Type="http://schemas.openxmlformats.org/officeDocument/2006/relationships/oleObject" Target="embeddings/oleObject25.bin"/><Relationship Id="rId159" Type="http://schemas.openxmlformats.org/officeDocument/2006/relationships/image" Target="media/image74.wmf"/><Relationship Id="rId324" Type="http://schemas.openxmlformats.org/officeDocument/2006/relationships/hyperlink" Target="https://doi.org/10.1108/AFR-03-2020-0034" TargetMode="External"/><Relationship Id="rId170" Type="http://schemas.openxmlformats.org/officeDocument/2006/relationships/oleObject" Target="embeddings/oleObject80.bin"/><Relationship Id="rId226" Type="http://schemas.openxmlformats.org/officeDocument/2006/relationships/image" Target="media/image109.wmf"/><Relationship Id="rId268" Type="http://schemas.openxmlformats.org/officeDocument/2006/relationships/image" Target="media/image131.wmf"/><Relationship Id="rId32" Type="http://schemas.openxmlformats.org/officeDocument/2006/relationships/oleObject" Target="embeddings/oleObject9.bin"/><Relationship Id="rId74" Type="http://schemas.openxmlformats.org/officeDocument/2006/relationships/image" Target="media/image34.wmf"/><Relationship Id="rId128" Type="http://schemas.openxmlformats.org/officeDocument/2006/relationships/oleObject" Target="embeddings/oleObject59.bin"/><Relationship Id="rId335" Type="http://schemas.openxmlformats.org/officeDocument/2006/relationships/hyperlink" Target="https://www.emerald.com/insight/search?q=Todd%20Kuethe" TargetMode="External"/><Relationship Id="rId5" Type="http://schemas.openxmlformats.org/officeDocument/2006/relationships/webSettings" Target="webSettings.xml"/><Relationship Id="rId181" Type="http://schemas.openxmlformats.org/officeDocument/2006/relationships/oleObject" Target="embeddings/oleObject84.bin"/><Relationship Id="rId237" Type="http://schemas.openxmlformats.org/officeDocument/2006/relationships/oleObject" Target="embeddings/oleObject112.bin"/><Relationship Id="rId279" Type="http://schemas.openxmlformats.org/officeDocument/2006/relationships/hyperlink" Target="https://rdrr.io/r/base/summary.html" TargetMode="External"/><Relationship Id="rId43" Type="http://schemas.openxmlformats.org/officeDocument/2006/relationships/image" Target="media/image19.wmf"/><Relationship Id="rId139" Type="http://schemas.openxmlformats.org/officeDocument/2006/relationships/image" Target="media/image64.wmf"/><Relationship Id="rId290" Type="http://schemas.openxmlformats.org/officeDocument/2006/relationships/hyperlink" Target="https://rdrr.io/r/base/c.html" TargetMode="External"/><Relationship Id="rId304" Type="http://schemas.openxmlformats.org/officeDocument/2006/relationships/oleObject" Target="embeddings/oleObject126.bin"/><Relationship Id="rId346" Type="http://schemas.openxmlformats.org/officeDocument/2006/relationships/hyperlink" Target="https://doi.org/10.24425/jwld.2022.142302" TargetMode="External"/><Relationship Id="rId85" Type="http://schemas.openxmlformats.org/officeDocument/2006/relationships/image" Target="media/image38.wmf"/><Relationship Id="rId150" Type="http://schemas.openxmlformats.org/officeDocument/2006/relationships/oleObject" Target="embeddings/oleObject70.bin"/><Relationship Id="rId192" Type="http://schemas.openxmlformats.org/officeDocument/2006/relationships/image" Target="media/image92.wmf"/><Relationship Id="rId206" Type="http://schemas.openxmlformats.org/officeDocument/2006/relationships/image" Target="media/image99.wmf"/><Relationship Id="rId248" Type="http://schemas.openxmlformats.org/officeDocument/2006/relationships/image" Target="media/image121.wmf"/><Relationship Id="rId12" Type="http://schemas.openxmlformats.org/officeDocument/2006/relationships/footer" Target="footer2.xml"/><Relationship Id="rId108" Type="http://schemas.openxmlformats.org/officeDocument/2006/relationships/oleObject" Target="embeddings/oleObject49.bin"/><Relationship Id="rId315" Type="http://schemas.openxmlformats.org/officeDocument/2006/relationships/oleObject" Target="embeddings/oleObject132.bin"/><Relationship Id="rId357" Type="http://schemas.openxmlformats.org/officeDocument/2006/relationships/hyperlink" Target="https://doi.org/10.3280/ecag2023oa14966" TargetMode="External"/><Relationship Id="rId54" Type="http://schemas.openxmlformats.org/officeDocument/2006/relationships/image" Target="media/image25.wmf"/><Relationship Id="rId96" Type="http://schemas.openxmlformats.org/officeDocument/2006/relationships/oleObject" Target="embeddings/oleObject43.bin"/><Relationship Id="rId161" Type="http://schemas.openxmlformats.org/officeDocument/2006/relationships/image" Target="media/image75.wmf"/><Relationship Id="rId217" Type="http://schemas.openxmlformats.org/officeDocument/2006/relationships/oleObject" Target="embeddings/oleObject102.bin"/><Relationship Id="rId259" Type="http://schemas.openxmlformats.org/officeDocument/2006/relationships/oleObject" Target="embeddings/oleObject119.bin"/><Relationship Id="rId23" Type="http://schemas.openxmlformats.org/officeDocument/2006/relationships/oleObject" Target="embeddings/oleObject4.bin"/><Relationship Id="rId119" Type="http://schemas.openxmlformats.org/officeDocument/2006/relationships/image" Target="media/image54.wmf"/><Relationship Id="rId270" Type="http://schemas.openxmlformats.org/officeDocument/2006/relationships/hyperlink" Target="https://github.com/evanjflack/bacondecomp?tab=readme-ov-file" TargetMode="External"/><Relationship Id="rId326" Type="http://schemas.openxmlformats.org/officeDocument/2006/relationships/hyperlink" Target="https://doi.org/10.1108/AFR-02-2022-0024" TargetMode="External"/><Relationship Id="rId65" Type="http://schemas.openxmlformats.org/officeDocument/2006/relationships/oleObject" Target="embeddings/oleObject26.bin"/><Relationship Id="rId130" Type="http://schemas.openxmlformats.org/officeDocument/2006/relationships/oleObject" Target="embeddings/oleObject60.bin"/><Relationship Id="rId172" Type="http://schemas.openxmlformats.org/officeDocument/2006/relationships/image" Target="media/image81.emf"/><Relationship Id="rId228" Type="http://schemas.openxmlformats.org/officeDocument/2006/relationships/image" Target="media/image110.wmf"/><Relationship Id="rId281" Type="http://schemas.openxmlformats.org/officeDocument/2006/relationships/image" Target="media/image133.png"/><Relationship Id="rId337" Type="http://schemas.openxmlformats.org/officeDocument/2006/relationships/hyperlink" Target="https://www.emerald.com/insight/publication/issn/0002-1466" TargetMode="External"/><Relationship Id="rId34" Type="http://schemas.openxmlformats.org/officeDocument/2006/relationships/oleObject" Target="embeddings/oleObject10.bin"/><Relationship Id="rId76" Type="http://schemas.openxmlformats.org/officeDocument/2006/relationships/image" Target="media/image35.wmf"/><Relationship Id="rId141" Type="http://schemas.openxmlformats.org/officeDocument/2006/relationships/image" Target="media/image65.wmf"/><Relationship Id="rId7" Type="http://schemas.openxmlformats.org/officeDocument/2006/relationships/endnotes" Target="endnotes.xml"/><Relationship Id="rId183" Type="http://schemas.openxmlformats.org/officeDocument/2006/relationships/oleObject" Target="embeddings/oleObject85.bin"/><Relationship Id="rId239" Type="http://schemas.openxmlformats.org/officeDocument/2006/relationships/oleObject" Target="embeddings/oleObject113.bin"/><Relationship Id="rId250" Type="http://schemas.openxmlformats.org/officeDocument/2006/relationships/image" Target="media/image122.wmf"/><Relationship Id="rId292" Type="http://schemas.openxmlformats.org/officeDocument/2006/relationships/hyperlink" Target="https://rdrr.io/r/base/c.html" TargetMode="External"/><Relationship Id="rId306" Type="http://schemas.openxmlformats.org/officeDocument/2006/relationships/oleObject" Target="embeddings/oleObject127.bin"/><Relationship Id="rId45" Type="http://schemas.openxmlformats.org/officeDocument/2006/relationships/image" Target="media/image20.wmf"/><Relationship Id="rId87" Type="http://schemas.openxmlformats.org/officeDocument/2006/relationships/image" Target="media/image39.wmf"/><Relationship Id="rId110" Type="http://schemas.openxmlformats.org/officeDocument/2006/relationships/oleObject" Target="embeddings/oleObject50.bin"/><Relationship Id="rId348" Type="http://schemas.openxmlformats.org/officeDocument/2006/relationships/hyperlink" Target="https://doi.org/10.1108/CAER-05-2014-0045" TargetMode="External"/><Relationship Id="rId152" Type="http://schemas.openxmlformats.org/officeDocument/2006/relationships/oleObject" Target="embeddings/oleObject71.bin"/><Relationship Id="rId194" Type="http://schemas.openxmlformats.org/officeDocument/2006/relationships/image" Target="media/image93.wmf"/><Relationship Id="rId208" Type="http://schemas.openxmlformats.org/officeDocument/2006/relationships/image" Target="media/image100.wmf"/><Relationship Id="rId261" Type="http://schemas.openxmlformats.org/officeDocument/2006/relationships/oleObject" Target="embeddings/oleObject120.bin"/><Relationship Id="rId14" Type="http://schemas.openxmlformats.org/officeDocument/2006/relationships/image" Target="media/image5.emf"/><Relationship Id="rId56" Type="http://schemas.openxmlformats.org/officeDocument/2006/relationships/image" Target="media/image26.wmf"/><Relationship Id="rId317" Type="http://schemas.openxmlformats.org/officeDocument/2006/relationships/oleObject" Target="embeddings/oleObject133.bin"/><Relationship Id="rId359" Type="http://schemas.openxmlformats.org/officeDocument/2006/relationships/hyperlink" Target="mailto:zhou@fas.harvard.edu" TargetMode="External"/><Relationship Id="rId98" Type="http://schemas.openxmlformats.org/officeDocument/2006/relationships/oleObject" Target="embeddings/oleObject44.bin"/><Relationship Id="rId121" Type="http://schemas.openxmlformats.org/officeDocument/2006/relationships/image" Target="media/image55.wmf"/><Relationship Id="rId163" Type="http://schemas.openxmlformats.org/officeDocument/2006/relationships/image" Target="media/image76.wmf"/><Relationship Id="rId219" Type="http://schemas.openxmlformats.org/officeDocument/2006/relationships/oleObject" Target="embeddings/oleObject103.bin"/><Relationship Id="rId230" Type="http://schemas.openxmlformats.org/officeDocument/2006/relationships/image" Target="media/image111.wmf"/><Relationship Id="rId25" Type="http://schemas.openxmlformats.org/officeDocument/2006/relationships/oleObject" Target="embeddings/oleObject5.bin"/><Relationship Id="rId67" Type="http://schemas.openxmlformats.org/officeDocument/2006/relationships/oleObject" Target="embeddings/oleObject27.bin"/><Relationship Id="rId272" Type="http://schemas.openxmlformats.org/officeDocument/2006/relationships/hyperlink" Target="https://bcallaway11.github.io/did/" TargetMode="External"/><Relationship Id="rId328" Type="http://schemas.openxmlformats.org/officeDocument/2006/relationships/hyperlink" Target="https://doi.org/10.1016/50308-521X(03)00128-8" TargetMode="External"/><Relationship Id="rId88" Type="http://schemas.openxmlformats.org/officeDocument/2006/relationships/oleObject" Target="embeddings/oleObject39.bin"/><Relationship Id="rId111" Type="http://schemas.openxmlformats.org/officeDocument/2006/relationships/image" Target="media/image50.wmf"/><Relationship Id="rId132" Type="http://schemas.openxmlformats.org/officeDocument/2006/relationships/oleObject" Target="embeddings/oleObject61.bin"/><Relationship Id="rId153" Type="http://schemas.openxmlformats.org/officeDocument/2006/relationships/image" Target="media/image71.wmf"/><Relationship Id="rId174" Type="http://schemas.openxmlformats.org/officeDocument/2006/relationships/image" Target="media/image83.wmf"/><Relationship Id="rId195" Type="http://schemas.openxmlformats.org/officeDocument/2006/relationships/oleObject" Target="embeddings/oleObject91.bin"/><Relationship Id="rId209" Type="http://schemas.openxmlformats.org/officeDocument/2006/relationships/oleObject" Target="embeddings/oleObject98.bin"/><Relationship Id="rId360" Type="http://schemas.openxmlformats.org/officeDocument/2006/relationships/fontTable" Target="fontTable.xml"/><Relationship Id="rId220" Type="http://schemas.openxmlformats.org/officeDocument/2006/relationships/image" Target="media/image106.wmf"/><Relationship Id="rId241" Type="http://schemas.openxmlformats.org/officeDocument/2006/relationships/image" Target="media/image116.emf"/><Relationship Id="rId15" Type="http://schemas.openxmlformats.org/officeDocument/2006/relationships/footer" Target="footer3.xml"/><Relationship Id="rId36" Type="http://schemas.openxmlformats.org/officeDocument/2006/relationships/oleObject" Target="embeddings/oleObject11.bin"/><Relationship Id="rId57" Type="http://schemas.openxmlformats.org/officeDocument/2006/relationships/oleObject" Target="embeddings/oleObject21.bin"/><Relationship Id="rId262" Type="http://schemas.openxmlformats.org/officeDocument/2006/relationships/image" Target="media/image128.wmf"/><Relationship Id="rId283" Type="http://schemas.openxmlformats.org/officeDocument/2006/relationships/hyperlink" Target="https://rdrr.io/r/base/summary.html" TargetMode="External"/><Relationship Id="rId318" Type="http://schemas.openxmlformats.org/officeDocument/2006/relationships/image" Target="media/image143.emf"/><Relationship Id="rId339" Type="http://schemas.openxmlformats.org/officeDocument/2006/relationships/hyperlink" Target="https://doi.org/10.3390/jrfm15080366" TargetMode="External"/><Relationship Id="rId78" Type="http://schemas.openxmlformats.org/officeDocument/2006/relationships/image" Target="media/image36.wmf"/><Relationship Id="rId99" Type="http://schemas.openxmlformats.org/officeDocument/2006/relationships/image" Target="media/image45.wmf"/><Relationship Id="rId101" Type="http://schemas.openxmlformats.org/officeDocument/2006/relationships/oleObject" Target="embeddings/oleObject46.bin"/><Relationship Id="rId122" Type="http://schemas.openxmlformats.org/officeDocument/2006/relationships/oleObject" Target="embeddings/oleObject56.bin"/><Relationship Id="rId143" Type="http://schemas.openxmlformats.org/officeDocument/2006/relationships/image" Target="media/image66.wmf"/><Relationship Id="rId164" Type="http://schemas.openxmlformats.org/officeDocument/2006/relationships/oleObject" Target="embeddings/oleObject77.bin"/><Relationship Id="rId185" Type="http://schemas.openxmlformats.org/officeDocument/2006/relationships/oleObject" Target="embeddings/oleObject86.bin"/><Relationship Id="rId350" Type="http://schemas.openxmlformats.org/officeDocument/2006/relationships/hyperlink" Target="https://doi.org/10.1016/j.heliyon.2024.e27839" TargetMode="External"/><Relationship Id="rId9" Type="http://schemas.openxmlformats.org/officeDocument/2006/relationships/image" Target="media/image2.png"/><Relationship Id="rId210" Type="http://schemas.openxmlformats.org/officeDocument/2006/relationships/image" Target="media/image101.wmf"/><Relationship Id="rId26" Type="http://schemas.openxmlformats.org/officeDocument/2006/relationships/image" Target="media/image11.wmf"/><Relationship Id="rId231" Type="http://schemas.openxmlformats.org/officeDocument/2006/relationships/oleObject" Target="embeddings/oleObject109.bin"/><Relationship Id="rId252" Type="http://schemas.openxmlformats.org/officeDocument/2006/relationships/image" Target="media/image123.wmf"/><Relationship Id="rId273" Type="http://schemas.openxmlformats.org/officeDocument/2006/relationships/hyperlink" Target="https://rdrr.io/r/utils/data.html" TargetMode="External"/><Relationship Id="rId294" Type="http://schemas.openxmlformats.org/officeDocument/2006/relationships/hyperlink" Target="https://rdrr.io/r/graphics/lines.html" TargetMode="External"/><Relationship Id="rId308" Type="http://schemas.openxmlformats.org/officeDocument/2006/relationships/oleObject" Target="embeddings/oleObject128.bin"/><Relationship Id="rId329" Type="http://schemas.openxmlformats.org/officeDocument/2006/relationships/hyperlink" Target="https://doi.org/10.1016/j.eap.2023.06.025" TargetMode="External"/><Relationship Id="rId47" Type="http://schemas.openxmlformats.org/officeDocument/2006/relationships/image" Target="media/image21.emf"/><Relationship Id="rId68" Type="http://schemas.openxmlformats.org/officeDocument/2006/relationships/image" Target="media/image31.wmf"/><Relationship Id="rId89" Type="http://schemas.openxmlformats.org/officeDocument/2006/relationships/image" Target="media/image40.wmf"/><Relationship Id="rId112" Type="http://schemas.openxmlformats.org/officeDocument/2006/relationships/oleObject" Target="embeddings/oleObject51.bin"/><Relationship Id="rId133" Type="http://schemas.openxmlformats.org/officeDocument/2006/relationships/oleObject" Target="embeddings/oleObject62.bin"/><Relationship Id="rId154" Type="http://schemas.openxmlformats.org/officeDocument/2006/relationships/oleObject" Target="embeddings/oleObject72.bin"/><Relationship Id="rId175" Type="http://schemas.openxmlformats.org/officeDocument/2006/relationships/oleObject" Target="embeddings/oleObject81.bin"/><Relationship Id="rId340" Type="http://schemas.openxmlformats.org/officeDocument/2006/relationships/hyperlink" Target="https://doi.org/10.57745/TAE0PD" TargetMode="External"/><Relationship Id="rId361" Type="http://schemas.openxmlformats.org/officeDocument/2006/relationships/theme" Target="theme/theme1.xml"/><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image" Target="media/image6.wmf"/><Relationship Id="rId221" Type="http://schemas.openxmlformats.org/officeDocument/2006/relationships/oleObject" Target="embeddings/oleObject104.bin"/><Relationship Id="rId242" Type="http://schemas.openxmlformats.org/officeDocument/2006/relationships/image" Target="media/image117.emf"/><Relationship Id="rId263" Type="http://schemas.openxmlformats.org/officeDocument/2006/relationships/oleObject" Target="embeddings/oleObject121.bin"/><Relationship Id="rId284" Type="http://schemas.openxmlformats.org/officeDocument/2006/relationships/hyperlink" Target="https://rdrr.io/r/stats/aggregate.html" TargetMode="External"/><Relationship Id="rId319" Type="http://schemas.openxmlformats.org/officeDocument/2006/relationships/hyperlink" Target="https://www.sciencedirect.com/topics/agricultural-and-biological-sciences/maize" TargetMode="External"/><Relationship Id="rId37" Type="http://schemas.openxmlformats.org/officeDocument/2006/relationships/image" Target="media/image16.wmf"/><Relationship Id="rId58" Type="http://schemas.openxmlformats.org/officeDocument/2006/relationships/image" Target="media/image27.wmf"/><Relationship Id="rId79" Type="http://schemas.openxmlformats.org/officeDocument/2006/relationships/oleObject" Target="embeddings/oleObject33.bin"/><Relationship Id="rId102" Type="http://schemas.openxmlformats.org/officeDocument/2006/relationships/oleObject" Target="embeddings/oleObject47.bin"/><Relationship Id="rId123" Type="http://schemas.openxmlformats.org/officeDocument/2006/relationships/image" Target="media/image56.wmf"/><Relationship Id="rId144" Type="http://schemas.openxmlformats.org/officeDocument/2006/relationships/oleObject" Target="embeddings/oleObject67.bin"/><Relationship Id="rId330" Type="http://schemas.openxmlformats.org/officeDocument/2006/relationships/hyperlink" Target="https://ideas.repec.org/s/lam/wpaper.html" TargetMode="External"/><Relationship Id="rId90" Type="http://schemas.openxmlformats.org/officeDocument/2006/relationships/oleObject" Target="embeddings/oleObject40.bin"/><Relationship Id="rId165" Type="http://schemas.openxmlformats.org/officeDocument/2006/relationships/image" Target="media/image77.wmf"/><Relationship Id="rId186" Type="http://schemas.openxmlformats.org/officeDocument/2006/relationships/image" Target="media/image89.wmf"/><Relationship Id="rId351" Type="http://schemas.openxmlformats.org/officeDocument/2006/relationships/hyperlink" Target="https://doi.org/10.31244/zfe.2022.02.06" TargetMode="External"/><Relationship Id="rId211" Type="http://schemas.openxmlformats.org/officeDocument/2006/relationships/oleObject" Target="embeddings/oleObject99.bin"/><Relationship Id="rId232" Type="http://schemas.openxmlformats.org/officeDocument/2006/relationships/image" Target="media/image112.wmf"/><Relationship Id="rId253" Type="http://schemas.openxmlformats.org/officeDocument/2006/relationships/oleObject" Target="embeddings/oleObject116.bin"/><Relationship Id="rId274" Type="http://schemas.openxmlformats.org/officeDocument/2006/relationships/hyperlink" Target="https://bcallaway11.github.io/did/reference/att_gt.html" TargetMode="External"/><Relationship Id="rId295" Type="http://schemas.openxmlformats.org/officeDocument/2006/relationships/hyperlink" Target="https://rdrr.io/r/graphics/lines.html" TargetMode="External"/><Relationship Id="rId309" Type="http://schemas.openxmlformats.org/officeDocument/2006/relationships/image" Target="media/image139.wmf"/><Relationship Id="rId27" Type="http://schemas.openxmlformats.org/officeDocument/2006/relationships/oleObject" Target="embeddings/oleObject6.bin"/><Relationship Id="rId48" Type="http://schemas.openxmlformats.org/officeDocument/2006/relationships/image" Target="media/image22.wmf"/><Relationship Id="rId69" Type="http://schemas.openxmlformats.org/officeDocument/2006/relationships/oleObject" Target="embeddings/oleObject28.bin"/><Relationship Id="rId113" Type="http://schemas.openxmlformats.org/officeDocument/2006/relationships/image" Target="media/image51.wmf"/><Relationship Id="rId134" Type="http://schemas.openxmlformats.org/officeDocument/2006/relationships/image" Target="media/image61.emf"/><Relationship Id="rId320" Type="http://schemas.openxmlformats.org/officeDocument/2006/relationships/hyperlink" Target="https://www.sciencedirect.com/topics/social-sciences/education-level" TargetMode="External"/><Relationship Id="rId80" Type="http://schemas.openxmlformats.org/officeDocument/2006/relationships/image" Target="media/image37.wmf"/><Relationship Id="rId155" Type="http://schemas.openxmlformats.org/officeDocument/2006/relationships/image" Target="media/image72.wmf"/><Relationship Id="rId176" Type="http://schemas.openxmlformats.org/officeDocument/2006/relationships/image" Target="media/image84.wmf"/><Relationship Id="rId197" Type="http://schemas.openxmlformats.org/officeDocument/2006/relationships/oleObject" Target="embeddings/oleObject92.bin"/><Relationship Id="rId341" Type="http://schemas.openxmlformats.org/officeDocument/2006/relationships/hyperlink" Target="https://doi.org/10.2499/p15738coll2.134430" TargetMode="External"/><Relationship Id="rId201" Type="http://schemas.openxmlformats.org/officeDocument/2006/relationships/oleObject" Target="embeddings/oleObject94.bin"/><Relationship Id="rId222" Type="http://schemas.openxmlformats.org/officeDocument/2006/relationships/image" Target="media/image107.wmf"/><Relationship Id="rId243" Type="http://schemas.openxmlformats.org/officeDocument/2006/relationships/image" Target="media/image118.png"/><Relationship Id="rId264" Type="http://schemas.openxmlformats.org/officeDocument/2006/relationships/image" Target="media/image129.wmf"/><Relationship Id="rId285" Type="http://schemas.openxmlformats.org/officeDocument/2006/relationships/hyperlink" Target="https://rdrr.io/r/base/list.html" TargetMode="External"/><Relationship Id="rId17" Type="http://schemas.openxmlformats.org/officeDocument/2006/relationships/oleObject" Target="embeddings/oleObject1.bin"/><Relationship Id="rId38" Type="http://schemas.openxmlformats.org/officeDocument/2006/relationships/oleObject" Target="embeddings/oleObject12.bin"/><Relationship Id="rId59" Type="http://schemas.openxmlformats.org/officeDocument/2006/relationships/oleObject" Target="embeddings/oleObject22.bin"/><Relationship Id="rId103" Type="http://schemas.openxmlformats.org/officeDocument/2006/relationships/footer" Target="footer4.xml"/><Relationship Id="rId124" Type="http://schemas.openxmlformats.org/officeDocument/2006/relationships/oleObject" Target="embeddings/oleObject57.bin"/><Relationship Id="rId310" Type="http://schemas.openxmlformats.org/officeDocument/2006/relationships/oleObject" Target="embeddings/oleObject129.bin"/><Relationship Id="rId70" Type="http://schemas.openxmlformats.org/officeDocument/2006/relationships/image" Target="media/image32.wmf"/><Relationship Id="rId91" Type="http://schemas.openxmlformats.org/officeDocument/2006/relationships/image" Target="media/image41.wmf"/><Relationship Id="rId145" Type="http://schemas.openxmlformats.org/officeDocument/2006/relationships/image" Target="media/image67.wmf"/><Relationship Id="rId166" Type="http://schemas.openxmlformats.org/officeDocument/2006/relationships/oleObject" Target="embeddings/oleObject78.bin"/><Relationship Id="rId187" Type="http://schemas.openxmlformats.org/officeDocument/2006/relationships/oleObject" Target="embeddings/oleObject87.bin"/><Relationship Id="rId331" Type="http://schemas.openxmlformats.org/officeDocument/2006/relationships/hyperlink" Target="http://dx.doi.org/10.1108/00214660880001218" TargetMode="External"/><Relationship Id="rId352" Type="http://schemas.openxmlformats.org/officeDocument/2006/relationships/hyperlink" Target="https://doi.org/10.1016/S1098-2140(99)80180-5" TargetMode="External"/><Relationship Id="rId1" Type="http://schemas.openxmlformats.org/officeDocument/2006/relationships/customXml" Target="../customXml/item1.xml"/><Relationship Id="rId212" Type="http://schemas.openxmlformats.org/officeDocument/2006/relationships/image" Target="media/image102.wmf"/><Relationship Id="rId233" Type="http://schemas.openxmlformats.org/officeDocument/2006/relationships/oleObject" Target="embeddings/oleObject110.bin"/><Relationship Id="rId254" Type="http://schemas.openxmlformats.org/officeDocument/2006/relationships/image" Target="media/image124.wmf"/><Relationship Id="rId28" Type="http://schemas.openxmlformats.org/officeDocument/2006/relationships/image" Target="media/image12.wmf"/><Relationship Id="rId49" Type="http://schemas.openxmlformats.org/officeDocument/2006/relationships/oleObject" Target="embeddings/oleObject17.bin"/><Relationship Id="rId114" Type="http://schemas.openxmlformats.org/officeDocument/2006/relationships/oleObject" Target="embeddings/oleObject52.bin"/><Relationship Id="rId275" Type="http://schemas.openxmlformats.org/officeDocument/2006/relationships/hyperlink" Target="https://rdrr.io/r/base/summary.html" TargetMode="External"/><Relationship Id="rId296" Type="http://schemas.openxmlformats.org/officeDocument/2006/relationships/hyperlink" Target="https://rdrr.io/r/graphics/legend.html" TargetMode="External"/><Relationship Id="rId300" Type="http://schemas.openxmlformats.org/officeDocument/2006/relationships/image" Target="media/image134.png"/><Relationship Id="rId60" Type="http://schemas.openxmlformats.org/officeDocument/2006/relationships/oleObject" Target="embeddings/oleObject23.bin"/><Relationship Id="rId81" Type="http://schemas.openxmlformats.org/officeDocument/2006/relationships/oleObject" Target="embeddings/oleObject34.bin"/><Relationship Id="rId135" Type="http://schemas.openxmlformats.org/officeDocument/2006/relationships/image" Target="media/image62.wmf"/><Relationship Id="rId156" Type="http://schemas.openxmlformats.org/officeDocument/2006/relationships/oleObject" Target="embeddings/oleObject73.bin"/><Relationship Id="rId177" Type="http://schemas.openxmlformats.org/officeDocument/2006/relationships/oleObject" Target="embeddings/oleObject82.bin"/><Relationship Id="rId198" Type="http://schemas.openxmlformats.org/officeDocument/2006/relationships/image" Target="media/image95.wmf"/><Relationship Id="rId321" Type="http://schemas.openxmlformats.org/officeDocument/2006/relationships/hyperlink" Target="https://doi.org/10.1016/j.evalprogplan.2016.10.001" TargetMode="External"/><Relationship Id="rId342" Type="http://schemas.openxmlformats.org/officeDocument/2006/relationships/hyperlink" Target="https://ideas.repec.org/a/eme/afrpps/v74y2014i3p326-347.html" TargetMode="External"/><Relationship Id="rId202" Type="http://schemas.openxmlformats.org/officeDocument/2006/relationships/image" Target="media/image97.wmf"/><Relationship Id="rId223" Type="http://schemas.openxmlformats.org/officeDocument/2006/relationships/oleObject" Target="embeddings/oleObject105.bin"/><Relationship Id="rId244" Type="http://schemas.openxmlformats.org/officeDocument/2006/relationships/hyperlink" Target="http://www.bmj.com/content/vol340/issuemar23_1/images/large/schk712109.f1_default.jpeg" TargetMode="External"/><Relationship Id="rId18" Type="http://schemas.openxmlformats.org/officeDocument/2006/relationships/image" Target="media/image7.wmf"/><Relationship Id="rId39" Type="http://schemas.openxmlformats.org/officeDocument/2006/relationships/image" Target="media/image17.wmf"/><Relationship Id="rId265" Type="http://schemas.openxmlformats.org/officeDocument/2006/relationships/oleObject" Target="embeddings/oleObject122.bin"/><Relationship Id="rId286" Type="http://schemas.openxmlformats.org/officeDocument/2006/relationships/hyperlink" Target="https://rdrr.io/r/base/character.html" TargetMode="External"/><Relationship Id="rId50" Type="http://schemas.openxmlformats.org/officeDocument/2006/relationships/image" Target="media/image23.wmf"/><Relationship Id="rId104" Type="http://schemas.openxmlformats.org/officeDocument/2006/relationships/image" Target="media/image46.emf"/><Relationship Id="rId125" Type="http://schemas.openxmlformats.org/officeDocument/2006/relationships/image" Target="media/image57.wmf"/><Relationship Id="rId146" Type="http://schemas.openxmlformats.org/officeDocument/2006/relationships/oleObject" Target="embeddings/oleObject68.bin"/><Relationship Id="rId167" Type="http://schemas.openxmlformats.org/officeDocument/2006/relationships/image" Target="media/image78.wmf"/><Relationship Id="rId188" Type="http://schemas.openxmlformats.org/officeDocument/2006/relationships/image" Target="media/image90.wmf"/><Relationship Id="rId311" Type="http://schemas.openxmlformats.org/officeDocument/2006/relationships/image" Target="media/image140.wmf"/><Relationship Id="rId332" Type="http://schemas.openxmlformats.org/officeDocument/2006/relationships/hyperlink" Target="https://doi.org/10.1111/biom.13745" TargetMode="External"/><Relationship Id="rId353" Type="http://schemas.openxmlformats.org/officeDocument/2006/relationships/hyperlink" Target="https://doi.org/10.1016/j.jssas.2017.04.004" TargetMode="External"/><Relationship Id="rId71" Type="http://schemas.openxmlformats.org/officeDocument/2006/relationships/oleObject" Target="embeddings/oleObject29.bin"/><Relationship Id="rId92" Type="http://schemas.openxmlformats.org/officeDocument/2006/relationships/oleObject" Target="embeddings/oleObject41.bin"/><Relationship Id="rId213" Type="http://schemas.openxmlformats.org/officeDocument/2006/relationships/oleObject" Target="embeddings/oleObject100.bin"/><Relationship Id="rId234" Type="http://schemas.openxmlformats.org/officeDocument/2006/relationships/image" Target="media/image113.wmf"/><Relationship Id="rId2" Type="http://schemas.openxmlformats.org/officeDocument/2006/relationships/numbering" Target="numbering.xml"/><Relationship Id="rId29" Type="http://schemas.openxmlformats.org/officeDocument/2006/relationships/oleObject" Target="embeddings/oleObject7.bin"/><Relationship Id="rId255" Type="http://schemas.openxmlformats.org/officeDocument/2006/relationships/oleObject" Target="embeddings/oleObject117.bin"/><Relationship Id="rId276" Type="http://schemas.openxmlformats.org/officeDocument/2006/relationships/hyperlink" Target="https://bcallaway11.github.io/did/reference/ggdid.html" TargetMode="External"/><Relationship Id="rId297" Type="http://schemas.openxmlformats.org/officeDocument/2006/relationships/hyperlink" Target="https://rdrr.io/r/base/c.html" TargetMode="External"/><Relationship Id="rId40" Type="http://schemas.openxmlformats.org/officeDocument/2006/relationships/oleObject" Target="embeddings/oleObject13.bin"/><Relationship Id="rId115" Type="http://schemas.openxmlformats.org/officeDocument/2006/relationships/image" Target="media/image52.wmf"/><Relationship Id="rId136" Type="http://schemas.openxmlformats.org/officeDocument/2006/relationships/oleObject" Target="embeddings/oleObject63.bin"/><Relationship Id="rId157" Type="http://schemas.openxmlformats.org/officeDocument/2006/relationships/image" Target="media/image73.wmf"/><Relationship Id="rId178" Type="http://schemas.openxmlformats.org/officeDocument/2006/relationships/image" Target="media/image85.wmf"/><Relationship Id="rId301" Type="http://schemas.openxmlformats.org/officeDocument/2006/relationships/image" Target="media/image135.wmf"/><Relationship Id="rId322" Type="http://schemas.openxmlformats.org/officeDocument/2006/relationships/hyperlink" Target="https://doi.org/10.3390/" TargetMode="External"/><Relationship Id="rId343" Type="http://schemas.openxmlformats.org/officeDocument/2006/relationships/hyperlink" Target="https://ideas.repec.org/s/eme/afrpps.html" TargetMode="External"/><Relationship Id="rId61" Type="http://schemas.openxmlformats.org/officeDocument/2006/relationships/image" Target="media/image28.wmf"/><Relationship Id="rId82" Type="http://schemas.openxmlformats.org/officeDocument/2006/relationships/oleObject" Target="embeddings/oleObject35.bin"/><Relationship Id="rId199" Type="http://schemas.openxmlformats.org/officeDocument/2006/relationships/oleObject" Target="embeddings/oleObject93.bin"/><Relationship Id="rId203" Type="http://schemas.openxmlformats.org/officeDocument/2006/relationships/oleObject" Target="embeddings/oleObject95.bin"/><Relationship Id="rId19" Type="http://schemas.openxmlformats.org/officeDocument/2006/relationships/oleObject" Target="embeddings/oleObject2.bin"/><Relationship Id="rId224" Type="http://schemas.openxmlformats.org/officeDocument/2006/relationships/image" Target="media/image108.wmf"/><Relationship Id="rId245" Type="http://schemas.openxmlformats.org/officeDocument/2006/relationships/hyperlink" Target="http://www.bmj.com/cgi/content/full/340/mar23_1/c332" TargetMode="External"/><Relationship Id="rId266" Type="http://schemas.openxmlformats.org/officeDocument/2006/relationships/image" Target="media/image130.wmf"/><Relationship Id="rId287" Type="http://schemas.openxmlformats.org/officeDocument/2006/relationships/hyperlink" Target="https://rdrr.io/r/base/ifelse.html" TargetMode="External"/><Relationship Id="rId30" Type="http://schemas.openxmlformats.org/officeDocument/2006/relationships/oleObject" Target="embeddings/oleObject8.bin"/><Relationship Id="rId105" Type="http://schemas.openxmlformats.org/officeDocument/2006/relationships/image" Target="media/image47.wmf"/><Relationship Id="rId126" Type="http://schemas.openxmlformats.org/officeDocument/2006/relationships/oleObject" Target="embeddings/oleObject58.bin"/><Relationship Id="rId147" Type="http://schemas.openxmlformats.org/officeDocument/2006/relationships/image" Target="media/image68.wmf"/><Relationship Id="rId168" Type="http://schemas.openxmlformats.org/officeDocument/2006/relationships/oleObject" Target="embeddings/oleObject79.bin"/><Relationship Id="rId312" Type="http://schemas.openxmlformats.org/officeDocument/2006/relationships/oleObject" Target="embeddings/oleObject130.bin"/><Relationship Id="rId333" Type="http://schemas.openxmlformats.org/officeDocument/2006/relationships/hyperlink" Target="https://doi.org/10.1016/j.gfs.2019.100326" TargetMode="External"/><Relationship Id="rId354" Type="http://schemas.openxmlformats.org/officeDocument/2006/relationships/hyperlink" Target="https://doi.org/10.1214/ss/1177012031" TargetMode="External"/><Relationship Id="rId51" Type="http://schemas.openxmlformats.org/officeDocument/2006/relationships/oleObject" Target="embeddings/oleObject18.bin"/><Relationship Id="rId72" Type="http://schemas.openxmlformats.org/officeDocument/2006/relationships/image" Target="media/image33.wmf"/><Relationship Id="rId93" Type="http://schemas.openxmlformats.org/officeDocument/2006/relationships/image" Target="media/image42.wmf"/><Relationship Id="rId189" Type="http://schemas.openxmlformats.org/officeDocument/2006/relationships/oleObject" Target="embeddings/oleObject88.bin"/><Relationship Id="rId3" Type="http://schemas.openxmlformats.org/officeDocument/2006/relationships/styles" Target="styles.xml"/><Relationship Id="rId214" Type="http://schemas.openxmlformats.org/officeDocument/2006/relationships/image" Target="media/image103.wmf"/><Relationship Id="rId235" Type="http://schemas.openxmlformats.org/officeDocument/2006/relationships/oleObject" Target="embeddings/oleObject111.bin"/><Relationship Id="rId256" Type="http://schemas.openxmlformats.org/officeDocument/2006/relationships/image" Target="media/image125.wmf"/><Relationship Id="rId277" Type="http://schemas.openxmlformats.org/officeDocument/2006/relationships/hyperlink" Target="https://rdrr.io/r/base/c.html" TargetMode="External"/><Relationship Id="rId298" Type="http://schemas.openxmlformats.org/officeDocument/2006/relationships/hyperlink" Target="https://rdrr.io/r/base/c.html" TargetMode="External"/><Relationship Id="rId116" Type="http://schemas.openxmlformats.org/officeDocument/2006/relationships/oleObject" Target="embeddings/oleObject53.bin"/><Relationship Id="rId137" Type="http://schemas.openxmlformats.org/officeDocument/2006/relationships/image" Target="media/image63.wmf"/><Relationship Id="rId158" Type="http://schemas.openxmlformats.org/officeDocument/2006/relationships/oleObject" Target="embeddings/oleObject74.bin"/><Relationship Id="rId302" Type="http://schemas.openxmlformats.org/officeDocument/2006/relationships/oleObject" Target="embeddings/oleObject125.bin"/><Relationship Id="rId323" Type="http://schemas.openxmlformats.org/officeDocument/2006/relationships/hyperlink" Target="https://doi.org/101177/014920639201800306" TargetMode="External"/><Relationship Id="rId344" Type="http://schemas.openxmlformats.org/officeDocument/2006/relationships/hyperlink" Target="https://doi.org/10.1093/reseval/rvz022" TargetMode="External"/><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oleObject" Target="embeddings/oleObject24.bin"/><Relationship Id="rId83" Type="http://schemas.openxmlformats.org/officeDocument/2006/relationships/oleObject" Target="embeddings/oleObject36.bin"/><Relationship Id="rId179" Type="http://schemas.openxmlformats.org/officeDocument/2006/relationships/oleObject" Target="embeddings/oleObject83.bin"/><Relationship Id="rId190" Type="http://schemas.openxmlformats.org/officeDocument/2006/relationships/image" Target="media/image91.wmf"/><Relationship Id="rId204" Type="http://schemas.openxmlformats.org/officeDocument/2006/relationships/image" Target="media/image98.wmf"/><Relationship Id="rId225" Type="http://schemas.openxmlformats.org/officeDocument/2006/relationships/oleObject" Target="embeddings/oleObject106.bin"/><Relationship Id="rId246" Type="http://schemas.openxmlformats.org/officeDocument/2006/relationships/image" Target="media/image119.emf"/><Relationship Id="rId267" Type="http://schemas.openxmlformats.org/officeDocument/2006/relationships/oleObject" Target="embeddings/oleObject123.bin"/><Relationship Id="rId288" Type="http://schemas.openxmlformats.org/officeDocument/2006/relationships/hyperlink" Target="https://rdrr.io/r/graphics/plot.default.html" TargetMode="External"/><Relationship Id="rId106" Type="http://schemas.openxmlformats.org/officeDocument/2006/relationships/oleObject" Target="embeddings/oleObject48.bin"/><Relationship Id="rId127" Type="http://schemas.openxmlformats.org/officeDocument/2006/relationships/image" Target="media/image58.wmf"/><Relationship Id="rId313" Type="http://schemas.openxmlformats.org/officeDocument/2006/relationships/oleObject" Target="embeddings/oleObject131.bin"/><Relationship Id="rId10" Type="http://schemas.openxmlformats.org/officeDocument/2006/relationships/image" Target="media/image3.emf"/><Relationship Id="rId31" Type="http://schemas.openxmlformats.org/officeDocument/2006/relationships/image" Target="media/image13.wmf"/><Relationship Id="rId52" Type="http://schemas.openxmlformats.org/officeDocument/2006/relationships/image" Target="media/image24.wmf"/><Relationship Id="rId73" Type="http://schemas.openxmlformats.org/officeDocument/2006/relationships/oleObject" Target="embeddings/oleObject30.bin"/><Relationship Id="rId94" Type="http://schemas.openxmlformats.org/officeDocument/2006/relationships/oleObject" Target="embeddings/oleObject42.bin"/><Relationship Id="rId148" Type="http://schemas.openxmlformats.org/officeDocument/2006/relationships/oleObject" Target="embeddings/oleObject69.bin"/><Relationship Id="rId169" Type="http://schemas.openxmlformats.org/officeDocument/2006/relationships/image" Target="media/image79.wmf"/><Relationship Id="rId334" Type="http://schemas.openxmlformats.org/officeDocument/2006/relationships/hyperlink" Target="https://www.emerald.com/insight/search?q=Jennifer%20E%20Ifft" TargetMode="External"/><Relationship Id="rId355" Type="http://schemas.openxmlformats.org/officeDocument/2006/relationships/hyperlink" Target="https://doi.org/10.5937/ekoPolj1904107S" TargetMode="External"/><Relationship Id="rId4" Type="http://schemas.openxmlformats.org/officeDocument/2006/relationships/settings" Target="settings.xml"/><Relationship Id="rId180" Type="http://schemas.openxmlformats.org/officeDocument/2006/relationships/image" Target="media/image86.wmf"/><Relationship Id="rId215" Type="http://schemas.openxmlformats.org/officeDocument/2006/relationships/oleObject" Target="embeddings/oleObject101.bin"/><Relationship Id="rId236" Type="http://schemas.openxmlformats.org/officeDocument/2006/relationships/image" Target="media/image114.wmf"/><Relationship Id="rId257" Type="http://schemas.openxmlformats.org/officeDocument/2006/relationships/oleObject" Target="embeddings/oleObject118.bin"/><Relationship Id="rId278" Type="http://schemas.openxmlformats.org/officeDocument/2006/relationships/image" Target="media/image132.png"/><Relationship Id="rId303" Type="http://schemas.openxmlformats.org/officeDocument/2006/relationships/image" Target="media/image136.wmf"/><Relationship Id="rId42" Type="http://schemas.openxmlformats.org/officeDocument/2006/relationships/oleObject" Target="embeddings/oleObject14.bin"/><Relationship Id="rId84" Type="http://schemas.openxmlformats.org/officeDocument/2006/relationships/oleObject" Target="embeddings/oleObject37.bin"/><Relationship Id="rId138" Type="http://schemas.openxmlformats.org/officeDocument/2006/relationships/oleObject" Target="embeddings/oleObject64.bin"/><Relationship Id="rId345" Type="http://schemas.openxmlformats.org/officeDocument/2006/relationships/hyperlink" Target="https://doi.org/10.3390/math10193625" TargetMode="External"/><Relationship Id="rId191" Type="http://schemas.openxmlformats.org/officeDocument/2006/relationships/oleObject" Target="embeddings/oleObject89.bin"/><Relationship Id="rId205" Type="http://schemas.openxmlformats.org/officeDocument/2006/relationships/oleObject" Target="embeddings/oleObject96.bin"/><Relationship Id="rId247" Type="http://schemas.openxmlformats.org/officeDocument/2006/relationships/image" Target="media/image120.emf"/><Relationship Id="rId107" Type="http://schemas.openxmlformats.org/officeDocument/2006/relationships/image" Target="media/image48.wmf"/><Relationship Id="rId289" Type="http://schemas.openxmlformats.org/officeDocument/2006/relationships/hyperlink" Target="https://rdrr.io/r/base/c.html" TargetMode="External"/><Relationship Id="rId11" Type="http://schemas.openxmlformats.org/officeDocument/2006/relationships/footer" Target="footer1.xml"/><Relationship Id="rId53" Type="http://schemas.openxmlformats.org/officeDocument/2006/relationships/oleObject" Target="embeddings/oleObject19.bin"/><Relationship Id="rId149" Type="http://schemas.openxmlformats.org/officeDocument/2006/relationships/image" Target="media/image69.wmf"/><Relationship Id="rId314" Type="http://schemas.openxmlformats.org/officeDocument/2006/relationships/image" Target="media/image141.wmf"/><Relationship Id="rId356" Type="http://schemas.openxmlformats.org/officeDocument/2006/relationships/hyperlink" Target="https://coin.wne.uw.edu.pl/pstrawinski/dydaktyka.html" TargetMode="External"/><Relationship Id="rId95" Type="http://schemas.openxmlformats.org/officeDocument/2006/relationships/image" Target="media/image43.wmf"/><Relationship Id="rId160" Type="http://schemas.openxmlformats.org/officeDocument/2006/relationships/oleObject" Target="embeddings/oleObject75.bin"/><Relationship Id="rId216" Type="http://schemas.openxmlformats.org/officeDocument/2006/relationships/image" Target="media/image104.wmf"/><Relationship Id="rId258" Type="http://schemas.openxmlformats.org/officeDocument/2006/relationships/image" Target="media/image126.wmf"/><Relationship Id="rId22" Type="http://schemas.openxmlformats.org/officeDocument/2006/relationships/image" Target="media/image9.wmf"/><Relationship Id="rId64" Type="http://schemas.openxmlformats.org/officeDocument/2006/relationships/image" Target="media/image29.wmf"/><Relationship Id="rId118" Type="http://schemas.openxmlformats.org/officeDocument/2006/relationships/oleObject" Target="embeddings/oleObject54.bin"/><Relationship Id="rId325" Type="http://schemas.openxmlformats.org/officeDocument/2006/relationships/hyperlink" Target="http://dx.doi.org/10.1177/1098214010389321" TargetMode="External"/><Relationship Id="rId171" Type="http://schemas.openxmlformats.org/officeDocument/2006/relationships/image" Target="media/image80.emf"/><Relationship Id="rId227" Type="http://schemas.openxmlformats.org/officeDocument/2006/relationships/oleObject" Target="embeddings/oleObject107.bin"/><Relationship Id="rId269" Type="http://schemas.openxmlformats.org/officeDocument/2006/relationships/oleObject" Target="embeddings/oleObject124.bin"/><Relationship Id="rId33" Type="http://schemas.openxmlformats.org/officeDocument/2006/relationships/image" Target="media/image14.wmf"/><Relationship Id="rId129" Type="http://schemas.openxmlformats.org/officeDocument/2006/relationships/image" Target="media/image59.wmf"/><Relationship Id="rId280" Type="http://schemas.openxmlformats.org/officeDocument/2006/relationships/hyperlink" Target="https://bcallaway11.github.io/did/reference/ggdid.html" TargetMode="External"/><Relationship Id="rId336" Type="http://schemas.openxmlformats.org/officeDocument/2006/relationships/hyperlink" Target="https://www.emerald.com/insight/search?q=Mitch%20Morehart" TargetMode="External"/><Relationship Id="rId75" Type="http://schemas.openxmlformats.org/officeDocument/2006/relationships/oleObject" Target="embeddings/oleObject31.bin"/><Relationship Id="rId140" Type="http://schemas.openxmlformats.org/officeDocument/2006/relationships/oleObject" Target="embeddings/oleObject65.bin"/><Relationship Id="rId182" Type="http://schemas.openxmlformats.org/officeDocument/2006/relationships/image" Target="media/image87.wmf"/><Relationship Id="rId6" Type="http://schemas.openxmlformats.org/officeDocument/2006/relationships/footnotes" Target="footnotes.xml"/><Relationship Id="rId238" Type="http://schemas.openxmlformats.org/officeDocument/2006/relationships/image" Target="media/image115.wmf"/><Relationship Id="rId291" Type="http://schemas.openxmlformats.org/officeDocument/2006/relationships/hyperlink" Target="https://rdrr.io/r/graphics/abline.html" TargetMode="External"/><Relationship Id="rId305" Type="http://schemas.openxmlformats.org/officeDocument/2006/relationships/image" Target="media/image137.wmf"/><Relationship Id="rId347" Type="http://schemas.openxmlformats.org/officeDocument/2006/relationships/hyperlink" Target="https://doi.org/10.1177/109821409401500312" TargetMode="External"/><Relationship Id="rId44" Type="http://schemas.openxmlformats.org/officeDocument/2006/relationships/oleObject" Target="embeddings/oleObject15.bin"/><Relationship Id="rId86" Type="http://schemas.openxmlformats.org/officeDocument/2006/relationships/oleObject" Target="embeddings/oleObject38.bin"/><Relationship Id="rId151" Type="http://schemas.openxmlformats.org/officeDocument/2006/relationships/image" Target="media/image70.wmf"/><Relationship Id="rId193" Type="http://schemas.openxmlformats.org/officeDocument/2006/relationships/oleObject" Target="embeddings/oleObject90.bin"/><Relationship Id="rId207" Type="http://schemas.openxmlformats.org/officeDocument/2006/relationships/oleObject" Target="embeddings/oleObject97.bin"/><Relationship Id="rId249" Type="http://schemas.openxmlformats.org/officeDocument/2006/relationships/oleObject" Target="embeddings/oleObject114.bin"/><Relationship Id="rId13" Type="http://schemas.openxmlformats.org/officeDocument/2006/relationships/image" Target="media/image4.emf"/><Relationship Id="rId109" Type="http://schemas.openxmlformats.org/officeDocument/2006/relationships/image" Target="media/image49.wmf"/><Relationship Id="rId260" Type="http://schemas.openxmlformats.org/officeDocument/2006/relationships/image" Target="media/image127.wmf"/><Relationship Id="rId316" Type="http://schemas.openxmlformats.org/officeDocument/2006/relationships/image" Target="media/image142.wmf"/><Relationship Id="rId55" Type="http://schemas.openxmlformats.org/officeDocument/2006/relationships/oleObject" Target="embeddings/oleObject20.bin"/><Relationship Id="rId97" Type="http://schemas.openxmlformats.org/officeDocument/2006/relationships/image" Target="media/image44.wmf"/><Relationship Id="rId120" Type="http://schemas.openxmlformats.org/officeDocument/2006/relationships/oleObject" Target="embeddings/oleObject55.bin"/><Relationship Id="rId358" Type="http://schemas.openxmlformats.org/officeDocument/2006/relationships/hyperlink" Target="https://doi.org/10.1093/erae/jbz035" TargetMode="External"/><Relationship Id="rId162" Type="http://schemas.openxmlformats.org/officeDocument/2006/relationships/oleObject" Target="embeddings/oleObject76.bin"/><Relationship Id="rId218" Type="http://schemas.openxmlformats.org/officeDocument/2006/relationships/image" Target="media/image105.wmf"/><Relationship Id="rId271" Type="http://schemas.openxmlformats.org/officeDocument/2006/relationships/hyperlink" Target="https://rdrr.io/r/base/library.html" TargetMode="External"/><Relationship Id="rId24" Type="http://schemas.openxmlformats.org/officeDocument/2006/relationships/image" Target="media/image10.wmf"/><Relationship Id="rId66" Type="http://schemas.openxmlformats.org/officeDocument/2006/relationships/image" Target="media/image30.wmf"/><Relationship Id="rId131" Type="http://schemas.openxmlformats.org/officeDocument/2006/relationships/image" Target="media/image60.wmf"/><Relationship Id="rId327" Type="http://schemas.openxmlformats.org/officeDocument/2006/relationships/hyperlink" Target="https://doi.org/10.56645/jmde.v14i30.496" TargetMode="External"/><Relationship Id="rId173" Type="http://schemas.openxmlformats.org/officeDocument/2006/relationships/image" Target="media/image82.emf"/><Relationship Id="rId229" Type="http://schemas.openxmlformats.org/officeDocument/2006/relationships/oleObject" Target="embeddings/oleObject108.bin"/><Relationship Id="rId240" Type="http://schemas.openxmlformats.org/officeDocument/2006/relationships/footer" Target="footer5.xml"/><Relationship Id="rId35" Type="http://schemas.openxmlformats.org/officeDocument/2006/relationships/image" Target="media/image15.wmf"/><Relationship Id="rId77" Type="http://schemas.openxmlformats.org/officeDocument/2006/relationships/oleObject" Target="embeddings/oleObject32.bin"/><Relationship Id="rId100" Type="http://schemas.openxmlformats.org/officeDocument/2006/relationships/oleObject" Target="embeddings/oleObject45.bin"/><Relationship Id="rId282" Type="http://schemas.openxmlformats.org/officeDocument/2006/relationships/hyperlink" Target="https://bcallaway11.github.io/did/reference/aggte.html" TargetMode="External"/><Relationship Id="rId338" Type="http://schemas.openxmlformats.org/officeDocument/2006/relationships/hyperlink" Target="https://doi.org/10.1108/AFR-06-2014-0017" TargetMode="External"/><Relationship Id="rId8" Type="http://schemas.openxmlformats.org/officeDocument/2006/relationships/image" Target="media/image1.jpeg"/><Relationship Id="rId142" Type="http://schemas.openxmlformats.org/officeDocument/2006/relationships/oleObject" Target="embeddings/oleObject66.bin"/><Relationship Id="rId184" Type="http://schemas.openxmlformats.org/officeDocument/2006/relationships/image" Target="media/image88.wmf"/><Relationship Id="rId251" Type="http://schemas.openxmlformats.org/officeDocument/2006/relationships/oleObject" Target="embeddings/oleObject115.bin"/><Relationship Id="rId46" Type="http://schemas.openxmlformats.org/officeDocument/2006/relationships/oleObject" Target="embeddings/oleObject16.bin"/><Relationship Id="rId293" Type="http://schemas.openxmlformats.org/officeDocument/2006/relationships/hyperlink" Target="https://rdrr.io/r/graphics/lines.html" TargetMode="External"/><Relationship Id="rId307" Type="http://schemas.openxmlformats.org/officeDocument/2006/relationships/image" Target="media/image138.wmf"/><Relationship Id="rId349" Type="http://schemas.openxmlformats.org/officeDocument/2006/relationships/hyperlink" Target="https://doi.org/10.1108/AFR-06-2017-0053"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93D66-D22D-4EB3-B684-FB173AEE1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228</Pages>
  <Words>78815</Words>
  <Characters>472890</Characters>
  <Application>Microsoft Office Word</Application>
  <DocSecurity>0</DocSecurity>
  <Lines>3940</Lines>
  <Paragraphs>1101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Gac Ewa</dc:creator>
  <cp:keywords/>
  <dc:description/>
  <cp:lastModifiedBy>Kuźniar Maria</cp:lastModifiedBy>
  <cp:revision>2</cp:revision>
  <cp:lastPrinted>2024-11-25T08:57:00Z</cp:lastPrinted>
  <dcterms:created xsi:type="dcterms:W3CDTF">2025-01-31T13:55:00Z</dcterms:created>
  <dcterms:modified xsi:type="dcterms:W3CDTF">2025-01-31T13:55:00Z</dcterms:modified>
</cp:coreProperties>
</file>