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48AEEB" w14:textId="39E9E1F3" w:rsidR="00804F19" w:rsidRPr="00F30784" w:rsidRDefault="00D95AED" w:rsidP="00D3242D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4"/>
          <w:szCs w:val="24"/>
          <w14:ligatures w14:val="standardContextual"/>
        </w:rPr>
      </w:pPr>
      <w:r w:rsidRPr="00F30784">
        <w:rPr>
          <w:rFonts w:ascii="Times New Roman" w:hAnsi="Times New Roman" w:cs="Times New Roman"/>
          <w:b/>
          <w:sz w:val="24"/>
          <w:szCs w:val="24"/>
          <w14:ligatures w14:val="standardContextual"/>
        </w:rPr>
        <w:t>Legioneloza</w:t>
      </w:r>
      <w:r w:rsidRPr="00F30784"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 to choroba zakaźna, </w:t>
      </w:r>
      <w:r w:rsidR="00CD2DAD" w:rsidRPr="00F30784">
        <w:rPr>
          <w:rFonts w:ascii="Times New Roman" w:hAnsi="Times New Roman" w:cs="Times New Roman"/>
          <w:sz w:val="24"/>
          <w:szCs w:val="24"/>
          <w14:ligatures w14:val="standardContextual"/>
        </w:rPr>
        <w:t>przebiegająca</w:t>
      </w:r>
      <w:r w:rsidR="002666BD" w:rsidRPr="00F30784"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 pod </w:t>
      </w:r>
      <w:r w:rsidR="00804F19" w:rsidRPr="00F30784">
        <w:rPr>
          <w:rFonts w:ascii="Times New Roman" w:hAnsi="Times New Roman" w:cs="Times New Roman"/>
          <w:sz w:val="24"/>
          <w:szCs w:val="24"/>
          <w14:ligatures w14:val="standardContextual"/>
        </w:rPr>
        <w:t>postaci</w:t>
      </w:r>
      <w:r w:rsidR="002666BD" w:rsidRPr="00F30784">
        <w:rPr>
          <w:rFonts w:ascii="Times New Roman" w:hAnsi="Times New Roman" w:cs="Times New Roman"/>
          <w:sz w:val="24"/>
          <w:szCs w:val="24"/>
          <w14:ligatures w14:val="standardContextual"/>
        </w:rPr>
        <w:t>ą</w:t>
      </w:r>
      <w:r w:rsidR="00804F19" w:rsidRPr="00F30784">
        <w:rPr>
          <w:rFonts w:ascii="Times New Roman" w:hAnsi="Times New Roman" w:cs="Times New Roman"/>
          <w:sz w:val="24"/>
          <w:szCs w:val="24"/>
          <w14:ligatures w14:val="standardContextual"/>
        </w:rPr>
        <w:t>:</w:t>
      </w:r>
    </w:p>
    <w:p w14:paraId="0A863B34" w14:textId="3C26DCAD" w:rsidR="00C72C88" w:rsidRPr="00F30784" w:rsidRDefault="00804F19" w:rsidP="00D3242D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4"/>
          <w:szCs w:val="24"/>
          <w14:ligatures w14:val="standardContextual"/>
        </w:rPr>
      </w:pPr>
      <w:r w:rsidRPr="00F30784"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- </w:t>
      </w:r>
      <w:r w:rsidR="00BC0DAA" w:rsidRPr="00F30784"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choroba legionistów – postać </w:t>
      </w:r>
      <w:r w:rsidR="00423756" w:rsidRPr="00F30784"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płucna, </w:t>
      </w:r>
      <w:r w:rsidR="00BF0390">
        <w:rPr>
          <w:rFonts w:ascii="Times New Roman" w:hAnsi="Times New Roman" w:cs="Times New Roman"/>
          <w:sz w:val="24"/>
          <w:szCs w:val="24"/>
          <w14:ligatures w14:val="standardContextual"/>
        </w:rPr>
        <w:t>najczęściej rozpoznawan</w:t>
      </w:r>
      <w:r w:rsidR="00BC0DAA" w:rsidRPr="00F30784"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a, z objawami </w:t>
      </w:r>
      <w:r w:rsidR="0075484D" w:rsidRPr="00F30784"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 </w:t>
      </w:r>
      <w:r w:rsidR="00BC0DAA" w:rsidRPr="00F30784">
        <w:rPr>
          <w:rFonts w:ascii="Times New Roman" w:hAnsi="Times New Roman" w:cs="Times New Roman"/>
          <w:sz w:val="24"/>
          <w:szCs w:val="24"/>
          <w14:ligatures w14:val="standardContextual"/>
        </w:rPr>
        <w:t>zapalenia płuc</w:t>
      </w:r>
      <w:r w:rsidR="00C72C88" w:rsidRPr="00F30784"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 o ciężkim przebiegu, często z towarzyszącymi obja</w:t>
      </w:r>
      <w:r w:rsidR="00133EC7" w:rsidRPr="00F30784"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wami uszkodzenia wielu narządów. </w:t>
      </w:r>
      <w:r w:rsidR="00F811DE" w:rsidRPr="00F30784">
        <w:rPr>
          <w:rFonts w:ascii="Times New Roman" w:hAnsi="Times New Roman" w:cs="Times New Roman"/>
          <w:sz w:val="24"/>
          <w:szCs w:val="24"/>
          <w14:ligatures w14:val="standardContextual"/>
        </w:rPr>
        <w:t>Przy ciężkim stanie ogólnym obserwuje się: podwyższoną</w:t>
      </w:r>
      <w:r w:rsidR="00596DF2" w:rsidRPr="00F30784"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 ciep</w:t>
      </w:r>
      <w:r w:rsidR="00F811DE" w:rsidRPr="00F30784">
        <w:rPr>
          <w:rFonts w:ascii="Times New Roman" w:hAnsi="Times New Roman" w:cs="Times New Roman"/>
          <w:sz w:val="24"/>
          <w:szCs w:val="24"/>
          <w14:ligatures w14:val="standardContextual"/>
        </w:rPr>
        <w:t>łotę</w:t>
      </w:r>
      <w:r w:rsidR="00133EC7" w:rsidRPr="00F30784"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 ciała, </w:t>
      </w:r>
      <w:r w:rsidR="00596DF2" w:rsidRPr="00F30784"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suchy kaszel, zaburzenia oddychania, zaburzenia ze strony układu pokarmowego, </w:t>
      </w:r>
      <w:r w:rsidR="00423756" w:rsidRPr="00F30784">
        <w:rPr>
          <w:rFonts w:ascii="Times New Roman" w:hAnsi="Times New Roman" w:cs="Times New Roman"/>
          <w:sz w:val="24"/>
          <w:szCs w:val="24"/>
          <w14:ligatures w14:val="standardContextual"/>
        </w:rPr>
        <w:t>zaburzenia świadomości.</w:t>
      </w:r>
      <w:r w:rsidR="00F811DE" w:rsidRPr="00F30784"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 </w:t>
      </w:r>
      <w:r w:rsidR="00AA27F4" w:rsidRPr="00F30784"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W 10-20% choroba może </w:t>
      </w:r>
      <w:r w:rsidR="00DD7316" w:rsidRPr="00F30784">
        <w:rPr>
          <w:rFonts w:ascii="Times New Roman" w:hAnsi="Times New Roman" w:cs="Times New Roman"/>
          <w:sz w:val="24"/>
          <w:szCs w:val="24"/>
          <w14:ligatures w14:val="standardContextual"/>
        </w:rPr>
        <w:t>zakończyć się zgonem pacjen</w:t>
      </w:r>
      <w:r w:rsidR="00AA27F4" w:rsidRPr="00F30784">
        <w:rPr>
          <w:rFonts w:ascii="Times New Roman" w:hAnsi="Times New Roman" w:cs="Times New Roman"/>
          <w:sz w:val="24"/>
          <w:szCs w:val="24"/>
          <w14:ligatures w14:val="standardContextual"/>
        </w:rPr>
        <w:t>ta.</w:t>
      </w:r>
    </w:p>
    <w:p w14:paraId="010293E3" w14:textId="2FFC5D24" w:rsidR="00DD7316" w:rsidRPr="00F30784" w:rsidRDefault="00C72C88" w:rsidP="00D3242D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4"/>
          <w:szCs w:val="24"/>
          <w14:ligatures w14:val="standardContextual"/>
        </w:rPr>
      </w:pPr>
      <w:r w:rsidRPr="00F30784">
        <w:rPr>
          <w:rFonts w:ascii="Times New Roman" w:hAnsi="Times New Roman" w:cs="Times New Roman"/>
          <w:sz w:val="24"/>
          <w:szCs w:val="24"/>
          <w14:ligatures w14:val="standardContextual"/>
        </w:rPr>
        <w:t>-</w:t>
      </w:r>
      <w:r w:rsidR="0046438F" w:rsidRPr="00F30784"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 gorączka Pontiac – postać pozapłucna</w:t>
      </w:r>
      <w:r w:rsidR="000F73E3" w:rsidRPr="00F30784">
        <w:rPr>
          <w:rFonts w:ascii="Times New Roman" w:hAnsi="Times New Roman" w:cs="Times New Roman"/>
          <w:sz w:val="24"/>
          <w:szCs w:val="24"/>
          <w14:ligatures w14:val="standardContextual"/>
        </w:rPr>
        <w:t>, łagodna,  z objawami grypopodobnymi</w:t>
      </w:r>
      <w:r w:rsidR="00080560" w:rsidRPr="00F30784">
        <w:rPr>
          <w:rFonts w:ascii="Times New Roman" w:hAnsi="Times New Roman" w:cs="Times New Roman"/>
          <w:sz w:val="24"/>
          <w:szCs w:val="24"/>
          <w14:ligatures w14:val="standardContextual"/>
        </w:rPr>
        <w:t>: wzrost ciepłoty ciała, bóle głowy, bóle mięśniowe, zakażenie górnych dróg oddechowych</w:t>
      </w:r>
      <w:r w:rsidR="00AA27F4" w:rsidRPr="00F30784"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. Wyzdrowienie następuje samoistnie </w:t>
      </w:r>
      <w:r w:rsidR="00DD7316" w:rsidRPr="00F30784">
        <w:rPr>
          <w:rFonts w:ascii="Times New Roman" w:hAnsi="Times New Roman" w:cs="Times New Roman"/>
          <w:sz w:val="24"/>
          <w:szCs w:val="24"/>
          <w14:ligatures w14:val="standardContextual"/>
        </w:rPr>
        <w:t>w ciągu kilku dni</w:t>
      </w:r>
      <w:r w:rsidR="00F144BC" w:rsidRPr="00F30784">
        <w:rPr>
          <w:rFonts w:ascii="Times New Roman" w:hAnsi="Times New Roman" w:cs="Times New Roman"/>
          <w:sz w:val="24"/>
          <w:szCs w:val="24"/>
          <w14:ligatures w14:val="standardContextual"/>
        </w:rPr>
        <w:t>,</w:t>
      </w:r>
      <w:r w:rsidR="00867252" w:rsidRPr="00F30784"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 a śmiertelność 0%</w:t>
      </w:r>
    </w:p>
    <w:p w14:paraId="57056AB2" w14:textId="45FAB95B" w:rsidR="001359CB" w:rsidRPr="00F30784" w:rsidRDefault="00DD7316" w:rsidP="00D3242D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4"/>
          <w:szCs w:val="24"/>
          <w14:ligatures w14:val="standardContextual"/>
        </w:rPr>
      </w:pPr>
      <w:r w:rsidRPr="00F30784">
        <w:rPr>
          <w:rFonts w:ascii="Times New Roman" w:hAnsi="Times New Roman" w:cs="Times New Roman"/>
          <w:sz w:val="24"/>
          <w:szCs w:val="24"/>
          <w14:ligatures w14:val="standardContextual"/>
        </w:rPr>
        <w:t>- postać pozapłucna ciężka – choroba przebiega z zakażeniem uogólnionym</w:t>
      </w:r>
      <w:r w:rsidR="00856BD2" w:rsidRPr="00F30784">
        <w:rPr>
          <w:rFonts w:ascii="Times New Roman" w:hAnsi="Times New Roman" w:cs="Times New Roman"/>
          <w:sz w:val="24"/>
          <w:szCs w:val="24"/>
          <w14:ligatures w14:val="standardContextual"/>
        </w:rPr>
        <w:t>, któremu może towarzyszyć sepsa lub zespól rozsianej zakrzepicy</w:t>
      </w:r>
      <w:r w:rsidR="00D75E00" w:rsidRPr="00F30784"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 wewnątrz naczyniowej. Ta postać</w:t>
      </w:r>
      <w:r w:rsidR="00856BD2" w:rsidRPr="00F30784"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 choroby dotyka głównie pacjentów szpitalnych </w:t>
      </w:r>
      <w:r w:rsidR="00867252" w:rsidRPr="00F30784">
        <w:rPr>
          <w:rFonts w:ascii="Times New Roman" w:hAnsi="Times New Roman" w:cs="Times New Roman"/>
          <w:sz w:val="24"/>
          <w:szCs w:val="24"/>
          <w14:ligatures w14:val="standardContextual"/>
        </w:rPr>
        <w:t>np. w trakcie immunosupresji.</w:t>
      </w:r>
      <w:r w:rsidR="00D75E00" w:rsidRPr="00F30784"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 Śmiertelność w </w:t>
      </w:r>
      <w:r w:rsidR="00BF0390">
        <w:rPr>
          <w:rFonts w:ascii="Times New Roman" w:hAnsi="Times New Roman" w:cs="Times New Roman"/>
          <w:sz w:val="24"/>
          <w:szCs w:val="24"/>
          <w14:ligatures w14:val="standardContextual"/>
        </w:rPr>
        <w:t>tej postaci choroby wynosi 20-25</w:t>
      </w:r>
      <w:bookmarkStart w:id="0" w:name="_GoBack"/>
      <w:bookmarkEnd w:id="0"/>
      <w:r w:rsidR="00D75E00" w:rsidRPr="00F30784">
        <w:rPr>
          <w:rFonts w:ascii="Times New Roman" w:hAnsi="Times New Roman" w:cs="Times New Roman"/>
          <w:sz w:val="24"/>
          <w:szCs w:val="24"/>
          <w14:ligatures w14:val="standardContextual"/>
        </w:rPr>
        <w:t>%.</w:t>
      </w:r>
      <w:r w:rsidR="0075484D" w:rsidRPr="00F30784"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  </w:t>
      </w:r>
    </w:p>
    <w:p w14:paraId="7177EE76" w14:textId="1727C862" w:rsidR="001E7F78" w:rsidRPr="00F30784" w:rsidRDefault="001359CB" w:rsidP="00D3242D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4"/>
          <w:szCs w:val="24"/>
          <w14:ligatures w14:val="standardContextual"/>
        </w:rPr>
      </w:pPr>
      <w:r w:rsidRPr="00F30784">
        <w:rPr>
          <w:rFonts w:ascii="Times New Roman" w:hAnsi="Times New Roman" w:cs="Times New Roman"/>
          <w:b/>
          <w:sz w:val="24"/>
          <w:szCs w:val="24"/>
          <w14:ligatures w14:val="standardContextual"/>
        </w:rPr>
        <w:t>Źródłem zakażenia</w:t>
      </w:r>
      <w:r w:rsidRPr="00F30784"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 </w:t>
      </w:r>
      <w:r w:rsidR="009E7582" w:rsidRPr="00F30784"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jest </w:t>
      </w:r>
      <w:r w:rsidR="00BF3376" w:rsidRPr="00F30784"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aerozol wodno-powietrzny wytwarzany </w:t>
      </w:r>
      <w:r w:rsidR="00A46925" w:rsidRPr="00F30784"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przez urządzenia sanitarne </w:t>
      </w:r>
      <w:r w:rsidR="00F144BC" w:rsidRPr="00F30784">
        <w:rPr>
          <w:rFonts w:ascii="Times New Roman" w:hAnsi="Times New Roman" w:cs="Times New Roman"/>
          <w:sz w:val="24"/>
          <w:szCs w:val="24"/>
          <w14:ligatures w14:val="standardContextual"/>
        </w:rPr>
        <w:t>typu wanny, umywalki, prysznice</w:t>
      </w:r>
      <w:r w:rsidR="00A46925" w:rsidRPr="00F30784">
        <w:rPr>
          <w:rFonts w:ascii="Times New Roman" w:hAnsi="Times New Roman" w:cs="Times New Roman"/>
          <w:sz w:val="24"/>
          <w:szCs w:val="24"/>
          <w14:ligatures w14:val="standardContextual"/>
        </w:rPr>
        <w:t>,</w:t>
      </w:r>
      <w:r w:rsidR="00F144BC" w:rsidRPr="00F30784"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 a także </w:t>
      </w:r>
      <w:r w:rsidR="00A46925" w:rsidRPr="00F30784"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 fontanny,</w:t>
      </w:r>
      <w:r w:rsidR="009E7582" w:rsidRPr="00F30784"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 kurtyny wodne, klimatyzacja</w:t>
      </w:r>
      <w:r w:rsidR="00E44EC6" w:rsidRPr="00F30784"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. Choroba nie </w:t>
      </w:r>
      <w:r w:rsidR="001E7F78" w:rsidRPr="00F30784">
        <w:rPr>
          <w:rFonts w:ascii="Times New Roman" w:hAnsi="Times New Roman" w:cs="Times New Roman"/>
          <w:sz w:val="24"/>
          <w:szCs w:val="24"/>
          <w14:ligatures w14:val="standardContextual"/>
        </w:rPr>
        <w:t>przenosi się z człowieka na człowieka.</w:t>
      </w:r>
    </w:p>
    <w:p w14:paraId="071164BA" w14:textId="526A37E8" w:rsidR="00D95AED" w:rsidRPr="00F30784" w:rsidRDefault="001E7F78" w:rsidP="00D3242D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4"/>
          <w:szCs w:val="24"/>
          <w14:ligatures w14:val="standardContextual"/>
        </w:rPr>
      </w:pPr>
      <w:r w:rsidRPr="00611907">
        <w:rPr>
          <w:rFonts w:ascii="Times New Roman" w:hAnsi="Times New Roman" w:cs="Times New Roman"/>
          <w:b/>
          <w:sz w:val="24"/>
          <w:szCs w:val="24"/>
          <w14:ligatures w14:val="standardContextual"/>
        </w:rPr>
        <w:t>Okres wylęgania</w:t>
      </w:r>
      <w:r w:rsidRPr="00F30784"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 zależy od postaci choroby i wynosi</w:t>
      </w:r>
      <w:r w:rsidR="00D02D43" w:rsidRPr="00F30784"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 </w:t>
      </w:r>
      <w:r w:rsidR="00805278" w:rsidRPr="00F30784"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dla postaci płucnej 5-6 dni, </w:t>
      </w:r>
      <w:r w:rsidR="00611907">
        <w:rPr>
          <w:rFonts w:ascii="Times New Roman" w:hAnsi="Times New Roman" w:cs="Times New Roman"/>
          <w:sz w:val="24"/>
          <w:szCs w:val="24"/>
          <w14:ligatures w14:val="standardContextual"/>
        </w:rPr>
        <w:br/>
      </w:r>
      <w:r w:rsidR="00805278" w:rsidRPr="00F30784">
        <w:rPr>
          <w:rFonts w:ascii="Times New Roman" w:hAnsi="Times New Roman" w:cs="Times New Roman"/>
          <w:sz w:val="24"/>
          <w:szCs w:val="24"/>
          <w14:ligatures w14:val="standardContextual"/>
        </w:rPr>
        <w:t>w przypadkach krańcowych 2-18 dni, a u osób z obniżoną odpornością nawet do 3 tygodni.</w:t>
      </w:r>
      <w:r w:rsidR="00D95AED" w:rsidRPr="00F30784"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 </w:t>
      </w:r>
    </w:p>
    <w:p w14:paraId="542B9906" w14:textId="77777777" w:rsidR="00235724" w:rsidRDefault="00235724" w:rsidP="00235724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4"/>
          <w:szCs w:val="24"/>
          <w14:ligatures w14:val="standardContextual"/>
        </w:rPr>
      </w:pPr>
      <w:r w:rsidRPr="00235724">
        <w:rPr>
          <w:rFonts w:ascii="Times New Roman" w:hAnsi="Times New Roman" w:cs="Times New Roman"/>
          <w:sz w:val="24"/>
          <w:szCs w:val="24"/>
          <w14:ligatures w14:val="standardContextual"/>
        </w:rPr>
        <w:t>W otoczeniu człowieka bakterie</w:t>
      </w:r>
      <w:r w:rsidRPr="00D3242D"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 </w:t>
      </w:r>
      <w:r w:rsidRPr="00D3242D">
        <w:rPr>
          <w:rFonts w:ascii="Times New Roman" w:hAnsi="Times New Roman" w:cs="Times New Roman"/>
          <w:i/>
          <w:iCs/>
          <w:sz w:val="24"/>
          <w:szCs w:val="24"/>
          <w14:ligatures w14:val="standardContextual"/>
        </w:rPr>
        <w:t xml:space="preserve">Legionella </w:t>
      </w:r>
      <w:r w:rsidRPr="00D3242D">
        <w:rPr>
          <w:rFonts w:ascii="Times New Roman" w:hAnsi="Times New Roman" w:cs="Times New Roman"/>
          <w:sz w:val="24"/>
          <w:szCs w:val="24"/>
          <w14:ligatures w14:val="standardContextual"/>
        </w:rPr>
        <w:t>rozwijają się w sieci</w:t>
      </w:r>
      <w:r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 </w:t>
      </w:r>
      <w:r w:rsidRPr="00D3242D">
        <w:rPr>
          <w:rFonts w:ascii="Times New Roman" w:hAnsi="Times New Roman" w:cs="Times New Roman"/>
          <w:sz w:val="24"/>
          <w:szCs w:val="24"/>
          <w14:ligatures w14:val="standardContextual"/>
        </w:rPr>
        <w:t>wodociągowej i instalacjach wody zimnej i ciepłej, w zbiornikach i wodnych</w:t>
      </w:r>
      <w:r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 </w:t>
      </w:r>
      <w:r w:rsidRPr="00D3242D">
        <w:rPr>
          <w:rFonts w:ascii="Times New Roman" w:hAnsi="Times New Roman" w:cs="Times New Roman"/>
          <w:sz w:val="24"/>
          <w:szCs w:val="24"/>
          <w14:ligatures w14:val="standardContextual"/>
        </w:rPr>
        <w:t>urządzeniach chłodniczych i klimatyzacyjnych, a także w podgrzewaczach</w:t>
      </w:r>
      <w:r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 </w:t>
      </w:r>
      <w:r w:rsidRPr="00D3242D">
        <w:rPr>
          <w:rFonts w:ascii="Times New Roman" w:hAnsi="Times New Roman" w:cs="Times New Roman"/>
          <w:sz w:val="24"/>
          <w:szCs w:val="24"/>
          <w14:ligatures w14:val="standardContextual"/>
        </w:rPr>
        <w:t>wody. Wzrost występowania notuje się zwłaszcza w przewodach i</w:t>
      </w:r>
      <w:r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 </w:t>
      </w:r>
      <w:r w:rsidRPr="00D3242D">
        <w:rPr>
          <w:rFonts w:ascii="Times New Roman" w:hAnsi="Times New Roman" w:cs="Times New Roman"/>
          <w:sz w:val="24"/>
          <w:szCs w:val="24"/>
          <w14:ligatures w14:val="standardContextual"/>
        </w:rPr>
        <w:t>urządzeniach zawierających osad denny i rdzę.</w:t>
      </w:r>
    </w:p>
    <w:p w14:paraId="279A540C" w14:textId="77777777" w:rsidR="00AF75E9" w:rsidRDefault="00235724" w:rsidP="00D3242D">
      <w:pPr>
        <w:spacing w:before="100" w:before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Jak </w:t>
      </w:r>
      <w:r w:rsidR="00695A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zatem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uniknąć zakażenia?</w:t>
      </w:r>
    </w:p>
    <w:p w14:paraId="6697142B" w14:textId="77777777" w:rsidR="001477BF" w:rsidRDefault="00235724" w:rsidP="00235724">
      <w:pPr>
        <w:spacing w:before="100" w:beforeAutospacing="1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242D">
        <w:rPr>
          <w:rFonts w:ascii="Times New Roman" w:hAnsi="Times New Roman" w:cs="Times New Roman"/>
          <w:sz w:val="24"/>
          <w:szCs w:val="24"/>
        </w:rPr>
        <w:t>Legionella najlepiej się rozwija w wodzie o temperaturze pomiędzy 25 a 45 stopni C</w:t>
      </w:r>
      <w:r w:rsidR="001477BF">
        <w:rPr>
          <w:rFonts w:ascii="Times New Roman" w:hAnsi="Times New Roman" w:cs="Times New Roman"/>
          <w:sz w:val="24"/>
          <w:szCs w:val="24"/>
        </w:rPr>
        <w:t>, ale g</w:t>
      </w:r>
      <w:r w:rsidR="001477BF" w:rsidRPr="00D3242D">
        <w:rPr>
          <w:rFonts w:ascii="Times New Roman" w:hAnsi="Times New Roman" w:cs="Times New Roman"/>
          <w:sz w:val="24"/>
          <w:szCs w:val="24"/>
        </w:rPr>
        <w:t>dy temperatura wody osiąga 55 stopni C, żyje około 20 minut, przy 60 stopniach C</w:t>
      </w:r>
      <w:r w:rsidR="00695A6F">
        <w:rPr>
          <w:rFonts w:ascii="Times New Roman" w:hAnsi="Times New Roman" w:cs="Times New Roman"/>
          <w:sz w:val="24"/>
          <w:szCs w:val="24"/>
        </w:rPr>
        <w:t xml:space="preserve"> </w:t>
      </w:r>
      <w:r w:rsidR="001477BF" w:rsidRPr="00D3242D">
        <w:rPr>
          <w:rFonts w:ascii="Times New Roman" w:hAnsi="Times New Roman" w:cs="Times New Roman"/>
          <w:sz w:val="24"/>
          <w:szCs w:val="24"/>
        </w:rPr>
        <w:t xml:space="preserve">- już tylko 2 minuty, a przy temperaturze około 70 stopni C – ginie. </w:t>
      </w:r>
      <w:r w:rsidR="001477BF">
        <w:rPr>
          <w:rFonts w:ascii="Times New Roman" w:hAnsi="Times New Roman" w:cs="Times New Roman"/>
          <w:sz w:val="24"/>
          <w:szCs w:val="24"/>
        </w:rPr>
        <w:t xml:space="preserve">Dlatego należy </w:t>
      </w:r>
      <w:r w:rsidR="001477BF" w:rsidRPr="001477BF">
        <w:rPr>
          <w:rFonts w:ascii="Times New Roman" w:hAnsi="Times New Roman" w:cs="Times New Roman"/>
          <w:sz w:val="24"/>
          <w:szCs w:val="24"/>
        </w:rPr>
        <w:t>utrzymać w punktach wypływu wody z kranu temperatury wody o wartości co najmniej 55</w:t>
      </w:r>
      <w:r w:rsidR="001477BF">
        <w:rPr>
          <w:rFonts w:ascii="Times New Roman" w:hAnsi="Times New Roman" w:cs="Times New Roman"/>
          <w:sz w:val="24"/>
          <w:szCs w:val="24"/>
        </w:rPr>
        <w:t xml:space="preserve"> stopni </w:t>
      </w:r>
      <w:r w:rsidR="001477BF" w:rsidRPr="001477BF">
        <w:rPr>
          <w:rFonts w:ascii="Times New Roman" w:hAnsi="Times New Roman" w:cs="Times New Roman"/>
          <w:sz w:val="24"/>
          <w:szCs w:val="24"/>
        </w:rPr>
        <w:t>C</w:t>
      </w:r>
      <w:r w:rsidR="001477BF">
        <w:rPr>
          <w:rFonts w:ascii="Times New Roman" w:hAnsi="Times New Roman" w:cs="Times New Roman"/>
          <w:sz w:val="24"/>
          <w:szCs w:val="24"/>
        </w:rPr>
        <w:t>.</w:t>
      </w:r>
    </w:p>
    <w:p w14:paraId="4CED9E38" w14:textId="77777777" w:rsidR="001477BF" w:rsidRDefault="001477BF" w:rsidP="001477BF">
      <w:pPr>
        <w:spacing w:before="100" w:beforeAutospacing="1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przypadku podgrzewaczy wody należy z</w:t>
      </w:r>
      <w:r w:rsidRPr="001477BF">
        <w:rPr>
          <w:rFonts w:ascii="Times New Roman" w:hAnsi="Times New Roman" w:cs="Times New Roman"/>
          <w:sz w:val="24"/>
          <w:szCs w:val="24"/>
        </w:rPr>
        <w:t>apewni</w:t>
      </w:r>
      <w:r>
        <w:rPr>
          <w:rFonts w:ascii="Times New Roman" w:hAnsi="Times New Roman" w:cs="Times New Roman"/>
          <w:sz w:val="24"/>
          <w:szCs w:val="24"/>
        </w:rPr>
        <w:t>ć</w:t>
      </w:r>
      <w:r w:rsidRPr="001477BF">
        <w:rPr>
          <w:rFonts w:ascii="Times New Roman" w:hAnsi="Times New Roman" w:cs="Times New Roman"/>
          <w:sz w:val="24"/>
          <w:szCs w:val="24"/>
        </w:rPr>
        <w:t xml:space="preserve"> i utrzyma</w:t>
      </w:r>
      <w:r>
        <w:rPr>
          <w:rFonts w:ascii="Times New Roman" w:hAnsi="Times New Roman" w:cs="Times New Roman"/>
          <w:sz w:val="24"/>
          <w:szCs w:val="24"/>
        </w:rPr>
        <w:t>ć</w:t>
      </w:r>
      <w:r w:rsidRPr="001477BF">
        <w:rPr>
          <w:rFonts w:ascii="Times New Roman" w:hAnsi="Times New Roman" w:cs="Times New Roman"/>
          <w:sz w:val="24"/>
          <w:szCs w:val="24"/>
        </w:rPr>
        <w:t xml:space="preserve"> w </w:t>
      </w:r>
      <w:r>
        <w:rPr>
          <w:rFonts w:ascii="Times New Roman" w:hAnsi="Times New Roman" w:cs="Times New Roman"/>
          <w:sz w:val="24"/>
          <w:szCs w:val="24"/>
        </w:rPr>
        <w:t>nim</w:t>
      </w:r>
      <w:r w:rsidRPr="001477BF">
        <w:rPr>
          <w:rFonts w:ascii="Times New Roman" w:hAnsi="Times New Roman" w:cs="Times New Roman"/>
          <w:sz w:val="24"/>
          <w:szCs w:val="24"/>
        </w:rPr>
        <w:t xml:space="preserve"> temperatury wody o wartości co najmniej 60</w:t>
      </w:r>
      <w:r>
        <w:rPr>
          <w:rFonts w:ascii="Times New Roman" w:hAnsi="Times New Roman" w:cs="Times New Roman"/>
          <w:sz w:val="24"/>
          <w:szCs w:val="24"/>
        </w:rPr>
        <w:t xml:space="preserve"> stopni </w:t>
      </w:r>
      <w:r w:rsidRPr="001477BF">
        <w:rPr>
          <w:rFonts w:ascii="Times New Roman" w:hAnsi="Times New Roman" w:cs="Times New Roman"/>
          <w:sz w:val="24"/>
          <w:szCs w:val="24"/>
        </w:rPr>
        <w:t>C.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77BF">
        <w:rPr>
          <w:rFonts w:ascii="Times New Roman" w:hAnsi="Times New Roman" w:cs="Times New Roman"/>
          <w:sz w:val="24"/>
          <w:szCs w:val="24"/>
        </w:rPr>
        <w:t>Podgrzewacz wody po dłuższym okresie nieużytkowania powinien być opróżniony z wody i poddany zabiegom czyszczenia.</w:t>
      </w:r>
    </w:p>
    <w:p w14:paraId="52DBBA10" w14:textId="77777777" w:rsidR="00695A6F" w:rsidRDefault="00695A6F" w:rsidP="00235724">
      <w:pPr>
        <w:spacing w:before="100" w:beforeAutospacing="1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5A6F">
        <w:rPr>
          <w:rFonts w:ascii="Times New Roman" w:hAnsi="Times New Roman" w:cs="Times New Roman"/>
          <w:sz w:val="24"/>
          <w:szCs w:val="24"/>
        </w:rPr>
        <w:t xml:space="preserve">Wskazane jest </w:t>
      </w:r>
      <w:r>
        <w:rPr>
          <w:rFonts w:ascii="Times New Roman" w:hAnsi="Times New Roman" w:cs="Times New Roman"/>
          <w:sz w:val="24"/>
          <w:szCs w:val="24"/>
        </w:rPr>
        <w:t xml:space="preserve">systematyczne </w:t>
      </w:r>
      <w:r w:rsidRPr="00695A6F">
        <w:rPr>
          <w:rFonts w:ascii="Times New Roman" w:hAnsi="Times New Roman" w:cs="Times New Roman"/>
          <w:sz w:val="24"/>
          <w:szCs w:val="24"/>
        </w:rPr>
        <w:t>płukanie wewnętrznych systemów wodociągowych wody ciepłej, tak długo aż woda wypływająca z punktu jej wypływu osiągnie maksymalną temperaturę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27DCAFB" w14:textId="77777777" w:rsidR="00235724" w:rsidRDefault="00695A6F" w:rsidP="00695A6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242D">
        <w:rPr>
          <w:rFonts w:ascii="Times New Roman" w:hAnsi="Times New Roman" w:cs="Times New Roman"/>
          <w:sz w:val="24"/>
          <w:szCs w:val="24"/>
        </w:rPr>
        <w:t xml:space="preserve">W przypadku niekorzystania z wody w obiekcie spowodowanej np. dłuższą nieobecnością, </w:t>
      </w:r>
      <w:r w:rsidR="001477BF" w:rsidRPr="00D3242D">
        <w:rPr>
          <w:rFonts w:ascii="Times New Roman" w:hAnsi="Times New Roman" w:cs="Times New Roman"/>
          <w:sz w:val="24"/>
          <w:szCs w:val="24"/>
        </w:rPr>
        <w:t>aby uniknąć zakażenia należy spuszczać przez kilka minut gorącą wodę we wszystkich kranach i prysznicach, po uprzednim zdemontowaniu napowietrzaczy, perlatorów i słuchawek prysznicowych.</w:t>
      </w:r>
    </w:p>
    <w:sectPr w:rsidR="002357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8CC0423" w14:textId="77777777" w:rsidR="00ED2BAF" w:rsidRDefault="00ED2BAF" w:rsidP="002666BD">
      <w:pPr>
        <w:spacing w:after="0" w:line="240" w:lineRule="auto"/>
      </w:pPr>
      <w:r>
        <w:separator/>
      </w:r>
    </w:p>
  </w:endnote>
  <w:endnote w:type="continuationSeparator" w:id="0">
    <w:p w14:paraId="6481A895" w14:textId="77777777" w:rsidR="00ED2BAF" w:rsidRDefault="00ED2BAF" w:rsidP="002666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1B17FD1" w14:textId="77777777" w:rsidR="00ED2BAF" w:rsidRDefault="00ED2BAF" w:rsidP="002666BD">
      <w:pPr>
        <w:spacing w:after="0" w:line="240" w:lineRule="auto"/>
      </w:pPr>
      <w:r>
        <w:separator/>
      </w:r>
    </w:p>
  </w:footnote>
  <w:footnote w:type="continuationSeparator" w:id="0">
    <w:p w14:paraId="4519F085" w14:textId="77777777" w:rsidR="00ED2BAF" w:rsidRDefault="00ED2BAF" w:rsidP="002666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CF544D"/>
    <w:multiLevelType w:val="multilevel"/>
    <w:tmpl w:val="C0D64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046E"/>
    <w:rsid w:val="00080560"/>
    <w:rsid w:val="000F73E3"/>
    <w:rsid w:val="00125DDB"/>
    <w:rsid w:val="00133EC7"/>
    <w:rsid w:val="0013514C"/>
    <w:rsid w:val="001359CB"/>
    <w:rsid w:val="001427AE"/>
    <w:rsid w:val="001477BF"/>
    <w:rsid w:val="001E7F78"/>
    <w:rsid w:val="00235724"/>
    <w:rsid w:val="002666BD"/>
    <w:rsid w:val="00423756"/>
    <w:rsid w:val="0046438F"/>
    <w:rsid w:val="00466BED"/>
    <w:rsid w:val="0050046E"/>
    <w:rsid w:val="0058706C"/>
    <w:rsid w:val="00596DF2"/>
    <w:rsid w:val="00611907"/>
    <w:rsid w:val="00661E02"/>
    <w:rsid w:val="00686DBC"/>
    <w:rsid w:val="00695A6F"/>
    <w:rsid w:val="0075484D"/>
    <w:rsid w:val="00770309"/>
    <w:rsid w:val="007F2EFC"/>
    <w:rsid w:val="00804F19"/>
    <w:rsid w:val="00805278"/>
    <w:rsid w:val="00856BD2"/>
    <w:rsid w:val="00867252"/>
    <w:rsid w:val="00980A3C"/>
    <w:rsid w:val="009E7582"/>
    <w:rsid w:val="00A46925"/>
    <w:rsid w:val="00A97B6A"/>
    <w:rsid w:val="00AA27F4"/>
    <w:rsid w:val="00AF75E9"/>
    <w:rsid w:val="00BC0DAA"/>
    <w:rsid w:val="00BF0390"/>
    <w:rsid w:val="00BF3376"/>
    <w:rsid w:val="00C72C88"/>
    <w:rsid w:val="00CD2DAD"/>
    <w:rsid w:val="00D02D43"/>
    <w:rsid w:val="00D3242D"/>
    <w:rsid w:val="00D55AB2"/>
    <w:rsid w:val="00D75E00"/>
    <w:rsid w:val="00D95AED"/>
    <w:rsid w:val="00DD7316"/>
    <w:rsid w:val="00DF6AAE"/>
    <w:rsid w:val="00E44EC6"/>
    <w:rsid w:val="00ED2BAF"/>
    <w:rsid w:val="00F144BC"/>
    <w:rsid w:val="00F30784"/>
    <w:rsid w:val="00F81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84A3BA"/>
  <w15:chartTrackingRefBased/>
  <w15:docId w15:val="{EFAE0604-10C0-40D4-A278-F7D1A791C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F6AAE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666B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666BD"/>
    <w:rPr>
      <w:kern w:val="0"/>
      <w:sz w:val="20"/>
      <w:szCs w:val="20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666B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392</Words>
  <Characters>2354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WSSE Warszawa - Beata Grudowska</dc:creator>
  <cp:keywords/>
  <dc:description/>
  <cp:lastModifiedBy>Agnieszka Dąbrowska</cp:lastModifiedBy>
  <cp:revision>4</cp:revision>
  <dcterms:created xsi:type="dcterms:W3CDTF">2023-08-25T10:59:00Z</dcterms:created>
  <dcterms:modified xsi:type="dcterms:W3CDTF">2023-08-25T13:05:00Z</dcterms:modified>
</cp:coreProperties>
</file>