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4A8B7" w14:textId="77777777" w:rsidR="00D448EA" w:rsidRPr="00F101EC" w:rsidRDefault="00D448EA" w:rsidP="00D448EA">
      <w:pPr>
        <w:pStyle w:val="BalloonText"/>
        <w:jc w:val="center"/>
        <w:rPr>
          <w:rFonts w:asciiTheme="minorHAnsi" w:eastAsiaTheme="majorEastAsia" w:hAnsiTheme="minorHAnsi" w:cstheme="minorBidi"/>
          <w:color w:val="0E2841" w:themeColor="text2"/>
          <w:sz w:val="60"/>
          <w:szCs w:val="60"/>
          <w:lang w:val="en-US"/>
        </w:rPr>
      </w:pPr>
      <w:r w:rsidRPr="00F101EC">
        <w:rPr>
          <w:rFonts w:asciiTheme="minorHAnsi" w:eastAsiaTheme="majorEastAsia" w:hAnsiTheme="minorHAnsi" w:cstheme="minorBidi"/>
          <w:color w:val="0E2841" w:themeColor="text2"/>
          <w:sz w:val="60"/>
          <w:szCs w:val="60"/>
          <w:lang w:val="en-US"/>
        </w:rPr>
        <w:t>ENVIRONMENTAL AND SOCIAL IMPACT ASSESSMENT (ESIA)</w:t>
      </w:r>
    </w:p>
    <w:p w14:paraId="40C31E4D" w14:textId="77777777" w:rsidR="00616BF8" w:rsidRPr="00F101EC" w:rsidRDefault="00616BF8" w:rsidP="00616BF8">
      <w:pPr>
        <w:jc w:val="center"/>
        <w:rPr>
          <w:rFonts w:asciiTheme="minorHAnsi" w:eastAsia="Aptos" w:hAnsiTheme="minorHAnsi"/>
          <w:b/>
          <w:bCs/>
          <w:noProof w:val="0"/>
          <w:kern w:val="0"/>
          <w:sz w:val="28"/>
          <w:szCs w:val="28"/>
          <w:lang w:val="en-US"/>
          <w14:ligatures w14:val="none"/>
        </w:rPr>
      </w:pPr>
    </w:p>
    <w:p w14:paraId="5BD2EE0F" w14:textId="77777777" w:rsidR="00616BF8" w:rsidRPr="00F101EC" w:rsidRDefault="00616BF8" w:rsidP="00616BF8">
      <w:pPr>
        <w:jc w:val="center"/>
        <w:rPr>
          <w:rFonts w:asciiTheme="minorHAnsi" w:eastAsia="Aptos" w:hAnsiTheme="minorHAnsi"/>
          <w:b/>
          <w:bCs/>
          <w:noProof w:val="0"/>
          <w:kern w:val="0"/>
          <w:sz w:val="28"/>
          <w:szCs w:val="28"/>
          <w:lang w:val="en-US"/>
          <w14:ligatures w14:val="none"/>
        </w:rPr>
      </w:pPr>
    </w:p>
    <w:p w14:paraId="5950CB79" w14:textId="77777777" w:rsidR="00616BF8" w:rsidRPr="00F101EC" w:rsidRDefault="00616BF8" w:rsidP="00D448EA">
      <w:pPr>
        <w:rPr>
          <w:rFonts w:asciiTheme="minorHAnsi" w:eastAsia="Aptos" w:hAnsiTheme="minorHAnsi"/>
          <w:b/>
          <w:bCs/>
          <w:noProof w:val="0"/>
          <w:kern w:val="0"/>
          <w:sz w:val="28"/>
          <w:szCs w:val="28"/>
          <w:lang w:val="en-US"/>
          <w14:ligatures w14:val="none"/>
        </w:rPr>
      </w:pPr>
    </w:p>
    <w:p w14:paraId="19A97F70" w14:textId="444655A7" w:rsidR="00DF58AA" w:rsidRPr="00F101EC" w:rsidRDefault="00563462" w:rsidP="0010687E">
      <w:pPr>
        <w:jc w:val="center"/>
        <w:rPr>
          <w:rFonts w:asciiTheme="minorHAnsi" w:eastAsia="Aptos" w:hAnsiTheme="minorHAnsi"/>
          <w:b/>
          <w:bCs/>
          <w:noProof w:val="0"/>
          <w:kern w:val="0"/>
          <w:sz w:val="36"/>
          <w:szCs w:val="36"/>
          <w:lang w:val="en-US"/>
          <w14:ligatures w14:val="none"/>
        </w:rPr>
      </w:pPr>
      <w:r w:rsidRPr="00F101EC">
        <w:rPr>
          <w:rFonts w:asciiTheme="minorHAnsi" w:eastAsia="Aptos" w:hAnsiTheme="minorHAnsi"/>
          <w:b/>
          <w:bCs/>
          <w:noProof w:val="0"/>
          <w:kern w:val="0"/>
          <w:sz w:val="36"/>
          <w:szCs w:val="36"/>
          <w:lang w:val="en-US"/>
          <w14:ligatures w14:val="none"/>
        </w:rPr>
        <w:t>Appendix 13.7</w:t>
      </w:r>
      <w:r w:rsidR="00616BF8" w:rsidRPr="00F101EC">
        <w:rPr>
          <w:rFonts w:asciiTheme="minorHAnsi" w:eastAsia="Aptos" w:hAnsiTheme="minorHAnsi"/>
          <w:b/>
          <w:bCs/>
          <w:noProof w:val="0"/>
          <w:kern w:val="0"/>
          <w:sz w:val="36"/>
          <w:szCs w:val="36"/>
          <w:lang w:val="en-US"/>
          <w14:ligatures w14:val="none"/>
        </w:rPr>
        <w:t xml:space="preserve"> </w:t>
      </w:r>
      <w:r w:rsidR="000B528C" w:rsidRPr="00F101EC">
        <w:rPr>
          <w:rFonts w:asciiTheme="minorHAnsi" w:eastAsia="Aptos" w:hAnsiTheme="minorHAnsi"/>
          <w:b/>
          <w:bCs/>
          <w:noProof w:val="0"/>
          <w:kern w:val="0"/>
          <w:sz w:val="36"/>
          <w:szCs w:val="36"/>
          <w:lang w:val="en-US"/>
          <w14:ligatures w14:val="none"/>
        </w:rPr>
        <w:t>Invasive Alien Spiecies Management Plan (</w:t>
      </w:r>
      <w:r w:rsidR="00DF58AA" w:rsidRPr="00F101EC">
        <w:rPr>
          <w:rFonts w:asciiTheme="minorHAnsi" w:eastAsia="Aptos" w:hAnsiTheme="minorHAnsi"/>
          <w:b/>
          <w:bCs/>
          <w:noProof w:val="0"/>
          <w:kern w:val="0"/>
          <w:sz w:val="36"/>
          <w:szCs w:val="36"/>
          <w:lang w:val="en-US"/>
          <w14:ligatures w14:val="none"/>
        </w:rPr>
        <w:t>IASMP</w:t>
      </w:r>
      <w:r w:rsidR="000B528C" w:rsidRPr="00F101EC">
        <w:rPr>
          <w:rFonts w:asciiTheme="minorHAnsi" w:eastAsia="Aptos" w:hAnsiTheme="minorHAnsi"/>
          <w:b/>
          <w:bCs/>
          <w:noProof w:val="0"/>
          <w:kern w:val="0"/>
          <w:sz w:val="36"/>
          <w:szCs w:val="36"/>
          <w:lang w:val="en-US"/>
          <w14:ligatures w14:val="none"/>
        </w:rPr>
        <w:t>)</w:t>
      </w:r>
    </w:p>
    <w:p w14:paraId="6B3B3EE5" w14:textId="77777777" w:rsidR="0010687E" w:rsidRPr="00F101EC" w:rsidRDefault="0010687E" w:rsidP="0010687E">
      <w:pPr>
        <w:jc w:val="center"/>
        <w:rPr>
          <w:rFonts w:asciiTheme="minorHAnsi" w:eastAsia="Aptos" w:hAnsiTheme="minorHAnsi"/>
          <w:b/>
          <w:bCs/>
          <w:noProof w:val="0"/>
          <w:kern w:val="0"/>
          <w:sz w:val="36"/>
          <w:szCs w:val="36"/>
          <w:lang w:val="en-US"/>
          <w14:ligatures w14:val="none"/>
        </w:rPr>
      </w:pPr>
    </w:p>
    <w:p w14:paraId="4FFD1AB2" w14:textId="2C718289" w:rsidR="00E83CBD" w:rsidRPr="00F101EC" w:rsidRDefault="00E83CBD" w:rsidP="00E83CBD">
      <w:pPr>
        <w:spacing w:line="279" w:lineRule="auto"/>
        <w:jc w:val="center"/>
        <w:rPr>
          <w:rFonts w:asciiTheme="minorHAnsi" w:eastAsia="Aptos" w:hAnsiTheme="minorHAnsi"/>
          <w:b/>
          <w:bCs/>
          <w:noProof w:val="0"/>
          <w:kern w:val="0"/>
          <w:sz w:val="28"/>
          <w:szCs w:val="28"/>
          <w:lang w:val="en-US"/>
          <w14:ligatures w14:val="none"/>
        </w:rPr>
      </w:pPr>
      <w:r w:rsidRPr="00F101EC">
        <w:rPr>
          <w:rFonts w:asciiTheme="minorHAnsi" w:eastAsia="Aptos" w:hAnsiTheme="minorHAnsi"/>
          <w:b/>
          <w:bCs/>
          <w:noProof w:val="0"/>
          <w:kern w:val="0"/>
          <w:sz w:val="28"/>
          <w:szCs w:val="28"/>
          <w:lang w:val="en-US"/>
          <w14:ligatures w14:val="none"/>
        </w:rPr>
        <w:t>DRAFT VERSION</w:t>
      </w:r>
    </w:p>
    <w:p w14:paraId="3BF5FB47" w14:textId="77777777" w:rsidR="00E83CBD" w:rsidRPr="00F101EC" w:rsidRDefault="00E83CBD" w:rsidP="00E83CBD">
      <w:pPr>
        <w:autoSpaceDE w:val="0"/>
        <w:autoSpaceDN w:val="0"/>
        <w:adjustRightInd w:val="0"/>
        <w:spacing w:after="0" w:line="240" w:lineRule="auto"/>
        <w:jc w:val="both"/>
        <w:rPr>
          <w:rFonts w:asciiTheme="minorHAnsi" w:eastAsia="Aptos" w:hAnsiTheme="minorHAnsi" w:cs="Calibri"/>
          <w:noProof w:val="0"/>
          <w:color w:val="C00000"/>
          <w:kern w:val="0"/>
          <w:sz w:val="28"/>
          <w:szCs w:val="28"/>
          <w:lang w:val="en-US"/>
          <w14:ligatures w14:val="none"/>
        </w:rPr>
      </w:pPr>
    </w:p>
    <w:p w14:paraId="028C9871" w14:textId="77777777" w:rsidR="001F72D6" w:rsidRPr="00F101EC" w:rsidRDefault="001F72D6" w:rsidP="001F72D6">
      <w:pPr>
        <w:spacing w:line="279" w:lineRule="auto"/>
        <w:rPr>
          <w:rFonts w:asciiTheme="minorHAnsi" w:eastAsia="Aptos" w:hAnsiTheme="minorHAnsi"/>
          <w:noProof w:val="0"/>
          <w:kern w:val="0"/>
          <w:sz w:val="28"/>
          <w:szCs w:val="28"/>
          <w:lang w:val="en-US"/>
          <w14:ligatures w14:val="none"/>
        </w:rPr>
      </w:pPr>
    </w:p>
    <w:p w14:paraId="66C0C5C5" w14:textId="77777777" w:rsidR="001F72D6" w:rsidRPr="00F101EC" w:rsidRDefault="001F72D6" w:rsidP="001F72D6">
      <w:pPr>
        <w:numPr>
          <w:ilvl w:val="1"/>
          <w:numId w:val="0"/>
        </w:numPr>
        <w:spacing w:before="120" w:after="120" w:line="257" w:lineRule="auto"/>
        <w:jc w:val="both"/>
        <w:rPr>
          <w:rFonts w:asciiTheme="minorHAnsi" w:eastAsia="MS Gothic" w:hAnsiTheme="minorHAnsi" w:cs="Times New Roman"/>
          <w:noProof w:val="0"/>
          <w:color w:val="595959"/>
          <w:spacing w:val="15"/>
          <w:sz w:val="28"/>
          <w:szCs w:val="28"/>
          <w:lang w:val="en-US"/>
        </w:rPr>
      </w:pPr>
      <w:r w:rsidRPr="00F101EC">
        <w:rPr>
          <w:rFonts w:asciiTheme="minorHAnsi" w:eastAsia="MS Gothic" w:hAnsiTheme="minorHAnsi" w:cs="Times New Roman"/>
          <w:b/>
          <w:bCs/>
          <w:noProof w:val="0"/>
          <w:color w:val="595959"/>
          <w:spacing w:val="15"/>
          <w:sz w:val="28"/>
          <w:szCs w:val="28"/>
          <w:lang w:val="en-US"/>
        </w:rPr>
        <w:t xml:space="preserve">Contract 5.10.1. </w:t>
      </w:r>
      <w:r w:rsidRPr="00F101EC">
        <w:rPr>
          <w:rFonts w:asciiTheme="minorHAnsi" w:eastAsia="MS Gothic" w:hAnsiTheme="minorHAnsi" w:cs="Times New Roman"/>
          <w:noProof w:val="0"/>
          <w:color w:val="595959"/>
          <w:spacing w:val="15"/>
          <w:sz w:val="28"/>
          <w:szCs w:val="28"/>
          <w:lang w:val="en-US"/>
        </w:rPr>
        <w:t>Construction of the Kamieniec Ząbkowicki Reservoir - Preparation of design documentation, including obtaining administrative permits and the provision of Author’s Supervision, as well as the preparation of bidding documents necessary to select a Contractor for future works under the future Poland’s Building Climate Resilience in Water Management Project</w:t>
      </w:r>
    </w:p>
    <w:p w14:paraId="68FF37AA" w14:textId="77777777" w:rsidR="00E83CBD" w:rsidRPr="00F101EC" w:rsidRDefault="00E83CBD" w:rsidP="00E83CBD">
      <w:pPr>
        <w:spacing w:line="279" w:lineRule="auto"/>
        <w:jc w:val="both"/>
        <w:rPr>
          <w:rFonts w:asciiTheme="minorHAnsi" w:eastAsia="Aptos" w:hAnsiTheme="minorHAnsi"/>
          <w:noProof w:val="0"/>
          <w:kern w:val="0"/>
          <w:sz w:val="28"/>
          <w:szCs w:val="28"/>
          <w:lang w:val="en-US"/>
          <w14:ligatures w14:val="none"/>
        </w:rPr>
      </w:pPr>
    </w:p>
    <w:p w14:paraId="22076BF9" w14:textId="5F66FA0C" w:rsidR="00E83CBD" w:rsidRPr="00F101EC" w:rsidRDefault="00E83CBD" w:rsidP="00E83CBD">
      <w:pPr>
        <w:spacing w:line="279" w:lineRule="auto"/>
        <w:jc w:val="both"/>
        <w:rPr>
          <w:rFonts w:asciiTheme="minorHAnsi" w:eastAsia="Aptos" w:hAnsiTheme="minorHAnsi"/>
          <w:noProof w:val="0"/>
          <w:kern w:val="0"/>
          <w:sz w:val="24"/>
          <w:szCs w:val="24"/>
          <w:lang w:val="en-US"/>
          <w14:ligatures w14:val="none"/>
        </w:rPr>
      </w:pPr>
      <w:r w:rsidRPr="00F101EC">
        <w:rPr>
          <w:rFonts w:asciiTheme="minorHAnsi" w:eastAsia="Aptos" w:hAnsiTheme="minorHAnsi"/>
          <w:kern w:val="0"/>
          <w:sz w:val="24"/>
          <w:szCs w:val="24"/>
          <w:lang w:eastAsia="pl-PL"/>
          <w14:ligatures w14:val="none"/>
        </w:rPr>
        <mc:AlternateContent>
          <mc:Choice Requires="wps">
            <w:drawing>
              <wp:anchor distT="0" distB="0" distL="114300" distR="114300" simplePos="0" relativeHeight="251658241" behindDoc="0" locked="0" layoutInCell="1" allowOverlap="1" wp14:anchorId="7AC3A19F" wp14:editId="0C93871D">
                <wp:simplePos x="0" y="0"/>
                <wp:positionH relativeFrom="column">
                  <wp:posOffset>-230505</wp:posOffset>
                </wp:positionH>
                <wp:positionV relativeFrom="paragraph">
                  <wp:posOffset>8596630</wp:posOffset>
                </wp:positionV>
                <wp:extent cx="6315075" cy="0"/>
                <wp:effectExtent l="0" t="0" r="9525" b="19050"/>
                <wp:wrapNone/>
                <wp:docPr id="1000188080" name="Łącznik prostoliniowy 11"/>
                <wp:cNvGraphicFramePr/>
                <a:graphic xmlns:a="http://schemas.openxmlformats.org/drawingml/2006/main">
                  <a:graphicData uri="http://schemas.microsoft.com/office/word/2010/wordprocessingShape">
                    <wps:wsp>
                      <wps:cNvCnPr/>
                      <wps:spPr>
                        <a:xfrm>
                          <a:off x="0" y="0"/>
                          <a:ext cx="6315075" cy="0"/>
                        </a:xfrm>
                        <a:prstGeom prst="line">
                          <a:avLst/>
                        </a:prstGeom>
                        <a:noFill/>
                        <a:ln w="12700" cap="flat" cmpd="sng" algn="ctr">
                          <a:solidFill>
                            <a:srgbClr val="0E2841"/>
                          </a:solidFill>
                          <a:prstDash val="lgDash"/>
                          <a:miter lim="800000"/>
                        </a:ln>
                        <a:effectLst/>
                      </wps:spPr>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6B35D6AC">
              <v:line id="Łącznik prostoliniowy 11"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0e2841" strokeweight="1pt" from="-18.15pt,676.9pt" to="479.1pt,676.9pt" w14:anchorId="2297CB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">
                <v:stroke joinstyle="miter" dashstyle="longDash"/>
              </v:line>
            </w:pict>
          </mc:Fallback>
        </mc:AlternateContent>
      </w:r>
    </w:p>
    <w:p w14:paraId="41858206" w14:textId="77777777" w:rsidR="00E83CBD" w:rsidRPr="00F101EC" w:rsidRDefault="00E83CBD" w:rsidP="00E83CBD">
      <w:pPr>
        <w:spacing w:line="279" w:lineRule="auto"/>
        <w:jc w:val="both"/>
        <w:rPr>
          <w:rFonts w:asciiTheme="minorHAnsi" w:eastAsia="Aptos" w:hAnsiTheme="minorHAnsi"/>
          <w:noProof w:val="0"/>
          <w:kern w:val="0"/>
          <w:sz w:val="24"/>
          <w:szCs w:val="24"/>
          <w:lang w:val="en-US"/>
          <w14:ligatures w14:val="none"/>
        </w:rPr>
      </w:pPr>
    </w:p>
    <w:p w14:paraId="39D9F6F3" w14:textId="77777777" w:rsidR="00E83CBD" w:rsidRPr="00F101EC" w:rsidRDefault="00E83CBD" w:rsidP="00E83CBD">
      <w:pPr>
        <w:spacing w:line="279" w:lineRule="auto"/>
        <w:jc w:val="both"/>
        <w:rPr>
          <w:rFonts w:asciiTheme="minorHAnsi" w:eastAsia="Aptos" w:hAnsiTheme="minorHAnsi"/>
          <w:noProof w:val="0"/>
          <w:kern w:val="0"/>
          <w:sz w:val="24"/>
          <w:szCs w:val="24"/>
          <w:lang w:val="en-US"/>
          <w14:ligatures w14:val="none"/>
        </w:rPr>
      </w:pPr>
    </w:p>
    <w:p w14:paraId="79E388CA" w14:textId="77777777" w:rsidR="00E83CBD" w:rsidRPr="00F101EC" w:rsidRDefault="00E83CBD" w:rsidP="00E83CBD">
      <w:pPr>
        <w:spacing w:line="279" w:lineRule="auto"/>
        <w:jc w:val="both"/>
        <w:rPr>
          <w:rFonts w:asciiTheme="minorHAnsi" w:eastAsia="Aptos" w:hAnsiTheme="minorHAnsi"/>
          <w:noProof w:val="0"/>
          <w:kern w:val="0"/>
          <w:sz w:val="24"/>
          <w:szCs w:val="24"/>
          <w:lang w:val="en-US"/>
          <w14:ligatures w14:val="none"/>
        </w:rPr>
      </w:pPr>
    </w:p>
    <w:p w14:paraId="29039649" w14:textId="77777777" w:rsidR="00E83CBD" w:rsidRPr="00F101EC" w:rsidRDefault="00E83CBD" w:rsidP="00E83CBD">
      <w:pPr>
        <w:spacing w:line="279" w:lineRule="auto"/>
        <w:jc w:val="both"/>
        <w:rPr>
          <w:rFonts w:asciiTheme="minorHAnsi" w:eastAsia="Aptos" w:hAnsiTheme="minorHAnsi"/>
          <w:noProof w:val="0"/>
          <w:kern w:val="0"/>
          <w:sz w:val="24"/>
          <w:szCs w:val="24"/>
          <w:lang w:val="en-US"/>
          <w14:ligatures w14:val="none"/>
        </w:rPr>
      </w:pPr>
    </w:p>
    <w:p w14:paraId="7C9E0F39" w14:textId="77777777" w:rsidR="00563462" w:rsidRPr="00F101EC" w:rsidRDefault="00563462" w:rsidP="00E83CBD">
      <w:pPr>
        <w:spacing w:line="279" w:lineRule="auto"/>
        <w:jc w:val="both"/>
        <w:rPr>
          <w:rFonts w:asciiTheme="minorHAnsi" w:eastAsia="Aptos" w:hAnsiTheme="minorHAnsi"/>
          <w:noProof w:val="0"/>
          <w:kern w:val="0"/>
          <w:sz w:val="24"/>
          <w:szCs w:val="24"/>
          <w:lang w:val="en-US"/>
          <w14:ligatures w14:val="none"/>
        </w:rPr>
      </w:pPr>
    </w:p>
    <w:p w14:paraId="5F9D1A87" w14:textId="77777777" w:rsidR="00563462" w:rsidRPr="00F101EC" w:rsidRDefault="00563462" w:rsidP="00E83CBD">
      <w:pPr>
        <w:spacing w:line="279" w:lineRule="auto"/>
        <w:jc w:val="both"/>
        <w:rPr>
          <w:rFonts w:asciiTheme="minorHAnsi" w:eastAsia="Aptos" w:hAnsiTheme="minorHAnsi"/>
          <w:noProof w:val="0"/>
          <w:kern w:val="0"/>
          <w:sz w:val="24"/>
          <w:szCs w:val="24"/>
          <w:lang w:val="en-US"/>
          <w14:ligatures w14:val="none"/>
        </w:rPr>
      </w:pPr>
    </w:p>
    <w:p w14:paraId="5906152D" w14:textId="77777777" w:rsidR="00E83CBD" w:rsidRPr="00F101EC" w:rsidRDefault="00E83CBD" w:rsidP="00E83CBD">
      <w:pPr>
        <w:spacing w:line="279" w:lineRule="auto"/>
        <w:jc w:val="both"/>
        <w:rPr>
          <w:rFonts w:asciiTheme="minorHAnsi" w:eastAsia="Aptos" w:hAnsiTheme="minorHAnsi"/>
          <w:noProof w:val="0"/>
          <w:kern w:val="0"/>
          <w:sz w:val="24"/>
          <w:szCs w:val="24"/>
          <w:lang w:val="en-US"/>
          <w14:ligatures w14:val="none"/>
        </w:rPr>
      </w:pPr>
    </w:p>
    <w:p w14:paraId="238DE643" w14:textId="58ADA6BB" w:rsidR="00D049D4" w:rsidRPr="00F101EC" w:rsidRDefault="00E83CBD" w:rsidP="00DF58AA">
      <w:pPr>
        <w:spacing w:line="279" w:lineRule="auto"/>
        <w:jc w:val="center"/>
        <w:rPr>
          <w:rFonts w:asciiTheme="minorHAnsi" w:eastAsia="Aptos" w:hAnsiTheme="minorHAnsi"/>
          <w:noProof w:val="0"/>
          <w:kern w:val="0"/>
          <w:sz w:val="24"/>
          <w:szCs w:val="24"/>
          <w:lang w:val="en-US"/>
          <w14:ligatures w14:val="none"/>
        </w:rPr>
      </w:pPr>
      <w:r w:rsidRPr="00F101EC">
        <w:rPr>
          <w:rFonts w:asciiTheme="minorHAnsi" w:eastAsia="Aptos" w:hAnsiTheme="minorHAnsi"/>
          <w:noProof w:val="0"/>
          <w:kern w:val="0"/>
          <w:sz w:val="24"/>
          <w:szCs w:val="24"/>
          <w:lang w:val="en-US"/>
          <w14:ligatures w14:val="none"/>
        </w:rPr>
        <w:t xml:space="preserve">Wrocław, </w:t>
      </w:r>
      <w:r w:rsidR="001368A3">
        <w:rPr>
          <w:rFonts w:asciiTheme="minorHAnsi" w:eastAsia="Aptos" w:hAnsiTheme="minorHAnsi"/>
          <w:noProof w:val="0"/>
          <w:kern w:val="0"/>
          <w:sz w:val="24"/>
          <w:szCs w:val="24"/>
          <w:lang w:val="en-US"/>
          <w14:ligatures w14:val="none"/>
        </w:rPr>
        <w:t>Oct</w:t>
      </w:r>
      <w:r w:rsidR="006A042F">
        <w:rPr>
          <w:rFonts w:asciiTheme="minorHAnsi" w:eastAsia="Aptos" w:hAnsiTheme="minorHAnsi"/>
          <w:noProof w:val="0"/>
          <w:kern w:val="0"/>
          <w:sz w:val="24"/>
          <w:szCs w:val="24"/>
          <w:lang w:val="en-US"/>
          <w14:ligatures w14:val="none"/>
        </w:rPr>
        <w:t>ober</w:t>
      </w:r>
      <w:r w:rsidRPr="00F101EC">
        <w:rPr>
          <w:rFonts w:asciiTheme="minorHAnsi" w:eastAsia="Aptos" w:hAnsiTheme="minorHAnsi"/>
          <w:noProof w:val="0"/>
          <w:kern w:val="0"/>
          <w:sz w:val="24"/>
          <w:szCs w:val="24"/>
          <w:lang w:val="en-US"/>
          <w14:ligatures w14:val="none"/>
        </w:rPr>
        <w:t xml:space="preserve"> 2026</w:t>
      </w:r>
    </w:p>
    <w:p w14:paraId="7B6638D7" w14:textId="21303DBB" w:rsidR="00DF5D12" w:rsidRPr="006A019B" w:rsidRDefault="00DF5D12" w:rsidP="009A05DF">
      <w:pPr>
        <w:pStyle w:val="TOC1"/>
        <w:rPr>
          <w:lang w:val="en-US"/>
        </w:rPr>
      </w:pPr>
      <w:r w:rsidRPr="006A019B">
        <w:rPr>
          <w:lang w:val="en-US"/>
        </w:rPr>
        <w:t>Table of Contents</w:t>
      </w:r>
    </w:p>
    <w:p w14:paraId="4FFE7A3F" w14:textId="44AB5199" w:rsidR="002369FD" w:rsidRPr="00B63041" w:rsidRDefault="002369FD" w:rsidP="00B63041">
      <w:pPr>
        <w:pStyle w:val="TOC1"/>
        <w:spacing w:line="276" w:lineRule="auto"/>
        <w:rPr>
          <w:rFonts w:asciiTheme="minorHAnsi" w:hAnsiTheme="minorHAnsi"/>
          <w:noProof/>
          <w:color w:val="000000" w:themeColor="text1"/>
          <w:sz w:val="24"/>
          <w:szCs w:val="24"/>
        </w:rPr>
      </w:pPr>
      <w:r w:rsidRPr="002369FD">
        <w:fldChar w:fldCharType="begin"/>
      </w:r>
      <w:r w:rsidRPr="002369FD">
        <w:instrText xml:space="preserve"> TOC \o "1-3" \h \z \u </w:instrText>
      </w:r>
      <w:r w:rsidRPr="002369FD">
        <w:fldChar w:fldCharType="separate"/>
      </w:r>
      <w:hyperlink w:anchor="_Toc239856689" w:history="1">
        <w:r w:rsidRPr="00B63041">
          <w:rPr>
            <w:rStyle w:val="Hyperlink"/>
            <w:rFonts w:asciiTheme="minorHAnsi" w:hAnsiTheme="minorHAnsi"/>
            <w:noProof/>
            <w:color w:val="000000" w:themeColor="text1"/>
            <w:sz w:val="24"/>
            <w:szCs w:val="24"/>
            <w:lang w:val="en-US"/>
          </w:rPr>
          <w:t>1. Introduction</w:t>
        </w:r>
        <w:r w:rsidRPr="00B63041">
          <w:rPr>
            <w:rFonts w:asciiTheme="minorHAnsi" w:hAnsiTheme="minorHAnsi"/>
            <w:noProof/>
            <w:webHidden/>
            <w:color w:val="000000" w:themeColor="text1"/>
            <w:sz w:val="24"/>
            <w:szCs w:val="24"/>
          </w:rPr>
          <w:tab/>
        </w:r>
        <w:r w:rsidRPr="00B63041">
          <w:rPr>
            <w:rFonts w:asciiTheme="minorHAnsi" w:hAnsiTheme="minorHAnsi"/>
            <w:noProof/>
            <w:webHidden/>
            <w:color w:val="000000" w:themeColor="text1"/>
            <w:sz w:val="24"/>
            <w:szCs w:val="24"/>
          </w:rPr>
          <w:fldChar w:fldCharType="begin"/>
        </w:r>
        <w:r w:rsidRPr="00B63041">
          <w:rPr>
            <w:rFonts w:asciiTheme="minorHAnsi" w:hAnsiTheme="minorHAnsi"/>
            <w:noProof/>
            <w:webHidden/>
            <w:color w:val="000000" w:themeColor="text1"/>
            <w:sz w:val="24"/>
            <w:szCs w:val="24"/>
          </w:rPr>
          <w:instrText xml:space="preserve"> PAGEREF _Toc239856689 \h </w:instrText>
        </w:r>
        <w:r w:rsidRPr="00B63041">
          <w:rPr>
            <w:rFonts w:asciiTheme="minorHAnsi" w:hAnsiTheme="minorHAnsi"/>
            <w:noProof/>
            <w:webHidden/>
            <w:color w:val="000000" w:themeColor="text1"/>
            <w:sz w:val="24"/>
            <w:szCs w:val="24"/>
          </w:rPr>
        </w:r>
        <w:r w:rsidRPr="00B63041">
          <w:rPr>
            <w:rFonts w:asciiTheme="minorHAnsi" w:hAnsiTheme="minorHAnsi"/>
            <w:noProof/>
            <w:webHidden/>
            <w:color w:val="000000" w:themeColor="text1"/>
            <w:sz w:val="24"/>
            <w:szCs w:val="24"/>
          </w:rPr>
          <w:fldChar w:fldCharType="separate"/>
        </w:r>
        <w:r w:rsidRPr="00B63041">
          <w:rPr>
            <w:rFonts w:asciiTheme="minorHAnsi" w:hAnsiTheme="minorHAnsi"/>
            <w:noProof/>
            <w:webHidden/>
            <w:color w:val="000000" w:themeColor="text1"/>
            <w:sz w:val="24"/>
            <w:szCs w:val="24"/>
          </w:rPr>
          <w:t>2</w:t>
        </w:r>
        <w:r w:rsidRPr="00B63041">
          <w:rPr>
            <w:rFonts w:asciiTheme="minorHAnsi" w:hAnsiTheme="minorHAnsi"/>
            <w:noProof/>
            <w:webHidden/>
            <w:color w:val="000000" w:themeColor="text1"/>
            <w:sz w:val="24"/>
            <w:szCs w:val="24"/>
          </w:rPr>
          <w:fldChar w:fldCharType="end"/>
        </w:r>
      </w:hyperlink>
    </w:p>
    <w:p w14:paraId="70A49A07" w14:textId="4E63527C" w:rsidR="002369FD" w:rsidRPr="00B63041" w:rsidRDefault="002369FD" w:rsidP="00B63041">
      <w:pPr>
        <w:pStyle w:val="TOC1"/>
        <w:spacing w:line="276" w:lineRule="auto"/>
        <w:rPr>
          <w:rFonts w:asciiTheme="minorHAnsi" w:hAnsiTheme="minorHAnsi"/>
          <w:noProof/>
          <w:color w:val="000000" w:themeColor="text1"/>
          <w:sz w:val="24"/>
          <w:szCs w:val="24"/>
        </w:rPr>
      </w:pPr>
      <w:hyperlink w:anchor="_Toc239856690" w:history="1">
        <w:r w:rsidRPr="00B63041">
          <w:rPr>
            <w:rStyle w:val="Hyperlink"/>
            <w:rFonts w:asciiTheme="minorHAnsi" w:hAnsiTheme="minorHAnsi"/>
            <w:noProof/>
            <w:color w:val="000000" w:themeColor="text1"/>
            <w:sz w:val="24"/>
            <w:szCs w:val="24"/>
            <w:lang w:val="en-US"/>
          </w:rPr>
          <w:t>2. Information on Individual Invasive Species</w:t>
        </w:r>
        <w:r w:rsidRPr="00B63041">
          <w:rPr>
            <w:rFonts w:asciiTheme="minorHAnsi" w:hAnsiTheme="minorHAnsi"/>
            <w:noProof/>
            <w:webHidden/>
            <w:color w:val="000000" w:themeColor="text1"/>
            <w:sz w:val="24"/>
            <w:szCs w:val="24"/>
          </w:rPr>
          <w:tab/>
        </w:r>
        <w:r w:rsidRPr="00B63041">
          <w:rPr>
            <w:rFonts w:asciiTheme="minorHAnsi" w:hAnsiTheme="minorHAnsi"/>
            <w:noProof/>
            <w:webHidden/>
            <w:color w:val="000000" w:themeColor="text1"/>
            <w:sz w:val="24"/>
            <w:szCs w:val="24"/>
          </w:rPr>
          <w:fldChar w:fldCharType="begin"/>
        </w:r>
        <w:r w:rsidRPr="00B63041">
          <w:rPr>
            <w:rFonts w:asciiTheme="minorHAnsi" w:hAnsiTheme="minorHAnsi"/>
            <w:noProof/>
            <w:webHidden/>
            <w:color w:val="000000" w:themeColor="text1"/>
            <w:sz w:val="24"/>
            <w:szCs w:val="24"/>
          </w:rPr>
          <w:instrText xml:space="preserve"> PAGEREF _Toc239856690 \h </w:instrText>
        </w:r>
        <w:r w:rsidRPr="00B63041">
          <w:rPr>
            <w:rFonts w:asciiTheme="minorHAnsi" w:hAnsiTheme="minorHAnsi"/>
            <w:noProof/>
            <w:webHidden/>
            <w:color w:val="000000" w:themeColor="text1"/>
            <w:sz w:val="24"/>
            <w:szCs w:val="24"/>
          </w:rPr>
        </w:r>
        <w:r w:rsidRPr="00B63041">
          <w:rPr>
            <w:rFonts w:asciiTheme="minorHAnsi" w:hAnsiTheme="minorHAnsi"/>
            <w:noProof/>
            <w:webHidden/>
            <w:color w:val="000000" w:themeColor="text1"/>
            <w:sz w:val="24"/>
            <w:szCs w:val="24"/>
          </w:rPr>
          <w:fldChar w:fldCharType="separate"/>
        </w:r>
        <w:r w:rsidRPr="00B63041">
          <w:rPr>
            <w:rFonts w:asciiTheme="minorHAnsi" w:hAnsiTheme="minorHAnsi"/>
            <w:noProof/>
            <w:webHidden/>
            <w:color w:val="000000" w:themeColor="text1"/>
            <w:sz w:val="24"/>
            <w:szCs w:val="24"/>
          </w:rPr>
          <w:t>6</w:t>
        </w:r>
        <w:r w:rsidRPr="00B63041">
          <w:rPr>
            <w:rFonts w:asciiTheme="minorHAnsi" w:hAnsiTheme="minorHAnsi"/>
            <w:noProof/>
            <w:webHidden/>
            <w:color w:val="000000" w:themeColor="text1"/>
            <w:sz w:val="24"/>
            <w:szCs w:val="24"/>
          </w:rPr>
          <w:fldChar w:fldCharType="end"/>
        </w:r>
      </w:hyperlink>
    </w:p>
    <w:p w14:paraId="75B5E1E5" w14:textId="2C2E5CC1"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691" w:history="1">
        <w:r w:rsidRPr="00B63041">
          <w:rPr>
            <w:rStyle w:val="Hyperlink"/>
            <w:rFonts w:asciiTheme="minorHAnsi" w:hAnsiTheme="minorHAnsi"/>
            <w:color w:val="000000" w:themeColor="text1"/>
            <w:sz w:val="24"/>
            <w:szCs w:val="24"/>
            <w:lang w:val="en-US"/>
          </w:rPr>
          <w:t>2.1. Japanese knotweed (</w:t>
        </w:r>
        <w:r w:rsidRPr="00B63041">
          <w:rPr>
            <w:rStyle w:val="Hyperlink"/>
            <w:rFonts w:asciiTheme="minorHAnsi" w:hAnsiTheme="minorHAnsi"/>
            <w:i/>
            <w:iCs/>
            <w:color w:val="000000" w:themeColor="text1"/>
            <w:sz w:val="24"/>
            <w:szCs w:val="24"/>
            <w:lang w:val="en-US"/>
          </w:rPr>
          <w:t xml:space="preserve">Reynoutria </w:t>
        </w:r>
        <w:r w:rsidRPr="00B63041">
          <w:rPr>
            <w:rStyle w:val="Hyperlink"/>
            <w:rFonts w:asciiTheme="minorHAnsi" w:hAnsiTheme="minorHAnsi"/>
            <w:color w:val="000000" w:themeColor="text1"/>
            <w:sz w:val="24"/>
            <w:szCs w:val="24"/>
            <w:lang w:val="en-US"/>
          </w:rPr>
          <w:t>SP)</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_Toc239856691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6</w:t>
        </w:r>
        <w:r w:rsidRPr="00B63041">
          <w:rPr>
            <w:rFonts w:asciiTheme="minorHAnsi" w:hAnsiTheme="minorHAnsi"/>
            <w:webHidden/>
            <w:color w:val="000000" w:themeColor="text1"/>
            <w:sz w:val="24"/>
            <w:szCs w:val="24"/>
          </w:rPr>
          <w:fldChar w:fldCharType="end"/>
        </w:r>
      </w:hyperlink>
    </w:p>
    <w:p w14:paraId="5DA808FF" w14:textId="35E9491F"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692" w:history="1">
        <w:r w:rsidRPr="00B63041">
          <w:rPr>
            <w:rStyle w:val="Hyperlink"/>
            <w:rFonts w:asciiTheme="minorHAnsi" w:hAnsiTheme="minorHAnsi"/>
            <w:color w:val="000000" w:themeColor="text1"/>
            <w:sz w:val="24"/>
            <w:szCs w:val="24"/>
            <w:lang w:val="en-US"/>
          </w:rPr>
          <w:t>2.2. Rugosa rose (</w:t>
        </w:r>
        <w:r w:rsidRPr="00B63041">
          <w:rPr>
            <w:rStyle w:val="Hyperlink"/>
            <w:rFonts w:asciiTheme="minorHAnsi" w:hAnsiTheme="minorHAnsi"/>
            <w:i/>
            <w:iCs/>
            <w:color w:val="000000" w:themeColor="text1"/>
            <w:sz w:val="24"/>
            <w:szCs w:val="24"/>
            <w:lang w:val="en-US"/>
          </w:rPr>
          <w:t>Rosa rugosa</w:t>
        </w:r>
        <w:r w:rsidRPr="00B63041">
          <w:rPr>
            <w:rStyle w:val="Hyperlink"/>
            <w:rFonts w:asciiTheme="minorHAnsi" w:hAnsiTheme="minorHAnsi"/>
            <w:color w:val="000000" w:themeColor="text1"/>
            <w:sz w:val="24"/>
            <w:szCs w:val="24"/>
            <w:lang w:val="en-US"/>
          </w:rPr>
          <w:t>)</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_Toc239856692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11</w:t>
        </w:r>
        <w:r w:rsidRPr="00B63041">
          <w:rPr>
            <w:rFonts w:asciiTheme="minorHAnsi" w:hAnsiTheme="minorHAnsi"/>
            <w:webHidden/>
            <w:color w:val="000000" w:themeColor="text1"/>
            <w:sz w:val="24"/>
            <w:szCs w:val="24"/>
          </w:rPr>
          <w:fldChar w:fldCharType="end"/>
        </w:r>
      </w:hyperlink>
    </w:p>
    <w:p w14:paraId="126E13C1" w14:textId="0F5DCABC"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693" w:history="1">
        <w:r w:rsidRPr="00B63041">
          <w:rPr>
            <w:rStyle w:val="Hyperlink"/>
            <w:rFonts w:asciiTheme="minorHAnsi" w:hAnsiTheme="minorHAnsi"/>
            <w:color w:val="000000" w:themeColor="text1"/>
            <w:sz w:val="24"/>
            <w:szCs w:val="24"/>
            <w:lang w:val="en-US"/>
          </w:rPr>
          <w:t>2.3. Purple jewelweed (</w:t>
        </w:r>
        <w:r w:rsidRPr="00B63041">
          <w:rPr>
            <w:rStyle w:val="Hyperlink"/>
            <w:rFonts w:asciiTheme="minorHAnsi" w:hAnsiTheme="minorHAnsi"/>
            <w:i/>
            <w:iCs/>
            <w:color w:val="000000" w:themeColor="text1"/>
            <w:sz w:val="24"/>
            <w:szCs w:val="24"/>
            <w:lang w:val="en-US"/>
          </w:rPr>
          <w:t>Impatiens glandulifera)</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_Toc239856693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15</w:t>
        </w:r>
        <w:r w:rsidRPr="00B63041">
          <w:rPr>
            <w:rFonts w:asciiTheme="minorHAnsi" w:hAnsiTheme="minorHAnsi"/>
            <w:webHidden/>
            <w:color w:val="000000" w:themeColor="text1"/>
            <w:sz w:val="24"/>
            <w:szCs w:val="24"/>
          </w:rPr>
          <w:fldChar w:fldCharType="end"/>
        </w:r>
      </w:hyperlink>
    </w:p>
    <w:p w14:paraId="23F882EB" w14:textId="0CF790B8"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694" w:history="1">
        <w:r w:rsidRPr="00B63041">
          <w:rPr>
            <w:rStyle w:val="Hyperlink"/>
            <w:rFonts w:asciiTheme="minorHAnsi" w:hAnsiTheme="minorHAnsi"/>
            <w:color w:val="000000" w:themeColor="text1"/>
            <w:sz w:val="24"/>
            <w:szCs w:val="24"/>
            <w:lang w:val="en-US"/>
          </w:rPr>
          <w:t>2.4. Giant goldenrod (</w:t>
        </w:r>
        <w:r w:rsidRPr="00B63041">
          <w:rPr>
            <w:rStyle w:val="Hyperlink"/>
            <w:rFonts w:asciiTheme="minorHAnsi" w:hAnsiTheme="minorHAnsi"/>
            <w:i/>
            <w:iCs/>
            <w:color w:val="000000" w:themeColor="text1"/>
            <w:sz w:val="24"/>
            <w:szCs w:val="24"/>
            <w:lang w:val="en-US"/>
          </w:rPr>
          <w:t xml:space="preserve">Solidago gigantea) </w:t>
        </w:r>
        <w:r w:rsidRPr="00B63041">
          <w:rPr>
            <w:rStyle w:val="Hyperlink"/>
            <w:rFonts w:asciiTheme="minorHAnsi" w:hAnsiTheme="minorHAnsi"/>
            <w:color w:val="000000" w:themeColor="text1"/>
            <w:sz w:val="24"/>
            <w:szCs w:val="24"/>
            <w:lang w:val="en-US"/>
          </w:rPr>
          <w:t>and Canadian goldenrod (</w:t>
        </w:r>
        <w:r w:rsidRPr="00B63041">
          <w:rPr>
            <w:rStyle w:val="Hyperlink"/>
            <w:rFonts w:asciiTheme="minorHAnsi" w:hAnsiTheme="minorHAnsi"/>
            <w:i/>
            <w:iCs/>
            <w:color w:val="000000" w:themeColor="text1"/>
            <w:sz w:val="24"/>
            <w:szCs w:val="24"/>
            <w:lang w:val="en-US"/>
          </w:rPr>
          <w:t>Solidago canadensis)</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_Toc239856694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16</w:t>
        </w:r>
        <w:r w:rsidRPr="00B63041">
          <w:rPr>
            <w:rFonts w:asciiTheme="minorHAnsi" w:hAnsiTheme="minorHAnsi"/>
            <w:webHidden/>
            <w:color w:val="000000" w:themeColor="text1"/>
            <w:sz w:val="24"/>
            <w:szCs w:val="24"/>
          </w:rPr>
          <w:fldChar w:fldCharType="end"/>
        </w:r>
      </w:hyperlink>
    </w:p>
    <w:p w14:paraId="0FC346DE" w14:textId="58DCA1CB"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695" w:history="1">
        <w:r w:rsidRPr="00B63041">
          <w:rPr>
            <w:rStyle w:val="Hyperlink"/>
            <w:rFonts w:asciiTheme="minorHAnsi" w:hAnsiTheme="minorHAnsi"/>
            <w:color w:val="000000" w:themeColor="text1"/>
            <w:sz w:val="24"/>
            <w:szCs w:val="24"/>
            <w:lang w:val="en-US"/>
          </w:rPr>
          <w:t>2.5. Garden lupin (</w:t>
        </w:r>
        <w:r w:rsidRPr="00B63041">
          <w:rPr>
            <w:rStyle w:val="Hyperlink"/>
            <w:rFonts w:asciiTheme="minorHAnsi" w:hAnsiTheme="minorHAnsi"/>
            <w:i/>
            <w:iCs/>
            <w:color w:val="000000" w:themeColor="text1"/>
            <w:sz w:val="24"/>
            <w:szCs w:val="24"/>
            <w:lang w:val="en-US"/>
          </w:rPr>
          <w:t>Lupinus polyphyllus</w:t>
        </w:r>
        <w:r w:rsidRPr="00B63041">
          <w:rPr>
            <w:rStyle w:val="Hyperlink"/>
            <w:rFonts w:asciiTheme="minorHAnsi" w:hAnsiTheme="minorHAnsi"/>
            <w:color w:val="000000" w:themeColor="text1"/>
            <w:sz w:val="24"/>
            <w:szCs w:val="24"/>
            <w:lang w:val="en-US"/>
          </w:rPr>
          <w:t>)</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_Toc239856695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20</w:t>
        </w:r>
        <w:r w:rsidRPr="00B63041">
          <w:rPr>
            <w:rFonts w:asciiTheme="minorHAnsi" w:hAnsiTheme="minorHAnsi"/>
            <w:webHidden/>
            <w:color w:val="000000" w:themeColor="text1"/>
            <w:sz w:val="24"/>
            <w:szCs w:val="24"/>
          </w:rPr>
          <w:fldChar w:fldCharType="end"/>
        </w:r>
      </w:hyperlink>
    </w:p>
    <w:p w14:paraId="51826FCA" w14:textId="2F16904F"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696" w:history="1">
        <w:r w:rsidRPr="00B63041">
          <w:rPr>
            <w:rStyle w:val="Hyperlink"/>
            <w:rFonts w:asciiTheme="minorHAnsi" w:hAnsiTheme="minorHAnsi"/>
            <w:color w:val="000000" w:themeColor="text1"/>
            <w:sz w:val="24"/>
            <w:szCs w:val="24"/>
            <w:lang w:val="en-US"/>
          </w:rPr>
          <w:t>2.6. Wild cucumber (</w:t>
        </w:r>
        <w:r w:rsidRPr="00B63041">
          <w:rPr>
            <w:rStyle w:val="Hyperlink"/>
            <w:rFonts w:asciiTheme="minorHAnsi" w:hAnsiTheme="minorHAnsi"/>
            <w:i/>
            <w:iCs/>
            <w:color w:val="000000" w:themeColor="text1"/>
            <w:sz w:val="24"/>
            <w:szCs w:val="24"/>
            <w:lang w:val="en-US"/>
          </w:rPr>
          <w:t>Echinocystis lobata</w:t>
        </w:r>
        <w:r w:rsidRPr="00B63041">
          <w:rPr>
            <w:rStyle w:val="Hyperlink"/>
            <w:rFonts w:asciiTheme="minorHAnsi" w:hAnsiTheme="minorHAnsi"/>
            <w:color w:val="000000" w:themeColor="text1"/>
            <w:sz w:val="24"/>
            <w:szCs w:val="24"/>
            <w:lang w:val="en-US"/>
          </w:rPr>
          <w:t>)</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_Toc239856696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21</w:t>
        </w:r>
        <w:r w:rsidRPr="00B63041">
          <w:rPr>
            <w:rFonts w:asciiTheme="minorHAnsi" w:hAnsiTheme="minorHAnsi"/>
            <w:webHidden/>
            <w:color w:val="000000" w:themeColor="text1"/>
            <w:sz w:val="24"/>
            <w:szCs w:val="24"/>
          </w:rPr>
          <w:fldChar w:fldCharType="end"/>
        </w:r>
      </w:hyperlink>
    </w:p>
    <w:p w14:paraId="14077A9E" w14:textId="2D4C2ACC"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697" w:history="1">
        <w:r w:rsidRPr="00B63041">
          <w:rPr>
            <w:rStyle w:val="Hyperlink"/>
            <w:rFonts w:asciiTheme="minorHAnsi" w:hAnsiTheme="minorHAnsi"/>
            <w:color w:val="000000" w:themeColor="text1"/>
            <w:sz w:val="24"/>
            <w:szCs w:val="24"/>
            <w:lang w:val="en-US"/>
          </w:rPr>
          <w:t>2.7. Redroot pigweed (</w:t>
        </w:r>
        <w:r w:rsidRPr="00B63041">
          <w:rPr>
            <w:rStyle w:val="Hyperlink"/>
            <w:rFonts w:asciiTheme="minorHAnsi" w:hAnsiTheme="minorHAnsi"/>
            <w:i/>
            <w:iCs/>
            <w:color w:val="000000" w:themeColor="text1"/>
            <w:sz w:val="24"/>
            <w:szCs w:val="24"/>
            <w:lang w:val="en-US"/>
          </w:rPr>
          <w:t>Amaranthus retroflexus</w:t>
        </w:r>
        <w:r w:rsidRPr="00B63041">
          <w:rPr>
            <w:rStyle w:val="Hyperlink"/>
            <w:rFonts w:asciiTheme="minorHAnsi" w:hAnsiTheme="minorHAnsi"/>
            <w:color w:val="000000" w:themeColor="text1"/>
            <w:sz w:val="24"/>
            <w:szCs w:val="24"/>
            <w:lang w:val="en-US"/>
          </w:rPr>
          <w:t>)</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_Toc239856697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24</w:t>
        </w:r>
        <w:r w:rsidRPr="00B63041">
          <w:rPr>
            <w:rFonts w:asciiTheme="minorHAnsi" w:hAnsiTheme="minorHAnsi"/>
            <w:webHidden/>
            <w:color w:val="000000" w:themeColor="text1"/>
            <w:sz w:val="24"/>
            <w:szCs w:val="24"/>
          </w:rPr>
          <w:fldChar w:fldCharType="end"/>
        </w:r>
      </w:hyperlink>
    </w:p>
    <w:p w14:paraId="7DF7B7E4" w14:textId="0E576D10"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698" w:history="1">
        <w:r w:rsidRPr="00B63041">
          <w:rPr>
            <w:rStyle w:val="Hyperlink"/>
            <w:rFonts w:asciiTheme="minorHAnsi" w:hAnsiTheme="minorHAnsi"/>
            <w:color w:val="000000" w:themeColor="text1"/>
            <w:sz w:val="24"/>
            <w:szCs w:val="24"/>
            <w:lang w:val="en-US"/>
          </w:rPr>
          <w:t>2.8. Common Foxglove (</w:t>
        </w:r>
        <w:r w:rsidRPr="00B63041">
          <w:rPr>
            <w:rStyle w:val="Hyperlink"/>
            <w:rFonts w:asciiTheme="minorHAnsi" w:hAnsiTheme="minorHAnsi"/>
            <w:i/>
            <w:iCs/>
            <w:color w:val="000000" w:themeColor="text1"/>
            <w:sz w:val="24"/>
            <w:szCs w:val="24"/>
            <w:lang w:val="en-US"/>
          </w:rPr>
          <w:t>Digitalis purpurea</w:t>
        </w:r>
        <w:r w:rsidRPr="00B63041">
          <w:rPr>
            <w:rStyle w:val="Hyperlink"/>
            <w:rFonts w:asciiTheme="minorHAnsi" w:hAnsiTheme="minorHAnsi"/>
            <w:color w:val="000000" w:themeColor="text1"/>
            <w:sz w:val="24"/>
            <w:szCs w:val="24"/>
            <w:lang w:val="en-US"/>
          </w:rPr>
          <w:t>)</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_Toc239856698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27</w:t>
        </w:r>
        <w:r w:rsidRPr="00B63041">
          <w:rPr>
            <w:rFonts w:asciiTheme="minorHAnsi" w:hAnsiTheme="minorHAnsi"/>
            <w:webHidden/>
            <w:color w:val="000000" w:themeColor="text1"/>
            <w:sz w:val="24"/>
            <w:szCs w:val="24"/>
          </w:rPr>
          <w:fldChar w:fldCharType="end"/>
        </w:r>
      </w:hyperlink>
    </w:p>
    <w:p w14:paraId="2356A462" w14:textId="50E895B7"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699" w:history="1">
        <w:r w:rsidRPr="00B63041">
          <w:rPr>
            <w:rStyle w:val="Hyperlink"/>
            <w:rFonts w:asciiTheme="minorHAnsi" w:hAnsiTheme="minorHAnsi"/>
            <w:color w:val="000000" w:themeColor="text1"/>
            <w:sz w:val="24"/>
            <w:szCs w:val="24"/>
            <w:lang w:val="en-US"/>
          </w:rPr>
          <w:t>2.9. Dwarf serviceberry (</w:t>
        </w:r>
        <w:r w:rsidRPr="00B63041">
          <w:rPr>
            <w:rStyle w:val="Hyperlink"/>
            <w:rFonts w:asciiTheme="minorHAnsi" w:hAnsiTheme="minorHAnsi"/>
            <w:i/>
            <w:iCs/>
            <w:color w:val="000000" w:themeColor="text1"/>
            <w:sz w:val="24"/>
            <w:szCs w:val="24"/>
            <w:lang w:val="en-US"/>
          </w:rPr>
          <w:t>Amelanchier spicata</w:t>
        </w:r>
        <w:r w:rsidRPr="00B63041">
          <w:rPr>
            <w:rStyle w:val="Hyperlink"/>
            <w:rFonts w:asciiTheme="minorHAnsi" w:hAnsiTheme="minorHAnsi"/>
            <w:color w:val="000000" w:themeColor="text1"/>
            <w:sz w:val="24"/>
            <w:szCs w:val="24"/>
            <w:lang w:val="en-US"/>
          </w:rPr>
          <w:t>)</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_Toc239856699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28</w:t>
        </w:r>
        <w:r w:rsidRPr="00B63041">
          <w:rPr>
            <w:rFonts w:asciiTheme="minorHAnsi" w:hAnsiTheme="minorHAnsi"/>
            <w:webHidden/>
            <w:color w:val="000000" w:themeColor="text1"/>
            <w:sz w:val="24"/>
            <w:szCs w:val="24"/>
          </w:rPr>
          <w:fldChar w:fldCharType="end"/>
        </w:r>
      </w:hyperlink>
    </w:p>
    <w:p w14:paraId="4DED157F" w14:textId="5AED6443"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700" w:history="1">
        <w:r w:rsidRPr="00B63041">
          <w:rPr>
            <w:rStyle w:val="Hyperlink"/>
            <w:rFonts w:asciiTheme="minorHAnsi" w:hAnsiTheme="minorHAnsi"/>
            <w:color w:val="000000" w:themeColor="text1"/>
            <w:sz w:val="24"/>
            <w:szCs w:val="24"/>
            <w:lang w:val="en-US"/>
          </w:rPr>
          <w:t>2.10. Steeplebush (</w:t>
        </w:r>
        <w:r w:rsidRPr="00B63041">
          <w:rPr>
            <w:rStyle w:val="Hyperlink"/>
            <w:rFonts w:asciiTheme="minorHAnsi" w:hAnsiTheme="minorHAnsi"/>
            <w:i/>
            <w:iCs/>
            <w:color w:val="000000" w:themeColor="text1"/>
            <w:sz w:val="24"/>
            <w:szCs w:val="24"/>
            <w:lang w:val="en-US"/>
          </w:rPr>
          <w:t>Spiraea tomentosa</w:t>
        </w:r>
        <w:r w:rsidRPr="00B63041">
          <w:rPr>
            <w:rStyle w:val="Hyperlink"/>
            <w:rFonts w:asciiTheme="minorHAnsi" w:hAnsiTheme="minorHAnsi"/>
            <w:color w:val="000000" w:themeColor="text1"/>
            <w:sz w:val="24"/>
            <w:szCs w:val="24"/>
            <w:lang w:val="en-US"/>
          </w:rPr>
          <w:t>)</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_Toc239856700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31</w:t>
        </w:r>
        <w:r w:rsidRPr="00B63041">
          <w:rPr>
            <w:rFonts w:asciiTheme="minorHAnsi" w:hAnsiTheme="minorHAnsi"/>
            <w:webHidden/>
            <w:color w:val="000000" w:themeColor="text1"/>
            <w:sz w:val="24"/>
            <w:szCs w:val="24"/>
          </w:rPr>
          <w:fldChar w:fldCharType="end"/>
        </w:r>
      </w:hyperlink>
    </w:p>
    <w:p w14:paraId="1B5E976F" w14:textId="1C62A3A7"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701" w:history="1">
        <w:r w:rsidRPr="00B63041">
          <w:rPr>
            <w:rStyle w:val="Hyperlink"/>
            <w:rFonts w:asciiTheme="minorHAnsi" w:hAnsiTheme="minorHAnsi"/>
            <w:color w:val="000000" w:themeColor="text1"/>
            <w:sz w:val="24"/>
            <w:szCs w:val="24"/>
            <w:lang w:val="en-US"/>
          </w:rPr>
          <w:t>2.11. Spotted loosestrife (</w:t>
        </w:r>
        <w:r w:rsidRPr="00B63041">
          <w:rPr>
            <w:rStyle w:val="Hyperlink"/>
            <w:rFonts w:asciiTheme="minorHAnsi" w:hAnsiTheme="minorHAnsi"/>
            <w:i/>
            <w:iCs/>
            <w:color w:val="000000" w:themeColor="text1"/>
            <w:sz w:val="24"/>
            <w:szCs w:val="24"/>
            <w:lang w:val="en-US"/>
          </w:rPr>
          <w:t>Lysimachia punctata</w:t>
        </w:r>
        <w:r w:rsidRPr="00B63041">
          <w:rPr>
            <w:rStyle w:val="Hyperlink"/>
            <w:rFonts w:asciiTheme="minorHAnsi" w:hAnsiTheme="minorHAnsi"/>
            <w:color w:val="000000" w:themeColor="text1"/>
            <w:sz w:val="24"/>
            <w:szCs w:val="24"/>
            <w:lang w:val="en-US"/>
          </w:rPr>
          <w:t>)</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_Toc239856701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34</w:t>
        </w:r>
        <w:r w:rsidRPr="00B63041">
          <w:rPr>
            <w:rFonts w:asciiTheme="minorHAnsi" w:hAnsiTheme="minorHAnsi"/>
            <w:webHidden/>
            <w:color w:val="000000" w:themeColor="text1"/>
            <w:sz w:val="24"/>
            <w:szCs w:val="24"/>
          </w:rPr>
          <w:fldChar w:fldCharType="end"/>
        </w:r>
      </w:hyperlink>
    </w:p>
    <w:p w14:paraId="16E43F30" w14:textId="4A964554"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702" w:history="1">
        <w:r w:rsidRPr="00B63041">
          <w:rPr>
            <w:rStyle w:val="Hyperlink"/>
            <w:rFonts w:asciiTheme="minorHAnsi" w:hAnsiTheme="minorHAnsi"/>
            <w:color w:val="000000" w:themeColor="text1"/>
            <w:sz w:val="24"/>
            <w:szCs w:val="24"/>
            <w:lang w:val="en-US"/>
          </w:rPr>
          <w:t>2.12. Yellow oxeye (</w:t>
        </w:r>
        <w:r w:rsidRPr="00B63041">
          <w:rPr>
            <w:rStyle w:val="Hyperlink"/>
            <w:rFonts w:asciiTheme="minorHAnsi" w:hAnsiTheme="minorHAnsi"/>
            <w:i/>
            <w:iCs/>
            <w:color w:val="000000" w:themeColor="text1"/>
            <w:sz w:val="24"/>
            <w:szCs w:val="24"/>
            <w:lang w:val="en-US"/>
          </w:rPr>
          <w:t>Telekia speciosa</w:t>
        </w:r>
        <w:r w:rsidRPr="00B63041">
          <w:rPr>
            <w:rStyle w:val="Hyperlink"/>
            <w:rFonts w:asciiTheme="minorHAnsi" w:hAnsiTheme="minorHAnsi"/>
            <w:color w:val="000000" w:themeColor="text1"/>
            <w:sz w:val="24"/>
            <w:szCs w:val="24"/>
            <w:lang w:val="en-US"/>
          </w:rPr>
          <w:t>)</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_Toc239856702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36</w:t>
        </w:r>
        <w:r w:rsidRPr="00B63041">
          <w:rPr>
            <w:rFonts w:asciiTheme="minorHAnsi" w:hAnsiTheme="minorHAnsi"/>
            <w:webHidden/>
            <w:color w:val="000000" w:themeColor="text1"/>
            <w:sz w:val="24"/>
            <w:szCs w:val="24"/>
          </w:rPr>
          <w:fldChar w:fldCharType="end"/>
        </w:r>
      </w:hyperlink>
    </w:p>
    <w:p w14:paraId="4D58E150" w14:textId="35F970D3"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703" w:history="1">
        <w:r w:rsidRPr="00B63041">
          <w:rPr>
            <w:rStyle w:val="Hyperlink"/>
            <w:rFonts w:asciiTheme="minorHAnsi" w:hAnsiTheme="minorHAnsi"/>
            <w:color w:val="000000" w:themeColor="text1"/>
            <w:sz w:val="24"/>
            <w:szCs w:val="24"/>
            <w:lang w:val="en-US"/>
          </w:rPr>
          <w:t>2.13. Sosnowski's hogweed (</w:t>
        </w:r>
        <w:r w:rsidRPr="00B63041">
          <w:rPr>
            <w:rStyle w:val="Hyperlink"/>
            <w:rFonts w:asciiTheme="minorHAnsi" w:hAnsiTheme="minorHAnsi"/>
            <w:i/>
            <w:iCs/>
            <w:color w:val="000000" w:themeColor="text1"/>
            <w:sz w:val="24"/>
            <w:szCs w:val="24"/>
            <w:lang w:val="en-US"/>
          </w:rPr>
          <w:t>Heracleum sosnowskyi</w:t>
        </w:r>
        <w:r w:rsidRPr="00B63041">
          <w:rPr>
            <w:rStyle w:val="Hyperlink"/>
            <w:rFonts w:asciiTheme="minorHAnsi" w:hAnsiTheme="minorHAnsi"/>
            <w:color w:val="000000" w:themeColor="text1"/>
            <w:sz w:val="24"/>
            <w:szCs w:val="24"/>
            <w:lang w:val="en-US"/>
          </w:rPr>
          <w:t>)</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_Toc239856703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37</w:t>
        </w:r>
        <w:r w:rsidRPr="00B63041">
          <w:rPr>
            <w:rFonts w:asciiTheme="minorHAnsi" w:hAnsiTheme="minorHAnsi"/>
            <w:webHidden/>
            <w:color w:val="000000" w:themeColor="text1"/>
            <w:sz w:val="24"/>
            <w:szCs w:val="24"/>
          </w:rPr>
          <w:fldChar w:fldCharType="end"/>
        </w:r>
      </w:hyperlink>
    </w:p>
    <w:p w14:paraId="65C8A1D6" w14:textId="2DFC22CD"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704" w:history="1">
        <w:r w:rsidRPr="00B63041">
          <w:rPr>
            <w:rStyle w:val="Hyperlink"/>
            <w:rFonts w:asciiTheme="minorHAnsi" w:hAnsiTheme="minorHAnsi"/>
            <w:color w:val="000000" w:themeColor="text1"/>
            <w:sz w:val="24"/>
            <w:szCs w:val="24"/>
            <w:lang w:val="en-US"/>
          </w:rPr>
          <w:t>2.14. Giant hogweed (</w:t>
        </w:r>
        <w:r w:rsidRPr="00B63041">
          <w:rPr>
            <w:rStyle w:val="Hyperlink"/>
            <w:rFonts w:asciiTheme="minorHAnsi" w:hAnsiTheme="minorHAnsi"/>
            <w:i/>
            <w:iCs/>
            <w:color w:val="000000" w:themeColor="text1"/>
            <w:sz w:val="24"/>
            <w:szCs w:val="24"/>
            <w:lang w:val="en-US"/>
          </w:rPr>
          <w:t>Heracelum mantegazzianum</w:t>
        </w:r>
        <w:r w:rsidRPr="00B63041">
          <w:rPr>
            <w:rStyle w:val="Hyperlink"/>
            <w:rFonts w:asciiTheme="minorHAnsi" w:hAnsiTheme="minorHAnsi"/>
            <w:color w:val="000000" w:themeColor="text1"/>
            <w:sz w:val="24"/>
            <w:szCs w:val="24"/>
            <w:lang w:val="en-US"/>
          </w:rPr>
          <w:t>)</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_Toc239856704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42</w:t>
        </w:r>
        <w:r w:rsidRPr="00B63041">
          <w:rPr>
            <w:rFonts w:asciiTheme="minorHAnsi" w:hAnsiTheme="minorHAnsi"/>
            <w:webHidden/>
            <w:color w:val="000000" w:themeColor="text1"/>
            <w:sz w:val="24"/>
            <w:szCs w:val="24"/>
          </w:rPr>
          <w:fldChar w:fldCharType="end"/>
        </w:r>
      </w:hyperlink>
    </w:p>
    <w:p w14:paraId="5CF57E89" w14:textId="0E3F5B08"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705" w:history="1">
        <w:r w:rsidRPr="00B63041">
          <w:rPr>
            <w:rStyle w:val="Hyperlink"/>
            <w:rFonts w:asciiTheme="minorHAnsi" w:hAnsiTheme="minorHAnsi"/>
            <w:color w:val="000000" w:themeColor="text1"/>
            <w:sz w:val="24"/>
            <w:szCs w:val="24"/>
            <w:lang w:val="en-US"/>
          </w:rPr>
          <w:t>2.15. Monkeyflower (</w:t>
        </w:r>
        <w:r w:rsidRPr="00B63041">
          <w:rPr>
            <w:rStyle w:val="Hyperlink"/>
            <w:rFonts w:asciiTheme="minorHAnsi" w:hAnsiTheme="minorHAnsi"/>
            <w:i/>
            <w:iCs/>
            <w:color w:val="000000" w:themeColor="text1"/>
            <w:sz w:val="24"/>
            <w:szCs w:val="24"/>
            <w:lang w:val="en-US"/>
          </w:rPr>
          <w:t>Mimulus guttatus</w:t>
        </w:r>
        <w:r w:rsidRPr="00B63041">
          <w:rPr>
            <w:rStyle w:val="Hyperlink"/>
            <w:rFonts w:asciiTheme="minorHAnsi" w:hAnsiTheme="minorHAnsi"/>
            <w:color w:val="000000" w:themeColor="text1"/>
            <w:sz w:val="24"/>
            <w:szCs w:val="24"/>
            <w:lang w:val="en-US"/>
          </w:rPr>
          <w:t>)</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_Toc239856705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46</w:t>
        </w:r>
        <w:r w:rsidRPr="00B63041">
          <w:rPr>
            <w:rFonts w:asciiTheme="minorHAnsi" w:hAnsiTheme="minorHAnsi"/>
            <w:webHidden/>
            <w:color w:val="000000" w:themeColor="text1"/>
            <w:sz w:val="24"/>
            <w:szCs w:val="24"/>
          </w:rPr>
          <w:fldChar w:fldCharType="end"/>
        </w:r>
      </w:hyperlink>
    </w:p>
    <w:p w14:paraId="510427E8" w14:textId="5D3BDF9D"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706" w:history="1">
        <w:r w:rsidRPr="00B63041">
          <w:rPr>
            <w:rStyle w:val="Hyperlink"/>
            <w:rFonts w:asciiTheme="minorHAnsi" w:hAnsiTheme="minorHAnsi"/>
            <w:color w:val="000000" w:themeColor="text1"/>
            <w:sz w:val="24"/>
            <w:szCs w:val="24"/>
            <w:lang w:val="en-US"/>
          </w:rPr>
          <w:t>2.16. Cutleaf coneflower (</w:t>
        </w:r>
        <w:r w:rsidRPr="00B63041">
          <w:rPr>
            <w:rStyle w:val="Hyperlink"/>
            <w:rFonts w:asciiTheme="minorHAnsi" w:hAnsiTheme="minorHAnsi"/>
            <w:i/>
            <w:iCs/>
            <w:color w:val="000000" w:themeColor="text1"/>
            <w:sz w:val="24"/>
            <w:szCs w:val="24"/>
            <w:lang w:val="en-US"/>
          </w:rPr>
          <w:t>Rudbeckia laciniata</w:t>
        </w:r>
        <w:r w:rsidRPr="00B63041">
          <w:rPr>
            <w:rStyle w:val="Hyperlink"/>
            <w:rFonts w:asciiTheme="minorHAnsi" w:hAnsiTheme="minorHAnsi"/>
            <w:color w:val="000000" w:themeColor="text1"/>
            <w:sz w:val="24"/>
            <w:szCs w:val="24"/>
            <w:lang w:val="en-US"/>
          </w:rPr>
          <w:t>)</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_Toc239856706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47</w:t>
        </w:r>
        <w:r w:rsidRPr="00B63041">
          <w:rPr>
            <w:rFonts w:asciiTheme="minorHAnsi" w:hAnsiTheme="minorHAnsi"/>
            <w:webHidden/>
            <w:color w:val="000000" w:themeColor="text1"/>
            <w:sz w:val="24"/>
            <w:szCs w:val="24"/>
          </w:rPr>
          <w:fldChar w:fldCharType="end"/>
        </w:r>
      </w:hyperlink>
    </w:p>
    <w:p w14:paraId="277BDCD4" w14:textId="276F8CDC" w:rsidR="002369FD" w:rsidRPr="00B63041" w:rsidRDefault="002369FD" w:rsidP="00B63041">
      <w:pPr>
        <w:pStyle w:val="TOC1"/>
        <w:spacing w:line="276" w:lineRule="auto"/>
        <w:rPr>
          <w:rFonts w:asciiTheme="minorHAnsi" w:hAnsiTheme="minorHAnsi"/>
          <w:noProof/>
          <w:color w:val="000000" w:themeColor="text1"/>
          <w:sz w:val="24"/>
          <w:szCs w:val="24"/>
        </w:rPr>
      </w:pPr>
      <w:hyperlink w:anchor="_Toc239856707" w:history="1">
        <w:r w:rsidRPr="00B63041">
          <w:rPr>
            <w:rStyle w:val="Hyperlink"/>
            <w:rFonts w:asciiTheme="minorHAnsi" w:hAnsiTheme="minorHAnsi"/>
            <w:noProof/>
            <w:color w:val="000000" w:themeColor="text1"/>
            <w:sz w:val="24"/>
            <w:szCs w:val="24"/>
            <w:lang w:val="en-US"/>
          </w:rPr>
          <w:t>3. Utilization of IAS Biomass</w:t>
        </w:r>
        <w:r w:rsidRPr="00B63041">
          <w:rPr>
            <w:rFonts w:asciiTheme="minorHAnsi" w:hAnsiTheme="minorHAnsi"/>
            <w:noProof/>
            <w:webHidden/>
            <w:color w:val="000000" w:themeColor="text1"/>
            <w:sz w:val="24"/>
            <w:szCs w:val="24"/>
          </w:rPr>
          <w:tab/>
        </w:r>
        <w:r w:rsidRPr="00B63041">
          <w:rPr>
            <w:rFonts w:asciiTheme="minorHAnsi" w:hAnsiTheme="minorHAnsi"/>
            <w:noProof/>
            <w:webHidden/>
            <w:color w:val="000000" w:themeColor="text1"/>
            <w:sz w:val="24"/>
            <w:szCs w:val="24"/>
          </w:rPr>
          <w:fldChar w:fldCharType="begin"/>
        </w:r>
        <w:r w:rsidRPr="00B63041">
          <w:rPr>
            <w:rFonts w:asciiTheme="minorHAnsi" w:hAnsiTheme="minorHAnsi"/>
            <w:noProof/>
            <w:webHidden/>
            <w:color w:val="000000" w:themeColor="text1"/>
            <w:sz w:val="24"/>
            <w:szCs w:val="24"/>
          </w:rPr>
          <w:instrText xml:space="preserve"> PAGEREF _Toc239856707 \h </w:instrText>
        </w:r>
        <w:r w:rsidRPr="00B63041">
          <w:rPr>
            <w:rFonts w:asciiTheme="minorHAnsi" w:hAnsiTheme="minorHAnsi"/>
            <w:noProof/>
            <w:webHidden/>
            <w:color w:val="000000" w:themeColor="text1"/>
            <w:sz w:val="24"/>
            <w:szCs w:val="24"/>
          </w:rPr>
        </w:r>
        <w:r w:rsidRPr="00B63041">
          <w:rPr>
            <w:rFonts w:asciiTheme="minorHAnsi" w:hAnsiTheme="minorHAnsi"/>
            <w:noProof/>
            <w:webHidden/>
            <w:color w:val="000000" w:themeColor="text1"/>
            <w:sz w:val="24"/>
            <w:szCs w:val="24"/>
          </w:rPr>
          <w:fldChar w:fldCharType="separate"/>
        </w:r>
        <w:r w:rsidRPr="00B63041">
          <w:rPr>
            <w:rFonts w:asciiTheme="minorHAnsi" w:hAnsiTheme="minorHAnsi"/>
            <w:noProof/>
            <w:webHidden/>
            <w:color w:val="000000" w:themeColor="text1"/>
            <w:sz w:val="24"/>
            <w:szCs w:val="24"/>
          </w:rPr>
          <w:t>48</w:t>
        </w:r>
        <w:r w:rsidRPr="00B63041">
          <w:rPr>
            <w:rFonts w:asciiTheme="minorHAnsi" w:hAnsiTheme="minorHAnsi"/>
            <w:noProof/>
            <w:webHidden/>
            <w:color w:val="000000" w:themeColor="text1"/>
            <w:sz w:val="24"/>
            <w:szCs w:val="24"/>
          </w:rPr>
          <w:fldChar w:fldCharType="end"/>
        </w:r>
      </w:hyperlink>
    </w:p>
    <w:p w14:paraId="55D379EB" w14:textId="073423A9"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708" w:history="1">
        <w:r w:rsidRPr="00B63041">
          <w:rPr>
            <w:rStyle w:val="Hyperlink"/>
            <w:rFonts w:asciiTheme="minorHAnsi" w:hAnsiTheme="minorHAnsi"/>
            <w:color w:val="000000" w:themeColor="text1"/>
            <w:sz w:val="24"/>
            <w:szCs w:val="24"/>
            <w:lang w:val="en-US"/>
          </w:rPr>
          <w:t>3.1. Legal Measures</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_Toc239856708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48</w:t>
        </w:r>
        <w:r w:rsidRPr="00B63041">
          <w:rPr>
            <w:rFonts w:asciiTheme="minorHAnsi" w:hAnsiTheme="minorHAnsi"/>
            <w:webHidden/>
            <w:color w:val="000000" w:themeColor="text1"/>
            <w:sz w:val="24"/>
            <w:szCs w:val="24"/>
          </w:rPr>
          <w:fldChar w:fldCharType="end"/>
        </w:r>
      </w:hyperlink>
    </w:p>
    <w:p w14:paraId="2CF92276" w14:textId="613B5394"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709" w:history="1">
        <w:r w:rsidRPr="00B63041">
          <w:rPr>
            <w:rStyle w:val="Hyperlink"/>
            <w:rFonts w:asciiTheme="minorHAnsi" w:hAnsiTheme="minorHAnsi"/>
            <w:color w:val="000000" w:themeColor="text1"/>
            <w:sz w:val="24"/>
            <w:szCs w:val="24"/>
            <w:lang w:val="en-US"/>
          </w:rPr>
          <w:t>3.2. Biomass Management</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_Toc239856709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51</w:t>
        </w:r>
        <w:r w:rsidRPr="00B63041">
          <w:rPr>
            <w:rFonts w:asciiTheme="minorHAnsi" w:hAnsiTheme="minorHAnsi"/>
            <w:webHidden/>
            <w:color w:val="000000" w:themeColor="text1"/>
            <w:sz w:val="24"/>
            <w:szCs w:val="24"/>
          </w:rPr>
          <w:fldChar w:fldCharType="end"/>
        </w:r>
      </w:hyperlink>
    </w:p>
    <w:p w14:paraId="6CABC688" w14:textId="3A7DC516" w:rsidR="002369FD" w:rsidRPr="00B63041" w:rsidRDefault="002369FD" w:rsidP="00B63041">
      <w:pPr>
        <w:pStyle w:val="TOC3"/>
        <w:tabs>
          <w:tab w:val="right" w:leader="dot" w:pos="9062"/>
        </w:tabs>
        <w:spacing w:line="276" w:lineRule="auto"/>
        <w:rPr>
          <w:rFonts w:asciiTheme="minorHAnsi" w:hAnsiTheme="minorHAnsi"/>
          <w:color w:val="000000" w:themeColor="text1"/>
          <w:sz w:val="24"/>
          <w:szCs w:val="24"/>
        </w:rPr>
      </w:pPr>
      <w:hyperlink w:anchor="_Toc239856710" w:history="1">
        <w:r w:rsidRPr="00B63041">
          <w:rPr>
            <w:rStyle w:val="Hyperlink"/>
            <w:rFonts w:asciiTheme="minorHAnsi" w:hAnsiTheme="minorHAnsi"/>
            <w:color w:val="000000" w:themeColor="text1"/>
            <w:sz w:val="24"/>
            <w:szCs w:val="24"/>
            <w:lang w:val="en-US"/>
          </w:rPr>
          <w:t>3.2.1. Burial</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_Toc239856710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55</w:t>
        </w:r>
        <w:r w:rsidRPr="00B63041">
          <w:rPr>
            <w:rFonts w:asciiTheme="minorHAnsi" w:hAnsiTheme="minorHAnsi"/>
            <w:webHidden/>
            <w:color w:val="000000" w:themeColor="text1"/>
            <w:sz w:val="24"/>
            <w:szCs w:val="24"/>
          </w:rPr>
          <w:fldChar w:fldCharType="end"/>
        </w:r>
      </w:hyperlink>
    </w:p>
    <w:p w14:paraId="14EC3C0E" w14:textId="153AB7C4" w:rsidR="002369FD" w:rsidRPr="00B63041" w:rsidRDefault="002369FD" w:rsidP="00B63041">
      <w:pPr>
        <w:pStyle w:val="TOC3"/>
        <w:tabs>
          <w:tab w:val="right" w:leader="dot" w:pos="9062"/>
        </w:tabs>
        <w:spacing w:line="276" w:lineRule="auto"/>
        <w:rPr>
          <w:rFonts w:asciiTheme="minorHAnsi" w:hAnsiTheme="minorHAnsi"/>
          <w:color w:val="000000" w:themeColor="text1"/>
          <w:sz w:val="24"/>
          <w:szCs w:val="24"/>
        </w:rPr>
      </w:pPr>
      <w:hyperlink w:anchor="_Toc239856711" w:history="1">
        <w:r w:rsidRPr="00B63041">
          <w:rPr>
            <w:rStyle w:val="Hyperlink"/>
            <w:rFonts w:asciiTheme="minorHAnsi" w:hAnsiTheme="minorHAnsi"/>
            <w:color w:val="000000" w:themeColor="text1"/>
            <w:sz w:val="24"/>
            <w:szCs w:val="24"/>
            <w:lang w:val="en-US"/>
          </w:rPr>
          <w:t>3.2.2. Collecting biomass into piles at locations designated in accordance with established criteria and leaving it to decompose naturally</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_Toc239856711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57</w:t>
        </w:r>
        <w:r w:rsidRPr="00B63041">
          <w:rPr>
            <w:rFonts w:asciiTheme="minorHAnsi" w:hAnsiTheme="minorHAnsi"/>
            <w:webHidden/>
            <w:color w:val="000000" w:themeColor="text1"/>
            <w:sz w:val="24"/>
            <w:szCs w:val="24"/>
          </w:rPr>
          <w:fldChar w:fldCharType="end"/>
        </w:r>
      </w:hyperlink>
    </w:p>
    <w:p w14:paraId="45C8A73F" w14:textId="445EA8BF" w:rsidR="002369FD" w:rsidRPr="00B63041" w:rsidRDefault="002369FD" w:rsidP="00B63041">
      <w:pPr>
        <w:pStyle w:val="TOC3"/>
        <w:tabs>
          <w:tab w:val="right" w:leader="dot" w:pos="9062"/>
        </w:tabs>
        <w:spacing w:line="276" w:lineRule="auto"/>
        <w:rPr>
          <w:rFonts w:asciiTheme="minorHAnsi" w:hAnsiTheme="minorHAnsi"/>
          <w:color w:val="000000" w:themeColor="text1"/>
          <w:sz w:val="24"/>
          <w:szCs w:val="24"/>
        </w:rPr>
      </w:pPr>
      <w:hyperlink w:anchor="_Toc239856712" w:history="1">
        <w:r w:rsidRPr="00B63041">
          <w:rPr>
            <w:rStyle w:val="Hyperlink"/>
            <w:rFonts w:asciiTheme="minorHAnsi" w:hAnsiTheme="minorHAnsi"/>
            <w:color w:val="000000" w:themeColor="text1"/>
            <w:sz w:val="24"/>
            <w:szCs w:val="24"/>
            <w:lang w:val="en-US"/>
          </w:rPr>
          <w:t>3.2.3. Transport to an Appropriate Facility as Biowaste</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_Toc239856712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58</w:t>
        </w:r>
        <w:r w:rsidRPr="00B63041">
          <w:rPr>
            <w:rFonts w:asciiTheme="minorHAnsi" w:hAnsiTheme="minorHAnsi"/>
            <w:webHidden/>
            <w:color w:val="000000" w:themeColor="text1"/>
            <w:sz w:val="24"/>
            <w:szCs w:val="24"/>
          </w:rPr>
          <w:fldChar w:fldCharType="end"/>
        </w:r>
      </w:hyperlink>
    </w:p>
    <w:p w14:paraId="3DC504A3" w14:textId="09879EF8" w:rsidR="002369FD" w:rsidRPr="00B63041" w:rsidRDefault="002369FD" w:rsidP="00B63041">
      <w:pPr>
        <w:pStyle w:val="TOC3"/>
        <w:tabs>
          <w:tab w:val="right" w:leader="dot" w:pos="9062"/>
        </w:tabs>
        <w:spacing w:line="276" w:lineRule="auto"/>
        <w:rPr>
          <w:rFonts w:asciiTheme="minorHAnsi" w:hAnsiTheme="minorHAnsi"/>
          <w:color w:val="000000" w:themeColor="text1"/>
          <w:sz w:val="24"/>
          <w:szCs w:val="24"/>
        </w:rPr>
      </w:pPr>
      <w:hyperlink w:anchor="_Toc239856713" w:history="1">
        <w:r w:rsidRPr="00B63041">
          <w:rPr>
            <w:rStyle w:val="Hyperlink"/>
            <w:rFonts w:asciiTheme="minorHAnsi" w:hAnsiTheme="minorHAnsi"/>
            <w:color w:val="000000" w:themeColor="text1"/>
            <w:sz w:val="24"/>
            <w:szCs w:val="24"/>
            <w:lang w:val="en-US"/>
          </w:rPr>
          <w:t>3.2.4. Transporting Biomass in Black Plastic Bags</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_Toc239856713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59</w:t>
        </w:r>
        <w:r w:rsidRPr="00B63041">
          <w:rPr>
            <w:rFonts w:asciiTheme="minorHAnsi" w:hAnsiTheme="minorHAnsi"/>
            <w:webHidden/>
            <w:color w:val="000000" w:themeColor="text1"/>
            <w:sz w:val="24"/>
            <w:szCs w:val="24"/>
          </w:rPr>
          <w:fldChar w:fldCharType="end"/>
        </w:r>
      </w:hyperlink>
    </w:p>
    <w:p w14:paraId="4A4FB882" w14:textId="6228F2F3" w:rsidR="002369FD" w:rsidRPr="00B63041" w:rsidRDefault="002369FD" w:rsidP="00B63041">
      <w:pPr>
        <w:pStyle w:val="TOC2"/>
        <w:tabs>
          <w:tab w:val="right" w:leader="dot" w:pos="9062"/>
        </w:tabs>
        <w:spacing w:line="276" w:lineRule="auto"/>
        <w:rPr>
          <w:rFonts w:asciiTheme="minorHAnsi" w:hAnsiTheme="minorHAnsi"/>
          <w:color w:val="000000" w:themeColor="text1"/>
          <w:sz w:val="24"/>
          <w:szCs w:val="24"/>
        </w:rPr>
      </w:pPr>
      <w:hyperlink w:anchor="_Toc239856714" w:history="1">
        <w:r w:rsidRPr="00B63041">
          <w:rPr>
            <w:rStyle w:val="Hyperlink"/>
            <w:rFonts w:asciiTheme="minorHAnsi" w:hAnsiTheme="minorHAnsi"/>
            <w:color w:val="000000" w:themeColor="text1"/>
            <w:sz w:val="24"/>
            <w:szCs w:val="24"/>
            <w:lang w:val="en-US"/>
          </w:rPr>
          <w:t>3.3. Monitoring Activities</w:t>
        </w:r>
        <w:r w:rsidRPr="00B63041">
          <w:rPr>
            <w:rFonts w:asciiTheme="minorHAnsi" w:hAnsiTheme="minorHAnsi"/>
            <w:webHidden/>
            <w:color w:val="000000" w:themeColor="text1"/>
            <w:sz w:val="24"/>
            <w:szCs w:val="24"/>
          </w:rPr>
          <w:tab/>
        </w:r>
        <w:r w:rsidRPr="00B63041">
          <w:rPr>
            <w:rFonts w:asciiTheme="minorHAnsi" w:hAnsiTheme="minorHAnsi"/>
            <w:webHidden/>
            <w:color w:val="000000" w:themeColor="text1"/>
            <w:sz w:val="24"/>
            <w:szCs w:val="24"/>
          </w:rPr>
          <w:fldChar w:fldCharType="begin"/>
        </w:r>
        <w:r w:rsidRPr="00B63041">
          <w:rPr>
            <w:rFonts w:asciiTheme="minorHAnsi" w:hAnsiTheme="minorHAnsi"/>
            <w:webHidden/>
            <w:color w:val="000000" w:themeColor="text1"/>
            <w:sz w:val="24"/>
            <w:szCs w:val="24"/>
          </w:rPr>
          <w:instrText xml:space="preserve"> PAGEREF _Toc239856714 \h </w:instrText>
        </w:r>
        <w:r w:rsidRPr="00B63041">
          <w:rPr>
            <w:rFonts w:asciiTheme="minorHAnsi" w:hAnsiTheme="minorHAnsi"/>
            <w:webHidden/>
            <w:color w:val="000000" w:themeColor="text1"/>
            <w:sz w:val="24"/>
            <w:szCs w:val="24"/>
          </w:rPr>
        </w:r>
        <w:r w:rsidRPr="00B63041">
          <w:rPr>
            <w:rFonts w:asciiTheme="minorHAnsi" w:hAnsiTheme="minorHAnsi"/>
            <w:webHidden/>
            <w:color w:val="000000" w:themeColor="text1"/>
            <w:sz w:val="24"/>
            <w:szCs w:val="24"/>
          </w:rPr>
          <w:fldChar w:fldCharType="separate"/>
        </w:r>
        <w:r w:rsidRPr="00B63041">
          <w:rPr>
            <w:rFonts w:asciiTheme="minorHAnsi" w:hAnsiTheme="minorHAnsi"/>
            <w:webHidden/>
            <w:color w:val="000000" w:themeColor="text1"/>
            <w:sz w:val="24"/>
            <w:szCs w:val="24"/>
          </w:rPr>
          <w:t>60</w:t>
        </w:r>
        <w:r w:rsidRPr="00B63041">
          <w:rPr>
            <w:rFonts w:asciiTheme="minorHAnsi" w:hAnsiTheme="minorHAnsi"/>
            <w:webHidden/>
            <w:color w:val="000000" w:themeColor="text1"/>
            <w:sz w:val="24"/>
            <w:szCs w:val="24"/>
          </w:rPr>
          <w:fldChar w:fldCharType="end"/>
        </w:r>
      </w:hyperlink>
    </w:p>
    <w:p w14:paraId="6F661E27" w14:textId="2757C124" w:rsidR="002369FD" w:rsidRPr="00B63041" w:rsidRDefault="002369FD" w:rsidP="00B63041">
      <w:pPr>
        <w:pStyle w:val="TOC1"/>
        <w:spacing w:line="276" w:lineRule="auto"/>
        <w:rPr>
          <w:rFonts w:asciiTheme="minorHAnsi" w:hAnsiTheme="minorHAnsi"/>
          <w:noProof/>
          <w:color w:val="000000" w:themeColor="text1"/>
          <w:sz w:val="24"/>
          <w:szCs w:val="24"/>
        </w:rPr>
      </w:pPr>
      <w:hyperlink w:anchor="_Toc239856715" w:history="1">
        <w:r w:rsidRPr="00B63041">
          <w:rPr>
            <w:rStyle w:val="Hyperlink"/>
            <w:rFonts w:asciiTheme="minorHAnsi" w:hAnsiTheme="minorHAnsi"/>
            <w:noProof/>
            <w:color w:val="000000" w:themeColor="text1"/>
            <w:sz w:val="24"/>
            <w:szCs w:val="24"/>
            <w:lang w:val="en-US"/>
          </w:rPr>
          <w:t>List of Tables</w:t>
        </w:r>
        <w:r w:rsidRPr="00B63041">
          <w:rPr>
            <w:rFonts w:asciiTheme="minorHAnsi" w:hAnsiTheme="minorHAnsi"/>
            <w:noProof/>
            <w:webHidden/>
            <w:color w:val="000000" w:themeColor="text1"/>
            <w:sz w:val="24"/>
            <w:szCs w:val="24"/>
          </w:rPr>
          <w:tab/>
        </w:r>
        <w:r w:rsidRPr="00B63041">
          <w:rPr>
            <w:rFonts w:asciiTheme="minorHAnsi" w:hAnsiTheme="minorHAnsi"/>
            <w:noProof/>
            <w:webHidden/>
            <w:color w:val="000000" w:themeColor="text1"/>
            <w:sz w:val="24"/>
            <w:szCs w:val="24"/>
          </w:rPr>
          <w:fldChar w:fldCharType="begin"/>
        </w:r>
        <w:r w:rsidRPr="00B63041">
          <w:rPr>
            <w:rFonts w:asciiTheme="minorHAnsi" w:hAnsiTheme="minorHAnsi"/>
            <w:noProof/>
            <w:webHidden/>
            <w:color w:val="000000" w:themeColor="text1"/>
            <w:sz w:val="24"/>
            <w:szCs w:val="24"/>
          </w:rPr>
          <w:instrText xml:space="preserve"> PAGEREF _Toc239856715 \h </w:instrText>
        </w:r>
        <w:r w:rsidRPr="00B63041">
          <w:rPr>
            <w:rFonts w:asciiTheme="minorHAnsi" w:hAnsiTheme="minorHAnsi"/>
            <w:noProof/>
            <w:webHidden/>
            <w:color w:val="000000" w:themeColor="text1"/>
            <w:sz w:val="24"/>
            <w:szCs w:val="24"/>
          </w:rPr>
        </w:r>
        <w:r w:rsidRPr="00B63041">
          <w:rPr>
            <w:rFonts w:asciiTheme="minorHAnsi" w:hAnsiTheme="minorHAnsi"/>
            <w:noProof/>
            <w:webHidden/>
            <w:color w:val="000000" w:themeColor="text1"/>
            <w:sz w:val="24"/>
            <w:szCs w:val="24"/>
          </w:rPr>
          <w:fldChar w:fldCharType="separate"/>
        </w:r>
        <w:r w:rsidRPr="00B63041">
          <w:rPr>
            <w:rFonts w:asciiTheme="minorHAnsi" w:hAnsiTheme="minorHAnsi"/>
            <w:noProof/>
            <w:webHidden/>
            <w:color w:val="000000" w:themeColor="text1"/>
            <w:sz w:val="24"/>
            <w:szCs w:val="24"/>
          </w:rPr>
          <w:t>66</w:t>
        </w:r>
        <w:r w:rsidRPr="00B63041">
          <w:rPr>
            <w:rFonts w:asciiTheme="minorHAnsi" w:hAnsiTheme="minorHAnsi"/>
            <w:noProof/>
            <w:webHidden/>
            <w:color w:val="000000" w:themeColor="text1"/>
            <w:sz w:val="24"/>
            <w:szCs w:val="24"/>
          </w:rPr>
          <w:fldChar w:fldCharType="end"/>
        </w:r>
      </w:hyperlink>
    </w:p>
    <w:p w14:paraId="6D71894C" w14:textId="4A274BD6" w:rsidR="002369FD" w:rsidRDefault="002369FD" w:rsidP="002369FD">
      <w:pPr>
        <w:spacing w:line="279" w:lineRule="auto"/>
        <w:jc w:val="both"/>
        <w:rPr>
          <w:rFonts w:ascii="Aptos" w:eastAsia="Aptos" w:hAnsi="Aptos"/>
          <w:noProof w:val="0"/>
          <w:kern w:val="0"/>
          <w:sz w:val="24"/>
          <w:szCs w:val="24"/>
          <w14:ligatures w14:val="none"/>
        </w:rPr>
      </w:pPr>
      <w:r w:rsidRPr="002369FD">
        <w:rPr>
          <w:rFonts w:asciiTheme="minorHAnsi" w:eastAsia="Aptos" w:hAnsiTheme="minorHAnsi"/>
          <w:noProof w:val="0"/>
          <w:kern w:val="0"/>
          <w:sz w:val="24"/>
          <w:szCs w:val="24"/>
          <w14:ligatures w14:val="none"/>
        </w:rPr>
        <w:fldChar w:fldCharType="end"/>
      </w:r>
    </w:p>
    <w:p w14:paraId="7C6A11AC" w14:textId="5B042482" w:rsidR="005E2C35" w:rsidRPr="00D512F1" w:rsidRDefault="002F0704" w:rsidP="00F82503">
      <w:pPr>
        <w:pStyle w:val="Heading1"/>
        <w:spacing w:before="0" w:after="80"/>
        <w:rPr>
          <w:rFonts w:asciiTheme="majorHAnsi" w:hAnsiTheme="majorHAnsi"/>
          <w:sz w:val="36"/>
          <w:szCs w:val="36"/>
          <w:lang w:val="en-US"/>
        </w:rPr>
      </w:pPr>
      <w:r w:rsidRPr="00D512F1">
        <w:rPr>
          <w:rFonts w:asciiTheme="majorHAnsi" w:hAnsiTheme="majorHAnsi"/>
          <w:sz w:val="36"/>
          <w:szCs w:val="36"/>
          <w:lang w:val="en-US"/>
        </w:rPr>
        <w:t xml:space="preserve"> </w:t>
      </w:r>
      <w:bookmarkStart w:id="0" w:name="_Toc239856689"/>
      <w:r w:rsidR="00D049D4" w:rsidRPr="00D512F1">
        <w:rPr>
          <w:rFonts w:asciiTheme="majorHAnsi" w:hAnsiTheme="majorHAnsi"/>
          <w:sz w:val="36"/>
          <w:szCs w:val="36"/>
          <w:lang w:val="en-US"/>
        </w:rPr>
        <w:t>1</w:t>
      </w:r>
      <w:r w:rsidR="000F4DFE">
        <w:rPr>
          <w:rFonts w:asciiTheme="majorHAnsi" w:hAnsiTheme="majorHAnsi"/>
          <w:sz w:val="36"/>
          <w:szCs w:val="36"/>
          <w:lang w:val="en-US"/>
        </w:rPr>
        <w:t>.</w:t>
      </w:r>
      <w:r w:rsidR="00D049D4" w:rsidRPr="00D512F1">
        <w:rPr>
          <w:rFonts w:asciiTheme="majorHAnsi" w:hAnsiTheme="majorHAnsi"/>
          <w:sz w:val="36"/>
          <w:szCs w:val="36"/>
          <w:lang w:val="en-US"/>
        </w:rPr>
        <w:t xml:space="preserve"> </w:t>
      </w:r>
      <w:r w:rsidRPr="00D512F1">
        <w:rPr>
          <w:rFonts w:asciiTheme="majorHAnsi" w:hAnsiTheme="majorHAnsi"/>
          <w:sz w:val="36"/>
          <w:szCs w:val="36"/>
          <w:lang w:val="en-US"/>
        </w:rPr>
        <w:t>Introduction</w:t>
      </w:r>
      <w:bookmarkEnd w:id="0"/>
    </w:p>
    <w:p w14:paraId="3EB0DABE" w14:textId="01DEEF0B" w:rsidR="002F0704" w:rsidRPr="00A54F16" w:rsidRDefault="002F0704" w:rsidP="00720B6D">
      <w:pPr>
        <w:spacing w:after="120" w:line="276" w:lineRule="auto"/>
        <w:jc w:val="both"/>
        <w:rPr>
          <w:rFonts w:asciiTheme="minorHAnsi" w:hAnsiTheme="minorHAnsi"/>
          <w:sz w:val="24"/>
          <w:szCs w:val="24"/>
          <w:lang w:val="en-US"/>
        </w:rPr>
      </w:pPr>
      <w:r w:rsidRPr="00A54F16">
        <w:rPr>
          <w:rFonts w:asciiTheme="minorHAnsi" w:hAnsiTheme="minorHAnsi"/>
          <w:sz w:val="24"/>
          <w:szCs w:val="24"/>
          <w:lang w:val="en-US"/>
        </w:rPr>
        <w:t>This document serves as an appendix to the project’s Biodiversity Management Plan (BMP). Its purpose is to present basic information on invasive alien plant species that may be encountered in connection with the implementation of the project, as well as to define guidelines for managing them—from preventive measures, through proper biomass management, to effective monitoring and reporting.</w:t>
      </w:r>
    </w:p>
    <w:p w14:paraId="07B76BAA" w14:textId="3A9507B9" w:rsidR="002F0704" w:rsidRPr="00A54F16" w:rsidRDefault="002F0704" w:rsidP="00720B6D">
      <w:pPr>
        <w:spacing w:after="120" w:line="276" w:lineRule="auto"/>
        <w:jc w:val="both"/>
        <w:rPr>
          <w:rFonts w:asciiTheme="minorHAnsi" w:hAnsiTheme="minorHAnsi"/>
          <w:sz w:val="24"/>
          <w:szCs w:val="24"/>
          <w:lang w:val="en-US"/>
        </w:rPr>
      </w:pPr>
      <w:r w:rsidRPr="00A54F16">
        <w:rPr>
          <w:rFonts w:asciiTheme="minorHAnsi" w:hAnsiTheme="minorHAnsi"/>
          <w:sz w:val="24"/>
          <w:szCs w:val="24"/>
          <w:lang w:val="en-US"/>
        </w:rPr>
        <w:t>The appendix primarily covers the main invasive plant species whose presence has been recorded in the wider vicinity of the project area, according to data from GBIF—the Global Biodiversity Information Facility. Nature surveys conducted to obtain the environmental permit, as well as surveys carried out during the preparatory phase, revealed the presence of several invasive alien species within the project area. However, the possibility of introducing additional non-native organisms from neighboring areas cannot be ruled out, particularly as a result of soil movement, material transport, the operation of construction equipment, or other activities carried out as part of the project.</w:t>
      </w:r>
    </w:p>
    <w:p w14:paraId="70734DAA" w14:textId="61C2EC26" w:rsidR="002F0704" w:rsidRPr="00A54F16" w:rsidRDefault="002F0704" w:rsidP="00720B6D">
      <w:pPr>
        <w:spacing w:after="120" w:line="276" w:lineRule="auto"/>
        <w:jc w:val="both"/>
        <w:rPr>
          <w:rFonts w:asciiTheme="minorHAnsi" w:hAnsiTheme="minorHAnsi"/>
          <w:sz w:val="24"/>
          <w:szCs w:val="24"/>
          <w:lang w:val="en-US"/>
        </w:rPr>
      </w:pPr>
      <w:r w:rsidRPr="00A54F16">
        <w:rPr>
          <w:rFonts w:asciiTheme="minorHAnsi" w:hAnsiTheme="minorHAnsi"/>
          <w:sz w:val="24"/>
          <w:szCs w:val="24"/>
          <w:lang w:val="en-US"/>
        </w:rPr>
        <w:t>Methods for preventing the spread of and controlling invasive plants are based on the Guidelines for Dealing with Invasive Plants of Alien Origin—a handbook prepared for the General Directorate for Environmental Protection (GDOŚ), educational materials from the Botanical Garden of the University of Warsaw regarding invasive plants, as well as other codes of conduct related to invasive alien species (IAS). Knowledge resources on IAS available in the CABI Compendium were also utilized.</w:t>
      </w:r>
    </w:p>
    <w:p w14:paraId="0A710554" w14:textId="1C7291EC" w:rsidR="002F0704" w:rsidRPr="00A54F16" w:rsidRDefault="002F0704" w:rsidP="00720B6D">
      <w:pPr>
        <w:spacing w:after="120" w:line="276" w:lineRule="auto"/>
        <w:jc w:val="both"/>
        <w:rPr>
          <w:rFonts w:asciiTheme="minorHAnsi" w:hAnsiTheme="minorHAnsi"/>
          <w:sz w:val="24"/>
          <w:szCs w:val="24"/>
          <w:lang w:val="en-US"/>
        </w:rPr>
      </w:pPr>
      <w:r w:rsidRPr="00A54F16">
        <w:rPr>
          <w:rFonts w:asciiTheme="minorHAnsi" w:hAnsiTheme="minorHAnsi"/>
          <w:sz w:val="24"/>
          <w:szCs w:val="24"/>
          <w:lang w:val="en-US"/>
        </w:rPr>
        <w:t xml:space="preserve">This appendix is practical and illustrative in nature. Its primary purpose is to enable construction site employees to identify suspicious plants and immediately report their presence to their supervisor. The measures described include both preventive measures aimed at reducing the risk of introducing and spreading </w:t>
      </w:r>
      <w:r w:rsidR="009374B7" w:rsidRPr="00A54F16">
        <w:rPr>
          <w:rFonts w:asciiTheme="minorHAnsi" w:hAnsiTheme="minorHAnsi"/>
          <w:sz w:val="24"/>
          <w:szCs w:val="24"/>
          <w:lang w:val="en-US"/>
        </w:rPr>
        <w:t>IAS</w:t>
      </w:r>
      <w:r w:rsidRPr="00A54F16">
        <w:rPr>
          <w:rFonts w:asciiTheme="minorHAnsi" w:hAnsiTheme="minorHAnsi"/>
          <w:sz w:val="24"/>
          <w:szCs w:val="24"/>
          <w:lang w:val="en-US"/>
        </w:rPr>
        <w:t>, as well as recommendations regarding the temporary storage of removed biomass, its further management or disposal, and monitoring the effectiveness of the measures taken.</w:t>
      </w:r>
    </w:p>
    <w:p w14:paraId="13C2E725" w14:textId="6779C39A" w:rsidR="002F0704" w:rsidRPr="00A54F16" w:rsidRDefault="002F0704" w:rsidP="00720B6D">
      <w:pPr>
        <w:spacing w:after="120" w:line="276" w:lineRule="auto"/>
        <w:jc w:val="both"/>
        <w:rPr>
          <w:rFonts w:asciiTheme="minorHAnsi" w:hAnsiTheme="minorHAnsi"/>
          <w:sz w:val="24"/>
          <w:szCs w:val="24"/>
          <w:lang w:val="en-US"/>
        </w:rPr>
      </w:pPr>
      <w:r w:rsidRPr="00A54F16">
        <w:rPr>
          <w:rFonts w:asciiTheme="minorHAnsi" w:hAnsiTheme="minorHAnsi"/>
          <w:sz w:val="24"/>
          <w:szCs w:val="24"/>
          <w:lang w:val="en-US"/>
        </w:rPr>
        <w:t xml:space="preserve">The proposed </w:t>
      </w:r>
      <w:r w:rsidR="00626277" w:rsidRPr="00A54F16">
        <w:rPr>
          <w:rFonts w:asciiTheme="minorHAnsi" w:hAnsiTheme="minorHAnsi"/>
          <w:sz w:val="24"/>
          <w:szCs w:val="24"/>
          <w:lang w:val="en-US"/>
        </w:rPr>
        <w:t>eradication</w:t>
      </w:r>
      <w:r w:rsidRPr="00A54F16">
        <w:rPr>
          <w:rFonts w:asciiTheme="minorHAnsi" w:hAnsiTheme="minorHAnsi"/>
          <w:sz w:val="24"/>
          <w:szCs w:val="24"/>
          <w:lang w:val="en-US"/>
        </w:rPr>
        <w:t xml:space="preserve"> methods, methods for the temporary storage of removed plants on the construction site, and final methods for the removal or disposal of biomass must be adapted on a case-by-case basis by the environmental supervision botanist and the site manager, taking into account the species, extent of occurrence, stage of plant development, local habitat conditions, and applicable regulations.</w:t>
      </w:r>
    </w:p>
    <w:p w14:paraId="372A377B" w14:textId="77777777" w:rsidR="002F0704" w:rsidRPr="00A54F16" w:rsidRDefault="002F0704" w:rsidP="00720B6D">
      <w:pPr>
        <w:spacing w:after="120" w:line="276" w:lineRule="auto"/>
        <w:jc w:val="both"/>
        <w:rPr>
          <w:rFonts w:asciiTheme="minorHAnsi" w:hAnsiTheme="minorHAnsi"/>
          <w:sz w:val="24"/>
          <w:szCs w:val="24"/>
          <w:lang w:val="en-US"/>
        </w:rPr>
      </w:pPr>
      <w:r w:rsidRPr="00A54F16">
        <w:rPr>
          <w:rFonts w:asciiTheme="minorHAnsi" w:hAnsiTheme="minorHAnsi"/>
          <w:sz w:val="24"/>
          <w:szCs w:val="24"/>
          <w:lang w:val="en-US"/>
        </w:rPr>
        <w:t>It is also recommended to use the current resources of the General Directorate for Environmental Protection (GDOŚ) to obtain current and new compendia on the control of invasive alien species. Currently, 10 compendia have been prepared and are available at: https://www.gov.pl/web/gdos/kompendia-zwalczania-wybranych-igo. They cover control measures for selected invasive alien species listed in this annex, such as: hogweeds (</w:t>
      </w:r>
      <w:r w:rsidRPr="00A54F16">
        <w:rPr>
          <w:rFonts w:asciiTheme="minorHAnsi" w:hAnsiTheme="minorHAnsi"/>
          <w:i/>
          <w:iCs/>
          <w:sz w:val="24"/>
          <w:szCs w:val="24"/>
          <w:lang w:val="en-US"/>
        </w:rPr>
        <w:t>Heracleum sosnowskyi, Heracleum mantegazzianum</w:t>
      </w:r>
      <w:r w:rsidRPr="00A54F16">
        <w:rPr>
          <w:rFonts w:asciiTheme="minorHAnsi" w:hAnsiTheme="minorHAnsi"/>
          <w:sz w:val="24"/>
          <w:szCs w:val="24"/>
          <w:lang w:val="en-US"/>
        </w:rPr>
        <w:t>), knotweeds (</w:t>
      </w:r>
      <w:r w:rsidRPr="00A54F16">
        <w:rPr>
          <w:rFonts w:asciiTheme="minorHAnsi" w:hAnsiTheme="minorHAnsi"/>
          <w:i/>
          <w:iCs/>
          <w:sz w:val="24"/>
          <w:szCs w:val="24"/>
          <w:lang w:val="en-US"/>
        </w:rPr>
        <w:t>Reynoutria / Fallopia japonica, Reynoutria / Fallopia sachalinensis, Reynoutria / Fallopia × bohemica</w:t>
      </w:r>
      <w:r w:rsidRPr="00A54F16">
        <w:rPr>
          <w:rFonts w:asciiTheme="minorHAnsi" w:hAnsiTheme="minorHAnsi"/>
          <w:sz w:val="24"/>
          <w:szCs w:val="24"/>
          <w:lang w:val="en-US"/>
        </w:rPr>
        <w:t>), balsams (</w:t>
      </w:r>
      <w:r w:rsidRPr="00A54F16">
        <w:rPr>
          <w:rFonts w:asciiTheme="minorHAnsi" w:hAnsiTheme="minorHAnsi"/>
          <w:i/>
          <w:iCs/>
          <w:sz w:val="24"/>
          <w:szCs w:val="24"/>
          <w:lang w:val="en-US"/>
        </w:rPr>
        <w:t>Impatiens glandulifera, Impatiens capensis</w:t>
      </w:r>
      <w:r w:rsidRPr="00A54F16">
        <w:rPr>
          <w:rFonts w:asciiTheme="minorHAnsi" w:hAnsiTheme="minorHAnsi"/>
          <w:sz w:val="24"/>
          <w:szCs w:val="24"/>
          <w:lang w:val="en-US"/>
        </w:rPr>
        <w:t>), steeplebush (</w:t>
      </w:r>
      <w:r w:rsidRPr="00A54F16">
        <w:rPr>
          <w:rFonts w:asciiTheme="minorHAnsi" w:hAnsiTheme="minorHAnsi"/>
          <w:i/>
          <w:iCs/>
          <w:sz w:val="24"/>
          <w:szCs w:val="24"/>
          <w:lang w:val="en-US"/>
        </w:rPr>
        <w:t>Spiraea tomentosa)</w:t>
      </w:r>
      <w:r w:rsidRPr="00A54F16">
        <w:rPr>
          <w:rFonts w:asciiTheme="minorHAnsi" w:hAnsiTheme="minorHAnsi"/>
          <w:sz w:val="24"/>
          <w:szCs w:val="24"/>
          <w:lang w:val="en-US"/>
        </w:rPr>
        <w:t>, and wild cucumber (</w:t>
      </w:r>
      <w:r w:rsidRPr="00A54F16">
        <w:rPr>
          <w:rFonts w:asciiTheme="minorHAnsi" w:hAnsiTheme="minorHAnsi"/>
          <w:i/>
          <w:iCs/>
          <w:sz w:val="24"/>
          <w:szCs w:val="24"/>
          <w:lang w:val="en-US"/>
        </w:rPr>
        <w:t>Echinocystis lobata</w:t>
      </w:r>
      <w:r w:rsidRPr="00A54F16">
        <w:rPr>
          <w:rFonts w:asciiTheme="minorHAnsi" w:hAnsiTheme="minorHAnsi"/>
          <w:sz w:val="24"/>
          <w:szCs w:val="24"/>
          <w:lang w:val="en-US"/>
        </w:rPr>
        <w:t>).</w:t>
      </w:r>
    </w:p>
    <w:p w14:paraId="301934C0" w14:textId="426F6A8F" w:rsidR="002F0704" w:rsidRPr="00A54F16" w:rsidRDefault="002F0704" w:rsidP="00720B6D">
      <w:pPr>
        <w:spacing w:after="120" w:line="276" w:lineRule="auto"/>
        <w:jc w:val="both"/>
        <w:rPr>
          <w:rFonts w:asciiTheme="minorHAnsi" w:hAnsiTheme="minorHAnsi"/>
          <w:sz w:val="24"/>
          <w:szCs w:val="24"/>
          <w:lang w:val="en-US"/>
        </w:rPr>
      </w:pPr>
      <w:r w:rsidRPr="00A54F16">
        <w:rPr>
          <w:rFonts w:asciiTheme="minorHAnsi" w:hAnsiTheme="minorHAnsi"/>
          <w:sz w:val="24"/>
          <w:szCs w:val="24"/>
          <w:lang w:val="en-US"/>
        </w:rPr>
        <w:t>Chapter 3 presents recommendations regarding the management of biomass from invasive alien species, including principles for mitigating the risk of further spread of plant material.</w:t>
      </w:r>
    </w:p>
    <w:p w14:paraId="2B28C301" w14:textId="0B152FC1" w:rsidR="00A86505" w:rsidRPr="00A54F16" w:rsidRDefault="002F0704" w:rsidP="00720B6D">
      <w:pPr>
        <w:spacing w:after="120" w:line="276" w:lineRule="auto"/>
        <w:jc w:val="both"/>
        <w:rPr>
          <w:rFonts w:asciiTheme="minorHAnsi" w:hAnsiTheme="minorHAnsi"/>
          <w:sz w:val="24"/>
          <w:szCs w:val="24"/>
          <w:lang w:val="en-US"/>
        </w:rPr>
        <w:sectPr w:rsidR="00A86505" w:rsidRPr="00A54F16" w:rsidSect="002A4E5B">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titlePg/>
          <w:docGrid w:linePitch="360"/>
        </w:sectPr>
      </w:pPr>
      <w:r w:rsidRPr="00A54F16">
        <w:rPr>
          <w:rFonts w:asciiTheme="minorHAnsi" w:hAnsiTheme="minorHAnsi"/>
          <w:sz w:val="24"/>
          <w:szCs w:val="24"/>
          <w:lang w:val="en-US"/>
        </w:rPr>
        <w:t xml:space="preserve">The list of invasive alien species included in this appendix is open-ended and will be updated during the implementation of the Project. If additional invasive alien species (IAS) not described in this document are identified within the project area or in its immediate vicinity, this appendix will be updated with relevant information regarding their identification, potential risks, recommended preventive measures, methods for handling biomass, and monitoring guidelines. Any new sightings of suspected species should be reported immediately to the project manager and the botanist </w:t>
      </w:r>
      <w:r w:rsidR="00A86505" w:rsidRPr="00A54F16">
        <w:rPr>
          <w:rFonts w:asciiTheme="minorHAnsi" w:hAnsiTheme="minorHAnsi"/>
          <w:sz w:val="24"/>
          <w:szCs w:val="24"/>
          <w:lang w:val="en-US"/>
        </w:rPr>
        <w:t>responsible</w:t>
      </w:r>
      <w:r w:rsidRPr="00A54F16">
        <w:rPr>
          <w:rFonts w:asciiTheme="minorHAnsi" w:hAnsiTheme="minorHAnsi"/>
          <w:sz w:val="24"/>
          <w:szCs w:val="24"/>
          <w:lang w:val="en-US"/>
        </w:rPr>
        <w:t xml:space="preserve"> for environmental supervision</w:t>
      </w:r>
      <w:r w:rsidR="006B496F" w:rsidRPr="00A54F16">
        <w:rPr>
          <w:rFonts w:asciiTheme="minorHAnsi" w:hAnsiTheme="minorHAnsi"/>
          <w:sz w:val="24"/>
          <w:szCs w:val="24"/>
          <w:lang w:val="en-US"/>
        </w:rPr>
        <w:t xml:space="preserve">. </w:t>
      </w:r>
      <w:r w:rsidR="00A86505" w:rsidRPr="00A54F16">
        <w:rPr>
          <w:rFonts w:asciiTheme="minorHAnsi" w:hAnsiTheme="minorHAnsi"/>
          <w:sz w:val="24"/>
          <w:szCs w:val="24"/>
          <w:lang w:val="en-US"/>
        </w:rPr>
        <w:t>The distribution of invasive species confirmed in the field is shown in the figure below.</w:t>
      </w:r>
    </w:p>
    <w:p w14:paraId="55CDC1D9" w14:textId="1B6C28F8" w:rsidR="00A86505" w:rsidRPr="00626277" w:rsidRDefault="00626277" w:rsidP="002F0704">
      <w:pPr>
        <w:jc w:val="both"/>
        <w:sectPr w:rsidR="00A86505" w:rsidRPr="00626277" w:rsidSect="00A86505">
          <w:headerReference w:type="first" r:id="rId16"/>
          <w:footerReference w:type="first" r:id="rId17"/>
          <w:pgSz w:w="16838" w:h="11906" w:orient="landscape"/>
          <w:pgMar w:top="1417" w:right="1417" w:bottom="1417" w:left="1417" w:header="708" w:footer="708" w:gutter="0"/>
          <w:cols w:space="708"/>
          <w:docGrid w:linePitch="360"/>
        </w:sectPr>
      </w:pPr>
      <w:r w:rsidRPr="00626277">
        <w:drawing>
          <wp:inline distT="0" distB="0" distL="0" distR="0" wp14:anchorId="05A4E30C" wp14:editId="73A85301">
            <wp:extent cx="8126095" cy="5760720"/>
            <wp:effectExtent l="19050" t="19050" r="27305" b="11430"/>
            <wp:docPr id="160254830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548303" name=""/>
                    <pic:cNvPicPr/>
                  </pic:nvPicPr>
                  <pic:blipFill>
                    <a:blip r:embed="rId18"/>
                    <a:stretch>
                      <a:fillRect/>
                    </a:stretch>
                  </pic:blipFill>
                  <pic:spPr>
                    <a:xfrm>
                      <a:off x="0" y="0"/>
                      <a:ext cx="8126095" cy="5760720"/>
                    </a:xfrm>
                    <a:prstGeom prst="rect">
                      <a:avLst/>
                    </a:prstGeom>
                    <a:ln>
                      <a:solidFill>
                        <a:schemeClr val="accent1"/>
                      </a:solidFill>
                    </a:ln>
                  </pic:spPr>
                </pic:pic>
              </a:graphicData>
            </a:graphic>
          </wp:inline>
        </w:drawing>
      </w:r>
    </w:p>
    <w:p w14:paraId="1EDC4858" w14:textId="39D3D3D9" w:rsidR="006B496F" w:rsidRPr="00324DD6" w:rsidRDefault="002F0704" w:rsidP="00720B6D">
      <w:pPr>
        <w:pStyle w:val="Heading1"/>
        <w:spacing w:after="80"/>
        <w:rPr>
          <w:rFonts w:asciiTheme="majorHAnsi" w:hAnsiTheme="majorHAnsi"/>
          <w:sz w:val="36"/>
          <w:szCs w:val="36"/>
          <w:lang w:val="en-US"/>
        </w:rPr>
      </w:pPr>
      <w:bookmarkStart w:id="1" w:name="_Toc239856690"/>
      <w:r w:rsidRPr="00324DD6">
        <w:rPr>
          <w:rFonts w:asciiTheme="majorHAnsi" w:hAnsiTheme="majorHAnsi"/>
          <w:sz w:val="36"/>
          <w:szCs w:val="36"/>
          <w:lang w:val="en-US"/>
        </w:rPr>
        <w:t>2. Information on Individual Invasive Species</w:t>
      </w:r>
      <w:bookmarkEnd w:id="1"/>
    </w:p>
    <w:p w14:paraId="27A22167" w14:textId="342943D3" w:rsidR="006B496F" w:rsidRPr="00D049D4" w:rsidRDefault="006B496F" w:rsidP="00720B6D">
      <w:pPr>
        <w:pStyle w:val="Heading2"/>
        <w:spacing w:before="0"/>
        <w:rPr>
          <w:lang w:val="en-US"/>
        </w:rPr>
      </w:pPr>
      <w:bookmarkStart w:id="2" w:name="_Toc239856691"/>
      <w:r w:rsidRPr="00D049D4">
        <w:rPr>
          <w:lang w:val="en-US"/>
        </w:rPr>
        <w:t>2.1. Japanese knotweed (</w:t>
      </w:r>
      <w:r w:rsidRPr="00D049D4">
        <w:rPr>
          <w:i/>
          <w:iCs/>
          <w:lang w:val="en-US"/>
        </w:rPr>
        <w:t xml:space="preserve">Reynoutria </w:t>
      </w:r>
      <w:r w:rsidRPr="00D049D4">
        <w:rPr>
          <w:lang w:val="en-US"/>
        </w:rPr>
        <w:t>SP)</w:t>
      </w:r>
      <w:bookmarkEnd w:id="2"/>
    </w:p>
    <w:p w14:paraId="1DA650A3" w14:textId="77777777" w:rsidR="006B496F" w:rsidRPr="00720B6D" w:rsidRDefault="006B496F" w:rsidP="00720B6D">
      <w:pPr>
        <w:spacing w:after="80" w:line="276" w:lineRule="auto"/>
        <w:jc w:val="both"/>
        <w:rPr>
          <w:rFonts w:asciiTheme="minorHAnsi" w:hAnsiTheme="minorHAnsi"/>
          <w:b/>
          <w:bCs/>
          <w:sz w:val="24"/>
          <w:szCs w:val="24"/>
          <w:lang w:val="en-US"/>
        </w:rPr>
      </w:pPr>
      <w:r w:rsidRPr="00720B6D">
        <w:rPr>
          <w:rFonts w:asciiTheme="minorHAnsi" w:hAnsiTheme="minorHAnsi"/>
          <w:b/>
          <w:bCs/>
          <w:sz w:val="24"/>
          <w:szCs w:val="24"/>
          <w:lang w:val="en-US"/>
        </w:rPr>
        <w:t>Species Characteristics</w:t>
      </w:r>
    </w:p>
    <w:p w14:paraId="10703A96" w14:textId="77777777" w:rsidR="006B496F" w:rsidRPr="00720B6D" w:rsidRDefault="006B496F" w:rsidP="00720B6D">
      <w:pPr>
        <w:spacing w:after="120" w:line="276" w:lineRule="auto"/>
        <w:jc w:val="both"/>
        <w:rPr>
          <w:rFonts w:asciiTheme="minorHAnsi" w:hAnsiTheme="minorHAnsi"/>
          <w:sz w:val="24"/>
          <w:szCs w:val="24"/>
          <w:lang w:val="en-US"/>
        </w:rPr>
      </w:pPr>
      <w:bookmarkStart w:id="3" w:name="_Hlk164072032"/>
      <w:r w:rsidRPr="00720B6D">
        <w:rPr>
          <w:rFonts w:asciiTheme="minorHAnsi" w:hAnsiTheme="minorHAnsi"/>
          <w:sz w:val="24"/>
          <w:szCs w:val="24"/>
          <w:lang w:val="en-US"/>
        </w:rPr>
        <w:t>Asian knotweeds are perennials—rhizomatous geophytes—with stout stems that grow up to 3 m (</w:t>
      </w:r>
      <w:r w:rsidRPr="00720B6D">
        <w:rPr>
          <w:rFonts w:asciiTheme="minorHAnsi" w:hAnsiTheme="minorHAnsi"/>
          <w:i/>
          <w:iCs/>
          <w:sz w:val="24"/>
          <w:szCs w:val="24"/>
          <w:lang w:val="en-US"/>
        </w:rPr>
        <w:t>Reynoutria japonica</w:t>
      </w:r>
      <w:r w:rsidRPr="00720B6D">
        <w:rPr>
          <w:rFonts w:asciiTheme="minorHAnsi" w:hAnsiTheme="minorHAnsi"/>
          <w:sz w:val="24"/>
          <w:szCs w:val="24"/>
          <w:lang w:val="en-US"/>
        </w:rPr>
        <w:t>), 3.5 m (</w:t>
      </w:r>
      <w:r w:rsidRPr="00720B6D">
        <w:rPr>
          <w:rFonts w:asciiTheme="minorHAnsi" w:hAnsiTheme="minorHAnsi"/>
          <w:i/>
          <w:iCs/>
          <w:sz w:val="24"/>
          <w:szCs w:val="24"/>
          <w:lang w:val="en-US"/>
        </w:rPr>
        <w:t>Reynoutria ×bohemica</w:t>
      </w:r>
      <w:r w:rsidRPr="00720B6D">
        <w:rPr>
          <w:rFonts w:asciiTheme="minorHAnsi" w:hAnsiTheme="minorHAnsi"/>
          <w:sz w:val="24"/>
          <w:szCs w:val="24"/>
          <w:lang w:val="en-US"/>
        </w:rPr>
        <w:t>), and even 4 (4.5) m (</w:t>
      </w:r>
      <w:r w:rsidRPr="00720B6D">
        <w:rPr>
          <w:rFonts w:asciiTheme="minorHAnsi" w:hAnsiTheme="minorHAnsi"/>
          <w:i/>
          <w:iCs/>
          <w:sz w:val="24"/>
          <w:szCs w:val="24"/>
          <w:lang w:val="en-US"/>
        </w:rPr>
        <w:t>Reynoutria sachalinensis</w:t>
      </w:r>
      <w:r w:rsidRPr="00720B6D">
        <w:rPr>
          <w:rFonts w:asciiTheme="minorHAnsi" w:hAnsiTheme="minorHAnsi"/>
          <w:sz w:val="24"/>
          <w:szCs w:val="24"/>
          <w:lang w:val="en-US"/>
        </w:rPr>
        <w:t>) in height, with similar growth habits (Fig. 2). This is particularly evident in the hybrid knotweed R. ×bohemica, which, as a hybrid of the Japanese knotweed R. japonica and the Giant knotweed R. sachalinensis, exhibits many morphological traits that are intermediate between those of its parent species. In their secondary range, knotweeds exhibit a wide range of habitats, from anthropogenic habitats (including roadsides, railroad embankments, various types of urban and post-industrial wastelands, parks, cemeteries, and home gardens) to natural habitats (e.g., riverbanks, forest edges, and thickets)</w:t>
      </w:r>
      <w:r w:rsidRPr="00720B6D">
        <w:rPr>
          <w:rStyle w:val="FootnoteReference"/>
          <w:rFonts w:asciiTheme="minorHAnsi" w:hAnsiTheme="minorHAnsi"/>
          <w:sz w:val="24"/>
          <w:szCs w:val="24"/>
        </w:rPr>
        <w:footnoteReference w:id="1"/>
      </w:r>
      <w:r w:rsidRPr="00720B6D">
        <w:rPr>
          <w:rFonts w:asciiTheme="minorHAnsi" w:hAnsiTheme="minorHAnsi"/>
          <w:sz w:val="24"/>
          <w:szCs w:val="24"/>
          <w:lang w:val="en-US"/>
        </w:rPr>
        <w:t xml:space="preserve"> . </w:t>
      </w:r>
    </w:p>
    <w:p w14:paraId="3C8436E7" w14:textId="77777777" w:rsidR="006B496F" w:rsidRPr="00720B6D" w:rsidRDefault="006B496F" w:rsidP="00720B6D">
      <w:pPr>
        <w:spacing w:after="120" w:line="276" w:lineRule="auto"/>
        <w:jc w:val="both"/>
        <w:rPr>
          <w:rFonts w:asciiTheme="minorHAnsi" w:hAnsiTheme="minorHAnsi"/>
          <w:sz w:val="24"/>
          <w:szCs w:val="24"/>
          <w:lang w:val="en-US"/>
        </w:rPr>
      </w:pPr>
      <w:r w:rsidRPr="00720B6D">
        <w:rPr>
          <w:rFonts w:asciiTheme="minorHAnsi" w:hAnsiTheme="minorHAnsi"/>
          <w:sz w:val="24"/>
          <w:szCs w:val="24"/>
          <w:lang w:val="en-US"/>
        </w:rPr>
        <w:t>Individual taxa can most easily be distinguished by the shape of their leaves. The leaves of Giant knotweed are soft to the touch, very large—up to 35 cm long and 20 cm wide—and have a heart-shaped base. The underside of the leaves is distinctly hairy, covered with scattered, long, and soft hairs.</w:t>
      </w:r>
    </w:p>
    <w:p w14:paraId="373B0E6A" w14:textId="77777777" w:rsidR="006B496F" w:rsidRPr="00720B6D" w:rsidRDefault="006B496F" w:rsidP="00720B6D">
      <w:pPr>
        <w:spacing w:after="120" w:line="276" w:lineRule="auto"/>
        <w:jc w:val="both"/>
        <w:rPr>
          <w:rFonts w:asciiTheme="minorHAnsi" w:hAnsiTheme="minorHAnsi"/>
          <w:sz w:val="24"/>
          <w:szCs w:val="24"/>
          <w:lang w:val="en-US"/>
        </w:rPr>
      </w:pPr>
      <w:r w:rsidRPr="00720B6D">
        <w:rPr>
          <w:rFonts w:asciiTheme="minorHAnsi" w:hAnsiTheme="minorHAnsi"/>
          <w:sz w:val="24"/>
          <w:szCs w:val="24"/>
          <w:lang w:val="en-US"/>
        </w:rPr>
        <w:t xml:space="preserve">The leaves of the pointed knotweed are stiff, much smaller—up to 15 cm long and 10 cm wide—truncate at the base, and distinctly tapering at the tip. The underside of the leaves is glabrous, covered only with unicellular, very short structures called papillae. </w:t>
      </w:r>
    </w:p>
    <w:p w14:paraId="6FA4D1D2" w14:textId="77777777" w:rsidR="006B496F" w:rsidRPr="00720B6D" w:rsidRDefault="006B496F" w:rsidP="00720B6D">
      <w:pPr>
        <w:spacing w:after="120" w:line="276" w:lineRule="auto"/>
        <w:jc w:val="both"/>
        <w:rPr>
          <w:rFonts w:asciiTheme="minorHAnsi" w:hAnsiTheme="minorHAnsi"/>
          <w:sz w:val="24"/>
          <w:szCs w:val="24"/>
          <w:lang w:val="en-US"/>
        </w:rPr>
      </w:pPr>
      <w:r w:rsidRPr="00720B6D">
        <w:rPr>
          <w:rFonts w:asciiTheme="minorHAnsi" w:hAnsiTheme="minorHAnsi"/>
          <w:sz w:val="24"/>
          <w:szCs w:val="24"/>
          <w:lang w:val="en-US"/>
        </w:rPr>
        <w:t>The leaves of the intermediate knotweed (a hybrid) vary greatly in size and shape, with their size decreasing toward the tip. They often have a slightly heart-shaped base, and the tip of the leaf is pointed. The underside of the leaves is covered with hairs, which are particularly visible along the veins when the leaf is bent.</w:t>
      </w:r>
    </w:p>
    <w:p w14:paraId="211252E9" w14:textId="77777777" w:rsidR="006B496F" w:rsidRPr="00720B6D" w:rsidRDefault="006B496F" w:rsidP="00720B6D">
      <w:pPr>
        <w:spacing w:after="120" w:line="276" w:lineRule="auto"/>
        <w:jc w:val="both"/>
        <w:rPr>
          <w:rFonts w:asciiTheme="minorHAnsi" w:hAnsiTheme="minorHAnsi"/>
          <w:sz w:val="24"/>
          <w:szCs w:val="24"/>
          <w:lang w:val="en-US"/>
        </w:rPr>
      </w:pPr>
      <w:r w:rsidRPr="00720B6D">
        <w:rPr>
          <w:rFonts w:asciiTheme="minorHAnsi" w:hAnsiTheme="minorHAnsi"/>
          <w:sz w:val="24"/>
          <w:szCs w:val="24"/>
          <w:lang w:val="en-US"/>
        </w:rPr>
        <w:t>Knotweeds are perennials that typically exceed 2 m in height, and their daily growth can reach 3 cm. Stems sprout very quickly from the rhizomes, especially in the spring.</w:t>
      </w:r>
    </w:p>
    <w:p w14:paraId="57038498" w14:textId="1A88C608" w:rsidR="006B496F" w:rsidRPr="00720B6D" w:rsidRDefault="006B496F" w:rsidP="00720B6D">
      <w:pPr>
        <w:spacing w:after="120" w:line="276" w:lineRule="auto"/>
        <w:jc w:val="both"/>
        <w:rPr>
          <w:rFonts w:asciiTheme="minorHAnsi" w:hAnsiTheme="minorHAnsi"/>
          <w:sz w:val="24"/>
          <w:szCs w:val="24"/>
          <w:lang w:val="en-US"/>
        </w:rPr>
      </w:pPr>
      <w:r w:rsidRPr="00720B6D">
        <w:rPr>
          <w:rFonts w:asciiTheme="minorHAnsi" w:hAnsiTheme="minorHAnsi"/>
          <w:sz w:val="24"/>
          <w:szCs w:val="24"/>
          <w:lang w:val="en-US"/>
        </w:rPr>
        <w:t>Their very strong rhizomes pierce through asphalt, break through walls and concrete, and spread in a radius ranging from 7 to over 20 meters from the parent plant. The rhizomes grow to a depth of 2–3 m, which is why knotweed is so difficult to remove—a fact that, of course, entails enormous costs for controlling these plants.</w:t>
      </w:r>
    </w:p>
    <w:p w14:paraId="3D028DCA" w14:textId="77777777" w:rsidR="006B496F" w:rsidRPr="00720B6D" w:rsidRDefault="006B496F" w:rsidP="00720B6D">
      <w:pPr>
        <w:spacing w:after="120" w:line="276" w:lineRule="auto"/>
        <w:jc w:val="both"/>
        <w:rPr>
          <w:rFonts w:asciiTheme="minorHAnsi" w:hAnsiTheme="minorHAnsi"/>
          <w:sz w:val="24"/>
          <w:szCs w:val="24"/>
          <w:lang w:val="en-US"/>
        </w:rPr>
      </w:pPr>
      <w:r w:rsidRPr="00720B6D">
        <w:rPr>
          <w:rFonts w:asciiTheme="minorHAnsi" w:hAnsiTheme="minorHAnsi"/>
          <w:sz w:val="24"/>
          <w:szCs w:val="24"/>
          <w:lang w:val="en-US"/>
        </w:rPr>
        <w:t xml:space="preserve">They are characterized by a strong and rapid ability to regenerate even from small fragments of rhizome or shoot, just a few centimeters in size. Available sources indicate that as little as 5–7 g of rhizome is sufficient for the plants to regenerate. Some researchers claim that as little as about 0.7 g of rhizome is enough for a new plant to form. </w:t>
      </w:r>
    </w:p>
    <w:p w14:paraId="26065EAB" w14:textId="77777777" w:rsidR="006B496F" w:rsidRPr="00720B6D" w:rsidRDefault="006B496F" w:rsidP="00720B6D">
      <w:pPr>
        <w:spacing w:after="120" w:line="276" w:lineRule="auto"/>
        <w:jc w:val="both"/>
        <w:rPr>
          <w:rFonts w:asciiTheme="minorHAnsi" w:hAnsiTheme="minorHAnsi"/>
          <w:sz w:val="24"/>
          <w:szCs w:val="24"/>
          <w:lang w:val="en-US"/>
        </w:rPr>
      </w:pPr>
      <w:r w:rsidRPr="00720B6D">
        <w:rPr>
          <w:rFonts w:asciiTheme="minorHAnsi" w:hAnsiTheme="minorHAnsi"/>
          <w:sz w:val="24"/>
          <w:szCs w:val="24"/>
          <w:lang w:val="en-US"/>
        </w:rPr>
        <w:t>Knotweed rhizomes are easily transported by water, which facilitates the overgrowth of river valleys by these plants and the formation of massive clusters of knotweed, primarily sharp-leaved knotweed, as well as intermediate knotweed. Plant fragments are also transported with contaminated soil, e.g., during road construction, road shoulder paving, or other works, as well as with soil brought into gardens</w:t>
      </w:r>
      <w:r w:rsidRPr="00720B6D">
        <w:rPr>
          <w:rStyle w:val="FootnoteReference"/>
          <w:rFonts w:asciiTheme="minorHAnsi" w:hAnsiTheme="minorHAnsi"/>
          <w:sz w:val="24"/>
          <w:szCs w:val="24"/>
        </w:rPr>
        <w:footnoteReference w:id="2"/>
      </w:r>
      <w:r w:rsidRPr="00720B6D">
        <w:rPr>
          <w:rFonts w:asciiTheme="minorHAnsi" w:hAnsiTheme="minorHAnsi"/>
          <w:sz w:val="24"/>
          <w:szCs w:val="24"/>
          <w:lang w:val="en-US"/>
        </w:rPr>
        <w:t xml:space="preserve"> .</w:t>
      </w:r>
    </w:p>
    <w:p w14:paraId="65F3EDE3" w14:textId="77777777" w:rsidR="009B1C06" w:rsidRPr="00626277" w:rsidRDefault="009B1C06" w:rsidP="009B1C06">
      <w:pPr>
        <w:jc w:val="both"/>
      </w:pPr>
      <w:r w:rsidRPr="00626277">
        <w:drawing>
          <wp:inline distT="0" distB="0" distL="0" distR="0" wp14:anchorId="685F208E" wp14:editId="2470CC4B">
            <wp:extent cx="6037464" cy="3667125"/>
            <wp:effectExtent l="0" t="0" r="1905" b="0"/>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48473" cy="3673812"/>
                    </a:xfrm>
                    <a:prstGeom prst="rect">
                      <a:avLst/>
                    </a:prstGeom>
                  </pic:spPr>
                </pic:pic>
              </a:graphicData>
            </a:graphic>
          </wp:inline>
        </w:drawing>
      </w:r>
    </w:p>
    <w:p w14:paraId="59F9FBCC" w14:textId="77777777" w:rsidR="009B1C06" w:rsidRPr="00626277" w:rsidRDefault="009B1C06" w:rsidP="009B1C06">
      <w:pPr>
        <w:jc w:val="both"/>
        <w:rPr>
          <w:b/>
          <w:bCs/>
        </w:rPr>
      </w:pPr>
      <w:r w:rsidRPr="00626277">
        <w:drawing>
          <wp:inline distT="0" distB="0" distL="0" distR="0" wp14:anchorId="165A1185" wp14:editId="185EDE9B">
            <wp:extent cx="5867870" cy="2047875"/>
            <wp:effectExtent l="0" t="0" r="0" b="0"/>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80726" cy="2052362"/>
                    </a:xfrm>
                    <a:prstGeom prst="rect">
                      <a:avLst/>
                    </a:prstGeom>
                  </pic:spPr>
                </pic:pic>
              </a:graphicData>
            </a:graphic>
          </wp:inline>
        </w:drawing>
      </w:r>
    </w:p>
    <w:p w14:paraId="663DB53F" w14:textId="77777777" w:rsidR="009B1C06" w:rsidRPr="00626277" w:rsidRDefault="009B1C06" w:rsidP="009B1C06">
      <w:pPr>
        <w:jc w:val="both"/>
      </w:pPr>
      <w:r w:rsidRPr="00626277">
        <w:drawing>
          <wp:inline distT="0" distB="0" distL="0" distR="0" wp14:anchorId="0A8E9822" wp14:editId="1B6F1031">
            <wp:extent cx="5756273" cy="2219325"/>
            <wp:effectExtent l="0" t="0" r="0" b="0"/>
            <wp:docPr id="44" name="Obraz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4941" cy="2222667"/>
                    </a:xfrm>
                    <a:prstGeom prst="rect">
                      <a:avLst/>
                    </a:prstGeom>
                  </pic:spPr>
                </pic:pic>
              </a:graphicData>
            </a:graphic>
          </wp:inline>
        </w:drawing>
      </w:r>
    </w:p>
    <w:p w14:paraId="55D51DBA" w14:textId="77777777" w:rsidR="006B496F" w:rsidRPr="00E2758E" w:rsidRDefault="006B496F" w:rsidP="00E2758E">
      <w:pPr>
        <w:spacing w:line="276" w:lineRule="auto"/>
        <w:jc w:val="both"/>
        <w:rPr>
          <w:rFonts w:asciiTheme="minorHAnsi" w:hAnsiTheme="minorHAnsi"/>
          <w:sz w:val="18"/>
          <w:szCs w:val="18"/>
          <w:lang w:val="en-US"/>
        </w:rPr>
      </w:pPr>
      <w:r w:rsidRPr="00E2758E">
        <w:rPr>
          <w:rFonts w:asciiTheme="minorHAnsi" w:hAnsiTheme="minorHAnsi"/>
          <w:sz w:val="18"/>
          <w:szCs w:val="18"/>
          <w:lang w:val="en-US"/>
        </w:rPr>
        <w:t xml:space="preserve">A – a thickened structure (“carp”; Eng. shoot clump) from which this year’s shoots emerge; also visible are the sites of dead shoots from previous growing seasons; B – a fragment of a horizontal rhizome with buds, exposed after a flood </w:t>
      </w:r>
    </w:p>
    <w:p w14:paraId="6BE24854" w14:textId="77777777" w:rsidR="006B496F" w:rsidRPr="00E2758E" w:rsidRDefault="006B496F" w:rsidP="00E2758E">
      <w:pPr>
        <w:spacing w:line="276" w:lineRule="auto"/>
        <w:jc w:val="both"/>
        <w:rPr>
          <w:rFonts w:asciiTheme="minorHAnsi" w:hAnsiTheme="minorHAnsi"/>
          <w:sz w:val="18"/>
          <w:szCs w:val="18"/>
          <w:lang w:val="en-US"/>
        </w:rPr>
      </w:pPr>
      <w:r w:rsidRPr="00E2758E">
        <w:rPr>
          <w:rFonts w:asciiTheme="minorHAnsi" w:hAnsiTheme="minorHAnsi"/>
          <w:sz w:val="18"/>
          <w:szCs w:val="18"/>
          <w:lang w:val="en-US"/>
        </w:rPr>
        <w:t>photo: Barbara Tokarska-Guzik</w:t>
      </w:r>
    </w:p>
    <w:p w14:paraId="4A5FCC05" w14:textId="56E1437E" w:rsidR="006B496F" w:rsidRPr="00E2758E" w:rsidRDefault="009B1C06" w:rsidP="00E2758E">
      <w:pPr>
        <w:spacing w:line="276" w:lineRule="auto"/>
        <w:jc w:val="both"/>
        <w:rPr>
          <w:rFonts w:asciiTheme="minorHAnsi" w:hAnsiTheme="minorHAnsi"/>
          <w:sz w:val="18"/>
          <w:szCs w:val="18"/>
          <w:lang w:val="en-US"/>
        </w:rPr>
      </w:pPr>
      <w:r w:rsidRPr="00626277">
        <w:drawing>
          <wp:inline distT="0" distB="0" distL="0" distR="0" wp14:anchorId="1AE722A7" wp14:editId="3029156B">
            <wp:extent cx="5695950" cy="5695950"/>
            <wp:effectExtent l="0" t="0" r="0" b="0"/>
            <wp:docPr id="46" name="Obraz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95950" cy="5695950"/>
                    </a:xfrm>
                    <a:prstGeom prst="rect">
                      <a:avLst/>
                    </a:prstGeom>
                  </pic:spPr>
                </pic:pic>
              </a:graphicData>
            </a:graphic>
          </wp:inline>
        </w:drawing>
      </w:r>
      <w:r w:rsidR="006B496F" w:rsidRPr="00E2758E">
        <w:rPr>
          <w:rFonts w:asciiTheme="minorHAnsi" w:hAnsiTheme="minorHAnsi"/>
          <w:sz w:val="18"/>
          <w:szCs w:val="18"/>
          <w:lang w:val="en-US"/>
        </w:rPr>
        <w:t xml:space="preserve">A – a flowering shoot of Japanese knotweed (R. japonica); on the right, a close-up of male-sterile (“pistillate”) flowers; B – flowering shoots of the hybrid knotweed R.×bohemica; on the left, inflorescences with male-sterile (“pistillate”) flowers; on the right, those with male-fertile (“staminate”) flowers; C – flowering shoots (left) and individual inflorescences (right) of the Giant knotweed (R. sachalinensis); in both photographs, the inflorescences on the left bear male-sterile (“pistillate”) flowers, and those on the right bear male-fertile (“staminate”) flowers </w:t>
      </w:r>
    </w:p>
    <w:p w14:paraId="5822C71D" w14:textId="77777777" w:rsidR="006B496F" w:rsidRPr="00D049D4" w:rsidRDefault="006B496F" w:rsidP="00E2758E">
      <w:pPr>
        <w:spacing w:line="276" w:lineRule="auto"/>
        <w:jc w:val="both"/>
        <w:rPr>
          <w:sz w:val="18"/>
          <w:szCs w:val="18"/>
          <w:highlight w:val="green"/>
          <w:lang w:val="en-US"/>
        </w:rPr>
      </w:pPr>
      <w:r w:rsidRPr="00E2758E">
        <w:rPr>
          <w:rFonts w:asciiTheme="minorHAnsi" w:hAnsiTheme="minorHAnsi"/>
          <w:sz w:val="18"/>
          <w:szCs w:val="18"/>
          <w:lang w:val="en-US"/>
        </w:rPr>
        <w:t>Photo: Barbara Tokarska-Guzik</w:t>
      </w:r>
    </w:p>
    <w:p w14:paraId="57A0964E" w14:textId="33C56A03" w:rsidR="006B496F" w:rsidRPr="00E2758E" w:rsidRDefault="009B1C06" w:rsidP="007333F2">
      <w:pPr>
        <w:spacing w:after="120" w:line="276" w:lineRule="auto"/>
        <w:jc w:val="both"/>
        <w:rPr>
          <w:rFonts w:asciiTheme="minorHAnsi" w:hAnsiTheme="minorHAnsi"/>
          <w:sz w:val="18"/>
          <w:szCs w:val="18"/>
          <w:lang w:val="en-US"/>
        </w:rPr>
      </w:pPr>
      <w:r w:rsidRPr="00626277">
        <w:drawing>
          <wp:inline distT="0" distB="0" distL="0" distR="0" wp14:anchorId="3780B78D" wp14:editId="600E7A7B">
            <wp:extent cx="5753100" cy="5618325"/>
            <wp:effectExtent l="0" t="0" r="0" b="1905"/>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59167" cy="5624250"/>
                    </a:xfrm>
                    <a:prstGeom prst="rect">
                      <a:avLst/>
                    </a:prstGeom>
                  </pic:spPr>
                </pic:pic>
              </a:graphicData>
            </a:graphic>
          </wp:inline>
        </w:drawing>
      </w:r>
      <w:r w:rsidR="006B496F" w:rsidRPr="00E2758E">
        <w:rPr>
          <w:rFonts w:asciiTheme="minorHAnsi" w:hAnsiTheme="minorHAnsi"/>
          <w:sz w:val="18"/>
          <w:szCs w:val="18"/>
          <w:lang w:val="en-US"/>
        </w:rPr>
        <w:t xml:space="preserve">Winged fruits (nuts) on the shoots of knotweeds: R. japonica (A) and Giant knotweed (R. sachalinensis (B), as well as shelled nuts of R. japonica (C), R. ×bohemica (D), and Sakhalin knotweed (R. sachalinensis) (E) </w:t>
      </w:r>
    </w:p>
    <w:p w14:paraId="46B30720" w14:textId="77777777" w:rsidR="006B496F" w:rsidRPr="00E2758E" w:rsidRDefault="006B496F" w:rsidP="007333F2">
      <w:pPr>
        <w:spacing w:after="120" w:line="276" w:lineRule="auto"/>
        <w:jc w:val="both"/>
        <w:rPr>
          <w:rFonts w:asciiTheme="minorHAnsi" w:hAnsiTheme="minorHAnsi"/>
          <w:sz w:val="18"/>
          <w:szCs w:val="18"/>
          <w:lang w:val="en-US"/>
        </w:rPr>
      </w:pPr>
      <w:r w:rsidRPr="00E2758E">
        <w:rPr>
          <w:rFonts w:asciiTheme="minorHAnsi" w:hAnsiTheme="minorHAnsi"/>
          <w:sz w:val="18"/>
          <w:szCs w:val="18"/>
          <w:lang w:val="en-US"/>
        </w:rPr>
        <w:t>Photos by Barbara Tokarska-Guzik (A and B, top), Katarzyna Bzdęga (remaining)</w:t>
      </w:r>
    </w:p>
    <w:p w14:paraId="40FA29A4" w14:textId="7F837CED" w:rsidR="006B496F" w:rsidRPr="007333F2" w:rsidRDefault="009B1C06" w:rsidP="007333F2">
      <w:pPr>
        <w:spacing w:after="120" w:line="276" w:lineRule="auto"/>
        <w:jc w:val="both"/>
        <w:rPr>
          <w:rFonts w:asciiTheme="minorHAnsi" w:hAnsiTheme="minorHAnsi"/>
          <w:sz w:val="18"/>
          <w:szCs w:val="18"/>
          <w:lang w:val="en-US"/>
        </w:rPr>
      </w:pPr>
      <w:r w:rsidRPr="00626277">
        <w:drawing>
          <wp:inline distT="0" distB="0" distL="0" distR="0" wp14:anchorId="725C832F" wp14:editId="3C56B4DF">
            <wp:extent cx="5760720" cy="2017926"/>
            <wp:effectExtent l="0" t="0" r="0" b="1905"/>
            <wp:docPr id="48"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0720" cy="2017926"/>
                    </a:xfrm>
                    <a:prstGeom prst="rect">
                      <a:avLst/>
                    </a:prstGeom>
                  </pic:spPr>
                </pic:pic>
              </a:graphicData>
            </a:graphic>
          </wp:inline>
        </w:drawing>
      </w:r>
      <w:r w:rsidR="006B496F" w:rsidRPr="007333F2">
        <w:rPr>
          <w:rFonts w:asciiTheme="minorHAnsi" w:hAnsiTheme="minorHAnsi"/>
          <w:sz w:val="18"/>
          <w:szCs w:val="18"/>
          <w:lang w:val="en-US"/>
        </w:rPr>
        <w:t xml:space="preserve">A – a section of the area where knotweed is regenerating after earthwork (sewer construction); B – plants can regenerate from small fragments of rhizomes </w:t>
      </w:r>
    </w:p>
    <w:p w14:paraId="581C4F6B" w14:textId="77777777" w:rsidR="006B496F" w:rsidRPr="007333F2" w:rsidRDefault="006B496F" w:rsidP="007333F2">
      <w:pPr>
        <w:spacing w:after="120" w:line="276" w:lineRule="auto"/>
        <w:jc w:val="both"/>
        <w:rPr>
          <w:rFonts w:asciiTheme="minorHAnsi" w:hAnsiTheme="minorHAnsi"/>
          <w:sz w:val="18"/>
          <w:szCs w:val="18"/>
          <w:lang w:val="en-US"/>
        </w:rPr>
      </w:pPr>
      <w:r w:rsidRPr="007333F2">
        <w:rPr>
          <w:rFonts w:asciiTheme="minorHAnsi" w:hAnsiTheme="minorHAnsi"/>
          <w:sz w:val="18"/>
          <w:szCs w:val="18"/>
          <w:lang w:val="en-US"/>
        </w:rPr>
        <w:t>Photo: Barbara Tokarska-Guzik</w:t>
      </w:r>
    </w:p>
    <w:p w14:paraId="511FA9B7" w14:textId="6AA2C7D8" w:rsidR="006B496F" w:rsidRPr="00D32D4F" w:rsidRDefault="00446F7D" w:rsidP="007F12F3">
      <w:pPr>
        <w:spacing w:after="120" w:line="276" w:lineRule="auto"/>
        <w:jc w:val="both"/>
        <w:rPr>
          <w:rFonts w:asciiTheme="minorHAnsi" w:hAnsiTheme="minorHAnsi"/>
          <w:b/>
          <w:bCs/>
          <w:sz w:val="24"/>
          <w:szCs w:val="24"/>
          <w:lang w:val="en-US"/>
        </w:rPr>
      </w:pPr>
      <w:r w:rsidRPr="00D32D4F">
        <w:rPr>
          <w:rFonts w:asciiTheme="minorHAnsi" w:hAnsiTheme="minorHAnsi"/>
          <w:b/>
          <w:bCs/>
          <w:sz w:val="24"/>
          <w:szCs w:val="24"/>
          <w:lang w:val="en-US"/>
        </w:rPr>
        <w:t>Eradication method</w:t>
      </w:r>
      <w:r w:rsidR="00F6177A" w:rsidRPr="00D32D4F">
        <w:rPr>
          <w:rFonts w:asciiTheme="minorHAnsi" w:hAnsiTheme="minorHAnsi"/>
          <w:b/>
          <w:bCs/>
          <w:sz w:val="24"/>
          <w:szCs w:val="24"/>
          <w:lang w:val="en-US"/>
        </w:rPr>
        <w:t>s</w:t>
      </w:r>
    </w:p>
    <w:p w14:paraId="46BEB642" w14:textId="71C4FAFA" w:rsidR="006B496F" w:rsidRPr="00D32D4F" w:rsidRDefault="006B496F" w:rsidP="007F12F3">
      <w:pPr>
        <w:spacing w:after="120" w:line="276" w:lineRule="auto"/>
        <w:jc w:val="both"/>
        <w:rPr>
          <w:rFonts w:asciiTheme="minorHAnsi" w:hAnsiTheme="minorHAnsi"/>
          <w:sz w:val="24"/>
          <w:szCs w:val="24"/>
          <w:lang w:val="en-US"/>
        </w:rPr>
      </w:pPr>
      <w:r w:rsidRPr="00D32D4F">
        <w:rPr>
          <w:rFonts w:asciiTheme="minorHAnsi" w:hAnsiTheme="minorHAnsi"/>
          <w:sz w:val="24"/>
          <w:szCs w:val="24"/>
          <w:lang w:val="en-US"/>
        </w:rPr>
        <w:t>According to the GDOŚ Guidelines for the Control of Knotweed in Poland (GDOŚ, 2015), the eradication of knotweed populations is carried out using various methods, depending on the size of the population and its location (e.g., in protected areas, river valleys, and built-up areas). The control strategy is also based on the biology of these plants. They are perennials with a highly developed underground rhizome system that reproduce primarily vegetatively. For these reasons, controlling them primarily involves the mechanical removal of the plants (both above-ground and underground parts) and/or treating them with chemicals.</w:t>
      </w:r>
    </w:p>
    <w:p w14:paraId="1D62E795" w14:textId="77777777" w:rsidR="006B496F" w:rsidRPr="00D32D4F" w:rsidRDefault="006B496F" w:rsidP="007F12F3">
      <w:pPr>
        <w:spacing w:after="120" w:line="276" w:lineRule="auto"/>
        <w:jc w:val="both"/>
        <w:rPr>
          <w:rFonts w:asciiTheme="minorHAnsi" w:hAnsiTheme="minorHAnsi"/>
          <w:sz w:val="24"/>
          <w:szCs w:val="24"/>
          <w:lang w:val="en-US"/>
        </w:rPr>
      </w:pPr>
      <w:r w:rsidRPr="00D32D4F">
        <w:rPr>
          <w:rFonts w:asciiTheme="minorHAnsi" w:hAnsiTheme="minorHAnsi"/>
          <w:sz w:val="24"/>
          <w:szCs w:val="24"/>
          <w:lang w:val="en-US"/>
        </w:rPr>
        <w:t xml:space="preserve">The methods used include: mechanical, chemical, mixed/combined (mechanical-chemical), and biological. </w:t>
      </w:r>
    </w:p>
    <w:p w14:paraId="765AFE4A" w14:textId="77777777" w:rsidR="006B496F" w:rsidRPr="00D32D4F" w:rsidRDefault="006B496F" w:rsidP="007F12F3">
      <w:pPr>
        <w:spacing w:after="120" w:line="276" w:lineRule="auto"/>
        <w:jc w:val="both"/>
        <w:rPr>
          <w:rFonts w:asciiTheme="minorHAnsi" w:hAnsiTheme="minorHAnsi"/>
          <w:sz w:val="24"/>
          <w:szCs w:val="24"/>
          <w:lang w:val="en-US"/>
        </w:rPr>
      </w:pPr>
      <w:r w:rsidRPr="00D32D4F">
        <w:rPr>
          <w:rFonts w:asciiTheme="minorHAnsi" w:hAnsiTheme="minorHAnsi"/>
          <w:sz w:val="24"/>
          <w:szCs w:val="24"/>
          <w:lang w:val="en-US"/>
        </w:rPr>
        <w:t xml:space="preserve">When selecting a method, the following should be considered first and foremost: </w:t>
      </w:r>
    </w:p>
    <w:p w14:paraId="1BDA61CF" w14:textId="77777777" w:rsidR="006B496F" w:rsidRPr="00D32D4F" w:rsidRDefault="006B496F" w:rsidP="007F12F3">
      <w:pPr>
        <w:pStyle w:val="ListParagraph"/>
        <w:numPr>
          <w:ilvl w:val="0"/>
          <w:numId w:val="1"/>
        </w:numPr>
        <w:spacing w:after="120" w:line="276" w:lineRule="auto"/>
        <w:contextualSpacing w:val="0"/>
        <w:jc w:val="both"/>
        <w:rPr>
          <w:rFonts w:asciiTheme="minorHAnsi" w:hAnsiTheme="minorHAnsi"/>
          <w:sz w:val="24"/>
          <w:szCs w:val="24"/>
          <w:lang w:val="en-US"/>
        </w:rPr>
      </w:pPr>
      <w:r w:rsidRPr="00D32D4F">
        <w:rPr>
          <w:rFonts w:asciiTheme="minorHAnsi" w:hAnsiTheme="minorHAnsi"/>
          <w:sz w:val="24"/>
          <w:szCs w:val="24"/>
          <w:lang w:val="en-US"/>
        </w:rPr>
        <w:t xml:space="preserve">its impact on the natural environment (environmental costs) and, furthermore, </w:t>
      </w:r>
    </w:p>
    <w:p w14:paraId="23E6FEAB" w14:textId="77777777" w:rsidR="006B496F" w:rsidRPr="00D32D4F" w:rsidRDefault="006B496F" w:rsidP="007F12F3">
      <w:pPr>
        <w:pStyle w:val="ListParagraph"/>
        <w:numPr>
          <w:ilvl w:val="0"/>
          <w:numId w:val="1"/>
        </w:numPr>
        <w:spacing w:after="120" w:line="276" w:lineRule="auto"/>
        <w:contextualSpacing w:val="0"/>
        <w:jc w:val="both"/>
        <w:rPr>
          <w:rFonts w:asciiTheme="minorHAnsi" w:hAnsiTheme="minorHAnsi"/>
          <w:sz w:val="24"/>
          <w:szCs w:val="24"/>
        </w:rPr>
      </w:pPr>
      <w:r w:rsidRPr="00D32D4F">
        <w:rPr>
          <w:rFonts w:asciiTheme="minorHAnsi" w:hAnsiTheme="minorHAnsi"/>
          <w:sz w:val="24"/>
          <w:szCs w:val="24"/>
        </w:rPr>
        <w:t xml:space="preserve">its expected effectiveness </w:t>
      </w:r>
    </w:p>
    <w:p w14:paraId="6FC4AFFF" w14:textId="77777777" w:rsidR="006B496F" w:rsidRPr="00D32D4F" w:rsidRDefault="006B496F" w:rsidP="007F12F3">
      <w:pPr>
        <w:pStyle w:val="ListParagraph"/>
        <w:numPr>
          <w:ilvl w:val="0"/>
          <w:numId w:val="1"/>
        </w:numPr>
        <w:spacing w:after="120" w:line="276" w:lineRule="auto"/>
        <w:contextualSpacing w:val="0"/>
        <w:jc w:val="both"/>
        <w:rPr>
          <w:rFonts w:asciiTheme="minorHAnsi" w:hAnsiTheme="minorHAnsi"/>
          <w:sz w:val="24"/>
          <w:szCs w:val="24"/>
        </w:rPr>
      </w:pPr>
      <w:r w:rsidRPr="00D32D4F">
        <w:rPr>
          <w:rFonts w:asciiTheme="minorHAnsi" w:hAnsiTheme="minorHAnsi"/>
          <w:sz w:val="24"/>
          <w:szCs w:val="24"/>
        </w:rPr>
        <w:t>financial costs</w:t>
      </w:r>
    </w:p>
    <w:p w14:paraId="67A0CD95" w14:textId="77777777" w:rsidR="006B496F" w:rsidRPr="00D32D4F" w:rsidRDefault="006B496F" w:rsidP="007F12F3">
      <w:pPr>
        <w:spacing w:after="120" w:line="276" w:lineRule="auto"/>
        <w:jc w:val="both"/>
        <w:rPr>
          <w:rFonts w:asciiTheme="minorHAnsi" w:hAnsiTheme="minorHAnsi"/>
          <w:sz w:val="24"/>
          <w:szCs w:val="24"/>
          <w:lang w:val="en-US"/>
        </w:rPr>
      </w:pPr>
      <w:r w:rsidRPr="00D32D4F">
        <w:rPr>
          <w:rFonts w:asciiTheme="minorHAnsi" w:hAnsiTheme="minorHAnsi"/>
          <w:sz w:val="24"/>
          <w:szCs w:val="24"/>
          <w:lang w:val="en-US"/>
        </w:rPr>
        <w:t>The duration and frequency of treatments are related to the chosen method and depend on the size and location of the population</w:t>
      </w:r>
      <w:r w:rsidRPr="00D32D4F">
        <w:rPr>
          <w:rStyle w:val="FootnoteReference"/>
          <w:rFonts w:asciiTheme="minorHAnsi" w:hAnsiTheme="minorHAnsi"/>
          <w:sz w:val="24"/>
          <w:szCs w:val="24"/>
        </w:rPr>
        <w:footnoteReference w:id="3"/>
      </w:r>
      <w:r w:rsidRPr="00D32D4F">
        <w:rPr>
          <w:rFonts w:asciiTheme="minorHAnsi" w:hAnsiTheme="minorHAnsi"/>
          <w:sz w:val="24"/>
          <w:szCs w:val="24"/>
          <w:lang w:val="en-US"/>
        </w:rPr>
        <w:t xml:space="preserve"> .  </w:t>
      </w:r>
    </w:p>
    <w:p w14:paraId="1EFBC863" w14:textId="77777777" w:rsidR="006B496F" w:rsidRPr="00D32D4F" w:rsidRDefault="006B496F" w:rsidP="007F12F3">
      <w:pPr>
        <w:spacing w:after="120" w:line="276" w:lineRule="auto"/>
        <w:jc w:val="both"/>
        <w:rPr>
          <w:rFonts w:asciiTheme="minorHAnsi" w:hAnsiTheme="minorHAnsi"/>
          <w:sz w:val="24"/>
          <w:szCs w:val="24"/>
          <w:lang w:val="en-US"/>
        </w:rPr>
      </w:pPr>
      <w:r w:rsidRPr="00D32D4F">
        <w:rPr>
          <w:rFonts w:asciiTheme="minorHAnsi" w:hAnsiTheme="minorHAnsi"/>
          <w:b/>
          <w:bCs/>
          <w:sz w:val="24"/>
          <w:szCs w:val="24"/>
          <w:lang w:val="en-US"/>
        </w:rPr>
        <w:t>In the case of Japanese knotweed, it is recommended to</w:t>
      </w:r>
      <w:r w:rsidRPr="00D32D4F">
        <w:rPr>
          <w:rFonts w:asciiTheme="minorHAnsi" w:hAnsiTheme="minorHAnsi"/>
          <w:sz w:val="24"/>
          <w:szCs w:val="24"/>
          <w:lang w:val="en-US"/>
        </w:rPr>
        <w:t>:</w:t>
      </w:r>
    </w:p>
    <w:p w14:paraId="3C435016" w14:textId="77777777" w:rsidR="006B496F" w:rsidRPr="00D32D4F" w:rsidRDefault="006B496F" w:rsidP="007F12F3">
      <w:pPr>
        <w:pStyle w:val="ListParagraph"/>
        <w:numPr>
          <w:ilvl w:val="0"/>
          <w:numId w:val="2"/>
        </w:numPr>
        <w:spacing w:after="120" w:line="276" w:lineRule="auto"/>
        <w:contextualSpacing w:val="0"/>
        <w:jc w:val="both"/>
        <w:rPr>
          <w:rFonts w:asciiTheme="minorHAnsi" w:hAnsiTheme="minorHAnsi"/>
          <w:sz w:val="24"/>
          <w:szCs w:val="24"/>
          <w:lang w:val="en-US"/>
        </w:rPr>
      </w:pPr>
      <w:r w:rsidRPr="00D32D4F">
        <w:rPr>
          <w:rFonts w:asciiTheme="minorHAnsi" w:hAnsiTheme="minorHAnsi"/>
          <w:sz w:val="24"/>
          <w:szCs w:val="24"/>
          <w:lang w:val="en-US"/>
        </w:rPr>
        <w:t xml:space="preserve">accurately determine how far the rhizomes have spread. This can be done by digging a series of test pits and examining them thoroughly </w:t>
      </w:r>
    </w:p>
    <w:p w14:paraId="7D6438D3" w14:textId="41F346BA" w:rsidR="006B496F" w:rsidRPr="00A928BF" w:rsidRDefault="006B496F" w:rsidP="007F12F3">
      <w:pPr>
        <w:pStyle w:val="ListParagraph"/>
        <w:numPr>
          <w:ilvl w:val="0"/>
          <w:numId w:val="2"/>
        </w:numPr>
        <w:spacing w:after="120" w:line="276" w:lineRule="auto"/>
        <w:contextualSpacing w:val="0"/>
        <w:jc w:val="both"/>
        <w:rPr>
          <w:rFonts w:asciiTheme="minorHAnsi" w:hAnsiTheme="minorHAnsi"/>
          <w:sz w:val="24"/>
          <w:szCs w:val="24"/>
          <w:lang w:val="en-US"/>
        </w:rPr>
      </w:pPr>
      <w:r w:rsidRPr="00D32D4F">
        <w:rPr>
          <w:rFonts w:asciiTheme="minorHAnsi" w:hAnsiTheme="minorHAnsi"/>
          <w:sz w:val="24"/>
          <w:szCs w:val="24"/>
          <w:lang w:val="en-US"/>
        </w:rPr>
        <w:t xml:space="preserve">erecting a clearly visible fence to mark the area(s) where the species is present, including the underground rhizome network. </w:t>
      </w:r>
      <w:r w:rsidR="00A928BF" w:rsidRPr="00A928BF">
        <w:rPr>
          <w:rFonts w:asciiTheme="minorHAnsi" w:hAnsiTheme="minorHAnsi"/>
          <w:sz w:val="24"/>
          <w:szCs w:val="24"/>
          <w:lang w:val="en-US"/>
        </w:rPr>
        <w:t>The signs should warn people about the presence of knotweed and the risk of spreading its rhizomes and plant fragments.</w:t>
      </w:r>
    </w:p>
    <w:p w14:paraId="08E4F8E2" w14:textId="77777777" w:rsidR="006B496F" w:rsidRPr="00D32D4F" w:rsidRDefault="006B496F" w:rsidP="007F12F3">
      <w:pPr>
        <w:pStyle w:val="ListParagraph"/>
        <w:numPr>
          <w:ilvl w:val="0"/>
          <w:numId w:val="2"/>
        </w:numPr>
        <w:spacing w:after="120" w:line="276" w:lineRule="auto"/>
        <w:contextualSpacing w:val="0"/>
        <w:jc w:val="both"/>
        <w:rPr>
          <w:rFonts w:asciiTheme="minorHAnsi" w:hAnsiTheme="minorHAnsi"/>
          <w:sz w:val="24"/>
          <w:szCs w:val="24"/>
          <w:lang w:val="en-US"/>
        </w:rPr>
      </w:pPr>
      <w:r w:rsidRPr="00D32D4F">
        <w:rPr>
          <w:rFonts w:asciiTheme="minorHAnsi" w:hAnsiTheme="minorHAnsi"/>
          <w:sz w:val="24"/>
          <w:szCs w:val="24"/>
          <w:lang w:val="en-US"/>
        </w:rPr>
        <w:t xml:space="preserve">if stockpiled soil is contaminated with knotweed, it should also be marked with appropriate signs and isolated with a fence, </w:t>
      </w:r>
    </w:p>
    <w:p w14:paraId="532C9DE3" w14:textId="77777777" w:rsidR="006B496F" w:rsidRPr="00D32D4F" w:rsidRDefault="006B496F" w:rsidP="007F12F3">
      <w:pPr>
        <w:pStyle w:val="ListParagraph"/>
        <w:numPr>
          <w:ilvl w:val="0"/>
          <w:numId w:val="2"/>
        </w:numPr>
        <w:spacing w:after="120" w:line="276" w:lineRule="auto"/>
        <w:contextualSpacing w:val="0"/>
        <w:jc w:val="both"/>
        <w:rPr>
          <w:rFonts w:asciiTheme="minorHAnsi" w:hAnsiTheme="minorHAnsi"/>
          <w:sz w:val="24"/>
          <w:szCs w:val="24"/>
          <w:lang w:val="en-US"/>
        </w:rPr>
      </w:pPr>
      <w:r w:rsidRPr="00D32D4F">
        <w:rPr>
          <w:rFonts w:asciiTheme="minorHAnsi" w:hAnsiTheme="minorHAnsi"/>
          <w:sz w:val="24"/>
          <w:szCs w:val="24"/>
          <w:lang w:val="en-US"/>
        </w:rPr>
        <w:t>Avoid using tracked vehicles in areas where the species is present</w:t>
      </w:r>
      <w:r w:rsidRPr="00D32D4F">
        <w:rPr>
          <w:rStyle w:val="FootnoteReference"/>
          <w:rFonts w:asciiTheme="minorHAnsi" w:hAnsiTheme="minorHAnsi"/>
          <w:sz w:val="24"/>
          <w:szCs w:val="24"/>
        </w:rPr>
        <w:footnoteReference w:id="4"/>
      </w:r>
    </w:p>
    <w:p w14:paraId="71B1F89C" w14:textId="77777777" w:rsidR="006B496F" w:rsidRDefault="006B496F" w:rsidP="007F12F3">
      <w:pPr>
        <w:pStyle w:val="ListParagraph"/>
        <w:numPr>
          <w:ilvl w:val="0"/>
          <w:numId w:val="2"/>
        </w:numPr>
        <w:spacing w:after="120" w:line="276" w:lineRule="auto"/>
        <w:contextualSpacing w:val="0"/>
        <w:jc w:val="both"/>
        <w:rPr>
          <w:rFonts w:asciiTheme="minorHAnsi" w:hAnsiTheme="minorHAnsi"/>
          <w:sz w:val="24"/>
          <w:szCs w:val="24"/>
          <w:lang w:val="en-US"/>
        </w:rPr>
      </w:pPr>
      <w:r w:rsidRPr="00D32D4F">
        <w:rPr>
          <w:rFonts w:asciiTheme="minorHAnsi" w:hAnsiTheme="minorHAnsi"/>
          <w:sz w:val="24"/>
          <w:szCs w:val="24"/>
          <w:lang w:val="en-US"/>
        </w:rPr>
        <w:t>Soil should not be moved from areas designated as invasive plant clusters, except for disposal purposes. Soil from sites where Japanese knotweed is present that contains seeds and rhizomes of this species should be sent for disposal.</w:t>
      </w:r>
    </w:p>
    <w:p w14:paraId="47C27E4D" w14:textId="4663A499" w:rsidR="00863D43" w:rsidRPr="00D32D4F" w:rsidRDefault="00863D43" w:rsidP="007F12F3">
      <w:pPr>
        <w:pStyle w:val="ListParagraph"/>
        <w:numPr>
          <w:ilvl w:val="0"/>
          <w:numId w:val="2"/>
        </w:numPr>
        <w:spacing w:after="120" w:line="276" w:lineRule="auto"/>
        <w:contextualSpacing w:val="0"/>
        <w:jc w:val="both"/>
        <w:rPr>
          <w:rFonts w:asciiTheme="minorHAnsi" w:hAnsiTheme="minorHAnsi"/>
          <w:sz w:val="24"/>
          <w:szCs w:val="24"/>
          <w:lang w:val="en-US"/>
        </w:rPr>
      </w:pPr>
      <w:r w:rsidRPr="00863D43">
        <w:rPr>
          <w:rFonts w:asciiTheme="minorHAnsi" w:hAnsiTheme="minorHAnsi"/>
          <w:sz w:val="24"/>
          <w:szCs w:val="24"/>
          <w:lang w:val="en-US"/>
        </w:rPr>
        <w:t>Given the documented limited effectiveness of using mechanical methods alone to control knotweed, consideration should be given to incorporating selective chemical treatments into an integrated control strategy. Such treatments must use only plant protection products authorised for sale and use in Poland and must be applied in accordance with the current product label, particularly regarding the authorised uses, application rates, treatment conditions, and required buffer distances from water bodies and other protected features. Before treatment, it must be verified whether the site is located within a water-intake protection zone, an area subject to specific nature conservation measures, or an area covered by any other legal restrictions. Where chemical treatment cannot be carried out legally and safely, long-term integrated mechanical control measures should be applied, accompanied by systematic monitoring of regrowth.</w:t>
      </w:r>
    </w:p>
    <w:p w14:paraId="22CFE9B3" w14:textId="60C8C3AF" w:rsidR="009063EB" w:rsidRPr="00D32D4F" w:rsidRDefault="006B496F" w:rsidP="007F12F3">
      <w:pPr>
        <w:spacing w:before="240" w:after="120" w:line="276" w:lineRule="auto"/>
        <w:jc w:val="both"/>
        <w:rPr>
          <w:rFonts w:asciiTheme="minorHAnsi" w:hAnsiTheme="minorHAnsi"/>
          <w:b/>
          <w:bCs/>
          <w:sz w:val="24"/>
          <w:szCs w:val="24"/>
          <w:lang w:val="en-US"/>
        </w:rPr>
      </w:pPr>
      <w:r w:rsidRPr="00D32D4F">
        <w:rPr>
          <w:rFonts w:asciiTheme="minorHAnsi" w:hAnsiTheme="minorHAnsi"/>
          <w:b/>
          <w:bCs/>
          <w:sz w:val="24"/>
          <w:szCs w:val="24"/>
          <w:lang w:val="en-US"/>
        </w:rPr>
        <w:t>Recommendations regarding biomass management are provided in Chapter 3.</w:t>
      </w:r>
    </w:p>
    <w:p w14:paraId="7B4A4E12" w14:textId="38AF8B24" w:rsidR="006B496F" w:rsidRPr="00D049D4" w:rsidRDefault="006B496F" w:rsidP="000F06D8">
      <w:pPr>
        <w:pStyle w:val="Heading2"/>
        <w:spacing w:line="276" w:lineRule="auto"/>
        <w:jc w:val="both"/>
        <w:rPr>
          <w:lang w:val="en-US"/>
        </w:rPr>
      </w:pPr>
      <w:bookmarkStart w:id="4" w:name="_Toc239856692"/>
      <w:bookmarkEnd w:id="3"/>
      <w:r w:rsidRPr="00D049D4">
        <w:rPr>
          <w:lang w:val="en-US"/>
        </w:rPr>
        <w:t>2.2. Rugosa rose (</w:t>
      </w:r>
      <w:r w:rsidRPr="00D049D4">
        <w:rPr>
          <w:i/>
          <w:iCs/>
          <w:lang w:val="en-US"/>
        </w:rPr>
        <w:t>Rosa rugosa</w:t>
      </w:r>
      <w:r w:rsidRPr="00D049D4">
        <w:rPr>
          <w:lang w:val="en-US"/>
        </w:rPr>
        <w:t>)</w:t>
      </w:r>
      <w:bookmarkEnd w:id="4"/>
    </w:p>
    <w:p w14:paraId="0A9FE7A0" w14:textId="77777777" w:rsidR="006B496F" w:rsidRPr="00D32D4F" w:rsidRDefault="006B496F" w:rsidP="000F06D8">
      <w:pPr>
        <w:spacing w:after="120" w:line="276" w:lineRule="auto"/>
        <w:jc w:val="both"/>
        <w:rPr>
          <w:rFonts w:asciiTheme="minorHAnsi" w:hAnsiTheme="minorHAnsi"/>
          <w:b/>
          <w:bCs/>
          <w:sz w:val="24"/>
          <w:szCs w:val="24"/>
          <w:lang w:val="en-US"/>
        </w:rPr>
      </w:pPr>
      <w:r w:rsidRPr="00D32D4F">
        <w:rPr>
          <w:rFonts w:asciiTheme="minorHAnsi" w:hAnsiTheme="minorHAnsi"/>
          <w:b/>
          <w:bCs/>
          <w:sz w:val="24"/>
          <w:szCs w:val="24"/>
          <w:lang w:val="en-US"/>
        </w:rPr>
        <w:t>Characteristics of the Species</w:t>
      </w:r>
    </w:p>
    <w:p w14:paraId="3385ABC9" w14:textId="0DB4C942" w:rsidR="006B496F" w:rsidRPr="00D32D4F" w:rsidRDefault="006B496F" w:rsidP="000F06D8">
      <w:pPr>
        <w:spacing w:after="120" w:line="276" w:lineRule="auto"/>
        <w:jc w:val="both"/>
        <w:rPr>
          <w:rFonts w:asciiTheme="minorHAnsi" w:hAnsiTheme="minorHAnsi"/>
          <w:sz w:val="24"/>
          <w:szCs w:val="24"/>
          <w:lang w:val="en-US"/>
        </w:rPr>
      </w:pPr>
      <w:r w:rsidRPr="00D32D4F">
        <w:rPr>
          <w:rFonts w:asciiTheme="minorHAnsi" w:hAnsiTheme="minorHAnsi"/>
          <w:sz w:val="24"/>
          <w:szCs w:val="24"/>
          <w:lang w:val="en-US"/>
        </w:rPr>
        <w:t xml:space="preserve">Rugosa rose is a shrub with upright, thorny shoots and intensely fragrant flowers. It reproduces primarily through underground shoots (stolons), as well as through seeds contained in fleshy fruits. The seeds are dispersed by water (the fruits can be carried by water for up to 40 weeks) and by birds. </w:t>
      </w:r>
    </w:p>
    <w:p w14:paraId="2A1BFC83" w14:textId="77777777" w:rsidR="006B496F" w:rsidRPr="00D32D4F" w:rsidRDefault="006B496F" w:rsidP="000F06D8">
      <w:pPr>
        <w:spacing w:after="120" w:line="276" w:lineRule="auto"/>
        <w:jc w:val="both"/>
        <w:rPr>
          <w:rFonts w:asciiTheme="minorHAnsi" w:hAnsiTheme="minorHAnsi"/>
          <w:sz w:val="24"/>
          <w:szCs w:val="24"/>
          <w:lang w:val="en-US"/>
        </w:rPr>
      </w:pPr>
      <w:r w:rsidRPr="00D32D4F">
        <w:rPr>
          <w:rFonts w:asciiTheme="minorHAnsi" w:hAnsiTheme="minorHAnsi"/>
          <w:sz w:val="24"/>
          <w:szCs w:val="24"/>
          <w:lang w:val="en-US"/>
        </w:rPr>
        <w:t>It prefers sunny locations and sandy, fresh, or dry soils. It is resistant to air pollution, salinity, drought, and frost. The Rugosa rose forms dense clumps that cast heavy shade on the ground and limit the growth of native vegetation. It can rapidly take over coastal dunes, posing a threat there to both native plant species—such as sand willow and sea buckthorn—and to insects associated with this habitat. It can hybridize with native rose species. It is difficult to eradicate.</w:t>
      </w:r>
    </w:p>
    <w:p w14:paraId="0EB2F3CD" w14:textId="77777777" w:rsidR="006B496F" w:rsidRPr="00D32D4F" w:rsidRDefault="006B496F" w:rsidP="000F06D8">
      <w:pPr>
        <w:spacing w:after="120" w:line="276" w:lineRule="auto"/>
        <w:jc w:val="both"/>
        <w:rPr>
          <w:rFonts w:asciiTheme="minorHAnsi" w:hAnsiTheme="minorHAnsi"/>
          <w:sz w:val="24"/>
          <w:szCs w:val="24"/>
          <w:lang w:val="en-US"/>
        </w:rPr>
      </w:pPr>
      <w:r w:rsidRPr="00D32D4F">
        <w:rPr>
          <w:rFonts w:asciiTheme="minorHAnsi" w:hAnsiTheme="minorHAnsi"/>
          <w:sz w:val="24"/>
          <w:szCs w:val="24"/>
          <w:lang w:val="en-US"/>
        </w:rPr>
        <w:t xml:space="preserve">It poses a particular threat to coastal dunes and salt marshes, as well as inland dunes and xerothermic grasslands. </w:t>
      </w:r>
    </w:p>
    <w:p w14:paraId="023FBA85" w14:textId="77777777" w:rsidR="006B496F" w:rsidRPr="00D32D4F" w:rsidRDefault="006B496F" w:rsidP="000F06D8">
      <w:pPr>
        <w:spacing w:after="120" w:line="276" w:lineRule="auto"/>
        <w:jc w:val="both"/>
        <w:rPr>
          <w:rFonts w:asciiTheme="minorHAnsi" w:hAnsiTheme="minorHAnsi"/>
          <w:sz w:val="24"/>
          <w:szCs w:val="24"/>
          <w:lang w:val="en-US"/>
        </w:rPr>
      </w:pPr>
      <w:r w:rsidRPr="00D32D4F">
        <w:rPr>
          <w:rFonts w:asciiTheme="minorHAnsi" w:hAnsiTheme="minorHAnsi"/>
          <w:sz w:val="24"/>
          <w:szCs w:val="24"/>
          <w:lang w:val="en-US"/>
        </w:rPr>
        <w:t>In its secondary range, the Rugosa rose occurs in more diverse habitats: on various types of dunes, rocky beaches, cliffs, sandy grasslands, forest edges, as well as along roads and railroad tracks, at landfills, and in other anthropogenic habitats</w:t>
      </w:r>
      <w:r w:rsidRPr="00D32D4F">
        <w:rPr>
          <w:rStyle w:val="FootnoteReference"/>
          <w:rFonts w:asciiTheme="minorHAnsi" w:hAnsiTheme="minorHAnsi"/>
          <w:sz w:val="24"/>
          <w:szCs w:val="24"/>
        </w:rPr>
        <w:footnoteReference w:id="5"/>
      </w:r>
      <w:r w:rsidRPr="00D32D4F">
        <w:rPr>
          <w:rFonts w:asciiTheme="minorHAnsi" w:hAnsiTheme="minorHAnsi"/>
          <w:sz w:val="24"/>
          <w:szCs w:val="24"/>
          <w:lang w:val="en-US"/>
        </w:rPr>
        <w:t xml:space="preserve"> . </w:t>
      </w:r>
    </w:p>
    <w:p w14:paraId="4DFBA4C6" w14:textId="6D48228D" w:rsidR="00FB23F5" w:rsidRPr="00626277" w:rsidRDefault="009B1C06" w:rsidP="006B496F">
      <w:bookmarkStart w:id="5" w:name="_Hlk163732722"/>
      <w:r w:rsidRPr="00626277">
        <w:drawing>
          <wp:inline distT="0" distB="0" distL="0" distR="0" wp14:anchorId="03625AAF" wp14:editId="6F3DAEEF">
            <wp:extent cx="5629275" cy="7000509"/>
            <wp:effectExtent l="0" t="0" r="0" b="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634196" cy="7006629"/>
                    </a:xfrm>
                    <a:prstGeom prst="rect">
                      <a:avLst/>
                    </a:prstGeom>
                  </pic:spPr>
                </pic:pic>
              </a:graphicData>
            </a:graphic>
          </wp:inline>
        </w:drawing>
      </w:r>
    </w:p>
    <w:p w14:paraId="684AE9D6" w14:textId="77777777" w:rsidR="009B1C06" w:rsidRPr="00626277" w:rsidRDefault="009B1C06" w:rsidP="00651F3F">
      <w:pPr>
        <w:jc w:val="both"/>
      </w:pPr>
      <w:r w:rsidRPr="00626277">
        <w:drawing>
          <wp:inline distT="0" distB="0" distL="0" distR="0" wp14:anchorId="2D511E11" wp14:editId="1BFB505D">
            <wp:extent cx="5667375" cy="6779895"/>
            <wp:effectExtent l="0" t="0" r="9525" b="1905"/>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72841" cy="6786434"/>
                    </a:xfrm>
                    <a:prstGeom prst="rect">
                      <a:avLst/>
                    </a:prstGeom>
                  </pic:spPr>
                </pic:pic>
              </a:graphicData>
            </a:graphic>
          </wp:inline>
        </w:drawing>
      </w:r>
    </w:p>
    <w:p w14:paraId="5CB275F4" w14:textId="56323BDA" w:rsidR="006B496F" w:rsidRPr="00D049D4" w:rsidRDefault="009B1C06" w:rsidP="00655C3F">
      <w:pPr>
        <w:jc w:val="center"/>
        <w:rPr>
          <w:lang w:val="en-US"/>
        </w:rPr>
      </w:pPr>
      <w:r w:rsidRPr="00626277">
        <w:drawing>
          <wp:inline distT="0" distB="0" distL="0" distR="0" wp14:anchorId="602EF5E4" wp14:editId="049C21C5">
            <wp:extent cx="5659859" cy="406717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66502" cy="4071949"/>
                    </a:xfrm>
                    <a:prstGeom prst="rect">
                      <a:avLst/>
                    </a:prstGeom>
                  </pic:spPr>
                </pic:pic>
              </a:graphicData>
            </a:graphic>
          </wp:inline>
        </w:drawing>
      </w:r>
      <w:r w:rsidR="006B496F" w:rsidRPr="00FD739A">
        <w:rPr>
          <w:rFonts w:asciiTheme="minorHAnsi" w:hAnsiTheme="minorHAnsi"/>
          <w:sz w:val="18"/>
          <w:szCs w:val="18"/>
          <w:lang w:val="en-US"/>
        </w:rPr>
        <w:t>GDOŚ Guidelines 2016. Photo credit: B. Rohm</w:t>
      </w:r>
    </w:p>
    <w:p w14:paraId="4563EFD3" w14:textId="01D9A33B" w:rsidR="006B496F" w:rsidRPr="00B44F6F" w:rsidRDefault="00446F7D" w:rsidP="00B44F6F">
      <w:pPr>
        <w:spacing w:after="120" w:line="276" w:lineRule="auto"/>
        <w:jc w:val="both"/>
        <w:rPr>
          <w:rFonts w:asciiTheme="minorHAnsi" w:hAnsiTheme="minorHAnsi"/>
          <w:b/>
          <w:bCs/>
          <w:sz w:val="24"/>
          <w:szCs w:val="24"/>
        </w:rPr>
      </w:pPr>
      <w:r w:rsidRPr="00B44F6F">
        <w:rPr>
          <w:rFonts w:asciiTheme="minorHAnsi" w:hAnsiTheme="minorHAnsi"/>
          <w:b/>
          <w:bCs/>
          <w:sz w:val="24"/>
          <w:szCs w:val="24"/>
        </w:rPr>
        <w:t>Eradication method</w:t>
      </w:r>
      <w:r w:rsidR="00F6177A" w:rsidRPr="00B44F6F">
        <w:rPr>
          <w:rFonts w:asciiTheme="minorHAnsi" w:hAnsiTheme="minorHAnsi"/>
          <w:b/>
          <w:bCs/>
          <w:sz w:val="24"/>
          <w:szCs w:val="24"/>
        </w:rPr>
        <w:t>s</w:t>
      </w:r>
    </w:p>
    <w:bookmarkEnd w:id="5"/>
    <w:p w14:paraId="25F457DB" w14:textId="77777777" w:rsidR="006B496F" w:rsidRPr="00B44F6F" w:rsidRDefault="006B496F" w:rsidP="00B44F6F">
      <w:pPr>
        <w:pStyle w:val="ListParagraph"/>
        <w:numPr>
          <w:ilvl w:val="0"/>
          <w:numId w:val="4"/>
        </w:numPr>
        <w:spacing w:after="120" w:line="276" w:lineRule="auto"/>
        <w:contextualSpacing w:val="0"/>
        <w:jc w:val="both"/>
        <w:rPr>
          <w:rFonts w:asciiTheme="minorHAnsi" w:hAnsiTheme="minorHAnsi"/>
          <w:sz w:val="24"/>
          <w:szCs w:val="24"/>
          <w:lang w:val="en-US"/>
        </w:rPr>
      </w:pPr>
      <w:r w:rsidRPr="00B44F6F">
        <w:rPr>
          <w:rFonts w:asciiTheme="minorHAnsi" w:hAnsiTheme="minorHAnsi"/>
          <w:sz w:val="24"/>
          <w:szCs w:val="24"/>
          <w:lang w:val="en-US"/>
        </w:rPr>
        <w:t>Mowing limits its spread if done repeatedly (a single mowing rejuvenates the thickets). After the above-ground parts are removed, it regrows easily, often forming denser thickets.</w:t>
      </w:r>
    </w:p>
    <w:p w14:paraId="29DB3D1C" w14:textId="77777777" w:rsidR="006B496F" w:rsidRPr="00B44F6F" w:rsidRDefault="006B496F" w:rsidP="00B44F6F">
      <w:pPr>
        <w:pStyle w:val="ListParagraph"/>
        <w:numPr>
          <w:ilvl w:val="0"/>
          <w:numId w:val="4"/>
        </w:numPr>
        <w:spacing w:after="120" w:line="276" w:lineRule="auto"/>
        <w:contextualSpacing w:val="0"/>
        <w:jc w:val="both"/>
        <w:rPr>
          <w:rFonts w:asciiTheme="minorHAnsi" w:hAnsiTheme="minorHAnsi"/>
          <w:sz w:val="24"/>
          <w:szCs w:val="24"/>
          <w:lang w:val="en-US"/>
        </w:rPr>
      </w:pPr>
      <w:r w:rsidRPr="00B44F6F">
        <w:rPr>
          <w:rFonts w:asciiTheme="minorHAnsi" w:hAnsiTheme="minorHAnsi"/>
          <w:sz w:val="24"/>
          <w:szCs w:val="24"/>
          <w:lang w:val="en-US"/>
        </w:rPr>
        <w:t>Digging up young plants (leaving even fragments of roots can cause new shoots to emerge).</w:t>
      </w:r>
    </w:p>
    <w:p w14:paraId="5AC418C3" w14:textId="77777777" w:rsidR="006B496F" w:rsidRPr="00B44F6F" w:rsidRDefault="006B496F" w:rsidP="00B44F6F">
      <w:pPr>
        <w:pStyle w:val="ListParagraph"/>
        <w:numPr>
          <w:ilvl w:val="0"/>
          <w:numId w:val="4"/>
        </w:numPr>
        <w:spacing w:after="120" w:line="276" w:lineRule="auto"/>
        <w:contextualSpacing w:val="0"/>
        <w:jc w:val="both"/>
        <w:rPr>
          <w:rFonts w:asciiTheme="minorHAnsi" w:hAnsiTheme="minorHAnsi"/>
          <w:sz w:val="24"/>
          <w:szCs w:val="24"/>
          <w:lang w:val="en-US"/>
        </w:rPr>
      </w:pPr>
      <w:r w:rsidRPr="00B44F6F">
        <w:rPr>
          <w:rFonts w:asciiTheme="minorHAnsi" w:hAnsiTheme="minorHAnsi"/>
          <w:sz w:val="24"/>
          <w:szCs w:val="24"/>
          <w:lang w:val="en-US"/>
        </w:rPr>
        <w:t>As a last resort, chemical control of the plant in areas where herbicide use is permitted. The plant, along with its underground parts, is destroyed by herbicides containing glyphosate, preferably in August</w:t>
      </w:r>
      <w:r w:rsidRPr="00B44F6F">
        <w:rPr>
          <w:rStyle w:val="FootnoteReference"/>
          <w:rFonts w:asciiTheme="minorHAnsi" w:hAnsiTheme="minorHAnsi"/>
          <w:b/>
          <w:bCs/>
          <w:sz w:val="24"/>
          <w:szCs w:val="24"/>
        </w:rPr>
        <w:footnoteReference w:id="6"/>
      </w:r>
      <w:r w:rsidRPr="00B44F6F">
        <w:rPr>
          <w:rFonts w:asciiTheme="minorHAnsi" w:hAnsiTheme="minorHAnsi"/>
          <w:sz w:val="24"/>
          <w:szCs w:val="24"/>
          <w:lang w:val="en-US"/>
        </w:rPr>
        <w:t xml:space="preserve"> .</w:t>
      </w:r>
    </w:p>
    <w:p w14:paraId="2FF6D685" w14:textId="77777777" w:rsidR="006B496F" w:rsidRPr="00B44F6F" w:rsidRDefault="006B496F" w:rsidP="00B44F6F">
      <w:pPr>
        <w:pStyle w:val="ListParagraph"/>
        <w:numPr>
          <w:ilvl w:val="0"/>
          <w:numId w:val="4"/>
        </w:numPr>
        <w:spacing w:after="120" w:line="276" w:lineRule="auto"/>
        <w:contextualSpacing w:val="0"/>
        <w:jc w:val="both"/>
        <w:rPr>
          <w:rFonts w:asciiTheme="minorHAnsi" w:hAnsiTheme="minorHAnsi"/>
          <w:sz w:val="24"/>
          <w:szCs w:val="24"/>
          <w:lang w:val="en-US"/>
        </w:rPr>
      </w:pPr>
      <w:r w:rsidRPr="00B44F6F">
        <w:rPr>
          <w:rFonts w:asciiTheme="minorHAnsi" w:hAnsiTheme="minorHAnsi"/>
          <w:sz w:val="24"/>
          <w:szCs w:val="24"/>
          <w:lang w:val="en-US"/>
        </w:rPr>
        <w:t>Controlling cut or mowed plants with glyphosate proves effective if repeated, using a brush or weed marker on small areas, or backpack or tractor-mounted sprayers on larger areas. Even if all above-ground tissue is destroyed, vigorous shoot growth often reoccurs the following year, requiring further control, although it is believed that glyphosate applied in August also damages rhizomes and roots (</w:t>
      </w:r>
      <w:r w:rsidRPr="00B44F6F">
        <w:rPr>
          <w:rFonts w:asciiTheme="minorHAnsi" w:hAnsiTheme="minorHAnsi"/>
          <w:i/>
          <w:iCs/>
          <w:sz w:val="24"/>
          <w:szCs w:val="24"/>
          <w:lang w:val="en-US"/>
        </w:rPr>
        <w:t>Bruun, 2005</w:t>
      </w:r>
      <w:r w:rsidRPr="00B44F6F">
        <w:rPr>
          <w:rFonts w:asciiTheme="minorHAnsi" w:hAnsiTheme="minorHAnsi"/>
          <w:sz w:val="24"/>
          <w:szCs w:val="24"/>
          <w:lang w:val="en-US"/>
        </w:rPr>
        <w:t>)</w:t>
      </w:r>
      <w:r w:rsidRPr="00B44F6F">
        <w:rPr>
          <w:rStyle w:val="FootnoteReference"/>
          <w:rFonts w:asciiTheme="minorHAnsi" w:hAnsiTheme="minorHAnsi"/>
          <w:sz w:val="24"/>
          <w:szCs w:val="24"/>
        </w:rPr>
        <w:footnoteReference w:id="7"/>
      </w:r>
    </w:p>
    <w:p w14:paraId="00AF96A2" w14:textId="3B78AA37" w:rsidR="00651F3F" w:rsidRPr="00B44F6F" w:rsidRDefault="006B496F" w:rsidP="00B44F6F">
      <w:pPr>
        <w:spacing w:after="120" w:line="276" w:lineRule="auto"/>
        <w:jc w:val="both"/>
        <w:rPr>
          <w:rFonts w:asciiTheme="minorHAnsi" w:hAnsiTheme="minorHAnsi"/>
          <w:b/>
          <w:bCs/>
          <w:sz w:val="24"/>
          <w:szCs w:val="24"/>
          <w:lang w:val="en-US"/>
        </w:rPr>
      </w:pPr>
      <w:r w:rsidRPr="00B44F6F">
        <w:rPr>
          <w:rFonts w:asciiTheme="minorHAnsi" w:hAnsiTheme="minorHAnsi"/>
          <w:b/>
          <w:bCs/>
          <w:sz w:val="24"/>
          <w:szCs w:val="24"/>
          <w:lang w:val="en-US"/>
        </w:rPr>
        <w:t xml:space="preserve">Recommendations </w:t>
      </w:r>
      <w:r w:rsidR="00651F3F" w:rsidRPr="00B44F6F">
        <w:rPr>
          <w:rFonts w:asciiTheme="minorHAnsi" w:hAnsiTheme="minorHAnsi"/>
          <w:b/>
          <w:bCs/>
          <w:sz w:val="24"/>
          <w:szCs w:val="24"/>
          <w:lang w:val="en-US"/>
        </w:rPr>
        <w:t xml:space="preserve">regarding </w:t>
      </w:r>
      <w:r w:rsidRPr="00B44F6F">
        <w:rPr>
          <w:rFonts w:asciiTheme="minorHAnsi" w:hAnsiTheme="minorHAnsi"/>
          <w:b/>
          <w:bCs/>
          <w:sz w:val="24"/>
          <w:szCs w:val="24"/>
          <w:lang w:val="en-US"/>
        </w:rPr>
        <w:t>biomass management are provided in Chapter 3.</w:t>
      </w:r>
    </w:p>
    <w:p w14:paraId="1E629E9D" w14:textId="77777777" w:rsidR="00651F3F" w:rsidRPr="00D049D4" w:rsidRDefault="00651F3F" w:rsidP="006B496F">
      <w:pPr>
        <w:spacing w:before="240"/>
        <w:rPr>
          <w:b/>
          <w:bCs/>
          <w:lang w:val="en-US"/>
        </w:rPr>
      </w:pPr>
    </w:p>
    <w:p w14:paraId="778E857F" w14:textId="0D526090" w:rsidR="006B496F" w:rsidRPr="00D049D4" w:rsidRDefault="00651F3F" w:rsidP="000130D7">
      <w:pPr>
        <w:pStyle w:val="Heading2"/>
        <w:spacing w:line="276" w:lineRule="auto"/>
        <w:rPr>
          <w:lang w:val="en-US"/>
        </w:rPr>
      </w:pPr>
      <w:bookmarkStart w:id="6" w:name="_Toc239856693"/>
      <w:r w:rsidRPr="00D049D4">
        <w:rPr>
          <w:lang w:val="en-US"/>
        </w:rPr>
        <w:t>2.3. Purple jewelweed (</w:t>
      </w:r>
      <w:r w:rsidRPr="00D049D4">
        <w:rPr>
          <w:i/>
          <w:iCs/>
          <w:lang w:val="en-US"/>
        </w:rPr>
        <w:t>Impatiens glandulifera)</w:t>
      </w:r>
      <w:bookmarkEnd w:id="6"/>
    </w:p>
    <w:p w14:paraId="3C3027EE" w14:textId="77777777" w:rsidR="00651F3F" w:rsidRPr="000130D7" w:rsidRDefault="00651F3F" w:rsidP="000130D7">
      <w:pPr>
        <w:spacing w:after="120" w:line="276" w:lineRule="auto"/>
        <w:jc w:val="both"/>
        <w:rPr>
          <w:rFonts w:asciiTheme="minorHAnsi" w:hAnsiTheme="minorHAnsi"/>
          <w:b/>
          <w:bCs/>
          <w:sz w:val="24"/>
          <w:szCs w:val="24"/>
          <w:lang w:val="en-US"/>
        </w:rPr>
      </w:pPr>
      <w:r w:rsidRPr="000130D7">
        <w:rPr>
          <w:rFonts w:asciiTheme="minorHAnsi" w:hAnsiTheme="minorHAnsi"/>
          <w:b/>
          <w:bCs/>
          <w:sz w:val="24"/>
          <w:szCs w:val="24"/>
          <w:lang w:val="en-US"/>
        </w:rPr>
        <w:t>Characteristics of the species</w:t>
      </w:r>
    </w:p>
    <w:p w14:paraId="1E78AA35" w14:textId="77777777" w:rsidR="00651F3F" w:rsidRPr="00FD739A" w:rsidRDefault="00651F3F" w:rsidP="00FD739A">
      <w:pPr>
        <w:spacing w:after="120" w:line="276" w:lineRule="auto"/>
        <w:jc w:val="both"/>
        <w:rPr>
          <w:rFonts w:asciiTheme="minorHAnsi" w:hAnsiTheme="minorHAnsi"/>
          <w:sz w:val="24"/>
          <w:szCs w:val="24"/>
          <w:lang w:val="en-US"/>
        </w:rPr>
      </w:pPr>
      <w:bookmarkStart w:id="7" w:name="_Hlk163733633"/>
      <w:r w:rsidRPr="00FD739A">
        <w:rPr>
          <w:rFonts w:asciiTheme="minorHAnsi" w:hAnsiTheme="minorHAnsi"/>
          <w:sz w:val="24"/>
          <w:szCs w:val="24"/>
          <w:lang w:val="en-US"/>
        </w:rPr>
        <w:t>Purple jewelweed (</w:t>
      </w:r>
      <w:r w:rsidRPr="00FD739A">
        <w:rPr>
          <w:rFonts w:asciiTheme="minorHAnsi" w:hAnsiTheme="minorHAnsi"/>
          <w:i/>
          <w:iCs/>
          <w:sz w:val="24"/>
          <w:szCs w:val="24"/>
          <w:lang w:val="en-US"/>
        </w:rPr>
        <w:t>Impatiens glandulifera</w:t>
      </w:r>
      <w:r w:rsidRPr="00FD739A">
        <w:rPr>
          <w:rFonts w:asciiTheme="minorHAnsi" w:hAnsiTheme="minorHAnsi"/>
          <w:sz w:val="24"/>
          <w:szCs w:val="24"/>
          <w:lang w:val="en-US"/>
        </w:rPr>
        <w:t xml:space="preserve">): grows up to 3 m tall. Its stem is reddish and hollow inside. The leaves are lanceolate, serrated, and have glands at the base (hence the name). The flowers are showy, about 3–4 cm in size, pink or purple, ending in a short spur, and arranged in abundant clusters. The fruit is a capsule that bursts open explosively into five valves. </w:t>
      </w:r>
    </w:p>
    <w:p w14:paraId="5325E2E4" w14:textId="77777777" w:rsidR="00FD739A" w:rsidRPr="00FD739A" w:rsidRDefault="00651F3F" w:rsidP="00FD739A">
      <w:pPr>
        <w:spacing w:after="120" w:line="276" w:lineRule="auto"/>
        <w:jc w:val="both"/>
        <w:rPr>
          <w:sz w:val="24"/>
          <w:szCs w:val="24"/>
          <w:lang w:val="en-US"/>
        </w:rPr>
      </w:pPr>
      <w:r w:rsidRPr="00FD739A">
        <w:rPr>
          <w:rFonts w:asciiTheme="minorHAnsi" w:hAnsiTheme="minorHAnsi"/>
          <w:sz w:val="24"/>
          <w:szCs w:val="24"/>
          <w:lang w:val="en-US"/>
        </w:rPr>
        <w:t>Ripe fruits of the purple jewelweed spontaneously eject seeds up to 6 m away, which aids in the species’ dispersal. Seeds can also be carried by water over long distances, allowing the plant to colonize new, often very distant, areas. Most impatiens seeds germinate simultaneously in early spring, which promotes invasion by limiting other plants’ access to light</w:t>
      </w:r>
      <w:r w:rsidRPr="00FD739A">
        <w:rPr>
          <w:rStyle w:val="FootnoteReference"/>
          <w:rFonts w:asciiTheme="minorHAnsi" w:hAnsiTheme="minorHAnsi"/>
          <w:sz w:val="24"/>
          <w:szCs w:val="24"/>
        </w:rPr>
        <w:footnoteReference w:id="8"/>
      </w:r>
      <w:r w:rsidRPr="00FD739A">
        <w:rPr>
          <w:sz w:val="24"/>
          <w:szCs w:val="24"/>
          <w:lang w:val="en-US"/>
        </w:rPr>
        <w:t xml:space="preserve"> </w:t>
      </w:r>
      <w:bookmarkStart w:id="8" w:name="_Hlk163733914"/>
      <w:bookmarkEnd w:id="7"/>
    </w:p>
    <w:p w14:paraId="4556E65E" w14:textId="5D710050" w:rsidR="009B1C06" w:rsidRPr="00D049D4" w:rsidRDefault="009B1C06" w:rsidP="00655C3F">
      <w:pPr>
        <w:jc w:val="center"/>
        <w:rPr>
          <w:lang w:val="en-US"/>
        </w:rPr>
      </w:pPr>
      <w:r w:rsidRPr="00626277">
        <w:drawing>
          <wp:inline distT="0" distB="0" distL="0" distR="0" wp14:anchorId="2C003DD2" wp14:editId="2050749D">
            <wp:extent cx="4499610" cy="5433695"/>
            <wp:effectExtent l="0" t="0" r="0" b="0"/>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499610" cy="5433695"/>
                    </a:xfrm>
                    <a:prstGeom prst="rect">
                      <a:avLst/>
                    </a:prstGeom>
                  </pic:spPr>
                </pic:pic>
              </a:graphicData>
            </a:graphic>
          </wp:inline>
        </w:drawing>
      </w:r>
    </w:p>
    <w:p w14:paraId="2BFF05BA" w14:textId="1557C848" w:rsidR="00651F3F" w:rsidRPr="00655C3F" w:rsidRDefault="00446F7D" w:rsidP="009116AA">
      <w:pPr>
        <w:spacing w:after="120" w:line="276" w:lineRule="auto"/>
        <w:jc w:val="both"/>
        <w:rPr>
          <w:rFonts w:asciiTheme="minorHAnsi" w:hAnsiTheme="minorHAnsi"/>
          <w:b/>
          <w:bCs/>
          <w:sz w:val="24"/>
          <w:szCs w:val="24"/>
          <w:lang w:val="en-US"/>
        </w:rPr>
      </w:pPr>
      <w:r w:rsidRPr="00655C3F">
        <w:rPr>
          <w:rFonts w:asciiTheme="minorHAnsi" w:hAnsiTheme="minorHAnsi"/>
          <w:b/>
          <w:bCs/>
          <w:sz w:val="24"/>
          <w:szCs w:val="24"/>
          <w:lang w:val="en-US"/>
        </w:rPr>
        <w:t>Eradication method</w:t>
      </w:r>
      <w:r w:rsidR="00F6177A" w:rsidRPr="00655C3F">
        <w:rPr>
          <w:rFonts w:asciiTheme="minorHAnsi" w:hAnsiTheme="minorHAnsi"/>
          <w:b/>
          <w:bCs/>
          <w:sz w:val="24"/>
          <w:szCs w:val="24"/>
          <w:lang w:val="en-US"/>
        </w:rPr>
        <w:t>s</w:t>
      </w:r>
    </w:p>
    <w:p w14:paraId="718B8C21" w14:textId="77777777" w:rsidR="00651F3F" w:rsidRPr="00655C3F" w:rsidRDefault="00651F3F" w:rsidP="009116AA">
      <w:pPr>
        <w:spacing w:after="120" w:line="276" w:lineRule="auto"/>
        <w:jc w:val="both"/>
        <w:rPr>
          <w:rFonts w:asciiTheme="minorHAnsi" w:hAnsiTheme="minorHAnsi"/>
          <w:sz w:val="24"/>
          <w:szCs w:val="24"/>
          <w:lang w:val="en-US"/>
        </w:rPr>
      </w:pPr>
      <w:r w:rsidRPr="00655C3F">
        <w:rPr>
          <w:rFonts w:asciiTheme="minorHAnsi" w:hAnsiTheme="minorHAnsi"/>
          <w:sz w:val="24"/>
          <w:szCs w:val="24"/>
          <w:lang w:val="en-US"/>
        </w:rPr>
        <w:t>Below is a general overview of control measures for this species. When selecting a method, it is recommended to consult the Compendium of Impatiens Control Methods published by the General Directorate for Environmental Protection (GDOŚ) in 2022.</w:t>
      </w:r>
      <w:r w:rsidRPr="00655C3F">
        <w:rPr>
          <w:rStyle w:val="FootnoteReference"/>
          <w:rFonts w:asciiTheme="minorHAnsi" w:hAnsiTheme="minorHAnsi"/>
          <w:sz w:val="24"/>
          <w:szCs w:val="24"/>
        </w:rPr>
        <w:footnoteReference w:id="9"/>
      </w:r>
      <w:r w:rsidRPr="00655C3F">
        <w:rPr>
          <w:rFonts w:asciiTheme="minorHAnsi" w:hAnsiTheme="minorHAnsi"/>
          <w:sz w:val="24"/>
          <w:szCs w:val="24"/>
          <w:lang w:val="en-US"/>
        </w:rPr>
        <w:t xml:space="preserve"> . The Compendium provides an overview of control methods for Orange touch-me-not and Purple jewelweed recommended for use in Poland.</w:t>
      </w:r>
    </w:p>
    <w:p w14:paraId="118BCCD8" w14:textId="2F044EF0" w:rsidR="00651F3F" w:rsidRPr="00655C3F" w:rsidRDefault="00651F3F" w:rsidP="009116AA">
      <w:pPr>
        <w:pStyle w:val="ListParagraph"/>
        <w:numPr>
          <w:ilvl w:val="0"/>
          <w:numId w:val="5"/>
        </w:numPr>
        <w:spacing w:after="120" w:line="276" w:lineRule="auto"/>
        <w:contextualSpacing w:val="0"/>
        <w:jc w:val="both"/>
        <w:rPr>
          <w:rFonts w:asciiTheme="minorHAnsi" w:hAnsiTheme="minorHAnsi"/>
          <w:sz w:val="24"/>
          <w:szCs w:val="24"/>
          <w:lang w:val="en-US"/>
        </w:rPr>
      </w:pPr>
      <w:bookmarkStart w:id="9" w:name="_Hlk163734211"/>
      <w:r w:rsidRPr="00655C3F">
        <w:rPr>
          <w:rFonts w:asciiTheme="minorHAnsi" w:hAnsiTheme="minorHAnsi"/>
          <w:sz w:val="24"/>
          <w:szCs w:val="24"/>
          <w:lang w:val="en-US"/>
        </w:rPr>
        <w:t>It is an annual plant, so you must not allow it to produce flowers or fruit (they ripen very quickly!). The best method is to pull up entire plants, and the following year—to remove the young seedlings that appear in the spring. After removing the plants, continue to monitor the area to ensure no new plants appear in subsequent years</w:t>
      </w:r>
      <w:r w:rsidRPr="00655C3F">
        <w:rPr>
          <w:rStyle w:val="FootnoteReference"/>
          <w:rFonts w:asciiTheme="minorHAnsi" w:hAnsiTheme="minorHAnsi"/>
          <w:b/>
          <w:bCs/>
          <w:sz w:val="24"/>
          <w:szCs w:val="24"/>
        </w:rPr>
        <w:footnoteReference w:id="10"/>
      </w:r>
      <w:r w:rsidRPr="00655C3F">
        <w:rPr>
          <w:rFonts w:asciiTheme="minorHAnsi" w:hAnsiTheme="minorHAnsi"/>
          <w:sz w:val="24"/>
          <w:szCs w:val="24"/>
          <w:lang w:val="en-US"/>
        </w:rPr>
        <w:t>.</w:t>
      </w:r>
    </w:p>
    <w:bookmarkEnd w:id="8"/>
    <w:bookmarkEnd w:id="9"/>
    <w:p w14:paraId="5E720C2F" w14:textId="53550F29" w:rsidR="00651F3F" w:rsidRPr="00655C3F" w:rsidRDefault="00651F3F" w:rsidP="009116AA">
      <w:pPr>
        <w:pStyle w:val="ListParagraph"/>
        <w:numPr>
          <w:ilvl w:val="0"/>
          <w:numId w:val="5"/>
        </w:numPr>
        <w:spacing w:after="120" w:line="276" w:lineRule="auto"/>
        <w:contextualSpacing w:val="0"/>
        <w:jc w:val="both"/>
        <w:rPr>
          <w:rFonts w:asciiTheme="minorHAnsi" w:hAnsiTheme="minorHAnsi"/>
          <w:sz w:val="24"/>
          <w:szCs w:val="24"/>
          <w:lang w:val="en-US"/>
        </w:rPr>
      </w:pPr>
      <w:r w:rsidRPr="00655C3F">
        <w:rPr>
          <w:rFonts w:asciiTheme="minorHAnsi" w:hAnsiTheme="minorHAnsi"/>
          <w:sz w:val="24"/>
          <w:szCs w:val="24"/>
          <w:lang w:val="en-US"/>
        </w:rPr>
        <w:t>Any control method should aim to prevent the plant from producing seeds. The best results are achieved by using mechanical control at the end of the season, i.e., when the plants are flowering or beginning to flower. Early cutting of plants below the first node can control populations, although this is labor-intensive. In Germany, several mechanical methods were tested (</w:t>
      </w:r>
      <w:r w:rsidRPr="00655C3F">
        <w:rPr>
          <w:rFonts w:asciiTheme="minorHAnsi" w:hAnsiTheme="minorHAnsi"/>
          <w:i/>
          <w:iCs/>
          <w:sz w:val="24"/>
          <w:szCs w:val="24"/>
          <w:lang w:val="en-US"/>
        </w:rPr>
        <w:t>Hartmann et al., 1995</w:t>
      </w:r>
      <w:r w:rsidRPr="00655C3F">
        <w:rPr>
          <w:rFonts w:asciiTheme="minorHAnsi" w:hAnsiTheme="minorHAnsi"/>
          <w:sz w:val="24"/>
          <w:szCs w:val="24"/>
          <w:lang w:val="en-US"/>
        </w:rPr>
        <w:t>), and mowing with or without removal of plant material, mulching, or tillage proved effective. For larger areas infested with the species and where soil conditions permit, agricultural machinery can be used. Where the soil is wet and soft, heavy machinery will damage the soil and create open spaces ideal for re-establishment. For smaller areas, manual brush cutters can be used, and plants can also be pulled out by hand. In such cases, care must be taken to ensure that the pulled-out plants do not have a chance to regrow where they were deposited. To achieve lasting success, the area should be monitored for regrowth</w:t>
      </w:r>
      <w:r w:rsidRPr="00655C3F">
        <w:rPr>
          <w:rStyle w:val="FootnoteReference"/>
          <w:rFonts w:asciiTheme="minorHAnsi" w:hAnsiTheme="minorHAnsi"/>
          <w:sz w:val="24"/>
          <w:szCs w:val="24"/>
        </w:rPr>
        <w:footnoteReference w:id="11"/>
      </w:r>
      <w:r w:rsidRPr="00655C3F">
        <w:rPr>
          <w:rFonts w:asciiTheme="minorHAnsi" w:hAnsiTheme="minorHAnsi"/>
          <w:sz w:val="24"/>
          <w:szCs w:val="24"/>
          <w:lang w:val="en-US"/>
        </w:rPr>
        <w:t>.</w:t>
      </w:r>
    </w:p>
    <w:p w14:paraId="584A50CC" w14:textId="754F9136" w:rsidR="00651F3F" w:rsidRPr="00655C3F" w:rsidRDefault="00651F3F" w:rsidP="009116AA">
      <w:pPr>
        <w:spacing w:after="120" w:line="276" w:lineRule="auto"/>
        <w:jc w:val="both"/>
        <w:rPr>
          <w:rFonts w:asciiTheme="minorHAnsi" w:hAnsiTheme="minorHAnsi"/>
          <w:b/>
          <w:bCs/>
          <w:sz w:val="24"/>
          <w:szCs w:val="24"/>
          <w:lang w:val="en-US"/>
        </w:rPr>
      </w:pPr>
      <w:r w:rsidRPr="00655C3F">
        <w:rPr>
          <w:rFonts w:asciiTheme="minorHAnsi" w:hAnsiTheme="minorHAnsi"/>
          <w:b/>
          <w:bCs/>
          <w:sz w:val="24"/>
          <w:szCs w:val="24"/>
          <w:lang w:val="en-US"/>
        </w:rPr>
        <w:t>Recommendations regarding biomass management are provided in Chapter 3.</w:t>
      </w:r>
    </w:p>
    <w:p w14:paraId="75BBAAC6" w14:textId="509840CB" w:rsidR="00651F3F" w:rsidRPr="00D049D4" w:rsidRDefault="00651F3F" w:rsidP="009116AA">
      <w:pPr>
        <w:pStyle w:val="Heading2"/>
        <w:spacing w:line="276" w:lineRule="auto"/>
        <w:jc w:val="both"/>
        <w:rPr>
          <w:lang w:val="en-US"/>
        </w:rPr>
      </w:pPr>
      <w:bookmarkStart w:id="10" w:name="_Toc239856694"/>
      <w:r w:rsidRPr="00D049D4">
        <w:rPr>
          <w:lang w:val="en-US"/>
        </w:rPr>
        <w:t>2.4. Giant goldenrod (</w:t>
      </w:r>
      <w:r w:rsidRPr="00D049D4">
        <w:rPr>
          <w:i/>
          <w:iCs/>
          <w:lang w:val="en-US"/>
        </w:rPr>
        <w:t xml:space="preserve">Solidago gigantea) </w:t>
      </w:r>
      <w:r w:rsidRPr="00D049D4">
        <w:rPr>
          <w:lang w:val="en-US"/>
        </w:rPr>
        <w:t>and Canadian goldenrod (</w:t>
      </w:r>
      <w:r w:rsidRPr="00D049D4">
        <w:rPr>
          <w:i/>
          <w:iCs/>
          <w:lang w:val="en-US"/>
        </w:rPr>
        <w:t>Solidago canadensis)</w:t>
      </w:r>
      <w:bookmarkEnd w:id="10"/>
    </w:p>
    <w:p w14:paraId="17DBD76D" w14:textId="77777777" w:rsidR="00651F3F" w:rsidRPr="009116AA" w:rsidRDefault="00651F3F" w:rsidP="009116AA">
      <w:pPr>
        <w:spacing w:after="120" w:line="276" w:lineRule="auto"/>
        <w:jc w:val="both"/>
        <w:rPr>
          <w:rFonts w:asciiTheme="minorHAnsi" w:hAnsiTheme="minorHAnsi"/>
          <w:b/>
          <w:bCs/>
          <w:sz w:val="24"/>
          <w:szCs w:val="24"/>
          <w:lang w:val="en-US"/>
        </w:rPr>
      </w:pPr>
      <w:bookmarkStart w:id="11" w:name="_Hlk163735705"/>
      <w:r w:rsidRPr="009116AA">
        <w:rPr>
          <w:rFonts w:asciiTheme="minorHAnsi" w:hAnsiTheme="minorHAnsi"/>
          <w:b/>
          <w:bCs/>
          <w:sz w:val="24"/>
          <w:szCs w:val="24"/>
          <w:lang w:val="en-US"/>
        </w:rPr>
        <w:t>Species Characteristics</w:t>
      </w:r>
    </w:p>
    <w:bookmarkEnd w:id="11"/>
    <w:p w14:paraId="67E4408B" w14:textId="5776DBB8" w:rsidR="00651F3F" w:rsidRPr="009116AA" w:rsidRDefault="00651F3F" w:rsidP="009116AA">
      <w:pPr>
        <w:spacing w:after="120" w:line="276" w:lineRule="auto"/>
        <w:jc w:val="both"/>
        <w:rPr>
          <w:rFonts w:asciiTheme="minorHAnsi" w:hAnsiTheme="minorHAnsi"/>
          <w:sz w:val="24"/>
          <w:szCs w:val="24"/>
          <w:lang w:val="en-US"/>
        </w:rPr>
      </w:pPr>
      <w:r w:rsidRPr="009116AA">
        <w:rPr>
          <w:rFonts w:asciiTheme="minorHAnsi" w:hAnsiTheme="minorHAnsi"/>
          <w:sz w:val="24"/>
          <w:szCs w:val="24"/>
          <w:lang w:val="en-US"/>
        </w:rPr>
        <w:t>Canadian goldenrod (</w:t>
      </w:r>
      <w:r w:rsidRPr="009116AA">
        <w:rPr>
          <w:rFonts w:asciiTheme="minorHAnsi" w:hAnsiTheme="minorHAnsi"/>
          <w:i/>
          <w:iCs/>
          <w:sz w:val="24"/>
          <w:szCs w:val="24"/>
          <w:lang w:val="en-US"/>
        </w:rPr>
        <w:t xml:space="preserve">Solidago canadensis) </w:t>
      </w:r>
      <w:r w:rsidRPr="009116AA">
        <w:rPr>
          <w:rFonts w:asciiTheme="minorHAnsi" w:hAnsiTheme="minorHAnsi"/>
          <w:sz w:val="24"/>
          <w:szCs w:val="24"/>
          <w:lang w:val="en-US"/>
        </w:rPr>
        <w:t>and Giant goldenrod (</w:t>
      </w:r>
      <w:r w:rsidRPr="009116AA">
        <w:rPr>
          <w:rFonts w:asciiTheme="minorHAnsi" w:hAnsiTheme="minorHAnsi"/>
          <w:i/>
          <w:iCs/>
          <w:sz w:val="24"/>
          <w:szCs w:val="24"/>
          <w:lang w:val="en-US"/>
        </w:rPr>
        <w:t>Solidago gigantea)</w:t>
      </w:r>
      <w:r w:rsidR="00F6177A" w:rsidRPr="009116AA">
        <w:rPr>
          <w:rFonts w:asciiTheme="minorHAnsi" w:hAnsiTheme="minorHAnsi"/>
          <w:sz w:val="24"/>
          <w:szCs w:val="24"/>
          <w:lang w:val="en-US"/>
        </w:rPr>
        <w:t xml:space="preserve"> </w:t>
      </w:r>
      <w:r w:rsidRPr="009116AA">
        <w:rPr>
          <w:rFonts w:asciiTheme="minorHAnsi" w:hAnsiTheme="minorHAnsi"/>
          <w:sz w:val="24"/>
          <w:szCs w:val="24"/>
          <w:lang w:val="en-US"/>
        </w:rPr>
        <w:t>are two invasive alien species found in Poland that were introduced to Europe from North America. These plants are very similar to one another—unlike Canadian goldenrod, Giant goldenrod has a stem that is hairy along its entire length (the stem of Giant goldenrod is hairy only within the inflorescence).</w:t>
      </w:r>
    </w:p>
    <w:p w14:paraId="3A8D0D6E" w14:textId="77777777" w:rsidR="00651F3F" w:rsidRPr="009116AA" w:rsidRDefault="00651F3F" w:rsidP="009116AA">
      <w:pPr>
        <w:spacing w:after="120" w:line="276" w:lineRule="auto"/>
        <w:jc w:val="both"/>
        <w:rPr>
          <w:rFonts w:asciiTheme="minorHAnsi" w:hAnsiTheme="minorHAnsi"/>
          <w:sz w:val="24"/>
          <w:szCs w:val="24"/>
          <w:lang w:val="en-US"/>
        </w:rPr>
      </w:pPr>
      <w:r w:rsidRPr="009116AA">
        <w:rPr>
          <w:rFonts w:asciiTheme="minorHAnsi" w:hAnsiTheme="minorHAnsi"/>
          <w:sz w:val="24"/>
          <w:szCs w:val="24"/>
          <w:lang w:val="en-US"/>
        </w:rPr>
        <w:t>Canadian goldenrod is a perennial herb that grows up to 150 cm tall. The stems are glabrous at the base and, from the middle upward, coarsely and sparsely hairy. The stem bears alternate, lanceolate leaves that are long-pointed, sharply toothed, 6–13 cm long, and hairy along the veins on the underside. The flowers are yellow. They are arranged in small, basket-like inflorescences, with a calyx up to 2.8 mm long, grouped into pyramidal panicles 15–30 cm long. The fruit is an achene bearing a short calyx pappus up to 2.5 mm long. Canadian goldenrod blooms from July through October, with peak blooming from mid-August through late September. Plants bloom every year starting in their first year of life.</w:t>
      </w:r>
    </w:p>
    <w:p w14:paraId="5049153E" w14:textId="77777777" w:rsidR="00651F3F" w:rsidRPr="009116AA" w:rsidRDefault="00651F3F" w:rsidP="009116AA">
      <w:pPr>
        <w:spacing w:after="120" w:line="276" w:lineRule="auto"/>
        <w:jc w:val="both"/>
        <w:rPr>
          <w:rFonts w:asciiTheme="minorHAnsi" w:hAnsiTheme="minorHAnsi"/>
          <w:sz w:val="24"/>
          <w:szCs w:val="24"/>
          <w:lang w:val="en-US"/>
        </w:rPr>
      </w:pPr>
      <w:r w:rsidRPr="009116AA">
        <w:rPr>
          <w:rFonts w:asciiTheme="minorHAnsi" w:hAnsiTheme="minorHAnsi"/>
          <w:sz w:val="24"/>
          <w:szCs w:val="24"/>
          <w:lang w:val="en-US"/>
        </w:rPr>
        <w:t>Giant goldenrod is a perennial reaching a height of 50 to 250 cm. It has a stiff, erect stem, glabrous at the base, waxy, and slightly hairy below the inflorescence. The stems often take on a reddish-purple color, although this trait is not observed in plants growing in the shade or in dense stands. The leaves are lanceolate in shape, with a pointed tip and sharply serrated margins. The upper surface of the leaf blade is glabrous, while the underside has hairs along the leaf veins. The flowers are yellow, small, and arranged in bell-shaped flower heads mounted on short pedicels. The flower heads are grouped into one-sided panicle-like inflorescences, visible from a distance. It blooms in August and September.</w:t>
      </w:r>
    </w:p>
    <w:p w14:paraId="1EC0D506" w14:textId="77777777" w:rsidR="00651F3F" w:rsidRPr="009116AA" w:rsidRDefault="00651F3F" w:rsidP="009116AA">
      <w:pPr>
        <w:spacing w:after="120" w:line="276" w:lineRule="auto"/>
        <w:jc w:val="both"/>
        <w:rPr>
          <w:rFonts w:asciiTheme="minorHAnsi" w:hAnsiTheme="minorHAnsi"/>
          <w:sz w:val="24"/>
          <w:szCs w:val="24"/>
          <w:lang w:val="en-US"/>
        </w:rPr>
      </w:pPr>
      <w:r w:rsidRPr="009116AA">
        <w:rPr>
          <w:rFonts w:asciiTheme="minorHAnsi" w:hAnsiTheme="minorHAnsi"/>
          <w:sz w:val="24"/>
          <w:szCs w:val="24"/>
          <w:lang w:val="en-US"/>
        </w:rPr>
        <w:t>In their secondary range, goldenrods exhibit a wide ecological amplitude and a broad habitat spectrum. They are highly tolerant of soil conditions but require full sunlight.</w:t>
      </w:r>
    </w:p>
    <w:p w14:paraId="6B786BD8" w14:textId="77777777" w:rsidR="0049729C" w:rsidRDefault="00651F3F" w:rsidP="009B1C06">
      <w:pPr>
        <w:jc w:val="both"/>
        <w:rPr>
          <w:sz w:val="24"/>
          <w:szCs w:val="24"/>
          <w:lang w:val="en-US"/>
        </w:rPr>
      </w:pPr>
      <w:r w:rsidRPr="0049729C">
        <w:rPr>
          <w:rFonts w:asciiTheme="minorHAnsi" w:hAnsiTheme="minorHAnsi"/>
          <w:sz w:val="24"/>
          <w:szCs w:val="24"/>
          <w:lang w:val="en-US"/>
        </w:rPr>
        <w:t>Goldenrod is found particularly in unused meadows and pastures, as well as in abandoned croplands, along roadsides, forest edges, field margins, and in habitats</w:t>
      </w:r>
      <w:r w:rsidR="0049729C">
        <w:rPr>
          <w:rFonts w:asciiTheme="minorHAnsi" w:hAnsiTheme="minorHAnsi"/>
          <w:sz w:val="24"/>
          <w:szCs w:val="24"/>
          <w:lang w:val="en-US"/>
        </w:rPr>
        <w:t xml:space="preserve"> </w:t>
      </w:r>
      <w:r w:rsidRPr="0049729C">
        <w:rPr>
          <w:rFonts w:asciiTheme="minorHAnsi" w:hAnsiTheme="minorHAnsi"/>
          <w:sz w:val="24"/>
          <w:szCs w:val="24"/>
          <w:lang w:val="en-US"/>
        </w:rPr>
        <w:t>disturbed by humans</w:t>
      </w:r>
      <w:r w:rsidRPr="0049729C">
        <w:rPr>
          <w:rStyle w:val="FootnoteReference"/>
          <w:rFonts w:asciiTheme="minorHAnsi" w:hAnsiTheme="minorHAnsi"/>
          <w:sz w:val="24"/>
          <w:szCs w:val="24"/>
        </w:rPr>
        <w:footnoteReference w:id="12"/>
      </w:r>
      <w:r w:rsidRPr="0049729C">
        <w:rPr>
          <w:sz w:val="24"/>
          <w:szCs w:val="24"/>
          <w:lang w:val="en-US"/>
        </w:rPr>
        <w:t xml:space="preserve"> </w:t>
      </w:r>
    </w:p>
    <w:p w14:paraId="5DDD2B8F" w14:textId="7C372AF8" w:rsidR="009B1C06" w:rsidRPr="00D049D4" w:rsidRDefault="009B1C06" w:rsidP="0049729C">
      <w:pPr>
        <w:spacing w:after="0"/>
        <w:jc w:val="center"/>
        <w:rPr>
          <w:lang w:val="en-US"/>
        </w:rPr>
      </w:pPr>
      <w:r w:rsidRPr="00626277">
        <w:drawing>
          <wp:inline distT="0" distB="0" distL="0" distR="0" wp14:anchorId="777C48A1" wp14:editId="75FB3761">
            <wp:extent cx="4458951" cy="5706094"/>
            <wp:effectExtent l="0" t="0" r="0" b="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b="10041"/>
                    <a:stretch/>
                  </pic:blipFill>
                  <pic:spPr bwMode="auto">
                    <a:xfrm>
                      <a:off x="0" y="0"/>
                      <a:ext cx="4462692" cy="5710882"/>
                    </a:xfrm>
                    <a:prstGeom prst="rect">
                      <a:avLst/>
                    </a:prstGeom>
                    <a:ln>
                      <a:noFill/>
                    </a:ln>
                    <a:extLst>
                      <a:ext uri="{53640926-AAD7-44D8-BBD7-CCE9431645EC}">
                        <a14:shadowObscured xmlns:a14="http://schemas.microsoft.com/office/drawing/2010/main"/>
                      </a:ext>
                    </a:extLst>
                  </pic:spPr>
                </pic:pic>
              </a:graphicData>
            </a:graphic>
          </wp:inline>
        </w:drawing>
      </w:r>
    </w:p>
    <w:p w14:paraId="468DAEBE" w14:textId="359CDD29" w:rsidR="00651F3F" w:rsidRPr="0049729C" w:rsidRDefault="00651F3F" w:rsidP="0049729C">
      <w:pPr>
        <w:jc w:val="center"/>
        <w:rPr>
          <w:rFonts w:asciiTheme="minorHAnsi" w:hAnsiTheme="minorHAnsi"/>
          <w:sz w:val="18"/>
          <w:szCs w:val="18"/>
        </w:rPr>
      </w:pPr>
      <w:r w:rsidRPr="0049729C">
        <w:rPr>
          <w:rFonts w:asciiTheme="minorHAnsi" w:hAnsiTheme="minorHAnsi"/>
          <w:i/>
          <w:iCs/>
          <w:sz w:val="18"/>
          <w:szCs w:val="18"/>
        </w:rPr>
        <w:t>Solidago gigantea</w:t>
      </w:r>
      <w:r w:rsidRPr="0049729C">
        <w:rPr>
          <w:rFonts w:asciiTheme="minorHAnsi" w:hAnsiTheme="minorHAnsi"/>
          <w:sz w:val="18"/>
          <w:szCs w:val="18"/>
        </w:rPr>
        <w:t xml:space="preserve"> https://www.ogrod.uw.edu.pl/</w:t>
      </w:r>
    </w:p>
    <w:p w14:paraId="63207C8A" w14:textId="4EB95F2F" w:rsidR="00FB23F5" w:rsidRPr="00626277" w:rsidRDefault="009B1C06" w:rsidP="0049729C">
      <w:pPr>
        <w:spacing w:after="0"/>
        <w:jc w:val="center"/>
      </w:pPr>
      <w:r w:rsidRPr="00626277">
        <w:drawing>
          <wp:inline distT="0" distB="0" distL="0" distR="0" wp14:anchorId="38857088" wp14:editId="723ADECE">
            <wp:extent cx="4499610" cy="5611091"/>
            <wp:effectExtent l="0" t="0" r="0" b="8890"/>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b="7337"/>
                    <a:stretch/>
                  </pic:blipFill>
                  <pic:spPr bwMode="auto">
                    <a:xfrm>
                      <a:off x="0" y="0"/>
                      <a:ext cx="4499610" cy="5611091"/>
                    </a:xfrm>
                    <a:prstGeom prst="rect">
                      <a:avLst/>
                    </a:prstGeom>
                    <a:ln>
                      <a:noFill/>
                    </a:ln>
                    <a:extLst>
                      <a:ext uri="{53640926-AAD7-44D8-BBD7-CCE9431645EC}">
                        <a14:shadowObscured xmlns:a14="http://schemas.microsoft.com/office/drawing/2010/main"/>
                      </a:ext>
                    </a:extLst>
                  </pic:spPr>
                </pic:pic>
              </a:graphicData>
            </a:graphic>
          </wp:inline>
        </w:drawing>
      </w:r>
    </w:p>
    <w:p w14:paraId="37F43DF7" w14:textId="77777777" w:rsidR="00651F3F" w:rsidRPr="0049729C" w:rsidRDefault="00651F3F" w:rsidP="0049729C">
      <w:pPr>
        <w:jc w:val="center"/>
        <w:rPr>
          <w:rFonts w:asciiTheme="minorHAnsi" w:hAnsiTheme="minorHAnsi"/>
          <w:sz w:val="18"/>
          <w:szCs w:val="18"/>
          <w:lang w:val="en-US"/>
        </w:rPr>
      </w:pPr>
      <w:r w:rsidRPr="0049729C">
        <w:rPr>
          <w:rFonts w:asciiTheme="minorHAnsi" w:hAnsiTheme="minorHAnsi"/>
          <w:i/>
          <w:iCs/>
          <w:sz w:val="18"/>
          <w:szCs w:val="18"/>
          <w:lang w:val="en-US"/>
        </w:rPr>
        <w:t>Solidago canadensis</w:t>
      </w:r>
      <w:r w:rsidRPr="0049729C">
        <w:rPr>
          <w:rFonts w:asciiTheme="minorHAnsi" w:hAnsiTheme="minorHAnsi"/>
          <w:sz w:val="18"/>
          <w:szCs w:val="18"/>
          <w:lang w:val="en-US"/>
        </w:rPr>
        <w:t xml:space="preserve"> https://www.ogrod.uw.edu.pl/</w:t>
      </w:r>
    </w:p>
    <w:p w14:paraId="2FF9F7BC" w14:textId="4B7B0C68" w:rsidR="00651F3F" w:rsidRPr="0049729C" w:rsidRDefault="00446F7D" w:rsidP="0049729C">
      <w:pPr>
        <w:spacing w:after="120" w:line="276" w:lineRule="auto"/>
        <w:jc w:val="both"/>
        <w:rPr>
          <w:rFonts w:asciiTheme="minorHAnsi" w:hAnsiTheme="minorHAnsi"/>
          <w:b/>
          <w:bCs/>
          <w:sz w:val="24"/>
          <w:szCs w:val="24"/>
        </w:rPr>
      </w:pPr>
      <w:r w:rsidRPr="0049729C">
        <w:rPr>
          <w:rFonts w:asciiTheme="minorHAnsi" w:hAnsiTheme="minorHAnsi"/>
          <w:b/>
          <w:bCs/>
          <w:sz w:val="24"/>
          <w:szCs w:val="24"/>
        </w:rPr>
        <w:t>Eradication methods</w:t>
      </w:r>
    </w:p>
    <w:p w14:paraId="23A1BA52" w14:textId="77777777" w:rsidR="00651F3F" w:rsidRPr="0049729C" w:rsidRDefault="00651F3F" w:rsidP="0049729C">
      <w:pPr>
        <w:pStyle w:val="ListParagraph"/>
        <w:numPr>
          <w:ilvl w:val="0"/>
          <w:numId w:val="6"/>
        </w:numPr>
        <w:spacing w:after="120" w:line="276" w:lineRule="auto"/>
        <w:contextualSpacing w:val="0"/>
        <w:jc w:val="both"/>
        <w:rPr>
          <w:rFonts w:asciiTheme="minorHAnsi" w:hAnsiTheme="minorHAnsi"/>
          <w:sz w:val="24"/>
          <w:szCs w:val="24"/>
          <w:lang w:val="en-US"/>
        </w:rPr>
      </w:pPr>
      <w:r w:rsidRPr="0049729C">
        <w:rPr>
          <w:rFonts w:asciiTheme="minorHAnsi" w:hAnsiTheme="minorHAnsi"/>
          <w:sz w:val="24"/>
          <w:szCs w:val="24"/>
          <w:lang w:val="en-US"/>
        </w:rPr>
        <w:t xml:space="preserve">Controlling goldenrod is a difficult and labor-intensive process. </w:t>
      </w:r>
    </w:p>
    <w:p w14:paraId="0E759929" w14:textId="77777777" w:rsidR="00651F3F" w:rsidRPr="0049729C" w:rsidRDefault="00651F3F" w:rsidP="0049729C">
      <w:pPr>
        <w:pStyle w:val="ListParagraph"/>
        <w:numPr>
          <w:ilvl w:val="0"/>
          <w:numId w:val="6"/>
        </w:numPr>
        <w:spacing w:after="120" w:line="276" w:lineRule="auto"/>
        <w:contextualSpacing w:val="0"/>
        <w:jc w:val="both"/>
        <w:rPr>
          <w:rFonts w:asciiTheme="minorHAnsi" w:hAnsiTheme="minorHAnsi"/>
          <w:sz w:val="24"/>
          <w:szCs w:val="24"/>
          <w:lang w:val="en-US"/>
        </w:rPr>
      </w:pPr>
      <w:r w:rsidRPr="0049729C">
        <w:rPr>
          <w:rFonts w:asciiTheme="minorHAnsi" w:hAnsiTheme="minorHAnsi"/>
          <w:sz w:val="24"/>
          <w:szCs w:val="24"/>
          <w:lang w:val="en-US"/>
        </w:rPr>
        <w:t>If the plant is not yet widespread in a given area, individual clumps should be dug up.</w:t>
      </w:r>
    </w:p>
    <w:p w14:paraId="5081644E" w14:textId="77777777" w:rsidR="00651F3F" w:rsidRPr="0049729C" w:rsidRDefault="00651F3F" w:rsidP="0049729C">
      <w:pPr>
        <w:pStyle w:val="ListParagraph"/>
        <w:numPr>
          <w:ilvl w:val="0"/>
          <w:numId w:val="6"/>
        </w:numPr>
        <w:spacing w:after="120" w:line="276" w:lineRule="auto"/>
        <w:contextualSpacing w:val="0"/>
        <w:jc w:val="both"/>
        <w:rPr>
          <w:rFonts w:asciiTheme="minorHAnsi" w:hAnsiTheme="minorHAnsi"/>
          <w:sz w:val="24"/>
          <w:szCs w:val="24"/>
          <w:lang w:val="en-US"/>
        </w:rPr>
      </w:pPr>
      <w:r w:rsidRPr="0049729C">
        <w:rPr>
          <w:rFonts w:asciiTheme="minorHAnsi" w:hAnsiTheme="minorHAnsi"/>
          <w:sz w:val="24"/>
          <w:szCs w:val="24"/>
          <w:lang w:val="en-US"/>
        </w:rPr>
        <w:t>However, if larger areas are affected—such as meadows or fallow land—and habitat conditions do not allow for the use of heavy equipment to plow up the rhizomes, the simplest way to limit goldenrod’s spread is to mow regularly (even several times a year) before the flowering period.</w:t>
      </w:r>
      <w:r w:rsidRPr="0049729C">
        <w:rPr>
          <w:rStyle w:val="FootnoteReference"/>
          <w:rFonts w:asciiTheme="minorHAnsi" w:hAnsiTheme="minorHAnsi"/>
          <w:sz w:val="24"/>
          <w:szCs w:val="24"/>
        </w:rPr>
        <w:footnoteReference w:id="13"/>
      </w:r>
      <w:r w:rsidRPr="0049729C">
        <w:rPr>
          <w:rFonts w:asciiTheme="minorHAnsi" w:hAnsiTheme="minorHAnsi"/>
          <w:sz w:val="24"/>
          <w:szCs w:val="24"/>
          <w:lang w:val="en-US"/>
        </w:rPr>
        <w:t xml:space="preserve"> .</w:t>
      </w:r>
    </w:p>
    <w:p w14:paraId="0EF1D6D6" w14:textId="77777777" w:rsidR="00651F3F" w:rsidRPr="0049729C" w:rsidRDefault="00651F3F" w:rsidP="0049729C">
      <w:pPr>
        <w:pStyle w:val="ListParagraph"/>
        <w:numPr>
          <w:ilvl w:val="0"/>
          <w:numId w:val="6"/>
        </w:numPr>
        <w:spacing w:after="120" w:line="276" w:lineRule="auto"/>
        <w:contextualSpacing w:val="0"/>
        <w:jc w:val="both"/>
        <w:rPr>
          <w:rFonts w:asciiTheme="minorHAnsi" w:hAnsiTheme="minorHAnsi"/>
          <w:sz w:val="24"/>
          <w:szCs w:val="24"/>
          <w:lang w:val="en-US"/>
        </w:rPr>
      </w:pPr>
      <w:r w:rsidRPr="0049729C">
        <w:rPr>
          <w:rFonts w:asciiTheme="minorHAnsi" w:hAnsiTheme="minorHAnsi"/>
          <w:sz w:val="24"/>
          <w:szCs w:val="24"/>
          <w:lang w:val="en-US"/>
        </w:rPr>
        <w:t>In the early stages of expansion, spot control of plants (pulling or digging them up) yields good results</w:t>
      </w:r>
      <w:r w:rsidRPr="0049729C">
        <w:rPr>
          <w:rStyle w:val="FootnoteReference"/>
          <w:rFonts w:asciiTheme="minorHAnsi" w:hAnsiTheme="minorHAnsi"/>
          <w:sz w:val="24"/>
          <w:szCs w:val="24"/>
        </w:rPr>
        <w:footnoteReference w:id="14"/>
      </w:r>
      <w:r w:rsidRPr="0049729C">
        <w:rPr>
          <w:rFonts w:asciiTheme="minorHAnsi" w:hAnsiTheme="minorHAnsi"/>
          <w:sz w:val="24"/>
          <w:szCs w:val="24"/>
          <w:lang w:val="en-US"/>
        </w:rPr>
        <w:t xml:space="preserve"> </w:t>
      </w:r>
    </w:p>
    <w:p w14:paraId="6ECB82B1" w14:textId="3D9082CC" w:rsidR="00651F3F" w:rsidRPr="0049729C" w:rsidRDefault="00651F3F" w:rsidP="0049729C">
      <w:pPr>
        <w:pStyle w:val="ListParagraph"/>
        <w:numPr>
          <w:ilvl w:val="0"/>
          <w:numId w:val="5"/>
        </w:numPr>
        <w:spacing w:after="120" w:line="276" w:lineRule="auto"/>
        <w:contextualSpacing w:val="0"/>
        <w:jc w:val="both"/>
        <w:rPr>
          <w:rFonts w:asciiTheme="minorHAnsi" w:hAnsiTheme="minorHAnsi"/>
          <w:sz w:val="24"/>
          <w:szCs w:val="24"/>
          <w:lang w:val="en-US"/>
        </w:rPr>
      </w:pPr>
      <w:r w:rsidRPr="0049729C">
        <w:rPr>
          <w:rFonts w:asciiTheme="minorHAnsi" w:hAnsiTheme="minorHAnsi"/>
          <w:sz w:val="24"/>
          <w:szCs w:val="24"/>
          <w:lang w:val="en-US"/>
        </w:rPr>
        <w:t>Germinating and young plants are sensitive to soil-applied herbicides, but later, during the growing season, soil-applied herbicides are ineffective. Glyphosate, 2,4-D, and several contact herbicides are suitable for controlling plants up to 10–15 cm in height</w:t>
      </w:r>
      <w:r w:rsidRPr="0049729C">
        <w:rPr>
          <w:rStyle w:val="FootnoteReference"/>
          <w:rFonts w:asciiTheme="minorHAnsi" w:hAnsiTheme="minorHAnsi"/>
          <w:sz w:val="24"/>
          <w:szCs w:val="24"/>
        </w:rPr>
        <w:footnoteReference w:id="15"/>
      </w:r>
      <w:r w:rsidRPr="0049729C">
        <w:rPr>
          <w:rFonts w:asciiTheme="minorHAnsi" w:hAnsiTheme="minorHAnsi"/>
          <w:sz w:val="24"/>
          <w:szCs w:val="24"/>
          <w:lang w:val="en-US"/>
        </w:rPr>
        <w:t xml:space="preserve"> .</w:t>
      </w:r>
    </w:p>
    <w:p w14:paraId="1061ADED" w14:textId="6E36C7F6" w:rsidR="00651F3F" w:rsidRPr="0049729C" w:rsidRDefault="00651F3F" w:rsidP="0049729C">
      <w:pPr>
        <w:spacing w:after="120" w:line="276" w:lineRule="auto"/>
        <w:jc w:val="both"/>
        <w:rPr>
          <w:rFonts w:asciiTheme="minorHAnsi" w:hAnsiTheme="minorHAnsi"/>
          <w:b/>
          <w:bCs/>
          <w:sz w:val="24"/>
          <w:szCs w:val="24"/>
          <w:lang w:val="en-US"/>
        </w:rPr>
      </w:pPr>
      <w:r w:rsidRPr="0049729C">
        <w:rPr>
          <w:rFonts w:asciiTheme="minorHAnsi" w:hAnsiTheme="minorHAnsi"/>
          <w:b/>
          <w:bCs/>
          <w:sz w:val="24"/>
          <w:szCs w:val="24"/>
          <w:lang w:val="en-US"/>
        </w:rPr>
        <w:t>Recommendations regarding biomass management are provided in Chapter 3.</w:t>
      </w:r>
    </w:p>
    <w:p w14:paraId="537F2D33" w14:textId="7938E4D5" w:rsidR="00651F3F" w:rsidRPr="00D049D4" w:rsidRDefault="00651F3F" w:rsidP="0049729C">
      <w:pPr>
        <w:pStyle w:val="Heading2"/>
        <w:spacing w:line="276" w:lineRule="auto"/>
        <w:rPr>
          <w:lang w:val="en-US"/>
        </w:rPr>
      </w:pPr>
      <w:bookmarkStart w:id="12" w:name="_Toc239856695"/>
      <w:r w:rsidRPr="00D049D4">
        <w:rPr>
          <w:lang w:val="en-US"/>
        </w:rPr>
        <w:t>2.5. Garden lupin (</w:t>
      </w:r>
      <w:r w:rsidRPr="00D049D4">
        <w:rPr>
          <w:i/>
          <w:iCs/>
          <w:lang w:val="en-US"/>
        </w:rPr>
        <w:t>Lupinus polyphyllus</w:t>
      </w:r>
      <w:r w:rsidRPr="00D049D4">
        <w:rPr>
          <w:lang w:val="en-US"/>
        </w:rPr>
        <w:t>)</w:t>
      </w:r>
      <w:bookmarkEnd w:id="12"/>
    </w:p>
    <w:p w14:paraId="53425A0D" w14:textId="77777777" w:rsidR="00651F3F" w:rsidRPr="0049729C" w:rsidRDefault="00651F3F" w:rsidP="0049729C">
      <w:pPr>
        <w:spacing w:after="120" w:line="276" w:lineRule="auto"/>
        <w:jc w:val="both"/>
        <w:rPr>
          <w:rFonts w:asciiTheme="minorHAnsi" w:hAnsiTheme="minorHAnsi"/>
          <w:b/>
          <w:bCs/>
          <w:sz w:val="24"/>
          <w:szCs w:val="24"/>
          <w:lang w:val="en-US"/>
        </w:rPr>
      </w:pPr>
      <w:r w:rsidRPr="0049729C">
        <w:rPr>
          <w:rFonts w:asciiTheme="minorHAnsi" w:hAnsiTheme="minorHAnsi"/>
          <w:b/>
          <w:bCs/>
          <w:sz w:val="24"/>
          <w:szCs w:val="24"/>
          <w:lang w:val="en-US"/>
        </w:rPr>
        <w:t>Characteristics of the species</w:t>
      </w:r>
    </w:p>
    <w:p w14:paraId="33857BF1" w14:textId="77777777" w:rsidR="00651F3F" w:rsidRPr="0049729C" w:rsidRDefault="00651F3F" w:rsidP="0049729C">
      <w:pPr>
        <w:spacing w:after="120" w:line="276" w:lineRule="auto"/>
        <w:jc w:val="both"/>
        <w:rPr>
          <w:rFonts w:asciiTheme="minorHAnsi" w:hAnsiTheme="minorHAnsi"/>
          <w:sz w:val="24"/>
          <w:szCs w:val="24"/>
          <w:lang w:val="en-US"/>
        </w:rPr>
      </w:pPr>
      <w:r w:rsidRPr="0049729C">
        <w:rPr>
          <w:rFonts w:asciiTheme="minorHAnsi" w:hAnsiTheme="minorHAnsi"/>
          <w:sz w:val="24"/>
          <w:szCs w:val="24"/>
          <w:lang w:val="en-US"/>
        </w:rPr>
        <w:t xml:space="preserve">Garden lupin </w:t>
      </w:r>
      <w:r w:rsidRPr="0049729C">
        <w:rPr>
          <w:rFonts w:asciiTheme="minorHAnsi" w:hAnsiTheme="minorHAnsi"/>
          <w:i/>
          <w:iCs/>
          <w:sz w:val="24"/>
          <w:szCs w:val="24"/>
          <w:lang w:val="en-US"/>
        </w:rPr>
        <w:t xml:space="preserve">(Lupinus polyphyllus) </w:t>
      </w:r>
      <w:r w:rsidRPr="0049729C">
        <w:rPr>
          <w:rFonts w:asciiTheme="minorHAnsi" w:hAnsiTheme="minorHAnsi"/>
          <w:sz w:val="24"/>
          <w:szCs w:val="24"/>
          <w:lang w:val="en-US"/>
        </w:rPr>
        <w:t xml:space="preserve">is a perennial plant with ornamental flower clusters. This plant enriches the soil because it lives in symbiosis with bacteria that fix atmospheric nitrogen. It reproduces mainly by seed, but also through rhizomes (underground stems). Lupine prefers sunny locations and can grow even in poor soils. It affects native vegetation through competition, as well as by degrading growing conditions for plants adapted to grow in soils with low nitrogen content. </w:t>
      </w:r>
    </w:p>
    <w:p w14:paraId="22F09083" w14:textId="77777777" w:rsidR="00651F3F" w:rsidRPr="0049729C" w:rsidRDefault="00651F3F" w:rsidP="0049729C">
      <w:pPr>
        <w:spacing w:after="120" w:line="276" w:lineRule="auto"/>
        <w:jc w:val="both"/>
        <w:rPr>
          <w:rFonts w:asciiTheme="minorHAnsi" w:hAnsiTheme="minorHAnsi"/>
          <w:sz w:val="24"/>
          <w:szCs w:val="24"/>
          <w:lang w:val="en-US"/>
        </w:rPr>
      </w:pPr>
      <w:r w:rsidRPr="0049729C">
        <w:rPr>
          <w:rFonts w:asciiTheme="minorHAnsi" w:hAnsiTheme="minorHAnsi"/>
          <w:sz w:val="24"/>
          <w:szCs w:val="24"/>
          <w:lang w:val="en-US"/>
        </w:rPr>
        <w:t>In the wild, it spreads in open forests, along roadsides, and in meadows</w:t>
      </w:r>
      <w:r w:rsidRPr="0049729C">
        <w:rPr>
          <w:rStyle w:val="FootnoteReference"/>
          <w:rFonts w:asciiTheme="minorHAnsi" w:hAnsiTheme="minorHAnsi"/>
          <w:sz w:val="24"/>
          <w:szCs w:val="24"/>
        </w:rPr>
        <w:footnoteReference w:id="16"/>
      </w:r>
      <w:r w:rsidRPr="0049729C">
        <w:rPr>
          <w:rFonts w:asciiTheme="minorHAnsi" w:hAnsiTheme="minorHAnsi"/>
          <w:sz w:val="24"/>
          <w:szCs w:val="24"/>
          <w:lang w:val="en-US"/>
        </w:rPr>
        <w:t xml:space="preserve"> .</w:t>
      </w:r>
    </w:p>
    <w:p w14:paraId="48F7042F" w14:textId="5CC17E07" w:rsidR="00FB23F5" w:rsidRPr="00626277" w:rsidRDefault="009B1C06" w:rsidP="0049729C">
      <w:pPr>
        <w:spacing w:after="0"/>
        <w:jc w:val="center"/>
      </w:pPr>
      <w:r w:rsidRPr="00626277">
        <w:drawing>
          <wp:inline distT="0" distB="0" distL="0" distR="0" wp14:anchorId="060CCD21" wp14:editId="342624C2">
            <wp:extent cx="4499610" cy="3108960"/>
            <wp:effectExtent l="0" t="0" r="0" b="0"/>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499610" cy="3108960"/>
                    </a:xfrm>
                    <a:prstGeom prst="rect">
                      <a:avLst/>
                    </a:prstGeom>
                  </pic:spPr>
                </pic:pic>
              </a:graphicData>
            </a:graphic>
          </wp:inline>
        </w:drawing>
      </w:r>
    </w:p>
    <w:p w14:paraId="183F205A" w14:textId="77777777" w:rsidR="00651F3F" w:rsidRPr="0049729C" w:rsidRDefault="00651F3F" w:rsidP="0049729C">
      <w:pPr>
        <w:jc w:val="center"/>
        <w:rPr>
          <w:rFonts w:asciiTheme="minorHAnsi" w:hAnsiTheme="minorHAnsi"/>
          <w:sz w:val="18"/>
          <w:szCs w:val="18"/>
          <w:lang w:val="en-US"/>
        </w:rPr>
      </w:pPr>
      <w:r w:rsidRPr="0049729C">
        <w:rPr>
          <w:rFonts w:asciiTheme="minorHAnsi" w:hAnsiTheme="minorHAnsi"/>
          <w:sz w:val="18"/>
          <w:szCs w:val="18"/>
          <w:lang w:val="en-US"/>
        </w:rPr>
        <w:t>GDOŚ Guidelines 2016. Photo credit: B. Tokarska-Guzik</w:t>
      </w:r>
    </w:p>
    <w:p w14:paraId="48C8D198" w14:textId="66B84881" w:rsidR="00651F3F" w:rsidRPr="0049729C" w:rsidRDefault="00446F7D" w:rsidP="0049729C">
      <w:pPr>
        <w:spacing w:after="120" w:line="276" w:lineRule="auto"/>
        <w:jc w:val="both"/>
        <w:rPr>
          <w:rFonts w:asciiTheme="minorHAnsi" w:hAnsiTheme="minorHAnsi"/>
          <w:b/>
          <w:bCs/>
          <w:sz w:val="24"/>
          <w:szCs w:val="24"/>
        </w:rPr>
      </w:pPr>
      <w:bookmarkStart w:id="13" w:name="_Hlk163737122"/>
      <w:r w:rsidRPr="0049729C">
        <w:rPr>
          <w:rFonts w:asciiTheme="minorHAnsi" w:hAnsiTheme="minorHAnsi"/>
          <w:b/>
          <w:bCs/>
          <w:sz w:val="24"/>
          <w:szCs w:val="24"/>
        </w:rPr>
        <w:t>Eradication methods</w:t>
      </w:r>
    </w:p>
    <w:p w14:paraId="5B1D9733" w14:textId="77777777" w:rsidR="00651F3F" w:rsidRPr="0049729C" w:rsidRDefault="00651F3F" w:rsidP="0049729C">
      <w:pPr>
        <w:pStyle w:val="ListParagraph"/>
        <w:numPr>
          <w:ilvl w:val="0"/>
          <w:numId w:val="7"/>
        </w:numPr>
        <w:spacing w:after="120" w:line="276" w:lineRule="auto"/>
        <w:contextualSpacing w:val="0"/>
        <w:jc w:val="both"/>
        <w:rPr>
          <w:rFonts w:asciiTheme="minorHAnsi" w:hAnsiTheme="minorHAnsi"/>
          <w:sz w:val="24"/>
          <w:szCs w:val="24"/>
          <w:lang w:val="en-US"/>
        </w:rPr>
      </w:pPr>
      <w:r w:rsidRPr="0049729C">
        <w:rPr>
          <w:rFonts w:asciiTheme="minorHAnsi" w:hAnsiTheme="minorHAnsi"/>
          <w:sz w:val="24"/>
          <w:szCs w:val="24"/>
          <w:lang w:val="en-US"/>
        </w:rPr>
        <w:t>Regular mowing or digging up young plants</w:t>
      </w:r>
      <w:r w:rsidRPr="0049729C">
        <w:rPr>
          <w:rStyle w:val="FootnoteReference"/>
          <w:rFonts w:asciiTheme="minorHAnsi" w:hAnsiTheme="minorHAnsi"/>
          <w:sz w:val="24"/>
          <w:szCs w:val="24"/>
        </w:rPr>
        <w:footnoteReference w:id="17"/>
      </w:r>
      <w:r w:rsidRPr="0049729C">
        <w:rPr>
          <w:rFonts w:asciiTheme="minorHAnsi" w:hAnsiTheme="minorHAnsi"/>
          <w:sz w:val="24"/>
          <w:szCs w:val="24"/>
          <w:lang w:val="en-US"/>
        </w:rPr>
        <w:t xml:space="preserve"> ,</w:t>
      </w:r>
    </w:p>
    <w:bookmarkEnd w:id="13"/>
    <w:p w14:paraId="193E5759" w14:textId="77777777" w:rsidR="00651F3F" w:rsidRPr="0049729C" w:rsidRDefault="00651F3F" w:rsidP="0049729C">
      <w:pPr>
        <w:pStyle w:val="ListParagraph"/>
        <w:numPr>
          <w:ilvl w:val="0"/>
          <w:numId w:val="5"/>
        </w:numPr>
        <w:spacing w:after="120" w:line="276" w:lineRule="auto"/>
        <w:contextualSpacing w:val="0"/>
        <w:jc w:val="both"/>
        <w:rPr>
          <w:rFonts w:asciiTheme="minorHAnsi" w:hAnsiTheme="minorHAnsi"/>
          <w:sz w:val="24"/>
          <w:szCs w:val="24"/>
          <w:lang w:val="en-US"/>
        </w:rPr>
      </w:pPr>
      <w:r w:rsidRPr="0049729C">
        <w:rPr>
          <w:rFonts w:asciiTheme="minorHAnsi" w:hAnsiTheme="minorHAnsi"/>
          <w:sz w:val="24"/>
          <w:szCs w:val="24"/>
          <w:lang w:val="en-US"/>
        </w:rPr>
        <w:t>Manual removal can be used for small stands (</w:t>
      </w:r>
      <w:r w:rsidRPr="0049729C">
        <w:rPr>
          <w:rFonts w:asciiTheme="minorHAnsi" w:hAnsiTheme="minorHAnsi"/>
          <w:i/>
          <w:iCs/>
          <w:sz w:val="24"/>
          <w:szCs w:val="24"/>
          <w:lang w:val="en-US"/>
        </w:rPr>
        <w:t>Timmins and Mackenzie, 1995</w:t>
      </w:r>
      <w:r w:rsidRPr="0049729C">
        <w:rPr>
          <w:rFonts w:asciiTheme="minorHAnsi" w:hAnsiTheme="minorHAnsi"/>
          <w:sz w:val="24"/>
          <w:szCs w:val="24"/>
          <w:lang w:val="en-US"/>
        </w:rPr>
        <w:t>). Regular mowing or grazing before seed maturation is recommended for larger stands to reduce seed production (</w:t>
      </w:r>
      <w:r w:rsidRPr="0049729C">
        <w:rPr>
          <w:rFonts w:asciiTheme="minorHAnsi" w:hAnsiTheme="minorHAnsi"/>
          <w:i/>
          <w:iCs/>
          <w:sz w:val="24"/>
          <w:szCs w:val="24"/>
          <w:lang w:val="en-US"/>
        </w:rPr>
        <w:t>NOBANIS, 2015</w:t>
      </w:r>
      <w:r w:rsidRPr="0049729C">
        <w:rPr>
          <w:rFonts w:asciiTheme="minorHAnsi" w:hAnsiTheme="minorHAnsi"/>
          <w:sz w:val="24"/>
          <w:szCs w:val="24"/>
          <w:lang w:val="en-US"/>
        </w:rPr>
        <w:t xml:space="preserve">). However, mowing does not eradicate the plant. </w:t>
      </w:r>
      <w:r w:rsidRPr="0049729C">
        <w:rPr>
          <w:rFonts w:asciiTheme="minorHAnsi" w:hAnsiTheme="minorHAnsi"/>
          <w:i/>
          <w:iCs/>
          <w:sz w:val="24"/>
          <w:szCs w:val="24"/>
          <w:lang w:val="en-US"/>
        </w:rPr>
        <w:t xml:space="preserve">L. polyphyllus’s </w:t>
      </w:r>
      <w:r w:rsidRPr="0049729C">
        <w:rPr>
          <w:rFonts w:asciiTheme="minorHAnsi" w:hAnsiTheme="minorHAnsi"/>
          <w:sz w:val="24"/>
          <w:szCs w:val="24"/>
          <w:lang w:val="en-US"/>
        </w:rPr>
        <w:t>ability to reproduce vegetatively can hinder mechanical control methods (</w:t>
      </w:r>
      <w:r w:rsidRPr="0049729C">
        <w:rPr>
          <w:rFonts w:asciiTheme="minorHAnsi" w:hAnsiTheme="minorHAnsi"/>
          <w:i/>
          <w:iCs/>
          <w:sz w:val="24"/>
          <w:szCs w:val="24"/>
          <w:lang w:val="en-US"/>
        </w:rPr>
        <w:t>Pergl, 2015</w:t>
      </w:r>
      <w:r w:rsidRPr="0049729C">
        <w:rPr>
          <w:rFonts w:asciiTheme="minorHAnsi" w:hAnsiTheme="minorHAnsi"/>
          <w:sz w:val="24"/>
          <w:szCs w:val="24"/>
          <w:lang w:val="en-US"/>
        </w:rPr>
        <w:t>)</w:t>
      </w:r>
      <w:r w:rsidRPr="0049729C">
        <w:rPr>
          <w:rStyle w:val="FootnoteReference"/>
          <w:rFonts w:asciiTheme="minorHAnsi" w:hAnsiTheme="minorHAnsi"/>
          <w:sz w:val="24"/>
          <w:szCs w:val="24"/>
        </w:rPr>
        <w:footnoteReference w:id="18"/>
      </w:r>
      <w:r w:rsidRPr="0049729C">
        <w:rPr>
          <w:rFonts w:asciiTheme="minorHAnsi" w:hAnsiTheme="minorHAnsi"/>
          <w:sz w:val="24"/>
          <w:szCs w:val="24"/>
          <w:lang w:val="en-US"/>
        </w:rPr>
        <w:t xml:space="preserve"> .</w:t>
      </w:r>
    </w:p>
    <w:p w14:paraId="07A9A051" w14:textId="77777777" w:rsidR="00651F3F" w:rsidRPr="0049729C" w:rsidRDefault="00651F3F" w:rsidP="0049729C">
      <w:pPr>
        <w:pStyle w:val="ListParagraph"/>
        <w:numPr>
          <w:ilvl w:val="0"/>
          <w:numId w:val="5"/>
        </w:numPr>
        <w:spacing w:after="120" w:line="276" w:lineRule="auto"/>
        <w:contextualSpacing w:val="0"/>
        <w:jc w:val="both"/>
        <w:rPr>
          <w:rFonts w:asciiTheme="minorHAnsi" w:hAnsiTheme="minorHAnsi"/>
          <w:sz w:val="24"/>
          <w:szCs w:val="24"/>
          <w:lang w:val="en-US"/>
        </w:rPr>
      </w:pPr>
      <w:r w:rsidRPr="0049729C">
        <w:rPr>
          <w:rFonts w:asciiTheme="minorHAnsi" w:hAnsiTheme="minorHAnsi"/>
          <w:sz w:val="24"/>
          <w:szCs w:val="24"/>
          <w:lang w:val="en-US"/>
        </w:rPr>
        <w:t>Chemical control. Spraying with a herbicide such as glyphosate can be effective (</w:t>
      </w:r>
      <w:r w:rsidRPr="0049729C">
        <w:rPr>
          <w:rFonts w:asciiTheme="minorHAnsi" w:hAnsiTheme="minorHAnsi"/>
          <w:i/>
          <w:iCs/>
          <w:sz w:val="24"/>
          <w:szCs w:val="24"/>
          <w:lang w:val="en-US"/>
        </w:rPr>
        <w:t>NOBANIS, 2015; Anderson et al.</w:t>
      </w:r>
      <w:r w:rsidRPr="0049729C">
        <w:rPr>
          <w:rFonts w:asciiTheme="minorHAnsi" w:hAnsiTheme="minorHAnsi"/>
          <w:sz w:val="24"/>
          <w:szCs w:val="24"/>
          <w:lang w:val="en-US"/>
        </w:rPr>
        <w:t>,</w:t>
      </w:r>
      <w:r w:rsidRPr="0049729C">
        <w:rPr>
          <w:rFonts w:asciiTheme="minorHAnsi" w:hAnsiTheme="minorHAnsi"/>
          <w:i/>
          <w:iCs/>
          <w:sz w:val="24"/>
          <w:szCs w:val="24"/>
          <w:lang w:val="en-US"/>
        </w:rPr>
        <w:t xml:space="preserve"> 2014; USDA-NRCS, 2015</w:t>
      </w:r>
      <w:r w:rsidRPr="0049729C">
        <w:rPr>
          <w:rFonts w:asciiTheme="minorHAnsi" w:hAnsiTheme="minorHAnsi"/>
          <w:sz w:val="24"/>
          <w:szCs w:val="24"/>
          <w:lang w:val="en-US"/>
        </w:rPr>
        <w:t>)</w:t>
      </w:r>
      <w:r w:rsidRPr="0049729C">
        <w:rPr>
          <w:rStyle w:val="FootnoteReference"/>
          <w:rFonts w:asciiTheme="minorHAnsi" w:hAnsiTheme="minorHAnsi"/>
          <w:sz w:val="24"/>
          <w:szCs w:val="24"/>
          <w:lang w:val="en-US"/>
        </w:rPr>
        <w:t xml:space="preserve"> </w:t>
      </w:r>
      <w:r w:rsidRPr="0049729C">
        <w:rPr>
          <w:rStyle w:val="FootnoteReference"/>
          <w:rFonts w:asciiTheme="minorHAnsi" w:hAnsiTheme="minorHAnsi"/>
          <w:sz w:val="24"/>
          <w:szCs w:val="24"/>
        </w:rPr>
        <w:footnoteReference w:id="19"/>
      </w:r>
    </w:p>
    <w:p w14:paraId="1B1D1FBF" w14:textId="71390414" w:rsidR="00651F3F" w:rsidRPr="00D049D4" w:rsidRDefault="00651F3F" w:rsidP="0049729C">
      <w:pPr>
        <w:pStyle w:val="Heading2"/>
        <w:spacing w:line="276" w:lineRule="auto"/>
        <w:rPr>
          <w:lang w:val="en-US"/>
        </w:rPr>
      </w:pPr>
      <w:bookmarkStart w:id="14" w:name="_Toc239856696"/>
      <w:r w:rsidRPr="00D049D4">
        <w:rPr>
          <w:lang w:val="en-US"/>
        </w:rPr>
        <w:t>2.6. Wild cucumber (</w:t>
      </w:r>
      <w:r w:rsidRPr="00D049D4">
        <w:rPr>
          <w:i/>
          <w:iCs/>
          <w:lang w:val="en-US"/>
        </w:rPr>
        <w:t>Echinocystis lobata</w:t>
      </w:r>
      <w:r w:rsidRPr="00D049D4">
        <w:rPr>
          <w:lang w:val="en-US"/>
        </w:rPr>
        <w:t>)</w:t>
      </w:r>
      <w:bookmarkEnd w:id="14"/>
    </w:p>
    <w:p w14:paraId="009E73B8" w14:textId="77777777" w:rsidR="00651F3F" w:rsidRPr="0049729C" w:rsidRDefault="00651F3F" w:rsidP="001241A1">
      <w:pPr>
        <w:spacing w:after="120" w:line="276" w:lineRule="auto"/>
        <w:jc w:val="both"/>
        <w:rPr>
          <w:rFonts w:asciiTheme="minorHAnsi" w:hAnsiTheme="minorHAnsi"/>
          <w:b/>
          <w:bCs/>
          <w:sz w:val="24"/>
          <w:szCs w:val="24"/>
          <w:lang w:val="en-US"/>
        </w:rPr>
      </w:pPr>
      <w:r w:rsidRPr="0049729C">
        <w:rPr>
          <w:rFonts w:asciiTheme="minorHAnsi" w:hAnsiTheme="minorHAnsi"/>
          <w:b/>
          <w:bCs/>
          <w:sz w:val="24"/>
          <w:szCs w:val="24"/>
          <w:lang w:val="en-US"/>
        </w:rPr>
        <w:t>Characteristics of the species</w:t>
      </w:r>
    </w:p>
    <w:p w14:paraId="59CA11F7" w14:textId="77777777" w:rsidR="00651F3F" w:rsidRPr="0049729C" w:rsidRDefault="00651F3F" w:rsidP="001241A1">
      <w:pPr>
        <w:spacing w:after="120" w:line="276" w:lineRule="auto"/>
        <w:jc w:val="both"/>
        <w:rPr>
          <w:rFonts w:asciiTheme="minorHAnsi" w:hAnsiTheme="minorHAnsi"/>
          <w:sz w:val="24"/>
          <w:szCs w:val="24"/>
          <w:lang w:val="en-US"/>
        </w:rPr>
      </w:pPr>
      <w:r w:rsidRPr="0049729C">
        <w:rPr>
          <w:rFonts w:asciiTheme="minorHAnsi" w:hAnsiTheme="minorHAnsi"/>
          <w:sz w:val="24"/>
          <w:szCs w:val="24"/>
          <w:lang w:val="en-US"/>
        </w:rPr>
        <w:t>Wild cucumber (</w:t>
      </w:r>
      <w:r w:rsidRPr="0049729C">
        <w:rPr>
          <w:rFonts w:asciiTheme="minorHAnsi" w:hAnsiTheme="minorHAnsi"/>
          <w:i/>
          <w:iCs/>
          <w:sz w:val="24"/>
          <w:szCs w:val="24"/>
          <w:lang w:val="en-US"/>
        </w:rPr>
        <w:t xml:space="preserve">Echinocystis lobata) </w:t>
      </w:r>
      <w:r w:rsidRPr="0049729C">
        <w:rPr>
          <w:rFonts w:asciiTheme="minorHAnsi" w:hAnsiTheme="minorHAnsi"/>
          <w:sz w:val="24"/>
          <w:szCs w:val="24"/>
          <w:lang w:val="en-US"/>
        </w:rPr>
        <w:t>is an annual plant with a climbing, twining stem that grows up to several meters in length and is equipped with numerous branched tendrils of leaf origin. Thanks to these tendrils, the plant can efficiently climb other plants or artificial supports, such as fences, poles, etc.</w:t>
      </w:r>
    </w:p>
    <w:p w14:paraId="38200C72" w14:textId="77777777" w:rsidR="00651F3F" w:rsidRPr="0049729C" w:rsidRDefault="00651F3F" w:rsidP="001241A1">
      <w:pPr>
        <w:spacing w:after="120" w:line="276" w:lineRule="auto"/>
        <w:jc w:val="both"/>
        <w:rPr>
          <w:rFonts w:asciiTheme="minorHAnsi" w:hAnsiTheme="minorHAnsi"/>
          <w:sz w:val="24"/>
          <w:szCs w:val="24"/>
          <w:lang w:val="en-US"/>
        </w:rPr>
      </w:pPr>
      <w:r w:rsidRPr="0049729C">
        <w:rPr>
          <w:rFonts w:asciiTheme="minorHAnsi" w:hAnsiTheme="minorHAnsi"/>
          <w:sz w:val="24"/>
          <w:szCs w:val="24"/>
          <w:lang w:val="en-US"/>
        </w:rPr>
        <w:t>It can be found along fences, hedges, roadsides, near landfills, in community gardens, cemeteries, on fallow land, and along field boundaries. From all these places, it easily spreads further, colonizing the banks of drainage canals, rivers, lakes, wet meadows, and the edges of riparian forests / floodplain forests.</w:t>
      </w:r>
    </w:p>
    <w:p w14:paraId="408A3CF1" w14:textId="77777777" w:rsidR="00651F3F" w:rsidRPr="0049729C" w:rsidRDefault="00651F3F" w:rsidP="001241A1">
      <w:pPr>
        <w:spacing w:after="120" w:line="276" w:lineRule="auto"/>
        <w:jc w:val="both"/>
        <w:rPr>
          <w:rFonts w:asciiTheme="minorHAnsi" w:hAnsiTheme="minorHAnsi"/>
          <w:sz w:val="24"/>
          <w:szCs w:val="24"/>
          <w:lang w:val="en-US"/>
        </w:rPr>
      </w:pPr>
      <w:r w:rsidRPr="0049729C">
        <w:rPr>
          <w:rFonts w:asciiTheme="minorHAnsi" w:hAnsiTheme="minorHAnsi"/>
          <w:sz w:val="24"/>
          <w:szCs w:val="24"/>
          <w:lang w:val="en-US"/>
        </w:rPr>
        <w:t>The fruit of the spiny restharrow is a fleshy capsule that, when ripe, splits open at the top and releases relatively large seeds.</w:t>
      </w:r>
    </w:p>
    <w:p w14:paraId="1250C6FD" w14:textId="77777777" w:rsidR="00651F3F" w:rsidRPr="0049729C" w:rsidRDefault="00651F3F" w:rsidP="001241A1">
      <w:pPr>
        <w:spacing w:after="120" w:line="276" w:lineRule="auto"/>
        <w:jc w:val="both"/>
        <w:rPr>
          <w:rFonts w:asciiTheme="minorHAnsi" w:hAnsiTheme="minorHAnsi"/>
          <w:sz w:val="24"/>
          <w:szCs w:val="24"/>
          <w:lang w:val="en-US"/>
        </w:rPr>
      </w:pPr>
      <w:r w:rsidRPr="0049729C">
        <w:rPr>
          <w:rFonts w:asciiTheme="minorHAnsi" w:hAnsiTheme="minorHAnsi"/>
          <w:sz w:val="24"/>
          <w:szCs w:val="24"/>
          <w:lang w:val="en-US"/>
        </w:rPr>
        <w:t>The wild cucumber belongs to the group of so-called “transformers,” that is, plants that transform the communities they have colonized.</w:t>
      </w:r>
    </w:p>
    <w:p w14:paraId="3FEE9ECB" w14:textId="77777777" w:rsidR="00651F3F" w:rsidRPr="0049729C" w:rsidRDefault="00651F3F" w:rsidP="001241A1">
      <w:pPr>
        <w:spacing w:after="120" w:line="276" w:lineRule="auto"/>
        <w:jc w:val="both"/>
        <w:rPr>
          <w:rFonts w:asciiTheme="minorHAnsi" w:hAnsiTheme="minorHAnsi"/>
          <w:sz w:val="24"/>
          <w:szCs w:val="24"/>
          <w:lang w:val="en-US"/>
        </w:rPr>
      </w:pPr>
      <w:r w:rsidRPr="0049729C">
        <w:rPr>
          <w:rFonts w:asciiTheme="minorHAnsi" w:hAnsiTheme="minorHAnsi"/>
          <w:sz w:val="24"/>
          <w:szCs w:val="24"/>
          <w:lang w:val="en-US"/>
        </w:rPr>
        <w:t xml:space="preserve">The seeds remain viable for over a year and, once dried, are easily dispersed by wind or water. This is particularly dangerous when the spiny restharrow appears near reservoirs and watercourses. </w:t>
      </w:r>
    </w:p>
    <w:p w14:paraId="404EA524" w14:textId="6F229427" w:rsidR="00651F3F" w:rsidRPr="0049729C" w:rsidRDefault="00651F3F" w:rsidP="001241A1">
      <w:pPr>
        <w:spacing w:after="120" w:line="276" w:lineRule="auto"/>
        <w:jc w:val="both"/>
        <w:rPr>
          <w:rFonts w:asciiTheme="minorHAnsi" w:hAnsiTheme="minorHAnsi"/>
          <w:sz w:val="24"/>
          <w:szCs w:val="24"/>
          <w:lang w:val="en-US"/>
        </w:rPr>
      </w:pPr>
      <w:r w:rsidRPr="0049729C">
        <w:rPr>
          <w:rFonts w:asciiTheme="minorHAnsi" w:hAnsiTheme="minorHAnsi"/>
          <w:sz w:val="24"/>
          <w:szCs w:val="24"/>
          <w:lang w:val="en-US"/>
        </w:rPr>
        <w:t>The spiny restharrow is particularly easy to spot during its flowering period (July through September), when it produces numerous white-green flowers—male flowers clustered in multi-flowered panicles and female flowers growing singly or in pairs in the axils of the same leaves as the male inflorescences</w:t>
      </w:r>
      <w:r w:rsidRPr="0049729C">
        <w:rPr>
          <w:rStyle w:val="FootnoteReference"/>
          <w:rFonts w:asciiTheme="minorHAnsi" w:hAnsiTheme="minorHAnsi"/>
          <w:sz w:val="24"/>
          <w:szCs w:val="24"/>
        </w:rPr>
        <w:footnoteReference w:id="20"/>
      </w:r>
      <w:r w:rsidRPr="0049729C">
        <w:rPr>
          <w:rFonts w:asciiTheme="minorHAnsi" w:hAnsiTheme="minorHAnsi"/>
          <w:sz w:val="24"/>
          <w:szCs w:val="24"/>
          <w:lang w:val="en-US"/>
        </w:rPr>
        <w:t>.</w:t>
      </w:r>
    </w:p>
    <w:p w14:paraId="25966D21" w14:textId="3AEFE0A3" w:rsidR="009B1C06" w:rsidRPr="00D049D4" w:rsidRDefault="009B1C06" w:rsidP="001241A1">
      <w:pPr>
        <w:keepNext/>
        <w:jc w:val="center"/>
        <w:rPr>
          <w:lang w:val="en-US"/>
        </w:rPr>
      </w:pPr>
      <w:r w:rsidRPr="00626277">
        <w:drawing>
          <wp:inline distT="0" distB="0" distL="0" distR="0" wp14:anchorId="16E562F5" wp14:editId="79120DEB">
            <wp:extent cx="4499610" cy="3787775"/>
            <wp:effectExtent l="0" t="0" r="0" b="317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499610" cy="3787775"/>
                    </a:xfrm>
                    <a:prstGeom prst="rect">
                      <a:avLst/>
                    </a:prstGeom>
                  </pic:spPr>
                </pic:pic>
              </a:graphicData>
            </a:graphic>
          </wp:inline>
        </w:drawing>
      </w:r>
      <w:r w:rsidRPr="00626277">
        <w:drawing>
          <wp:inline distT="0" distB="0" distL="0" distR="0" wp14:anchorId="44ACE40F" wp14:editId="37B5FEAC">
            <wp:extent cx="3099460" cy="4531532"/>
            <wp:effectExtent l="0" t="0" r="5715" b="254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101284" cy="4534199"/>
                    </a:xfrm>
                    <a:prstGeom prst="rect">
                      <a:avLst/>
                    </a:prstGeom>
                  </pic:spPr>
                </pic:pic>
              </a:graphicData>
            </a:graphic>
          </wp:inline>
        </w:drawing>
      </w:r>
      <w:r w:rsidRPr="00D049D4">
        <w:rPr>
          <w:lang w:val="en-US"/>
        </w:rPr>
        <w:t xml:space="preserve"> </w:t>
      </w:r>
      <w:r w:rsidRPr="00626277">
        <w:drawing>
          <wp:inline distT="0" distB="0" distL="0" distR="0" wp14:anchorId="5BF7E38D" wp14:editId="4FE1749C">
            <wp:extent cx="4499610" cy="3441700"/>
            <wp:effectExtent l="0" t="0" r="0" b="635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499610" cy="3441700"/>
                    </a:xfrm>
                    <a:prstGeom prst="rect">
                      <a:avLst/>
                    </a:prstGeom>
                  </pic:spPr>
                </pic:pic>
              </a:graphicData>
            </a:graphic>
          </wp:inline>
        </w:drawing>
      </w:r>
    </w:p>
    <w:p w14:paraId="4F89710D" w14:textId="2E560613" w:rsidR="00651F3F" w:rsidRPr="001241A1" w:rsidRDefault="00446F7D" w:rsidP="001241A1">
      <w:pPr>
        <w:spacing w:after="120" w:line="276" w:lineRule="auto"/>
        <w:jc w:val="both"/>
        <w:rPr>
          <w:rFonts w:asciiTheme="minorHAnsi" w:hAnsiTheme="minorHAnsi"/>
          <w:b/>
          <w:bCs/>
          <w:sz w:val="24"/>
          <w:szCs w:val="24"/>
          <w:lang w:val="en-US"/>
        </w:rPr>
      </w:pPr>
      <w:r w:rsidRPr="001241A1">
        <w:rPr>
          <w:rFonts w:asciiTheme="minorHAnsi" w:hAnsiTheme="minorHAnsi"/>
          <w:b/>
          <w:bCs/>
          <w:sz w:val="24"/>
          <w:szCs w:val="24"/>
          <w:lang w:val="en-US"/>
        </w:rPr>
        <w:t>Eradication methods</w:t>
      </w:r>
    </w:p>
    <w:p w14:paraId="66C2D417" w14:textId="2CA6D275" w:rsidR="00651F3F" w:rsidRPr="001241A1" w:rsidRDefault="00651F3F" w:rsidP="001241A1">
      <w:pPr>
        <w:spacing w:after="120" w:line="276" w:lineRule="auto"/>
        <w:jc w:val="both"/>
        <w:rPr>
          <w:rFonts w:asciiTheme="minorHAnsi" w:hAnsiTheme="minorHAnsi"/>
          <w:sz w:val="24"/>
          <w:szCs w:val="24"/>
          <w:lang w:val="en-US"/>
        </w:rPr>
      </w:pPr>
      <w:r w:rsidRPr="001241A1">
        <w:rPr>
          <w:rFonts w:asciiTheme="minorHAnsi" w:hAnsiTheme="minorHAnsi"/>
          <w:sz w:val="24"/>
          <w:szCs w:val="24"/>
          <w:lang w:val="en-US"/>
        </w:rPr>
        <w:t xml:space="preserve">E. lobata is also sometimes unintentionally introduced and spread by humans. Seeds can be carried along with transported soil, especially during work related to riverbank stabilization or the modernization of flood control levees. According to the CABI Compendium, “To date, no large-scale, targeted efforts to control </w:t>
      </w:r>
      <w:r w:rsidRPr="001241A1">
        <w:rPr>
          <w:rFonts w:asciiTheme="minorHAnsi" w:hAnsiTheme="minorHAnsi"/>
          <w:i/>
          <w:iCs/>
          <w:sz w:val="24"/>
          <w:szCs w:val="24"/>
          <w:lang w:val="en-US"/>
        </w:rPr>
        <w:t xml:space="preserve">E. lobata </w:t>
      </w:r>
      <w:r w:rsidRPr="001241A1">
        <w:rPr>
          <w:rFonts w:asciiTheme="minorHAnsi" w:hAnsiTheme="minorHAnsi"/>
          <w:sz w:val="24"/>
          <w:szCs w:val="24"/>
          <w:lang w:val="en-US"/>
        </w:rPr>
        <w:t>have been undertaken. Indirectly, this plant may be removed during control measures targeting other invasive species, such as knotweed (</w:t>
      </w:r>
      <w:r w:rsidR="000D5C18" w:rsidRPr="001241A1">
        <w:rPr>
          <w:rFonts w:asciiTheme="minorHAnsi" w:hAnsiTheme="minorHAnsi"/>
          <w:i/>
          <w:iCs/>
          <w:sz w:val="24"/>
          <w:szCs w:val="24"/>
          <w:lang w:val="en-US"/>
        </w:rPr>
        <w:t xml:space="preserve">Reynoutria </w:t>
      </w:r>
      <w:r w:rsidRPr="001241A1">
        <w:rPr>
          <w:rFonts w:asciiTheme="minorHAnsi" w:hAnsiTheme="minorHAnsi"/>
          <w:sz w:val="24"/>
          <w:szCs w:val="24"/>
          <w:lang w:val="en-US"/>
        </w:rPr>
        <w:t>spp.) along waterways. Given the nature of such natural habitats, measures to protect ecologically valuable areas should involve pulling up, cutting down, or mowing wild-growing wild cucumber (</w:t>
      </w:r>
      <w:r w:rsidRPr="001241A1">
        <w:rPr>
          <w:rFonts w:asciiTheme="minorHAnsi" w:hAnsiTheme="minorHAnsi"/>
          <w:i/>
          <w:iCs/>
          <w:sz w:val="24"/>
          <w:szCs w:val="24"/>
          <w:lang w:val="en-US"/>
        </w:rPr>
        <w:t>Dajdok and Kącki, 2009</w:t>
      </w:r>
      <w:r w:rsidRPr="001241A1">
        <w:rPr>
          <w:rFonts w:asciiTheme="minorHAnsi" w:hAnsiTheme="minorHAnsi"/>
          <w:sz w:val="24"/>
          <w:szCs w:val="24"/>
          <w:lang w:val="en-US"/>
        </w:rPr>
        <w:t>). The use of chemical agents must be adapted to local conditions and regulations (in many countries, the use of chemicals such as herbicides near water bodies is prohibited)</w:t>
      </w:r>
      <w:r w:rsidRPr="001241A1">
        <w:rPr>
          <w:rStyle w:val="FootnoteReference"/>
          <w:rFonts w:asciiTheme="minorHAnsi" w:hAnsiTheme="minorHAnsi"/>
          <w:sz w:val="24"/>
          <w:szCs w:val="24"/>
        </w:rPr>
        <w:footnoteReference w:id="21"/>
      </w:r>
      <w:r w:rsidRPr="001241A1">
        <w:rPr>
          <w:rFonts w:asciiTheme="minorHAnsi" w:hAnsiTheme="minorHAnsi"/>
          <w:sz w:val="24"/>
          <w:szCs w:val="24"/>
          <w:lang w:val="en-US"/>
        </w:rPr>
        <w:t xml:space="preserve"> ”. </w:t>
      </w:r>
    </w:p>
    <w:p w14:paraId="5B4F646C" w14:textId="77777777" w:rsidR="00651F3F" w:rsidRPr="001241A1" w:rsidRDefault="00651F3F" w:rsidP="001241A1">
      <w:pPr>
        <w:spacing w:after="120" w:line="276" w:lineRule="auto"/>
        <w:jc w:val="both"/>
        <w:rPr>
          <w:rFonts w:asciiTheme="minorHAnsi" w:hAnsiTheme="minorHAnsi"/>
          <w:sz w:val="24"/>
          <w:szCs w:val="24"/>
          <w:lang w:val="en-US"/>
        </w:rPr>
      </w:pPr>
      <w:r w:rsidRPr="001241A1">
        <w:rPr>
          <w:rFonts w:asciiTheme="minorHAnsi" w:hAnsiTheme="minorHAnsi"/>
          <w:sz w:val="24"/>
          <w:szCs w:val="24"/>
          <w:lang w:val="en-US"/>
        </w:rPr>
        <w:t>Polish sources mention the following methods for controlling the species:</w:t>
      </w:r>
    </w:p>
    <w:p w14:paraId="0FCC7CEC" w14:textId="77777777" w:rsidR="00651F3F" w:rsidRPr="001241A1" w:rsidRDefault="00651F3F" w:rsidP="001241A1">
      <w:pPr>
        <w:pStyle w:val="ListParagraph"/>
        <w:numPr>
          <w:ilvl w:val="0"/>
          <w:numId w:val="8"/>
        </w:numPr>
        <w:spacing w:after="120" w:line="276" w:lineRule="auto"/>
        <w:contextualSpacing w:val="0"/>
        <w:jc w:val="both"/>
        <w:rPr>
          <w:rFonts w:asciiTheme="minorHAnsi" w:hAnsiTheme="minorHAnsi"/>
          <w:sz w:val="24"/>
          <w:szCs w:val="24"/>
          <w:lang w:val="en-US"/>
        </w:rPr>
      </w:pPr>
      <w:r w:rsidRPr="001241A1">
        <w:rPr>
          <w:rFonts w:asciiTheme="minorHAnsi" w:hAnsiTheme="minorHAnsi"/>
          <w:sz w:val="24"/>
          <w:szCs w:val="24"/>
          <w:lang w:val="en-US"/>
        </w:rPr>
        <w:t>Controlling thistle generally involves mechanical removal: pulling up or mowing the plants before they produce seeds. The best results are achieved by pulling up seedlings in the spring (they begin to sprout in late April or early May). They are easy to identify and can be effectively eliminated.</w:t>
      </w:r>
    </w:p>
    <w:p w14:paraId="32E11C9D" w14:textId="77777777" w:rsidR="00651F3F" w:rsidRPr="001241A1" w:rsidRDefault="00651F3F" w:rsidP="001241A1">
      <w:pPr>
        <w:pStyle w:val="ListParagraph"/>
        <w:numPr>
          <w:ilvl w:val="0"/>
          <w:numId w:val="8"/>
        </w:numPr>
        <w:spacing w:after="120" w:line="276" w:lineRule="auto"/>
        <w:contextualSpacing w:val="0"/>
        <w:jc w:val="both"/>
        <w:rPr>
          <w:rFonts w:asciiTheme="minorHAnsi" w:hAnsiTheme="minorHAnsi"/>
          <w:sz w:val="24"/>
          <w:szCs w:val="24"/>
          <w:lang w:val="en-US"/>
        </w:rPr>
      </w:pPr>
      <w:r w:rsidRPr="001241A1">
        <w:rPr>
          <w:rFonts w:asciiTheme="minorHAnsi" w:hAnsiTheme="minorHAnsi"/>
          <w:sz w:val="24"/>
          <w:szCs w:val="24"/>
          <w:lang w:val="en-US"/>
        </w:rPr>
        <w:t>These treatments should be repeated annually for several seasons. Mowing or pulling up the plants during fruiting must be combined with proper disposal (e.g., burning in an authorized location). Chemical methods are also effective, such as spraying or applying preparations containing glyphosate to the leaves</w:t>
      </w:r>
      <w:r w:rsidRPr="001241A1">
        <w:rPr>
          <w:rStyle w:val="FootnoteReference"/>
          <w:rFonts w:asciiTheme="minorHAnsi" w:hAnsiTheme="minorHAnsi"/>
          <w:sz w:val="24"/>
          <w:szCs w:val="24"/>
        </w:rPr>
        <w:footnoteReference w:id="22"/>
      </w:r>
      <w:r w:rsidRPr="001241A1">
        <w:rPr>
          <w:rFonts w:asciiTheme="minorHAnsi" w:hAnsiTheme="minorHAnsi"/>
          <w:sz w:val="24"/>
          <w:szCs w:val="24"/>
          <w:lang w:val="en-US"/>
        </w:rPr>
        <w:t xml:space="preserve"> .</w:t>
      </w:r>
    </w:p>
    <w:p w14:paraId="01137354" w14:textId="77777777" w:rsidR="00651F3F" w:rsidRPr="001241A1" w:rsidRDefault="00651F3F" w:rsidP="001241A1">
      <w:pPr>
        <w:pStyle w:val="ListParagraph"/>
        <w:numPr>
          <w:ilvl w:val="0"/>
          <w:numId w:val="8"/>
        </w:numPr>
        <w:spacing w:after="120" w:line="276" w:lineRule="auto"/>
        <w:contextualSpacing w:val="0"/>
        <w:jc w:val="both"/>
        <w:rPr>
          <w:rFonts w:asciiTheme="minorHAnsi" w:hAnsiTheme="minorHAnsi"/>
          <w:sz w:val="24"/>
          <w:szCs w:val="24"/>
          <w:lang w:val="en-US"/>
        </w:rPr>
      </w:pPr>
      <w:r w:rsidRPr="001241A1">
        <w:rPr>
          <w:rFonts w:asciiTheme="minorHAnsi" w:hAnsiTheme="minorHAnsi"/>
          <w:sz w:val="24"/>
          <w:szCs w:val="24"/>
          <w:lang w:val="en-US"/>
        </w:rPr>
        <w:t>The compendium of methods for controlling Wild cucumber published by the General Directorate for Environmental Protection (GDOŚ) in 2022</w:t>
      </w:r>
      <w:r w:rsidRPr="001241A1">
        <w:rPr>
          <w:rStyle w:val="FootnoteReference"/>
          <w:rFonts w:asciiTheme="minorHAnsi" w:hAnsiTheme="minorHAnsi"/>
          <w:sz w:val="24"/>
          <w:szCs w:val="24"/>
        </w:rPr>
        <w:footnoteReference w:id="23"/>
      </w:r>
      <w:r w:rsidRPr="001241A1">
        <w:rPr>
          <w:rFonts w:asciiTheme="minorHAnsi" w:hAnsiTheme="minorHAnsi"/>
          <w:sz w:val="24"/>
          <w:szCs w:val="24"/>
          <w:lang w:val="en-US"/>
        </w:rPr>
        <w:t xml:space="preserve"> recommends methods such as pulling before flowering, pulling during flowering, cutting during flowering, and pulling and cutting before flowering. The compendium provides a detailed description of each method, including the characteristics of the areas where a particular method should be preferred. It also compares the methods, taking into account organizational issues (how the activity is carried out, duration, safety for people), economic issues (labor intensity, implementation costs), and environmental issues (impact on the natural environment and ecosystem).</w:t>
      </w:r>
    </w:p>
    <w:p w14:paraId="623C0B25" w14:textId="1A467A21" w:rsidR="00651F3F" w:rsidRDefault="00651F3F" w:rsidP="001241A1">
      <w:pPr>
        <w:spacing w:after="120" w:line="276" w:lineRule="auto"/>
        <w:jc w:val="both"/>
        <w:rPr>
          <w:rFonts w:asciiTheme="minorHAnsi" w:hAnsiTheme="minorHAnsi"/>
          <w:b/>
          <w:bCs/>
          <w:sz w:val="24"/>
          <w:szCs w:val="24"/>
          <w:lang w:val="en-US"/>
        </w:rPr>
      </w:pPr>
      <w:r w:rsidRPr="001241A1">
        <w:rPr>
          <w:rFonts w:asciiTheme="minorHAnsi" w:hAnsiTheme="minorHAnsi"/>
          <w:b/>
          <w:bCs/>
          <w:sz w:val="24"/>
          <w:szCs w:val="24"/>
          <w:lang w:val="en-US"/>
        </w:rPr>
        <w:t xml:space="preserve">Recommendations </w:t>
      </w:r>
      <w:r w:rsidR="000D5C18" w:rsidRPr="001241A1">
        <w:rPr>
          <w:rFonts w:asciiTheme="minorHAnsi" w:hAnsiTheme="minorHAnsi"/>
          <w:b/>
          <w:bCs/>
          <w:sz w:val="24"/>
          <w:szCs w:val="24"/>
          <w:lang w:val="en-US"/>
        </w:rPr>
        <w:t xml:space="preserve">regarding </w:t>
      </w:r>
      <w:r w:rsidRPr="001241A1">
        <w:rPr>
          <w:rFonts w:asciiTheme="minorHAnsi" w:hAnsiTheme="minorHAnsi"/>
          <w:b/>
          <w:bCs/>
          <w:sz w:val="24"/>
          <w:szCs w:val="24"/>
          <w:lang w:val="en-US"/>
        </w:rPr>
        <w:t>biomass management are provided in Chapter 3.</w:t>
      </w:r>
    </w:p>
    <w:p w14:paraId="505E2400" w14:textId="77777777" w:rsidR="0089097C" w:rsidRDefault="0089097C" w:rsidP="001241A1">
      <w:pPr>
        <w:spacing w:after="120" w:line="276" w:lineRule="auto"/>
        <w:jc w:val="both"/>
        <w:rPr>
          <w:rFonts w:asciiTheme="minorHAnsi" w:hAnsiTheme="minorHAnsi"/>
          <w:b/>
          <w:bCs/>
          <w:sz w:val="24"/>
          <w:szCs w:val="24"/>
          <w:lang w:val="en-US"/>
        </w:rPr>
      </w:pPr>
    </w:p>
    <w:p w14:paraId="4C66EFF8" w14:textId="77777777" w:rsidR="0089097C" w:rsidRPr="001241A1" w:rsidRDefault="0089097C" w:rsidP="001241A1">
      <w:pPr>
        <w:spacing w:after="120" w:line="276" w:lineRule="auto"/>
        <w:jc w:val="both"/>
        <w:rPr>
          <w:rFonts w:asciiTheme="minorHAnsi" w:hAnsiTheme="minorHAnsi"/>
          <w:b/>
          <w:bCs/>
          <w:sz w:val="24"/>
          <w:szCs w:val="24"/>
          <w:lang w:val="en-US"/>
        </w:rPr>
      </w:pPr>
    </w:p>
    <w:p w14:paraId="49865415" w14:textId="0E0FD340" w:rsidR="00651F3F" w:rsidRPr="00D049D4" w:rsidRDefault="000D5C18" w:rsidP="001241A1">
      <w:pPr>
        <w:pStyle w:val="Heading2"/>
        <w:jc w:val="both"/>
        <w:rPr>
          <w:lang w:val="en-US"/>
        </w:rPr>
      </w:pPr>
      <w:bookmarkStart w:id="16" w:name="_Toc239856697"/>
      <w:r w:rsidRPr="00D049D4">
        <w:rPr>
          <w:lang w:val="en-US"/>
        </w:rPr>
        <w:t xml:space="preserve">2.7. </w:t>
      </w:r>
      <w:r w:rsidR="0019511F" w:rsidRPr="00D049D4">
        <w:rPr>
          <w:lang w:val="en-US"/>
        </w:rPr>
        <w:t xml:space="preserve">Redroot pigweed </w:t>
      </w:r>
      <w:r w:rsidRPr="00D049D4">
        <w:rPr>
          <w:lang w:val="en-US"/>
        </w:rPr>
        <w:t>(</w:t>
      </w:r>
      <w:r w:rsidRPr="00D049D4">
        <w:rPr>
          <w:i/>
          <w:iCs/>
          <w:lang w:val="en-US"/>
        </w:rPr>
        <w:t>Amaranthus retroflexus</w:t>
      </w:r>
      <w:r w:rsidRPr="00D049D4">
        <w:rPr>
          <w:lang w:val="en-US"/>
        </w:rPr>
        <w:t>)</w:t>
      </w:r>
      <w:bookmarkEnd w:id="16"/>
      <w:r w:rsidRPr="00D049D4">
        <w:rPr>
          <w:lang w:val="en-US"/>
        </w:rPr>
        <w:t xml:space="preserve"> </w:t>
      </w:r>
    </w:p>
    <w:p w14:paraId="50960F19" w14:textId="77777777" w:rsidR="000D5C18" w:rsidRPr="00B726A5" w:rsidRDefault="000D5C18" w:rsidP="00B726A5">
      <w:pPr>
        <w:spacing w:after="120" w:line="276" w:lineRule="auto"/>
        <w:jc w:val="both"/>
        <w:rPr>
          <w:rFonts w:asciiTheme="minorHAnsi" w:hAnsiTheme="minorHAnsi"/>
          <w:b/>
          <w:bCs/>
          <w:sz w:val="24"/>
          <w:szCs w:val="24"/>
          <w:lang w:val="en-US"/>
        </w:rPr>
      </w:pPr>
      <w:r w:rsidRPr="00B726A5">
        <w:rPr>
          <w:rFonts w:asciiTheme="minorHAnsi" w:hAnsiTheme="minorHAnsi"/>
          <w:b/>
          <w:bCs/>
          <w:sz w:val="24"/>
          <w:szCs w:val="24"/>
          <w:lang w:val="en-US"/>
        </w:rPr>
        <w:t>Characteristics of the Species</w:t>
      </w:r>
    </w:p>
    <w:p w14:paraId="27CE2433" w14:textId="6B89800C" w:rsidR="000D5C18" w:rsidRPr="00B726A5" w:rsidRDefault="0019511F" w:rsidP="00B726A5">
      <w:pPr>
        <w:spacing w:after="120" w:line="276" w:lineRule="auto"/>
        <w:jc w:val="both"/>
        <w:rPr>
          <w:rFonts w:asciiTheme="minorHAnsi" w:hAnsiTheme="minorHAnsi"/>
          <w:sz w:val="24"/>
          <w:szCs w:val="24"/>
          <w:lang w:val="en-US"/>
        </w:rPr>
      </w:pPr>
      <w:r w:rsidRPr="00B726A5">
        <w:rPr>
          <w:rFonts w:asciiTheme="minorHAnsi" w:hAnsiTheme="minorHAnsi"/>
          <w:sz w:val="24"/>
          <w:szCs w:val="24"/>
          <w:lang w:val="en-US"/>
        </w:rPr>
        <w:t xml:space="preserve">Redroot pigweed </w:t>
      </w:r>
      <w:r w:rsidR="000D5C18" w:rsidRPr="00B726A5">
        <w:rPr>
          <w:rFonts w:asciiTheme="minorHAnsi" w:hAnsiTheme="minorHAnsi"/>
          <w:sz w:val="24"/>
          <w:szCs w:val="24"/>
          <w:lang w:val="en-US"/>
        </w:rPr>
        <w:t>(</w:t>
      </w:r>
      <w:r w:rsidR="000D5C18" w:rsidRPr="00B726A5">
        <w:rPr>
          <w:rFonts w:asciiTheme="minorHAnsi" w:hAnsiTheme="minorHAnsi"/>
          <w:i/>
          <w:iCs/>
          <w:sz w:val="24"/>
          <w:szCs w:val="24"/>
          <w:lang w:val="en-US"/>
        </w:rPr>
        <w:t xml:space="preserve">Amaranthus retroflexus) </w:t>
      </w:r>
      <w:r w:rsidR="000D5C18" w:rsidRPr="00B726A5">
        <w:rPr>
          <w:rFonts w:asciiTheme="minorHAnsi" w:hAnsiTheme="minorHAnsi"/>
          <w:sz w:val="24"/>
          <w:szCs w:val="24"/>
          <w:lang w:val="en-US"/>
        </w:rPr>
        <w:t>is common in the lowlands of Poland. It also occurs in lower mountain elevations. It is very commonly found in ruderal habitats, such as roadsides, fences, wastelands, landfills, and rubble piles. It is a common weed in gardens, root crops, and, somewhat less frequently, in cereal crops. It is a light-loving and nitrogen-loving species.</w:t>
      </w:r>
    </w:p>
    <w:p w14:paraId="2A4F8482" w14:textId="571442A2" w:rsidR="000D5C18" w:rsidRPr="00B726A5" w:rsidRDefault="0019511F" w:rsidP="00B726A5">
      <w:pPr>
        <w:spacing w:after="120" w:line="276" w:lineRule="auto"/>
        <w:jc w:val="both"/>
        <w:rPr>
          <w:rFonts w:asciiTheme="minorHAnsi" w:hAnsiTheme="minorHAnsi"/>
          <w:sz w:val="24"/>
          <w:szCs w:val="24"/>
          <w:lang w:val="en-US"/>
        </w:rPr>
      </w:pPr>
      <w:r w:rsidRPr="00B726A5">
        <w:rPr>
          <w:rFonts w:asciiTheme="minorHAnsi" w:hAnsiTheme="minorHAnsi"/>
          <w:sz w:val="24"/>
          <w:szCs w:val="24"/>
          <w:lang w:val="en-US"/>
        </w:rPr>
        <w:t xml:space="preserve">Redroot pigweed </w:t>
      </w:r>
      <w:r w:rsidR="000D5C18" w:rsidRPr="00B726A5">
        <w:rPr>
          <w:rFonts w:asciiTheme="minorHAnsi" w:hAnsiTheme="minorHAnsi"/>
          <w:sz w:val="24"/>
          <w:szCs w:val="24"/>
          <w:lang w:val="en-US"/>
        </w:rPr>
        <w:t>is an annual plant, highly variable in terms of height (10 to 120 cm), growth habit, degree of branching, and leaf size. Its stem is furrowed and coarsely hairy (hence the Polish species name</w:t>
      </w:r>
      <w:r w:rsidRPr="00B726A5">
        <w:rPr>
          <w:rFonts w:asciiTheme="minorHAnsi" w:hAnsiTheme="minorHAnsi"/>
          <w:sz w:val="24"/>
          <w:szCs w:val="24"/>
          <w:lang w:val="en-US"/>
        </w:rPr>
        <w:t xml:space="preserve"> Szarłat szorstki</w:t>
      </w:r>
      <w:r w:rsidR="000D5C18" w:rsidRPr="00B726A5">
        <w:rPr>
          <w:rFonts w:asciiTheme="minorHAnsi" w:hAnsiTheme="minorHAnsi"/>
          <w:sz w:val="24"/>
          <w:szCs w:val="24"/>
          <w:lang w:val="en-US"/>
        </w:rPr>
        <w:t xml:space="preserve">). Its flowers are clustered in corymbs, arranged in broad, spike-like inflorescences at the top of the stem and on lateral branches. Some of the corymbs are located in the leaf axils. The flowers are unisexual, but the plants are monoecious. </w:t>
      </w:r>
      <w:r w:rsidRPr="00B726A5">
        <w:rPr>
          <w:rFonts w:asciiTheme="minorHAnsi" w:hAnsiTheme="minorHAnsi"/>
          <w:sz w:val="24"/>
          <w:szCs w:val="24"/>
          <w:lang w:val="en-US"/>
        </w:rPr>
        <w:t xml:space="preserve">Redroot pigweed </w:t>
      </w:r>
      <w:r w:rsidR="000D5C18" w:rsidRPr="00B726A5">
        <w:rPr>
          <w:rFonts w:asciiTheme="minorHAnsi" w:hAnsiTheme="minorHAnsi"/>
          <w:sz w:val="24"/>
          <w:szCs w:val="24"/>
          <w:lang w:val="en-US"/>
        </w:rPr>
        <w:t>typically blooms from July through October.</w:t>
      </w:r>
    </w:p>
    <w:p w14:paraId="479B29BF" w14:textId="77777777" w:rsidR="000D5C18" w:rsidRPr="00B726A5" w:rsidRDefault="000D5C18" w:rsidP="00B726A5">
      <w:pPr>
        <w:spacing w:after="120" w:line="276" w:lineRule="auto"/>
        <w:jc w:val="both"/>
        <w:rPr>
          <w:rFonts w:asciiTheme="minorHAnsi" w:hAnsiTheme="minorHAnsi"/>
          <w:sz w:val="24"/>
          <w:szCs w:val="24"/>
          <w:highlight w:val="yellow"/>
          <w:lang w:val="en-US"/>
        </w:rPr>
      </w:pPr>
      <w:r w:rsidRPr="00B726A5">
        <w:rPr>
          <w:rFonts w:asciiTheme="minorHAnsi" w:hAnsiTheme="minorHAnsi"/>
          <w:sz w:val="24"/>
          <w:szCs w:val="24"/>
          <w:lang w:val="en-US"/>
        </w:rPr>
        <w:t>The fruit is a capsule that splits open along a transverse slit and opens with a lid. The seeds are very numerous, small (about 1 mm in diameter), lenticular, black, and shiny. A single vigorous plant can produce between 230,000 and 500,000 seeds. They are dispersed by wind, animals, and as contaminants on crop seeds or agricultural machinery. Recent studies suggest that germination is stimulated by light and high temperatures. The seeds can remain viable in the soil for many years.</w:t>
      </w:r>
      <w:r w:rsidRPr="00B726A5">
        <w:rPr>
          <w:rStyle w:val="FootnoteReference"/>
          <w:rFonts w:asciiTheme="minorHAnsi" w:hAnsiTheme="minorHAnsi"/>
          <w:sz w:val="24"/>
          <w:szCs w:val="24"/>
        </w:rPr>
        <w:footnoteReference w:id="24"/>
      </w:r>
      <w:r w:rsidRPr="00B726A5">
        <w:rPr>
          <w:rFonts w:asciiTheme="minorHAnsi" w:hAnsiTheme="minorHAnsi"/>
          <w:sz w:val="24"/>
          <w:szCs w:val="24"/>
          <w:lang w:val="en-US"/>
        </w:rPr>
        <w:t xml:space="preserve"> .</w:t>
      </w:r>
    </w:p>
    <w:p w14:paraId="19C4C9A5" w14:textId="323D0A1E" w:rsidR="0019511F" w:rsidRPr="00626277" w:rsidRDefault="0019511F" w:rsidP="00A61F64">
      <w:pPr>
        <w:spacing w:after="0"/>
        <w:jc w:val="center"/>
      </w:pPr>
      <w:r w:rsidRPr="00626277">
        <w:drawing>
          <wp:inline distT="0" distB="0" distL="0" distR="0" wp14:anchorId="2D788586" wp14:editId="1B0C3DFB">
            <wp:extent cx="2987749" cy="3697795"/>
            <wp:effectExtent l="0" t="0" r="3175"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041104" cy="3763830"/>
                    </a:xfrm>
                    <a:prstGeom prst="rect">
                      <a:avLst/>
                    </a:prstGeom>
                  </pic:spPr>
                </pic:pic>
              </a:graphicData>
            </a:graphic>
          </wp:inline>
        </w:drawing>
      </w:r>
      <w:r w:rsidRPr="00626277">
        <w:drawing>
          <wp:inline distT="0" distB="0" distL="0" distR="0" wp14:anchorId="42D7DC01" wp14:editId="79BA3B04">
            <wp:extent cx="2880965" cy="3785375"/>
            <wp:effectExtent l="0" t="0" r="0" b="5715"/>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b="16220"/>
                    <a:stretch/>
                  </pic:blipFill>
                  <pic:spPr bwMode="auto">
                    <a:xfrm>
                      <a:off x="0" y="0"/>
                      <a:ext cx="2883244" cy="3788370"/>
                    </a:xfrm>
                    <a:prstGeom prst="rect">
                      <a:avLst/>
                    </a:prstGeom>
                    <a:ln>
                      <a:noFill/>
                    </a:ln>
                    <a:extLst>
                      <a:ext uri="{53640926-AAD7-44D8-BBD7-CCE9431645EC}">
                        <a14:shadowObscured xmlns:a14="http://schemas.microsoft.com/office/drawing/2010/main"/>
                      </a:ext>
                    </a:extLst>
                  </pic:spPr>
                </pic:pic>
              </a:graphicData>
            </a:graphic>
          </wp:inline>
        </w:drawing>
      </w:r>
      <w:r w:rsidRPr="00626277">
        <w:drawing>
          <wp:inline distT="0" distB="0" distL="0" distR="0" wp14:anchorId="48D54BD3" wp14:editId="39CAA882">
            <wp:extent cx="3123211" cy="5396640"/>
            <wp:effectExtent l="0" t="0" r="1270" b="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127073" cy="5403314"/>
                    </a:xfrm>
                    <a:prstGeom prst="rect">
                      <a:avLst/>
                    </a:prstGeom>
                  </pic:spPr>
                </pic:pic>
              </a:graphicData>
            </a:graphic>
          </wp:inline>
        </w:drawing>
      </w:r>
    </w:p>
    <w:p w14:paraId="4330DE07" w14:textId="77777777" w:rsidR="0004511F" w:rsidRDefault="0004511F" w:rsidP="000D5C18">
      <w:pPr>
        <w:rPr>
          <w:b/>
          <w:bCs/>
          <w:lang w:val="en-US"/>
        </w:rPr>
      </w:pPr>
    </w:p>
    <w:p w14:paraId="75619697" w14:textId="57DC8D98" w:rsidR="000D5C18" w:rsidRPr="0004511F" w:rsidRDefault="00446F7D" w:rsidP="0004511F">
      <w:pPr>
        <w:spacing w:after="120" w:line="276" w:lineRule="auto"/>
        <w:jc w:val="both"/>
        <w:rPr>
          <w:rFonts w:asciiTheme="minorHAnsi" w:hAnsiTheme="minorHAnsi"/>
          <w:b/>
          <w:bCs/>
          <w:sz w:val="24"/>
          <w:szCs w:val="24"/>
          <w:lang w:val="en-US"/>
        </w:rPr>
      </w:pPr>
      <w:r w:rsidRPr="0004511F">
        <w:rPr>
          <w:rFonts w:asciiTheme="minorHAnsi" w:hAnsiTheme="minorHAnsi"/>
          <w:b/>
          <w:bCs/>
          <w:sz w:val="24"/>
          <w:szCs w:val="24"/>
          <w:lang w:val="en-US"/>
        </w:rPr>
        <w:t>Eradication methods</w:t>
      </w:r>
    </w:p>
    <w:p w14:paraId="3BDB0E20" w14:textId="2BB0AB96" w:rsidR="000D5C18" w:rsidRPr="0004511F" w:rsidRDefault="0019511F" w:rsidP="0004511F">
      <w:pPr>
        <w:spacing w:after="120" w:line="276" w:lineRule="auto"/>
        <w:jc w:val="both"/>
        <w:rPr>
          <w:rFonts w:asciiTheme="minorHAnsi" w:hAnsiTheme="minorHAnsi"/>
          <w:sz w:val="24"/>
          <w:szCs w:val="24"/>
          <w:lang w:val="en-US"/>
        </w:rPr>
      </w:pPr>
      <w:r w:rsidRPr="0004511F">
        <w:rPr>
          <w:rFonts w:asciiTheme="minorHAnsi" w:hAnsiTheme="minorHAnsi"/>
          <w:sz w:val="24"/>
          <w:szCs w:val="24"/>
          <w:lang w:val="en-US"/>
        </w:rPr>
        <w:t xml:space="preserve">Redroot pigweed </w:t>
      </w:r>
      <w:r w:rsidR="000D5C18" w:rsidRPr="0004511F">
        <w:rPr>
          <w:rFonts w:asciiTheme="minorHAnsi" w:hAnsiTheme="minorHAnsi"/>
          <w:sz w:val="24"/>
          <w:szCs w:val="24"/>
          <w:lang w:val="en-US"/>
        </w:rPr>
        <w:t>is an annual plant that typically blooms from July through October. Seeds are spread by wind, animals, and as contaminants in crop seeds or on agricultural machinery.</w:t>
      </w:r>
    </w:p>
    <w:p w14:paraId="5DB9BCF6" w14:textId="77777777" w:rsidR="000D5C18" w:rsidRPr="0004511F" w:rsidRDefault="000D5C18" w:rsidP="0004511F">
      <w:pPr>
        <w:pStyle w:val="ListParagraph"/>
        <w:numPr>
          <w:ilvl w:val="0"/>
          <w:numId w:val="8"/>
        </w:numPr>
        <w:spacing w:after="120" w:line="276" w:lineRule="auto"/>
        <w:contextualSpacing w:val="0"/>
        <w:jc w:val="both"/>
        <w:rPr>
          <w:rFonts w:asciiTheme="minorHAnsi" w:hAnsiTheme="minorHAnsi"/>
          <w:sz w:val="24"/>
          <w:szCs w:val="24"/>
          <w:lang w:val="en-US"/>
        </w:rPr>
      </w:pPr>
      <w:r w:rsidRPr="0004511F">
        <w:rPr>
          <w:rFonts w:asciiTheme="minorHAnsi" w:hAnsiTheme="minorHAnsi"/>
          <w:sz w:val="24"/>
          <w:szCs w:val="24"/>
          <w:lang w:val="en-US"/>
        </w:rPr>
        <w:t>We should control the plant’s presence and prevent it from spreading. Since it is an annual, it should not be allowed to produce flowers or fruit.</w:t>
      </w:r>
    </w:p>
    <w:p w14:paraId="39931351" w14:textId="77777777" w:rsidR="000D5C18" w:rsidRPr="0004511F" w:rsidRDefault="000D5C18" w:rsidP="0004511F">
      <w:pPr>
        <w:pStyle w:val="ListParagraph"/>
        <w:numPr>
          <w:ilvl w:val="0"/>
          <w:numId w:val="8"/>
        </w:numPr>
        <w:spacing w:after="120" w:line="276" w:lineRule="auto"/>
        <w:contextualSpacing w:val="0"/>
        <w:jc w:val="both"/>
        <w:rPr>
          <w:rFonts w:asciiTheme="minorHAnsi" w:hAnsiTheme="minorHAnsi"/>
          <w:sz w:val="24"/>
          <w:szCs w:val="24"/>
        </w:rPr>
      </w:pPr>
      <w:r w:rsidRPr="0004511F">
        <w:rPr>
          <w:rFonts w:asciiTheme="minorHAnsi" w:hAnsiTheme="minorHAnsi"/>
          <w:sz w:val="24"/>
          <w:szCs w:val="24"/>
          <w:lang w:val="en-US"/>
        </w:rPr>
        <w:t xml:space="preserve">Control usually involves mechanical removal: pulling up or mowing the plants before they release seeds. </w:t>
      </w:r>
      <w:r w:rsidRPr="0004511F">
        <w:rPr>
          <w:rFonts w:asciiTheme="minorHAnsi" w:hAnsiTheme="minorHAnsi"/>
          <w:sz w:val="24"/>
          <w:szCs w:val="24"/>
        </w:rPr>
        <w:t>These measures should be repeated annually for several seasons.</w:t>
      </w:r>
    </w:p>
    <w:p w14:paraId="5A58DE1F" w14:textId="77777777" w:rsidR="000D5C18" w:rsidRPr="0004511F" w:rsidRDefault="000D5C18" w:rsidP="0004511F">
      <w:pPr>
        <w:pStyle w:val="ListParagraph"/>
        <w:numPr>
          <w:ilvl w:val="0"/>
          <w:numId w:val="8"/>
        </w:numPr>
        <w:spacing w:after="120" w:line="276" w:lineRule="auto"/>
        <w:contextualSpacing w:val="0"/>
        <w:jc w:val="both"/>
        <w:rPr>
          <w:rFonts w:asciiTheme="minorHAnsi" w:hAnsiTheme="minorHAnsi"/>
          <w:sz w:val="24"/>
          <w:szCs w:val="24"/>
          <w:lang w:val="en-US"/>
        </w:rPr>
      </w:pPr>
      <w:r w:rsidRPr="0004511F">
        <w:rPr>
          <w:rFonts w:asciiTheme="minorHAnsi" w:hAnsiTheme="minorHAnsi"/>
          <w:sz w:val="24"/>
          <w:szCs w:val="24"/>
          <w:lang w:val="en-US"/>
        </w:rPr>
        <w:t xml:space="preserve">Seedlings can be controlled by tillage, but older plants often regenerate after mechanical damage and produce inflorescences. Soil solarization under plastic mulch can control </w:t>
      </w:r>
      <w:r w:rsidRPr="0004511F">
        <w:rPr>
          <w:rFonts w:asciiTheme="minorHAnsi" w:hAnsiTheme="minorHAnsi"/>
          <w:i/>
          <w:iCs/>
          <w:sz w:val="24"/>
          <w:szCs w:val="24"/>
          <w:lang w:val="en-US"/>
        </w:rPr>
        <w:t xml:space="preserve">A. retroflexus </w:t>
      </w:r>
      <w:r w:rsidRPr="0004511F">
        <w:rPr>
          <w:rFonts w:asciiTheme="minorHAnsi" w:hAnsiTheme="minorHAnsi"/>
          <w:sz w:val="24"/>
          <w:szCs w:val="24"/>
          <w:lang w:val="en-US"/>
        </w:rPr>
        <w:t>if high temperatures are maintained under the mulch for an extended period (</w:t>
      </w:r>
      <w:r w:rsidRPr="0004511F">
        <w:rPr>
          <w:rFonts w:asciiTheme="minorHAnsi" w:hAnsiTheme="minorHAnsi"/>
          <w:i/>
          <w:iCs/>
          <w:sz w:val="24"/>
          <w:szCs w:val="24"/>
          <w:lang w:val="en-US"/>
        </w:rPr>
        <w:t>Mas and Verdu, 1996</w:t>
      </w:r>
      <w:r w:rsidRPr="0004511F">
        <w:rPr>
          <w:rFonts w:asciiTheme="minorHAnsi" w:hAnsiTheme="minorHAnsi"/>
          <w:sz w:val="24"/>
          <w:szCs w:val="24"/>
          <w:lang w:val="en-US"/>
        </w:rPr>
        <w:t>)</w:t>
      </w:r>
      <w:r w:rsidRPr="0004511F">
        <w:rPr>
          <w:rStyle w:val="FootnoteReference"/>
          <w:rFonts w:asciiTheme="minorHAnsi" w:hAnsiTheme="minorHAnsi"/>
          <w:sz w:val="24"/>
          <w:szCs w:val="24"/>
        </w:rPr>
        <w:footnoteReference w:id="25"/>
      </w:r>
      <w:r w:rsidRPr="0004511F">
        <w:rPr>
          <w:rFonts w:asciiTheme="minorHAnsi" w:hAnsiTheme="minorHAnsi"/>
          <w:sz w:val="24"/>
          <w:szCs w:val="24"/>
          <w:lang w:val="en-US"/>
        </w:rPr>
        <w:t xml:space="preserve"> .</w:t>
      </w:r>
    </w:p>
    <w:p w14:paraId="1E4E20FB" w14:textId="77777777" w:rsidR="000D5C18" w:rsidRPr="0004511F" w:rsidRDefault="000D5C18" w:rsidP="0004511F">
      <w:pPr>
        <w:pStyle w:val="ListParagraph"/>
        <w:numPr>
          <w:ilvl w:val="0"/>
          <w:numId w:val="8"/>
        </w:numPr>
        <w:spacing w:after="120" w:line="276" w:lineRule="auto"/>
        <w:contextualSpacing w:val="0"/>
        <w:jc w:val="both"/>
        <w:rPr>
          <w:rFonts w:asciiTheme="minorHAnsi" w:hAnsiTheme="minorHAnsi"/>
          <w:sz w:val="24"/>
          <w:szCs w:val="24"/>
          <w:lang w:val="en-US"/>
        </w:rPr>
      </w:pPr>
      <w:r w:rsidRPr="0004511F">
        <w:rPr>
          <w:rFonts w:asciiTheme="minorHAnsi" w:hAnsiTheme="minorHAnsi"/>
          <w:sz w:val="24"/>
          <w:szCs w:val="24"/>
          <w:lang w:val="en-US"/>
        </w:rPr>
        <w:t>A. retroflexus is easily controlled by most herbicides that inhibit photosynthesis, such as atrazine, simazine, metribuzin, linuron, and bromoxynil. It is also highly susceptible to synthetic auxin herbicides, such as 2,4-D or dicamba, as well as sulfonylurea and imidazolinone herbicides, such as imazethapyr, thifensulfuron-methyl, rimsulfuron, and nicosulfuron. Most other herbicides used to control broadleaf weeds are also effective, including acifluorfen, fomesafen, and pendimethalin (</w:t>
      </w:r>
      <w:r w:rsidRPr="0004511F">
        <w:rPr>
          <w:rFonts w:asciiTheme="minorHAnsi" w:hAnsiTheme="minorHAnsi"/>
          <w:i/>
          <w:iCs/>
          <w:sz w:val="24"/>
          <w:szCs w:val="24"/>
          <w:lang w:val="en-US"/>
        </w:rPr>
        <w:t>Weaver and McWilliams 1980; Bauer et al. 1995; Carey and Kells 1995; Mamarot and Rodriguez, 1997</w:t>
      </w:r>
      <w:r w:rsidRPr="0004511F">
        <w:rPr>
          <w:rFonts w:asciiTheme="minorHAnsi" w:hAnsiTheme="minorHAnsi"/>
          <w:sz w:val="24"/>
          <w:szCs w:val="24"/>
          <w:lang w:val="en-US"/>
        </w:rPr>
        <w:t xml:space="preserve">). In heavily infested fields, it is necessary to use soil-applied herbicides or sequential post-emergence treatments due to the intermittent germination of these rosales throughout the growing season. </w:t>
      </w:r>
      <w:r w:rsidRPr="0004511F">
        <w:rPr>
          <w:rFonts w:asciiTheme="minorHAnsi" w:hAnsiTheme="minorHAnsi"/>
          <w:i/>
          <w:iCs/>
          <w:sz w:val="24"/>
          <w:szCs w:val="24"/>
          <w:lang w:val="en-US"/>
        </w:rPr>
        <w:t xml:space="preserve">A. retroflexus </w:t>
      </w:r>
      <w:r w:rsidRPr="0004511F">
        <w:rPr>
          <w:rFonts w:asciiTheme="minorHAnsi" w:hAnsiTheme="minorHAnsi"/>
          <w:sz w:val="24"/>
          <w:szCs w:val="24"/>
          <w:lang w:val="en-US"/>
        </w:rPr>
        <w:t>can be controlled using the soil fumigant methyl iodide (</w:t>
      </w:r>
      <w:r w:rsidRPr="0004511F">
        <w:rPr>
          <w:rFonts w:asciiTheme="minorHAnsi" w:hAnsiTheme="minorHAnsi"/>
          <w:i/>
          <w:iCs/>
          <w:sz w:val="24"/>
          <w:szCs w:val="24"/>
          <w:lang w:val="en-US"/>
        </w:rPr>
        <w:t>Zhang et al., 1997</w:t>
      </w:r>
      <w:r w:rsidRPr="0004511F">
        <w:rPr>
          <w:rFonts w:asciiTheme="minorHAnsi" w:hAnsiTheme="minorHAnsi"/>
          <w:sz w:val="24"/>
          <w:szCs w:val="24"/>
          <w:lang w:val="en-US"/>
        </w:rPr>
        <w:t>)</w:t>
      </w:r>
      <w:r w:rsidRPr="0004511F">
        <w:rPr>
          <w:rStyle w:val="FootnoteReference"/>
          <w:rFonts w:asciiTheme="minorHAnsi" w:hAnsiTheme="minorHAnsi"/>
          <w:sz w:val="24"/>
          <w:szCs w:val="24"/>
          <w:lang w:val="en-US"/>
        </w:rPr>
        <w:t xml:space="preserve"> </w:t>
      </w:r>
      <w:r w:rsidRPr="0004511F">
        <w:rPr>
          <w:rStyle w:val="FootnoteReference"/>
          <w:rFonts w:asciiTheme="minorHAnsi" w:hAnsiTheme="minorHAnsi"/>
          <w:sz w:val="24"/>
          <w:szCs w:val="24"/>
        </w:rPr>
        <w:footnoteReference w:id="26"/>
      </w:r>
    </w:p>
    <w:p w14:paraId="36540F3B" w14:textId="4CC15235" w:rsidR="000D5C18" w:rsidRPr="0004511F" w:rsidRDefault="000D5C18" w:rsidP="0004511F">
      <w:pPr>
        <w:spacing w:after="120" w:line="276" w:lineRule="auto"/>
        <w:jc w:val="both"/>
        <w:rPr>
          <w:rFonts w:asciiTheme="minorHAnsi" w:hAnsiTheme="minorHAnsi"/>
          <w:b/>
          <w:bCs/>
          <w:sz w:val="24"/>
          <w:szCs w:val="24"/>
          <w:lang w:val="en-US"/>
        </w:rPr>
      </w:pPr>
      <w:r w:rsidRPr="0004511F">
        <w:rPr>
          <w:rFonts w:asciiTheme="minorHAnsi" w:hAnsiTheme="minorHAnsi"/>
          <w:b/>
          <w:bCs/>
          <w:sz w:val="24"/>
          <w:szCs w:val="24"/>
          <w:lang w:val="en-US"/>
        </w:rPr>
        <w:t>Recommendations regarding biomass management are provided in Chapter 3.</w:t>
      </w:r>
    </w:p>
    <w:p w14:paraId="49A4DB01" w14:textId="485BB6AD" w:rsidR="000D5C18" w:rsidRPr="00D049D4" w:rsidRDefault="000D5C18" w:rsidP="0004511F">
      <w:pPr>
        <w:pStyle w:val="Heading2"/>
        <w:jc w:val="both"/>
        <w:rPr>
          <w:lang w:val="en-US"/>
        </w:rPr>
      </w:pPr>
      <w:bookmarkStart w:id="17" w:name="_Toc239856698"/>
      <w:r w:rsidRPr="00D049D4">
        <w:rPr>
          <w:lang w:val="en-US"/>
        </w:rPr>
        <w:t xml:space="preserve">2.8. </w:t>
      </w:r>
      <w:r w:rsidR="0019511F" w:rsidRPr="00D049D4">
        <w:rPr>
          <w:lang w:val="en-US"/>
        </w:rPr>
        <w:t>Common</w:t>
      </w:r>
      <w:r w:rsidRPr="00D049D4">
        <w:rPr>
          <w:lang w:val="en-US"/>
        </w:rPr>
        <w:t xml:space="preserve"> Foxglove (</w:t>
      </w:r>
      <w:r w:rsidRPr="00D049D4">
        <w:rPr>
          <w:i/>
          <w:iCs/>
          <w:lang w:val="en-US"/>
        </w:rPr>
        <w:t>Digitalis purpurea</w:t>
      </w:r>
      <w:r w:rsidRPr="00D049D4">
        <w:rPr>
          <w:lang w:val="en-US"/>
        </w:rPr>
        <w:t>)</w:t>
      </w:r>
      <w:bookmarkEnd w:id="17"/>
    </w:p>
    <w:p w14:paraId="5168B796" w14:textId="77777777" w:rsidR="000D5C18" w:rsidRPr="0004511F" w:rsidRDefault="000D5C18" w:rsidP="0004511F">
      <w:pPr>
        <w:spacing w:after="120" w:line="276" w:lineRule="auto"/>
        <w:jc w:val="both"/>
        <w:rPr>
          <w:rFonts w:asciiTheme="minorHAnsi" w:hAnsiTheme="minorHAnsi"/>
          <w:b/>
          <w:bCs/>
          <w:sz w:val="24"/>
          <w:szCs w:val="24"/>
          <w:lang w:val="en-US"/>
        </w:rPr>
      </w:pPr>
      <w:r w:rsidRPr="0004511F">
        <w:rPr>
          <w:rFonts w:asciiTheme="minorHAnsi" w:hAnsiTheme="minorHAnsi"/>
          <w:b/>
          <w:bCs/>
          <w:sz w:val="24"/>
          <w:szCs w:val="24"/>
          <w:lang w:val="en-US"/>
        </w:rPr>
        <w:t>Characteristics of the species</w:t>
      </w:r>
    </w:p>
    <w:p w14:paraId="3957CEA8" w14:textId="48513DC2" w:rsidR="000D5C18" w:rsidRPr="0004511F" w:rsidRDefault="0019511F" w:rsidP="0004511F">
      <w:pPr>
        <w:spacing w:after="120" w:line="276" w:lineRule="auto"/>
        <w:jc w:val="both"/>
        <w:rPr>
          <w:rFonts w:asciiTheme="minorHAnsi" w:hAnsiTheme="minorHAnsi"/>
          <w:sz w:val="24"/>
          <w:szCs w:val="24"/>
          <w:lang w:val="en-US"/>
        </w:rPr>
      </w:pPr>
      <w:r w:rsidRPr="0004511F">
        <w:rPr>
          <w:rFonts w:asciiTheme="minorHAnsi" w:hAnsiTheme="minorHAnsi"/>
          <w:sz w:val="24"/>
          <w:szCs w:val="24"/>
          <w:lang w:val="en-US"/>
        </w:rPr>
        <w:t>Common</w:t>
      </w:r>
      <w:r w:rsidR="000D5C18" w:rsidRPr="0004511F">
        <w:rPr>
          <w:rFonts w:asciiTheme="minorHAnsi" w:hAnsiTheme="minorHAnsi"/>
          <w:sz w:val="24"/>
          <w:szCs w:val="24"/>
          <w:lang w:val="en-US"/>
        </w:rPr>
        <w:t xml:space="preserve"> foxglove </w:t>
      </w:r>
      <w:r w:rsidR="000D5C18" w:rsidRPr="0004511F">
        <w:rPr>
          <w:rFonts w:asciiTheme="minorHAnsi" w:hAnsiTheme="minorHAnsi"/>
          <w:i/>
          <w:iCs/>
          <w:sz w:val="24"/>
          <w:szCs w:val="24"/>
          <w:lang w:val="en-US"/>
        </w:rPr>
        <w:t xml:space="preserve">(Digitalis purpurea) </w:t>
      </w:r>
      <w:r w:rsidR="000D5C18" w:rsidRPr="0004511F">
        <w:rPr>
          <w:rFonts w:asciiTheme="minorHAnsi" w:hAnsiTheme="minorHAnsi"/>
          <w:sz w:val="24"/>
          <w:szCs w:val="24"/>
          <w:lang w:val="en-US"/>
        </w:rPr>
        <w:t>is a biennial or perennial plant. It reproduces via numerous small seeds. It prefers sunny or partially shaded sites and moist soils with a neutral or slightly acidic pH. By forming dense stands, it can limit the growth of native plants.</w:t>
      </w:r>
    </w:p>
    <w:p w14:paraId="789FE2B6" w14:textId="08A92AAC" w:rsidR="000D5C18" w:rsidRPr="0004511F" w:rsidRDefault="000D5C18" w:rsidP="0004511F">
      <w:pPr>
        <w:spacing w:after="120" w:line="276" w:lineRule="auto"/>
        <w:jc w:val="both"/>
        <w:rPr>
          <w:rFonts w:asciiTheme="minorHAnsi" w:hAnsiTheme="minorHAnsi"/>
          <w:sz w:val="24"/>
          <w:szCs w:val="24"/>
          <w:lang w:val="en-US"/>
        </w:rPr>
      </w:pPr>
      <w:r w:rsidRPr="0004511F">
        <w:rPr>
          <w:rFonts w:asciiTheme="minorHAnsi" w:hAnsiTheme="minorHAnsi"/>
          <w:sz w:val="24"/>
          <w:szCs w:val="24"/>
          <w:lang w:val="en-US"/>
        </w:rPr>
        <w:t>In the wild, it spreads in sunny areas: in forests, particularly in spruce forests and acidic beech forests, e.g., on clear-cut areas and forest glades, in mountain pine thickets, and in meadows</w:t>
      </w:r>
      <w:r w:rsidRPr="0004511F">
        <w:rPr>
          <w:rStyle w:val="FootnoteReference"/>
          <w:rFonts w:asciiTheme="minorHAnsi" w:hAnsiTheme="minorHAnsi"/>
          <w:sz w:val="24"/>
          <w:szCs w:val="24"/>
        </w:rPr>
        <w:footnoteReference w:id="27"/>
      </w:r>
      <w:r w:rsidRPr="0004511F">
        <w:rPr>
          <w:rFonts w:asciiTheme="minorHAnsi" w:hAnsiTheme="minorHAnsi"/>
          <w:sz w:val="24"/>
          <w:szCs w:val="24"/>
          <w:lang w:val="en-US"/>
        </w:rPr>
        <w:t xml:space="preserve">. </w:t>
      </w:r>
      <w:r w:rsidR="0019511F" w:rsidRPr="0004511F">
        <w:rPr>
          <w:rFonts w:asciiTheme="minorHAnsi" w:hAnsiTheme="minorHAnsi"/>
          <w:sz w:val="24"/>
          <w:szCs w:val="24"/>
          <w:lang w:val="en-US"/>
        </w:rPr>
        <w:t>Common</w:t>
      </w:r>
      <w:r w:rsidRPr="0004511F">
        <w:rPr>
          <w:rFonts w:asciiTheme="minorHAnsi" w:hAnsiTheme="minorHAnsi"/>
          <w:sz w:val="24"/>
          <w:szCs w:val="24"/>
          <w:lang w:val="en-US"/>
        </w:rPr>
        <w:t xml:space="preserve"> foxglove is classified in Poland as a naturalized, invasive species</w:t>
      </w:r>
      <w:r w:rsidRPr="0004511F">
        <w:rPr>
          <w:rStyle w:val="FootnoteReference"/>
          <w:rFonts w:asciiTheme="minorHAnsi" w:hAnsiTheme="minorHAnsi"/>
          <w:sz w:val="24"/>
          <w:szCs w:val="24"/>
        </w:rPr>
        <w:footnoteReference w:id="28"/>
      </w:r>
      <w:r w:rsidRPr="0004511F">
        <w:rPr>
          <w:rFonts w:asciiTheme="minorHAnsi" w:hAnsiTheme="minorHAnsi"/>
          <w:sz w:val="24"/>
          <w:szCs w:val="24"/>
          <w:lang w:val="en-US"/>
        </w:rPr>
        <w:t xml:space="preserve"> . The main types of natural habitats / wildlife habitats of Community importance that this species invades are 3220; 9110; 9410</w:t>
      </w:r>
      <w:r w:rsidRPr="0004511F">
        <w:rPr>
          <w:rStyle w:val="FootnoteReference"/>
          <w:rFonts w:asciiTheme="minorHAnsi" w:hAnsiTheme="minorHAnsi"/>
          <w:sz w:val="24"/>
          <w:szCs w:val="24"/>
        </w:rPr>
        <w:footnoteReference w:id="29"/>
      </w:r>
      <w:r w:rsidRPr="0004511F">
        <w:rPr>
          <w:rFonts w:asciiTheme="minorHAnsi" w:hAnsiTheme="minorHAnsi"/>
          <w:sz w:val="24"/>
          <w:szCs w:val="24"/>
          <w:lang w:val="en-US"/>
        </w:rPr>
        <w:t xml:space="preserve"> . According to the Code of Good Practice “Horticulture and Invasive Plants of Alien Origin” (GDOŚ 2016), the species is regionally invasive and is gradually occupying new sites. Classified in Poland as a Category II invasive species. The GDOŚ Code contains the following recommendations regarding the cultivation of purple foxglove: </w:t>
      </w:r>
    </w:p>
    <w:p w14:paraId="28C95E99" w14:textId="77777777" w:rsidR="000D5C18" w:rsidRPr="0004511F" w:rsidRDefault="000D5C18" w:rsidP="0004511F">
      <w:pPr>
        <w:spacing w:after="120" w:line="276" w:lineRule="auto"/>
        <w:jc w:val="both"/>
        <w:rPr>
          <w:rFonts w:asciiTheme="minorHAnsi" w:hAnsiTheme="minorHAnsi"/>
          <w:i/>
          <w:iCs/>
          <w:sz w:val="24"/>
          <w:szCs w:val="24"/>
          <w:lang w:val="en-US"/>
        </w:rPr>
      </w:pPr>
      <w:r w:rsidRPr="0004511F">
        <w:rPr>
          <w:rFonts w:asciiTheme="minorHAnsi" w:hAnsiTheme="minorHAnsi"/>
          <w:i/>
          <w:iCs/>
          <w:sz w:val="24"/>
          <w:szCs w:val="24"/>
          <w:lang w:val="en-US"/>
        </w:rPr>
        <w:t>“Areas where this species should not be cultivated:</w:t>
      </w:r>
    </w:p>
    <w:p w14:paraId="503EDE6F" w14:textId="77777777" w:rsidR="000D5C18" w:rsidRPr="0004511F" w:rsidRDefault="000D5C18" w:rsidP="0004511F">
      <w:pPr>
        <w:pStyle w:val="ListParagraph"/>
        <w:numPr>
          <w:ilvl w:val="0"/>
          <w:numId w:val="9"/>
        </w:numPr>
        <w:spacing w:after="120" w:line="276" w:lineRule="auto"/>
        <w:contextualSpacing w:val="0"/>
        <w:jc w:val="both"/>
        <w:rPr>
          <w:rFonts w:asciiTheme="minorHAnsi" w:hAnsiTheme="minorHAnsi"/>
          <w:i/>
          <w:iCs/>
          <w:sz w:val="24"/>
          <w:szCs w:val="24"/>
        </w:rPr>
      </w:pPr>
      <w:r w:rsidRPr="0004511F">
        <w:rPr>
          <w:rFonts w:asciiTheme="minorHAnsi" w:hAnsiTheme="minorHAnsi"/>
          <w:i/>
          <w:iCs/>
          <w:sz w:val="24"/>
          <w:szCs w:val="24"/>
        </w:rPr>
        <w:t>near forests and watercourses,</w:t>
      </w:r>
    </w:p>
    <w:p w14:paraId="16E833C6" w14:textId="77777777" w:rsidR="000D5C18" w:rsidRPr="0004511F" w:rsidRDefault="000D5C18" w:rsidP="0004511F">
      <w:pPr>
        <w:pStyle w:val="ListParagraph"/>
        <w:numPr>
          <w:ilvl w:val="0"/>
          <w:numId w:val="9"/>
        </w:numPr>
        <w:spacing w:after="120" w:line="276" w:lineRule="auto"/>
        <w:contextualSpacing w:val="0"/>
        <w:jc w:val="both"/>
        <w:rPr>
          <w:rFonts w:asciiTheme="minorHAnsi" w:hAnsiTheme="minorHAnsi"/>
          <w:i/>
          <w:iCs/>
          <w:sz w:val="24"/>
          <w:szCs w:val="24"/>
        </w:rPr>
      </w:pPr>
      <w:r w:rsidRPr="0004511F">
        <w:rPr>
          <w:rFonts w:asciiTheme="minorHAnsi" w:hAnsiTheme="minorHAnsi"/>
          <w:i/>
          <w:iCs/>
          <w:sz w:val="24"/>
          <w:szCs w:val="24"/>
        </w:rPr>
        <w:t xml:space="preserve">in open landscapes, </w:t>
      </w:r>
    </w:p>
    <w:p w14:paraId="6516F889" w14:textId="77777777" w:rsidR="000D5C18" w:rsidRPr="0004511F" w:rsidRDefault="000D5C18" w:rsidP="0004511F">
      <w:pPr>
        <w:pStyle w:val="ListParagraph"/>
        <w:numPr>
          <w:ilvl w:val="0"/>
          <w:numId w:val="9"/>
        </w:numPr>
        <w:spacing w:after="120" w:line="276" w:lineRule="auto"/>
        <w:contextualSpacing w:val="0"/>
        <w:jc w:val="both"/>
        <w:rPr>
          <w:rFonts w:asciiTheme="minorHAnsi" w:hAnsiTheme="minorHAnsi"/>
          <w:i/>
          <w:iCs/>
          <w:sz w:val="24"/>
          <w:szCs w:val="24"/>
          <w:lang w:val="en-US"/>
        </w:rPr>
      </w:pPr>
      <w:r w:rsidRPr="0004511F">
        <w:rPr>
          <w:rFonts w:asciiTheme="minorHAnsi" w:hAnsiTheme="minorHAnsi"/>
          <w:i/>
          <w:iCs/>
          <w:sz w:val="24"/>
          <w:szCs w:val="24"/>
          <w:lang w:val="en-US"/>
        </w:rPr>
        <w:t>in protected areas and their buffer zones.</w:t>
      </w:r>
    </w:p>
    <w:p w14:paraId="3D499628" w14:textId="77777777" w:rsidR="000D5C18" w:rsidRPr="0004511F" w:rsidRDefault="000D5C18" w:rsidP="0004511F">
      <w:pPr>
        <w:spacing w:after="120" w:line="276" w:lineRule="auto"/>
        <w:jc w:val="both"/>
        <w:rPr>
          <w:rFonts w:asciiTheme="minorHAnsi" w:hAnsiTheme="minorHAnsi"/>
          <w:i/>
          <w:iCs/>
          <w:sz w:val="24"/>
          <w:szCs w:val="24"/>
          <w:lang w:val="en-US"/>
        </w:rPr>
      </w:pPr>
      <w:r w:rsidRPr="0004511F">
        <w:rPr>
          <w:rFonts w:asciiTheme="minorHAnsi" w:hAnsiTheme="minorHAnsi"/>
          <w:i/>
          <w:iCs/>
          <w:sz w:val="24"/>
          <w:szCs w:val="24"/>
          <w:lang w:val="en-US"/>
        </w:rPr>
        <w:t>It is recommended to refrain from cultivation or to implement the following measures to minimize the risk of the plant spreading beyond the cultivation site:</w:t>
      </w:r>
    </w:p>
    <w:p w14:paraId="4B125612" w14:textId="77777777" w:rsidR="000D5C18" w:rsidRPr="0004511F" w:rsidRDefault="000D5C18" w:rsidP="0004511F">
      <w:pPr>
        <w:pStyle w:val="ListParagraph"/>
        <w:numPr>
          <w:ilvl w:val="0"/>
          <w:numId w:val="10"/>
        </w:numPr>
        <w:spacing w:after="120" w:line="276" w:lineRule="auto"/>
        <w:contextualSpacing w:val="0"/>
        <w:jc w:val="both"/>
        <w:rPr>
          <w:rFonts w:asciiTheme="minorHAnsi" w:hAnsiTheme="minorHAnsi"/>
          <w:i/>
          <w:iCs/>
          <w:sz w:val="24"/>
          <w:szCs w:val="24"/>
          <w:lang w:val="en-US"/>
        </w:rPr>
      </w:pPr>
      <w:r w:rsidRPr="0004511F">
        <w:rPr>
          <w:rFonts w:asciiTheme="minorHAnsi" w:hAnsiTheme="minorHAnsi"/>
          <w:i/>
          <w:iCs/>
          <w:sz w:val="24"/>
          <w:szCs w:val="24"/>
          <w:lang w:val="en-US"/>
        </w:rPr>
        <w:t>regular mowing, pulling up, or digging out young plants from areas adjacent to the cultivation site,</w:t>
      </w:r>
    </w:p>
    <w:p w14:paraId="197CCCB4" w14:textId="77777777" w:rsidR="000D5C18" w:rsidRPr="0004511F" w:rsidRDefault="000D5C18" w:rsidP="0004511F">
      <w:pPr>
        <w:pStyle w:val="ListParagraph"/>
        <w:numPr>
          <w:ilvl w:val="0"/>
          <w:numId w:val="10"/>
        </w:numPr>
        <w:spacing w:after="120" w:line="276" w:lineRule="auto"/>
        <w:contextualSpacing w:val="0"/>
        <w:jc w:val="both"/>
        <w:rPr>
          <w:rFonts w:asciiTheme="minorHAnsi" w:hAnsiTheme="minorHAnsi"/>
          <w:i/>
          <w:iCs/>
          <w:sz w:val="24"/>
          <w:szCs w:val="24"/>
          <w:lang w:val="en-US"/>
        </w:rPr>
      </w:pPr>
      <w:r w:rsidRPr="0004511F">
        <w:rPr>
          <w:rFonts w:asciiTheme="minorHAnsi" w:hAnsiTheme="minorHAnsi"/>
          <w:i/>
          <w:iCs/>
          <w:sz w:val="24"/>
          <w:szCs w:val="24"/>
          <w:lang w:val="en-US"/>
        </w:rPr>
        <w:t>cutting off flower heads after they have bloomed and disposing of them,</w:t>
      </w:r>
    </w:p>
    <w:p w14:paraId="381EE2A5" w14:textId="7AFF28CA" w:rsidR="000D5C18" w:rsidRPr="0004511F" w:rsidRDefault="000D5C18" w:rsidP="0004511F">
      <w:pPr>
        <w:pStyle w:val="ListParagraph"/>
        <w:numPr>
          <w:ilvl w:val="0"/>
          <w:numId w:val="10"/>
        </w:numPr>
        <w:spacing w:after="120" w:line="276" w:lineRule="auto"/>
        <w:contextualSpacing w:val="0"/>
        <w:jc w:val="both"/>
        <w:rPr>
          <w:rFonts w:asciiTheme="minorHAnsi" w:hAnsiTheme="minorHAnsi"/>
          <w:sz w:val="24"/>
          <w:szCs w:val="24"/>
          <w:lang w:val="en-US"/>
        </w:rPr>
      </w:pPr>
      <w:r w:rsidRPr="0004511F">
        <w:rPr>
          <w:rFonts w:asciiTheme="minorHAnsi" w:hAnsiTheme="minorHAnsi"/>
          <w:i/>
          <w:iCs/>
          <w:sz w:val="24"/>
          <w:szCs w:val="24"/>
          <w:lang w:val="en-US"/>
        </w:rPr>
        <w:t>removing the plant after the growing season ends</w:t>
      </w:r>
      <w:r w:rsidRPr="0004511F">
        <w:rPr>
          <w:rFonts w:asciiTheme="minorHAnsi" w:hAnsiTheme="minorHAnsi"/>
          <w:sz w:val="24"/>
          <w:szCs w:val="24"/>
          <w:lang w:val="en-US"/>
        </w:rPr>
        <w:t>”</w:t>
      </w:r>
      <w:r w:rsidRPr="0004511F">
        <w:rPr>
          <w:rStyle w:val="FootnoteReference"/>
          <w:rFonts w:asciiTheme="minorHAnsi" w:hAnsiTheme="minorHAnsi"/>
          <w:sz w:val="24"/>
          <w:szCs w:val="24"/>
        </w:rPr>
        <w:footnoteReference w:id="30"/>
      </w:r>
      <w:r w:rsidRPr="0004511F">
        <w:rPr>
          <w:rFonts w:asciiTheme="minorHAnsi" w:hAnsiTheme="minorHAnsi"/>
          <w:sz w:val="24"/>
          <w:szCs w:val="24"/>
          <w:lang w:val="en-US"/>
        </w:rPr>
        <w:t xml:space="preserve"> .</w:t>
      </w:r>
    </w:p>
    <w:p w14:paraId="13C90F59" w14:textId="77777777" w:rsidR="0004511F" w:rsidRPr="00D049D4" w:rsidRDefault="0004511F" w:rsidP="0004511F">
      <w:pPr>
        <w:pStyle w:val="ListParagraph"/>
        <w:spacing w:after="0" w:line="240" w:lineRule="atLeast"/>
        <w:jc w:val="both"/>
        <w:rPr>
          <w:lang w:val="en-US"/>
        </w:rPr>
      </w:pPr>
    </w:p>
    <w:p w14:paraId="30344E09" w14:textId="604A016A" w:rsidR="000D5C18" w:rsidRPr="00626277" w:rsidRDefault="0019511F" w:rsidP="003A1E42">
      <w:pPr>
        <w:jc w:val="center"/>
      </w:pPr>
      <w:r w:rsidRPr="00626277">
        <w:drawing>
          <wp:inline distT="0" distB="0" distL="0" distR="0" wp14:anchorId="5A3B6399" wp14:editId="3368DB1F">
            <wp:extent cx="4499610" cy="4109085"/>
            <wp:effectExtent l="0" t="0" r="0" b="5715"/>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499610" cy="4109085"/>
                    </a:xfrm>
                    <a:prstGeom prst="rect">
                      <a:avLst/>
                    </a:prstGeom>
                  </pic:spPr>
                </pic:pic>
              </a:graphicData>
            </a:graphic>
          </wp:inline>
        </w:drawing>
      </w:r>
    </w:p>
    <w:p w14:paraId="06BCA355" w14:textId="61A274F3" w:rsidR="000D5C18" w:rsidRPr="003A1E42" w:rsidRDefault="000D5C18" w:rsidP="003A1E42">
      <w:pPr>
        <w:jc w:val="center"/>
        <w:rPr>
          <w:rFonts w:asciiTheme="minorHAnsi" w:hAnsiTheme="minorHAnsi"/>
          <w:sz w:val="18"/>
          <w:szCs w:val="18"/>
          <w:lang w:val="en-US"/>
        </w:rPr>
      </w:pPr>
      <w:r w:rsidRPr="003A1E42">
        <w:rPr>
          <w:rFonts w:asciiTheme="minorHAnsi" w:hAnsiTheme="minorHAnsi"/>
          <w:sz w:val="18"/>
          <w:szCs w:val="18"/>
          <w:lang w:val="en-US"/>
        </w:rPr>
        <w:t>Photo credit: B. Tokarska-Guzik</w:t>
      </w:r>
    </w:p>
    <w:p w14:paraId="0DD2A6E9" w14:textId="3835CB2F" w:rsidR="000D5C18" w:rsidRPr="003A1E42" w:rsidRDefault="00446F7D" w:rsidP="003A1E42">
      <w:pPr>
        <w:spacing w:after="120" w:line="276" w:lineRule="auto"/>
        <w:jc w:val="both"/>
        <w:rPr>
          <w:rFonts w:asciiTheme="minorHAnsi" w:hAnsiTheme="minorHAnsi"/>
          <w:b/>
          <w:bCs/>
          <w:sz w:val="24"/>
          <w:szCs w:val="24"/>
          <w:lang w:val="en-US"/>
        </w:rPr>
      </w:pPr>
      <w:r w:rsidRPr="003A1E42">
        <w:rPr>
          <w:rFonts w:asciiTheme="minorHAnsi" w:hAnsiTheme="minorHAnsi"/>
          <w:b/>
          <w:bCs/>
          <w:sz w:val="24"/>
          <w:szCs w:val="24"/>
          <w:lang w:val="en-US"/>
        </w:rPr>
        <w:t>Eradication methods</w:t>
      </w:r>
    </w:p>
    <w:p w14:paraId="6559E081" w14:textId="412BD95A" w:rsidR="000D5C18" w:rsidRPr="003A1E42" w:rsidRDefault="000D5C18" w:rsidP="003A1E42">
      <w:pPr>
        <w:pStyle w:val="ListParagraph"/>
        <w:numPr>
          <w:ilvl w:val="0"/>
          <w:numId w:val="8"/>
        </w:numPr>
        <w:spacing w:after="120" w:line="276" w:lineRule="auto"/>
        <w:contextualSpacing w:val="0"/>
        <w:jc w:val="both"/>
        <w:rPr>
          <w:rFonts w:asciiTheme="minorHAnsi" w:hAnsiTheme="minorHAnsi"/>
          <w:sz w:val="24"/>
          <w:szCs w:val="24"/>
          <w:lang w:val="en-US"/>
        </w:rPr>
      </w:pPr>
      <w:r w:rsidRPr="003A1E42">
        <w:rPr>
          <w:rFonts w:asciiTheme="minorHAnsi" w:hAnsiTheme="minorHAnsi"/>
          <w:sz w:val="24"/>
          <w:szCs w:val="24"/>
          <w:lang w:val="en-US"/>
        </w:rPr>
        <w:t xml:space="preserve">Control of </w:t>
      </w:r>
      <w:r w:rsidR="0019511F" w:rsidRPr="003A1E42">
        <w:rPr>
          <w:rFonts w:asciiTheme="minorHAnsi" w:hAnsiTheme="minorHAnsi"/>
          <w:sz w:val="24"/>
          <w:szCs w:val="24"/>
          <w:lang w:val="en-US"/>
        </w:rPr>
        <w:t>common</w:t>
      </w:r>
      <w:r w:rsidRPr="003A1E42">
        <w:rPr>
          <w:rFonts w:asciiTheme="minorHAnsi" w:hAnsiTheme="minorHAnsi"/>
          <w:sz w:val="24"/>
          <w:szCs w:val="24"/>
          <w:lang w:val="en-US"/>
        </w:rPr>
        <w:t xml:space="preserve"> foxglove typically involves mechanical removal: pulling up or mowing the plants before seeds are released.</w:t>
      </w:r>
    </w:p>
    <w:p w14:paraId="4406A6FB" w14:textId="77777777" w:rsidR="000D5C18" w:rsidRDefault="000D5C18" w:rsidP="003A1E42">
      <w:pPr>
        <w:spacing w:after="120" w:line="276" w:lineRule="auto"/>
        <w:rPr>
          <w:rFonts w:asciiTheme="minorHAnsi" w:hAnsiTheme="minorHAnsi"/>
          <w:b/>
          <w:bCs/>
          <w:sz w:val="24"/>
          <w:szCs w:val="24"/>
          <w:lang w:val="en-US"/>
        </w:rPr>
      </w:pPr>
      <w:r w:rsidRPr="003A1E42">
        <w:rPr>
          <w:rFonts w:asciiTheme="minorHAnsi" w:hAnsiTheme="minorHAnsi"/>
          <w:b/>
          <w:bCs/>
          <w:sz w:val="24"/>
          <w:szCs w:val="24"/>
          <w:lang w:val="en-US"/>
        </w:rPr>
        <w:t>Recommendations regarding biomass management are provided in Chapter 3.</w:t>
      </w:r>
    </w:p>
    <w:p w14:paraId="213903EE" w14:textId="77777777" w:rsidR="001E2BC0" w:rsidRPr="003A1E42" w:rsidRDefault="001E2BC0" w:rsidP="003A1E42">
      <w:pPr>
        <w:spacing w:after="120" w:line="276" w:lineRule="auto"/>
        <w:rPr>
          <w:rFonts w:asciiTheme="minorHAnsi" w:hAnsiTheme="minorHAnsi"/>
          <w:b/>
          <w:bCs/>
          <w:sz w:val="24"/>
          <w:szCs w:val="24"/>
          <w:lang w:val="en-US"/>
        </w:rPr>
      </w:pPr>
    </w:p>
    <w:p w14:paraId="694D92D9" w14:textId="34029E7C" w:rsidR="000D5C18" w:rsidRPr="00D049D4" w:rsidRDefault="000D5C18" w:rsidP="000D5C18">
      <w:pPr>
        <w:pStyle w:val="Heading2"/>
        <w:rPr>
          <w:lang w:val="en-US"/>
        </w:rPr>
      </w:pPr>
      <w:bookmarkStart w:id="18" w:name="_Toc239856699"/>
      <w:r w:rsidRPr="00D049D4">
        <w:rPr>
          <w:lang w:val="en-US"/>
        </w:rPr>
        <w:t>2.9. Dwarf serviceberry (</w:t>
      </w:r>
      <w:r w:rsidRPr="00D049D4">
        <w:rPr>
          <w:i/>
          <w:iCs/>
          <w:lang w:val="en-US"/>
        </w:rPr>
        <w:t>Amelanchier spicata</w:t>
      </w:r>
      <w:r w:rsidRPr="00D049D4">
        <w:rPr>
          <w:lang w:val="en-US"/>
        </w:rPr>
        <w:t>)</w:t>
      </w:r>
      <w:bookmarkEnd w:id="18"/>
    </w:p>
    <w:p w14:paraId="03DAF377" w14:textId="77777777" w:rsidR="000D5C18" w:rsidRPr="003A1E42" w:rsidRDefault="000D5C18" w:rsidP="003A1E42">
      <w:pPr>
        <w:spacing w:after="120" w:line="276" w:lineRule="auto"/>
        <w:jc w:val="both"/>
        <w:rPr>
          <w:rFonts w:asciiTheme="minorHAnsi" w:hAnsiTheme="minorHAnsi"/>
          <w:b/>
          <w:bCs/>
          <w:sz w:val="24"/>
          <w:szCs w:val="24"/>
          <w:lang w:val="en-US"/>
        </w:rPr>
      </w:pPr>
      <w:r w:rsidRPr="003A1E42">
        <w:rPr>
          <w:rFonts w:asciiTheme="minorHAnsi" w:hAnsiTheme="minorHAnsi"/>
          <w:b/>
          <w:bCs/>
          <w:sz w:val="24"/>
          <w:szCs w:val="24"/>
          <w:lang w:val="en-US"/>
        </w:rPr>
        <w:t>Characteristics of the species</w:t>
      </w:r>
    </w:p>
    <w:p w14:paraId="01BAC4C5" w14:textId="77777777" w:rsidR="000D5C18" w:rsidRPr="003A1E42" w:rsidRDefault="000D5C18" w:rsidP="003A1E42">
      <w:pPr>
        <w:spacing w:after="120" w:line="276" w:lineRule="auto"/>
        <w:jc w:val="both"/>
        <w:rPr>
          <w:rFonts w:asciiTheme="minorHAnsi" w:hAnsiTheme="minorHAnsi"/>
          <w:sz w:val="24"/>
          <w:szCs w:val="24"/>
          <w:lang w:val="en-US"/>
        </w:rPr>
      </w:pPr>
      <w:r w:rsidRPr="003A1E42">
        <w:rPr>
          <w:rFonts w:asciiTheme="minorHAnsi" w:hAnsiTheme="minorHAnsi"/>
          <w:sz w:val="24"/>
          <w:szCs w:val="24"/>
          <w:lang w:val="en-US"/>
        </w:rPr>
        <w:t xml:space="preserve">Dwarf serviceberry </w:t>
      </w:r>
      <w:r w:rsidRPr="003A1E42">
        <w:rPr>
          <w:rFonts w:asciiTheme="minorHAnsi" w:hAnsiTheme="minorHAnsi"/>
          <w:i/>
          <w:iCs/>
          <w:sz w:val="24"/>
          <w:szCs w:val="24"/>
          <w:lang w:val="en-US"/>
        </w:rPr>
        <w:t xml:space="preserve">(Amelanchier spicata) </w:t>
      </w:r>
      <w:r w:rsidRPr="003A1E42">
        <w:rPr>
          <w:rFonts w:asciiTheme="minorHAnsi" w:hAnsiTheme="minorHAnsi"/>
          <w:sz w:val="24"/>
          <w:szCs w:val="24"/>
          <w:lang w:val="en-US"/>
        </w:rPr>
        <w:t>is a tall shrub or small tree. It reproduces by seed. The fruits are readily eaten by birds, and the seeds are dispersed over considerable distances. It prefers acidic, sandy soils. It may impact native ecosystems by limiting the growth of other plants.</w:t>
      </w:r>
    </w:p>
    <w:p w14:paraId="751B774E" w14:textId="77777777" w:rsidR="000D5C18" w:rsidRPr="003A1E42" w:rsidRDefault="000D5C18" w:rsidP="003A1E42">
      <w:pPr>
        <w:spacing w:after="120" w:line="276" w:lineRule="auto"/>
        <w:jc w:val="both"/>
        <w:rPr>
          <w:rFonts w:asciiTheme="minorHAnsi" w:hAnsiTheme="minorHAnsi"/>
          <w:sz w:val="24"/>
          <w:szCs w:val="24"/>
          <w:lang w:val="en-US"/>
        </w:rPr>
      </w:pPr>
      <w:r w:rsidRPr="003A1E42">
        <w:rPr>
          <w:rFonts w:asciiTheme="minorHAnsi" w:hAnsiTheme="minorHAnsi"/>
          <w:sz w:val="24"/>
          <w:szCs w:val="24"/>
          <w:lang w:val="en-US"/>
        </w:rPr>
        <w:t>In the wild, it occurs primarily in forested areas, in thickets, and near urban areas</w:t>
      </w:r>
      <w:r w:rsidRPr="003A1E42">
        <w:rPr>
          <w:rStyle w:val="FootnoteReference"/>
          <w:rFonts w:asciiTheme="minorHAnsi" w:hAnsiTheme="minorHAnsi"/>
          <w:sz w:val="24"/>
          <w:szCs w:val="24"/>
        </w:rPr>
        <w:footnoteReference w:id="31"/>
      </w:r>
      <w:r w:rsidRPr="003A1E42">
        <w:rPr>
          <w:rFonts w:asciiTheme="minorHAnsi" w:hAnsiTheme="minorHAnsi"/>
          <w:sz w:val="24"/>
          <w:szCs w:val="24"/>
          <w:lang w:val="en-US"/>
        </w:rPr>
        <w:t xml:space="preserve"> .</w:t>
      </w:r>
    </w:p>
    <w:p w14:paraId="1DC20B89" w14:textId="759CBDFC" w:rsidR="000D5C18" w:rsidRPr="003A1E42" w:rsidRDefault="000D5C18" w:rsidP="003A1E42">
      <w:pPr>
        <w:spacing w:after="120" w:line="276" w:lineRule="auto"/>
        <w:jc w:val="both"/>
        <w:rPr>
          <w:rFonts w:asciiTheme="minorHAnsi" w:hAnsiTheme="minorHAnsi"/>
          <w:sz w:val="24"/>
          <w:szCs w:val="24"/>
          <w:lang w:val="en-US"/>
        </w:rPr>
      </w:pPr>
      <w:r w:rsidRPr="003A1E42">
        <w:rPr>
          <w:rFonts w:asciiTheme="minorHAnsi" w:hAnsiTheme="minorHAnsi"/>
          <w:sz w:val="24"/>
          <w:szCs w:val="24"/>
          <w:lang w:val="en-US"/>
        </w:rPr>
        <w:t>This species is described as rhizomatous, with vigorous regrowth, and capable of forming dense thickets (</w:t>
      </w:r>
      <w:r w:rsidRPr="003A1E42">
        <w:rPr>
          <w:rFonts w:asciiTheme="minorHAnsi" w:hAnsiTheme="minorHAnsi"/>
          <w:i/>
          <w:iCs/>
          <w:sz w:val="24"/>
          <w:szCs w:val="24"/>
          <w:lang w:val="en-US"/>
        </w:rPr>
        <w:t>Flora of North America 2020; Go Botany Native Plant Trust (New England) (2020)</w:t>
      </w:r>
      <w:r w:rsidRPr="003A1E42">
        <w:rPr>
          <w:rFonts w:asciiTheme="minorHAnsi" w:hAnsiTheme="minorHAnsi"/>
          <w:sz w:val="24"/>
          <w:szCs w:val="24"/>
          <w:lang w:val="en-US"/>
        </w:rPr>
        <w:t>). Its potential for vegetative spread via rhizomes makes it difficult to eradicate the species if it goes undetected for more than a few years, by which time it will have established a wide range and a firm foothold</w:t>
      </w:r>
      <w:r w:rsidRPr="003A1E42">
        <w:rPr>
          <w:rStyle w:val="FootnoteReference"/>
          <w:rFonts w:asciiTheme="minorHAnsi" w:hAnsiTheme="minorHAnsi"/>
          <w:sz w:val="24"/>
          <w:szCs w:val="24"/>
        </w:rPr>
        <w:footnoteReference w:id="32"/>
      </w:r>
      <w:r w:rsidRPr="003A1E42">
        <w:rPr>
          <w:rFonts w:asciiTheme="minorHAnsi" w:hAnsiTheme="minorHAnsi"/>
          <w:sz w:val="24"/>
          <w:szCs w:val="24"/>
          <w:lang w:val="en-US"/>
        </w:rPr>
        <w:t>.</w:t>
      </w:r>
    </w:p>
    <w:p w14:paraId="7A67F389" w14:textId="19315DFE" w:rsidR="00FB23F5" w:rsidRPr="00626277" w:rsidRDefault="0019511F" w:rsidP="004B437C">
      <w:pPr>
        <w:jc w:val="center"/>
      </w:pPr>
      <w:r w:rsidRPr="00626277">
        <w:drawing>
          <wp:inline distT="0" distB="0" distL="0" distR="0" wp14:anchorId="15EF8D0D" wp14:editId="6DF66906">
            <wp:extent cx="5444805" cy="7719237"/>
            <wp:effectExtent l="0" t="0" r="3810" b="0"/>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455294" cy="7734107"/>
                    </a:xfrm>
                    <a:prstGeom prst="rect">
                      <a:avLst/>
                    </a:prstGeom>
                  </pic:spPr>
                </pic:pic>
              </a:graphicData>
            </a:graphic>
          </wp:inline>
        </w:drawing>
      </w:r>
    </w:p>
    <w:p w14:paraId="70663709" w14:textId="3804FE38" w:rsidR="000D5C18" w:rsidRPr="004B437C" w:rsidRDefault="000D5C18" w:rsidP="000D5C18">
      <w:pPr>
        <w:rPr>
          <w:rFonts w:asciiTheme="minorHAnsi" w:hAnsiTheme="minorHAnsi"/>
          <w:sz w:val="18"/>
          <w:szCs w:val="18"/>
        </w:rPr>
      </w:pPr>
      <w:r w:rsidRPr="003A1E42">
        <w:rPr>
          <w:rFonts w:asciiTheme="minorHAnsi" w:hAnsiTheme="minorHAnsi"/>
          <w:sz w:val="18"/>
          <w:szCs w:val="18"/>
          <w:lang w:val="en-US"/>
        </w:rPr>
        <w:t xml:space="preserve">Source: B. Tokarska-Guzik, Z. Dajdok, M. Zając, A. Zając, A. Urbisz, W. Danielewicz: Plants of Foreign Origin in Poland, with Particular Emphasis on Invasive Species. </w:t>
      </w:r>
      <w:r w:rsidRPr="003A1E42">
        <w:rPr>
          <w:rFonts w:asciiTheme="minorHAnsi" w:hAnsiTheme="minorHAnsi"/>
          <w:sz w:val="18"/>
          <w:szCs w:val="18"/>
        </w:rPr>
        <w:t>Warsaw: General Directorate for Environmental Protection, 2012. ISBN 978-83-62940-34-9</w:t>
      </w:r>
    </w:p>
    <w:p w14:paraId="3DFBFFAA" w14:textId="305ABC57" w:rsidR="000D5C18" w:rsidRPr="003A1E42" w:rsidRDefault="00446F7D" w:rsidP="00BA071D">
      <w:pPr>
        <w:spacing w:after="120" w:line="276" w:lineRule="auto"/>
        <w:rPr>
          <w:rFonts w:asciiTheme="minorHAnsi" w:hAnsiTheme="minorHAnsi"/>
          <w:b/>
          <w:bCs/>
          <w:sz w:val="24"/>
          <w:szCs w:val="24"/>
        </w:rPr>
      </w:pPr>
      <w:r w:rsidRPr="003A1E42">
        <w:rPr>
          <w:rFonts w:asciiTheme="minorHAnsi" w:hAnsiTheme="minorHAnsi"/>
          <w:b/>
          <w:bCs/>
          <w:sz w:val="24"/>
          <w:szCs w:val="24"/>
        </w:rPr>
        <w:t>Eradication methods</w:t>
      </w:r>
    </w:p>
    <w:p w14:paraId="078BF8A0" w14:textId="77777777" w:rsidR="000D5C18" w:rsidRPr="003A1E42" w:rsidRDefault="000D5C18" w:rsidP="00BA071D">
      <w:pPr>
        <w:pStyle w:val="ListParagraph"/>
        <w:numPr>
          <w:ilvl w:val="0"/>
          <w:numId w:val="8"/>
        </w:numPr>
        <w:spacing w:after="120" w:line="276" w:lineRule="auto"/>
        <w:contextualSpacing w:val="0"/>
        <w:jc w:val="both"/>
        <w:rPr>
          <w:rFonts w:asciiTheme="minorHAnsi" w:hAnsiTheme="minorHAnsi"/>
          <w:sz w:val="24"/>
          <w:szCs w:val="24"/>
          <w:lang w:val="en-US"/>
        </w:rPr>
      </w:pPr>
      <w:r w:rsidRPr="003A1E42">
        <w:rPr>
          <w:rFonts w:asciiTheme="minorHAnsi" w:hAnsiTheme="minorHAnsi"/>
          <w:sz w:val="24"/>
          <w:szCs w:val="24"/>
          <w:lang w:val="en-US"/>
        </w:rPr>
        <w:t>Controlling the dwarf serviceberry typically involves regular mowing or pulling up young plants.</w:t>
      </w:r>
    </w:p>
    <w:p w14:paraId="1FCDB9C4" w14:textId="77777777" w:rsidR="000D5C18" w:rsidRPr="003A1E42" w:rsidRDefault="000D5C18" w:rsidP="00BA071D">
      <w:pPr>
        <w:pStyle w:val="ListParagraph"/>
        <w:numPr>
          <w:ilvl w:val="0"/>
          <w:numId w:val="8"/>
        </w:numPr>
        <w:spacing w:after="120" w:line="276" w:lineRule="auto"/>
        <w:contextualSpacing w:val="0"/>
        <w:jc w:val="both"/>
        <w:rPr>
          <w:rFonts w:asciiTheme="minorHAnsi" w:hAnsiTheme="minorHAnsi"/>
          <w:sz w:val="24"/>
          <w:szCs w:val="24"/>
          <w:lang w:val="en-US"/>
        </w:rPr>
      </w:pPr>
      <w:r w:rsidRPr="003A1E42">
        <w:rPr>
          <w:rFonts w:asciiTheme="minorHAnsi" w:hAnsiTheme="minorHAnsi"/>
          <w:sz w:val="24"/>
          <w:szCs w:val="24"/>
          <w:lang w:val="en-US"/>
        </w:rPr>
        <w:t xml:space="preserve">The plant’s vegetative spread and regrowth make it difficult to control, as repeated manual cutting will be necessary. </w:t>
      </w:r>
      <w:r w:rsidRPr="003A1E42">
        <w:rPr>
          <w:rFonts w:asciiTheme="minorHAnsi" w:hAnsiTheme="minorHAnsi"/>
          <w:i/>
          <w:iCs/>
          <w:sz w:val="24"/>
          <w:szCs w:val="24"/>
          <w:lang w:val="en-US"/>
        </w:rPr>
        <w:t xml:space="preserve">Kabuce &amp; Pieder (2010) </w:t>
      </w:r>
      <w:r w:rsidRPr="003A1E42">
        <w:rPr>
          <w:rFonts w:asciiTheme="minorHAnsi" w:hAnsiTheme="minorHAnsi"/>
          <w:sz w:val="24"/>
          <w:szCs w:val="24"/>
          <w:lang w:val="en-US"/>
        </w:rPr>
        <w:t>and references cited by them describe the rapid regrowth of shoots from stems that were cut the previous year (52% of shoots regenerate); shoots can produce fruit in their third or fourth year</w:t>
      </w:r>
      <w:r w:rsidRPr="003A1E42">
        <w:rPr>
          <w:rStyle w:val="FootnoteReference"/>
          <w:rFonts w:asciiTheme="minorHAnsi" w:hAnsiTheme="minorHAnsi"/>
          <w:sz w:val="24"/>
          <w:szCs w:val="24"/>
        </w:rPr>
        <w:footnoteReference w:id="33"/>
      </w:r>
      <w:r w:rsidRPr="003A1E42">
        <w:rPr>
          <w:rFonts w:asciiTheme="minorHAnsi" w:hAnsiTheme="minorHAnsi"/>
          <w:sz w:val="24"/>
          <w:szCs w:val="24"/>
          <w:lang w:val="en-US"/>
        </w:rPr>
        <w:t xml:space="preserve"> .</w:t>
      </w:r>
    </w:p>
    <w:p w14:paraId="325C4B0D" w14:textId="525AD6B2" w:rsidR="000D5C18" w:rsidRPr="003A1E42" w:rsidRDefault="000D5C18" w:rsidP="00BA071D">
      <w:pPr>
        <w:spacing w:after="120" w:line="276" w:lineRule="auto"/>
        <w:rPr>
          <w:rFonts w:asciiTheme="minorHAnsi" w:hAnsiTheme="minorHAnsi"/>
          <w:b/>
          <w:bCs/>
          <w:sz w:val="24"/>
          <w:szCs w:val="24"/>
          <w:lang w:val="en-US"/>
        </w:rPr>
      </w:pPr>
      <w:r w:rsidRPr="003A1E42">
        <w:rPr>
          <w:rFonts w:asciiTheme="minorHAnsi" w:hAnsiTheme="minorHAnsi"/>
          <w:b/>
          <w:bCs/>
          <w:sz w:val="24"/>
          <w:szCs w:val="24"/>
          <w:lang w:val="en-US"/>
        </w:rPr>
        <w:t>Recommendations regarding biomass management are provided in Chapter 3.</w:t>
      </w:r>
    </w:p>
    <w:p w14:paraId="43F898C9" w14:textId="4778EAAC" w:rsidR="000D5C18" w:rsidRPr="00D049D4" w:rsidRDefault="008B6E13" w:rsidP="00BA071D">
      <w:pPr>
        <w:pStyle w:val="Heading2"/>
        <w:jc w:val="both"/>
        <w:rPr>
          <w:lang w:val="en-US"/>
        </w:rPr>
      </w:pPr>
      <w:bookmarkStart w:id="19" w:name="_Toc239856700"/>
      <w:r w:rsidRPr="00D049D4">
        <w:rPr>
          <w:lang w:val="en-US"/>
        </w:rPr>
        <w:t>2.10. Steeplebush (</w:t>
      </w:r>
      <w:r w:rsidRPr="00D049D4">
        <w:rPr>
          <w:i/>
          <w:iCs/>
          <w:lang w:val="en-US"/>
        </w:rPr>
        <w:t>Spiraea tomentosa</w:t>
      </w:r>
      <w:r w:rsidRPr="00D049D4">
        <w:rPr>
          <w:lang w:val="en-US"/>
        </w:rPr>
        <w:t>)</w:t>
      </w:r>
      <w:bookmarkEnd w:id="19"/>
    </w:p>
    <w:p w14:paraId="667A8174" w14:textId="77777777" w:rsidR="008B6E13" w:rsidRPr="00BA071D" w:rsidRDefault="008B6E13" w:rsidP="00BA071D">
      <w:pPr>
        <w:spacing w:after="120" w:line="276" w:lineRule="auto"/>
        <w:jc w:val="both"/>
        <w:rPr>
          <w:rFonts w:asciiTheme="minorHAnsi" w:hAnsiTheme="minorHAnsi"/>
          <w:b/>
          <w:bCs/>
          <w:sz w:val="24"/>
          <w:szCs w:val="24"/>
          <w:lang w:val="en-US"/>
        </w:rPr>
      </w:pPr>
      <w:r w:rsidRPr="00BA071D">
        <w:rPr>
          <w:rFonts w:asciiTheme="minorHAnsi" w:hAnsiTheme="minorHAnsi"/>
          <w:b/>
          <w:bCs/>
          <w:sz w:val="24"/>
          <w:szCs w:val="24"/>
          <w:lang w:val="en-US"/>
        </w:rPr>
        <w:t>Characteristics of the species</w:t>
      </w:r>
    </w:p>
    <w:p w14:paraId="04C51C5B" w14:textId="77777777" w:rsidR="008B6E13" w:rsidRPr="00BA071D" w:rsidRDefault="008B6E13" w:rsidP="00BA071D">
      <w:pPr>
        <w:spacing w:after="120" w:line="276" w:lineRule="auto"/>
        <w:jc w:val="both"/>
        <w:rPr>
          <w:rFonts w:asciiTheme="minorHAnsi" w:hAnsiTheme="minorHAnsi"/>
          <w:sz w:val="24"/>
          <w:szCs w:val="24"/>
          <w:lang w:val="en-US"/>
        </w:rPr>
      </w:pPr>
      <w:r w:rsidRPr="00BA071D">
        <w:rPr>
          <w:rFonts w:asciiTheme="minorHAnsi" w:hAnsiTheme="minorHAnsi"/>
          <w:i/>
          <w:iCs/>
          <w:sz w:val="24"/>
          <w:szCs w:val="24"/>
          <w:lang w:val="en-US"/>
        </w:rPr>
        <w:t xml:space="preserve">Steeplebush </w:t>
      </w:r>
      <w:r w:rsidRPr="00BA071D">
        <w:rPr>
          <w:rFonts w:asciiTheme="minorHAnsi" w:hAnsiTheme="minorHAnsi"/>
          <w:sz w:val="24"/>
          <w:szCs w:val="24"/>
          <w:lang w:val="en-US"/>
        </w:rPr>
        <w:t>is an upright shrub reaching a height of up to 3 m (on average 0.8–1.5 m), with unbranched shoots and numerous underground stolons. The shoots are covered with a woolly, rust-colored tomentum, and the leaves are ovate (3–7 cm long), dark green on top, gray-green underneath, and covered with a dense tomentum. The flowers form pink, conical panicles (up to 15 cm long), located at the tips of this year’s shoots. The fruits are small, capsule-like, and the seeds are light and winged; the seed capsules may remain on the shoots even in winter. It most commonly occurs in low and transitional peatlands, moist heathlands, and less frequently in alder forests, riparian forests, marshy birch forests, or abandoned meadows. The flowers of the Steeplebush, composed of 5 sepals, 5 petals, 5 pistils, and numerous stamens, are pink and arranged in terminal, conical panicles up to 20 cm long. Flowering lasts from July to August, and the seeds ripen in late October and early November. The shrub’s fruit is a multi-chambered capsule composed of 5 dry chambers that split along the ventral seam, each containing 2 to 10 seeds; thus, a single flower can produce up to 50 seeds per year. Mature seeds, which are approximately 2 mm long and 0.2 mm wide, have a high germination rate and are adapted for dispersal by water (hydrochory). Under favorable conditions, Steeplebush reaches maturity in its third or fourth growing season. Removing spiraea is generally difficult; most often, the rhizomes remain in the ground, crumbling and breaking apart. Even in the case of individual clumps (regardless of the substrate), they are so compact that uprooting them poses significant difficulties</w:t>
      </w:r>
      <w:r w:rsidRPr="00BA071D">
        <w:rPr>
          <w:rStyle w:val="FootnoteReference"/>
          <w:rFonts w:asciiTheme="minorHAnsi" w:hAnsiTheme="minorHAnsi"/>
          <w:sz w:val="24"/>
          <w:szCs w:val="24"/>
        </w:rPr>
        <w:footnoteReference w:id="34"/>
      </w:r>
      <w:r w:rsidRPr="00BA071D">
        <w:rPr>
          <w:rFonts w:asciiTheme="minorHAnsi" w:hAnsiTheme="minorHAnsi"/>
          <w:sz w:val="24"/>
          <w:szCs w:val="24"/>
          <w:lang w:val="en-US"/>
        </w:rPr>
        <w:t xml:space="preserve"> .</w:t>
      </w:r>
    </w:p>
    <w:p w14:paraId="208D4F9C" w14:textId="3EC7D3D6" w:rsidR="00BA071D" w:rsidRDefault="008B6E13" w:rsidP="00BA071D">
      <w:pPr>
        <w:spacing w:after="120" w:line="276" w:lineRule="auto"/>
        <w:jc w:val="both"/>
        <w:rPr>
          <w:rFonts w:asciiTheme="minorHAnsi" w:hAnsiTheme="minorHAnsi"/>
          <w:sz w:val="24"/>
          <w:szCs w:val="24"/>
          <w:lang w:val="en-US"/>
        </w:rPr>
      </w:pPr>
      <w:r w:rsidRPr="00BA071D">
        <w:rPr>
          <w:rFonts w:asciiTheme="minorHAnsi" w:hAnsiTheme="minorHAnsi"/>
          <w:sz w:val="24"/>
          <w:szCs w:val="24"/>
          <w:lang w:val="en-US"/>
        </w:rPr>
        <w:t>The shrub’s expansion may also be facilitated by regularly repeated practices such as mowing or pulling up riparian vegetation and dredging watercourses, combined with the removal of silt and its storage on the slopes of the watercourses. Habitats containing patches of exposed soil are particularly vulnerable to the establishment of invasive species, especially when eutrophication occurs simultaneously. Highly sunlit communities are the most susceptible to its spread. Steeplebush therefore most commonly colonizes wetland ecosystems, particularly linear microhabitats such as the edges of ditches, ponds, and natural watercourses. It also frequently invades unmowed meadows, where its populations become densely clustered (approximately 60% of this plant’s sites in meadow communities consist of aggregations that take the form of intermittent or dense stands). Its occurrences are also found on forest edges, pond shores, and boundary lines, in areas beneath high-voltage power lines, and along the banks of natural watercourses</w:t>
      </w:r>
      <w:r w:rsidRPr="00BA071D">
        <w:rPr>
          <w:rStyle w:val="FootnoteReference"/>
          <w:rFonts w:asciiTheme="minorHAnsi" w:hAnsiTheme="minorHAnsi"/>
          <w:sz w:val="24"/>
          <w:szCs w:val="24"/>
        </w:rPr>
        <w:footnoteReference w:id="35"/>
      </w:r>
      <w:r w:rsidRPr="00BA071D">
        <w:rPr>
          <w:rFonts w:asciiTheme="minorHAnsi" w:hAnsiTheme="minorHAnsi"/>
          <w:sz w:val="24"/>
          <w:szCs w:val="24"/>
          <w:lang w:val="en-US"/>
        </w:rPr>
        <w:t xml:space="preserve"> .</w:t>
      </w:r>
    </w:p>
    <w:p w14:paraId="54337156" w14:textId="77777777" w:rsidR="007F0B51" w:rsidRDefault="007F0B51" w:rsidP="00BA071D">
      <w:pPr>
        <w:spacing w:after="120" w:line="276" w:lineRule="auto"/>
        <w:jc w:val="both"/>
        <w:rPr>
          <w:rFonts w:asciiTheme="minorHAnsi" w:hAnsiTheme="minorHAnsi"/>
          <w:sz w:val="24"/>
          <w:szCs w:val="24"/>
          <w:lang w:val="en-US"/>
        </w:rPr>
      </w:pPr>
    </w:p>
    <w:p w14:paraId="2CBAA5AF" w14:textId="3824E794" w:rsidR="007F0B51" w:rsidRPr="00BA071D" w:rsidRDefault="007F0B51" w:rsidP="007F0B51">
      <w:pPr>
        <w:spacing w:after="120" w:line="276" w:lineRule="auto"/>
        <w:jc w:val="center"/>
        <w:rPr>
          <w:rFonts w:asciiTheme="minorHAnsi" w:hAnsiTheme="minorHAnsi"/>
          <w:sz w:val="24"/>
          <w:szCs w:val="24"/>
          <w:lang w:val="en-US"/>
        </w:rPr>
      </w:pPr>
      <w:r w:rsidRPr="00626277">
        <w:drawing>
          <wp:inline distT="0" distB="0" distL="0" distR="0" wp14:anchorId="7AD4DAD9" wp14:editId="560E8463">
            <wp:extent cx="3877750" cy="3689498"/>
            <wp:effectExtent l="0" t="0" r="8890" b="635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929232" cy="3738481"/>
                    </a:xfrm>
                    <a:prstGeom prst="rect">
                      <a:avLst/>
                    </a:prstGeom>
                  </pic:spPr>
                </pic:pic>
              </a:graphicData>
            </a:graphic>
          </wp:inline>
        </w:drawing>
      </w:r>
    </w:p>
    <w:p w14:paraId="3181F41D" w14:textId="21FF53FF" w:rsidR="0019511F" w:rsidRPr="00626277" w:rsidRDefault="0019511F" w:rsidP="007F0B51">
      <w:pPr>
        <w:jc w:val="center"/>
      </w:pPr>
      <w:r w:rsidRPr="00626277">
        <w:drawing>
          <wp:inline distT="0" distB="0" distL="0" distR="0" wp14:anchorId="7465946C" wp14:editId="77FBF382">
            <wp:extent cx="2807840" cy="4465122"/>
            <wp:effectExtent l="0" t="0" r="0" b="0"/>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813558" cy="4474215"/>
                    </a:xfrm>
                    <a:prstGeom prst="rect">
                      <a:avLst/>
                    </a:prstGeom>
                  </pic:spPr>
                </pic:pic>
              </a:graphicData>
            </a:graphic>
          </wp:inline>
        </w:drawing>
      </w:r>
    </w:p>
    <w:p w14:paraId="45C00272" w14:textId="649562FF" w:rsidR="00FB23F5" w:rsidRPr="00626277" w:rsidRDefault="0019511F" w:rsidP="007F0B51">
      <w:pPr>
        <w:jc w:val="center"/>
      </w:pPr>
      <w:r w:rsidRPr="00626277">
        <w:drawing>
          <wp:inline distT="0" distB="0" distL="0" distR="0" wp14:anchorId="5203BFC1" wp14:editId="74E03743">
            <wp:extent cx="4499610" cy="3570605"/>
            <wp:effectExtent l="0" t="0" r="0" b="0"/>
            <wp:docPr id="50" name="Obraz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499610" cy="3570605"/>
                    </a:xfrm>
                    <a:prstGeom prst="rect">
                      <a:avLst/>
                    </a:prstGeom>
                  </pic:spPr>
                </pic:pic>
              </a:graphicData>
            </a:graphic>
          </wp:inline>
        </w:drawing>
      </w:r>
    </w:p>
    <w:p w14:paraId="75C02C2A" w14:textId="01F95FD6" w:rsidR="008B6E13" w:rsidRPr="007F0B51" w:rsidRDefault="00446F7D" w:rsidP="007F0B51">
      <w:pPr>
        <w:spacing w:after="120" w:line="276" w:lineRule="auto"/>
        <w:jc w:val="both"/>
        <w:rPr>
          <w:rFonts w:asciiTheme="minorHAnsi" w:hAnsiTheme="minorHAnsi"/>
          <w:b/>
          <w:bCs/>
          <w:sz w:val="24"/>
          <w:szCs w:val="24"/>
          <w:lang w:val="en-US"/>
        </w:rPr>
      </w:pPr>
      <w:r w:rsidRPr="007F0B51">
        <w:rPr>
          <w:rFonts w:asciiTheme="minorHAnsi" w:hAnsiTheme="minorHAnsi"/>
          <w:b/>
          <w:bCs/>
          <w:sz w:val="24"/>
          <w:szCs w:val="24"/>
          <w:lang w:val="en-US"/>
        </w:rPr>
        <w:t>Eradication methods</w:t>
      </w:r>
    </w:p>
    <w:p w14:paraId="686B2FB5" w14:textId="77777777" w:rsidR="008B6E13" w:rsidRPr="007F0B51" w:rsidRDefault="008B6E13" w:rsidP="007F0B51">
      <w:pPr>
        <w:spacing w:after="120" w:line="276" w:lineRule="auto"/>
        <w:jc w:val="both"/>
        <w:rPr>
          <w:rFonts w:asciiTheme="minorHAnsi" w:hAnsiTheme="minorHAnsi"/>
          <w:sz w:val="24"/>
          <w:szCs w:val="24"/>
          <w:lang w:val="en-US"/>
        </w:rPr>
      </w:pPr>
      <w:r w:rsidRPr="007F0B51">
        <w:rPr>
          <w:rFonts w:asciiTheme="minorHAnsi" w:hAnsiTheme="minorHAnsi"/>
          <w:sz w:val="24"/>
          <w:szCs w:val="24"/>
          <w:lang w:val="en-US"/>
        </w:rPr>
        <w:t xml:space="preserve">Measures taken to date to eliminate, control, or isolate the species in question. Due to the characteristics of the steeplebush—primarily its very high reproductive potential and its ability to regenerate rapidly after mechanical damage—limiting the spread of this species </w:t>
      </w:r>
      <w:r w:rsidRPr="007F0B51">
        <w:rPr>
          <w:rFonts w:asciiTheme="minorHAnsi" w:hAnsiTheme="minorHAnsi"/>
          <w:b/>
          <w:bCs/>
          <w:sz w:val="24"/>
          <w:szCs w:val="24"/>
          <w:lang w:val="en-US"/>
        </w:rPr>
        <w:t>is exceptionally difficult</w:t>
      </w:r>
      <w:r w:rsidRPr="007F0B51">
        <w:rPr>
          <w:rFonts w:asciiTheme="minorHAnsi" w:hAnsiTheme="minorHAnsi"/>
          <w:sz w:val="24"/>
          <w:szCs w:val="24"/>
          <w:lang w:val="en-US"/>
        </w:rPr>
        <w:t xml:space="preserve">. </w:t>
      </w:r>
    </w:p>
    <w:p w14:paraId="731214AF" w14:textId="77777777" w:rsidR="008B6E13" w:rsidRPr="007F0B51" w:rsidRDefault="008B6E13" w:rsidP="007F0B51">
      <w:pPr>
        <w:spacing w:after="120" w:line="276" w:lineRule="auto"/>
        <w:jc w:val="both"/>
        <w:rPr>
          <w:rFonts w:asciiTheme="minorHAnsi" w:hAnsiTheme="minorHAnsi"/>
          <w:sz w:val="24"/>
          <w:szCs w:val="24"/>
          <w:lang w:val="en-US"/>
        </w:rPr>
      </w:pPr>
      <w:r w:rsidRPr="007F0B51">
        <w:rPr>
          <w:rFonts w:asciiTheme="minorHAnsi" w:hAnsiTheme="minorHAnsi"/>
          <w:sz w:val="24"/>
          <w:szCs w:val="24"/>
          <w:lang w:val="en-US"/>
        </w:rPr>
        <w:t xml:space="preserve">In Poland, efforts to control it are primarily undertaken in the Drawska Forest. Mowing and hand-pulling have been tested as methods for controlling the spiraea. Mowing with a mechanical scythe proved completely ineffective, as the shrub regrows, restoring its original density within a few months. Mowing its shoots twice also failed to yield positive results. </w:t>
      </w:r>
    </w:p>
    <w:p w14:paraId="17B066ED" w14:textId="557295C0" w:rsidR="008B6E13" w:rsidRPr="007F0B51" w:rsidRDefault="008B6E13" w:rsidP="007F0B51">
      <w:pPr>
        <w:spacing w:after="120" w:line="276" w:lineRule="auto"/>
        <w:jc w:val="both"/>
        <w:rPr>
          <w:rFonts w:asciiTheme="minorHAnsi" w:hAnsiTheme="minorHAnsi"/>
          <w:sz w:val="24"/>
          <w:szCs w:val="24"/>
          <w:lang w:val="en-US"/>
        </w:rPr>
      </w:pPr>
      <w:r w:rsidRPr="007F0B51">
        <w:rPr>
          <w:rFonts w:asciiTheme="minorHAnsi" w:hAnsiTheme="minorHAnsi"/>
          <w:sz w:val="24"/>
          <w:szCs w:val="24"/>
          <w:lang w:val="en-US"/>
        </w:rPr>
        <w:t>However, uprooting individual shrubs proved effective, provided that their density is not high (patches with single, scattered individuals) and the treatment is repeated 4 to 5 times over subsequent years. In the case of dense populations of the species, the effectiveness of control is low. The reduction in density resulting from a single treatment was no greater than 20% to 40%, and a visible effect was achieved only after repeating the procedure five times. It was also observed that specimens that were uprooted and turned over— —with the root ball facing upward usually die, and leaving them in piles slightly limits regrowth; provided that the treatment is repeated in subsequent years, this appears to be a rational alternative to uprooting and removing the remains outside the species’ range. In some cases, the thinning of the shrub population was also influenced by a rise in the groundwater level. In the Lower Silesian Forests, however, the secondary waterlogging of one of the peatlands did not lead to a deterioration in the condition of the Steeplebush</w:t>
      </w:r>
      <w:r w:rsidRPr="007F0B51">
        <w:rPr>
          <w:rStyle w:val="FootnoteReference"/>
          <w:rFonts w:asciiTheme="minorHAnsi" w:hAnsiTheme="minorHAnsi"/>
          <w:sz w:val="24"/>
          <w:szCs w:val="24"/>
        </w:rPr>
        <w:footnoteReference w:id="36"/>
      </w:r>
      <w:r w:rsidRPr="007F0B51">
        <w:rPr>
          <w:rFonts w:asciiTheme="minorHAnsi" w:hAnsiTheme="minorHAnsi"/>
          <w:sz w:val="24"/>
          <w:szCs w:val="24"/>
          <w:lang w:val="en-US"/>
        </w:rPr>
        <w:t xml:space="preserve"> .</w:t>
      </w:r>
    </w:p>
    <w:p w14:paraId="6569548F" w14:textId="27E7BBDF" w:rsidR="008B6E13" w:rsidRPr="007F0B51" w:rsidRDefault="008B6E13" w:rsidP="007F0B51">
      <w:pPr>
        <w:spacing w:after="120" w:line="276" w:lineRule="auto"/>
        <w:jc w:val="both"/>
        <w:rPr>
          <w:rFonts w:asciiTheme="minorHAnsi" w:hAnsiTheme="minorHAnsi"/>
          <w:sz w:val="24"/>
          <w:szCs w:val="24"/>
          <w:lang w:val="en-US"/>
        </w:rPr>
      </w:pPr>
      <w:r w:rsidRPr="007F0B51">
        <w:rPr>
          <w:rFonts w:asciiTheme="minorHAnsi" w:hAnsiTheme="minorHAnsi"/>
          <w:sz w:val="24"/>
          <w:szCs w:val="24"/>
          <w:lang w:val="en-US"/>
        </w:rPr>
        <w:t>When selecting a control method, it is also recommended to consult the Compendium of Control Methods published by the General Directorate for Environmental Protection (GDOŚ) in 2022</w:t>
      </w:r>
      <w:r w:rsidRPr="007F0B51">
        <w:rPr>
          <w:rStyle w:val="FootnoteReference"/>
          <w:rFonts w:asciiTheme="minorHAnsi" w:hAnsiTheme="minorHAnsi"/>
          <w:sz w:val="24"/>
          <w:szCs w:val="24"/>
        </w:rPr>
        <w:footnoteReference w:id="37"/>
      </w:r>
      <w:r w:rsidRPr="007F0B51">
        <w:rPr>
          <w:rFonts w:asciiTheme="minorHAnsi" w:hAnsiTheme="minorHAnsi"/>
          <w:sz w:val="24"/>
          <w:szCs w:val="24"/>
          <w:lang w:val="en-US"/>
        </w:rPr>
        <w:t xml:space="preserve"> . The Compendium provides an overview of the methods for controlling the Steeplebush recommended for use in Poland.</w:t>
      </w:r>
    </w:p>
    <w:p w14:paraId="14DDD036" w14:textId="77777777" w:rsidR="008B6E13" w:rsidRPr="007F0B51" w:rsidRDefault="008B6E13" w:rsidP="007F0B51">
      <w:pPr>
        <w:spacing w:after="120" w:line="276" w:lineRule="auto"/>
        <w:jc w:val="both"/>
        <w:rPr>
          <w:rFonts w:asciiTheme="minorHAnsi" w:hAnsiTheme="minorHAnsi"/>
          <w:b/>
          <w:bCs/>
          <w:sz w:val="24"/>
          <w:szCs w:val="24"/>
          <w:lang w:val="en-US"/>
        </w:rPr>
      </w:pPr>
      <w:r w:rsidRPr="007F0B51">
        <w:rPr>
          <w:rFonts w:asciiTheme="minorHAnsi" w:hAnsiTheme="minorHAnsi"/>
          <w:b/>
          <w:bCs/>
          <w:sz w:val="24"/>
          <w:szCs w:val="24"/>
          <w:lang w:val="en-US"/>
        </w:rPr>
        <w:t>Recommendations regarding biomass management are provided in Chapter 3.</w:t>
      </w:r>
    </w:p>
    <w:p w14:paraId="2A48B635" w14:textId="37EC0BE1" w:rsidR="008B6E13" w:rsidRPr="00D049D4" w:rsidRDefault="008B6E13" w:rsidP="008B6E13">
      <w:pPr>
        <w:pStyle w:val="Heading2"/>
        <w:rPr>
          <w:lang w:val="en-US"/>
        </w:rPr>
      </w:pPr>
      <w:bookmarkStart w:id="20" w:name="_Toc239856701"/>
      <w:r w:rsidRPr="00D049D4">
        <w:rPr>
          <w:lang w:val="en-US"/>
        </w:rPr>
        <w:t xml:space="preserve">2.11. </w:t>
      </w:r>
      <w:r w:rsidR="0019511F" w:rsidRPr="00D049D4">
        <w:rPr>
          <w:lang w:val="en-US"/>
        </w:rPr>
        <w:t xml:space="preserve">Spotted loosestrife </w:t>
      </w:r>
      <w:r w:rsidRPr="00D049D4">
        <w:rPr>
          <w:lang w:val="en-US"/>
        </w:rPr>
        <w:t>(</w:t>
      </w:r>
      <w:r w:rsidRPr="00D049D4">
        <w:rPr>
          <w:i/>
          <w:iCs/>
          <w:lang w:val="en-US"/>
        </w:rPr>
        <w:t>Lysimachia punctata</w:t>
      </w:r>
      <w:r w:rsidRPr="00D049D4">
        <w:rPr>
          <w:lang w:val="en-US"/>
        </w:rPr>
        <w:t>)</w:t>
      </w:r>
      <w:bookmarkEnd w:id="20"/>
    </w:p>
    <w:p w14:paraId="57918BAC" w14:textId="77777777" w:rsidR="008B6E13" w:rsidRPr="00E63777" w:rsidRDefault="008B6E13" w:rsidP="00E63777">
      <w:pPr>
        <w:spacing w:after="120" w:line="276" w:lineRule="auto"/>
        <w:jc w:val="both"/>
        <w:rPr>
          <w:rFonts w:asciiTheme="minorHAnsi" w:hAnsiTheme="minorHAnsi"/>
          <w:b/>
          <w:bCs/>
          <w:sz w:val="24"/>
          <w:szCs w:val="24"/>
          <w:lang w:val="en-US"/>
        </w:rPr>
      </w:pPr>
      <w:r w:rsidRPr="00E63777">
        <w:rPr>
          <w:rFonts w:asciiTheme="minorHAnsi" w:hAnsiTheme="minorHAnsi"/>
          <w:b/>
          <w:bCs/>
          <w:sz w:val="24"/>
          <w:szCs w:val="24"/>
          <w:lang w:val="en-US"/>
        </w:rPr>
        <w:t>Characteristics of the species</w:t>
      </w:r>
    </w:p>
    <w:p w14:paraId="05A820C0" w14:textId="77777777" w:rsidR="008B6E13" w:rsidRPr="00E63777" w:rsidRDefault="008B6E13" w:rsidP="00E63777">
      <w:pPr>
        <w:spacing w:after="120" w:line="276" w:lineRule="auto"/>
        <w:jc w:val="both"/>
        <w:rPr>
          <w:rFonts w:asciiTheme="minorHAnsi" w:hAnsiTheme="minorHAnsi"/>
          <w:sz w:val="24"/>
          <w:szCs w:val="24"/>
          <w:lang w:val="en-US"/>
        </w:rPr>
      </w:pPr>
      <w:r w:rsidRPr="00E63777">
        <w:rPr>
          <w:rFonts w:asciiTheme="minorHAnsi" w:hAnsiTheme="minorHAnsi"/>
          <w:sz w:val="24"/>
          <w:szCs w:val="24"/>
          <w:lang w:val="en-US"/>
        </w:rPr>
        <w:t xml:space="preserve">Spotted loosestrife </w:t>
      </w:r>
      <w:r w:rsidRPr="00E63777">
        <w:rPr>
          <w:rFonts w:asciiTheme="minorHAnsi" w:hAnsiTheme="minorHAnsi"/>
          <w:i/>
          <w:iCs/>
          <w:sz w:val="24"/>
          <w:szCs w:val="24"/>
          <w:lang w:val="en-US"/>
        </w:rPr>
        <w:t xml:space="preserve">(Lysimachia punctata) </w:t>
      </w:r>
      <w:r w:rsidRPr="00E63777">
        <w:rPr>
          <w:rFonts w:asciiTheme="minorHAnsi" w:hAnsiTheme="minorHAnsi"/>
          <w:sz w:val="24"/>
          <w:szCs w:val="24"/>
          <w:lang w:val="en-US"/>
        </w:rPr>
        <w:t>is a perennial with ornamental yellow inflorescences. It reproduces via underground stems (rhizomes) and seeds. It prefers fresh or moist soils. It can form dense clumps and thereby limit the growth of native vegetation.</w:t>
      </w:r>
    </w:p>
    <w:p w14:paraId="1DFD225F" w14:textId="77777777" w:rsidR="008B6E13" w:rsidRPr="00E63777" w:rsidRDefault="008B6E13" w:rsidP="00E63777">
      <w:pPr>
        <w:spacing w:after="120" w:line="276" w:lineRule="auto"/>
        <w:jc w:val="both"/>
        <w:rPr>
          <w:rFonts w:asciiTheme="minorHAnsi" w:hAnsiTheme="minorHAnsi"/>
          <w:sz w:val="24"/>
          <w:szCs w:val="24"/>
          <w:lang w:val="en-US"/>
        </w:rPr>
      </w:pPr>
      <w:r w:rsidRPr="00E63777">
        <w:rPr>
          <w:rFonts w:asciiTheme="minorHAnsi" w:hAnsiTheme="minorHAnsi"/>
          <w:sz w:val="24"/>
          <w:szCs w:val="24"/>
          <w:lang w:val="en-US"/>
        </w:rPr>
        <w:t>This plant occurs in moist meadows, peatlands, riparian herbaceous communities (herb thickets), thickets, and riparian forests / floodplain forests</w:t>
      </w:r>
      <w:r w:rsidRPr="00E63777">
        <w:rPr>
          <w:rStyle w:val="FootnoteReference"/>
          <w:rFonts w:asciiTheme="minorHAnsi" w:hAnsiTheme="minorHAnsi"/>
          <w:sz w:val="24"/>
          <w:szCs w:val="24"/>
        </w:rPr>
        <w:footnoteReference w:id="38"/>
      </w:r>
      <w:r w:rsidRPr="00E63777">
        <w:rPr>
          <w:rFonts w:asciiTheme="minorHAnsi" w:hAnsiTheme="minorHAnsi"/>
          <w:sz w:val="24"/>
          <w:szCs w:val="24"/>
          <w:lang w:val="en-US"/>
        </w:rPr>
        <w:t xml:space="preserve"> .</w:t>
      </w:r>
    </w:p>
    <w:p w14:paraId="131C47F8" w14:textId="759098AB" w:rsidR="008B6E13" w:rsidRPr="00E63777" w:rsidRDefault="008B6E13" w:rsidP="00E63777">
      <w:pPr>
        <w:spacing w:after="120" w:line="276" w:lineRule="auto"/>
        <w:jc w:val="both"/>
        <w:rPr>
          <w:rFonts w:asciiTheme="minorHAnsi" w:hAnsiTheme="minorHAnsi"/>
          <w:sz w:val="24"/>
          <w:szCs w:val="24"/>
          <w:lang w:val="en-US"/>
        </w:rPr>
      </w:pPr>
      <w:r w:rsidRPr="00E63777">
        <w:rPr>
          <w:rFonts w:asciiTheme="minorHAnsi" w:hAnsiTheme="minorHAnsi"/>
          <w:i/>
          <w:iCs/>
          <w:sz w:val="24"/>
          <w:szCs w:val="24"/>
          <w:lang w:val="en-US"/>
        </w:rPr>
        <w:t xml:space="preserve">Lysimachia punctata </w:t>
      </w:r>
      <w:r w:rsidRPr="00E63777">
        <w:rPr>
          <w:rFonts w:asciiTheme="minorHAnsi" w:hAnsiTheme="minorHAnsi"/>
          <w:sz w:val="24"/>
          <w:szCs w:val="24"/>
          <w:lang w:val="en-US"/>
        </w:rPr>
        <w:t>is classified in Poland as a naturalized, invasive species</w:t>
      </w:r>
      <w:r w:rsidRPr="00E63777">
        <w:rPr>
          <w:rStyle w:val="FootnoteReference"/>
          <w:rFonts w:asciiTheme="minorHAnsi" w:hAnsiTheme="minorHAnsi"/>
          <w:sz w:val="24"/>
          <w:szCs w:val="24"/>
        </w:rPr>
        <w:footnoteReference w:id="39"/>
      </w:r>
      <w:r w:rsidRPr="00E63777">
        <w:rPr>
          <w:rFonts w:asciiTheme="minorHAnsi" w:hAnsiTheme="minorHAnsi"/>
          <w:sz w:val="24"/>
          <w:szCs w:val="24"/>
          <w:lang w:val="en-US"/>
        </w:rPr>
        <w:t xml:space="preserve"> . The main natural habitats of European Community interest into which the species invades are: 6430</w:t>
      </w:r>
      <w:r w:rsidRPr="00E63777">
        <w:rPr>
          <w:rStyle w:val="FootnoteReference"/>
          <w:rFonts w:asciiTheme="minorHAnsi" w:hAnsiTheme="minorHAnsi"/>
          <w:sz w:val="24"/>
          <w:szCs w:val="24"/>
        </w:rPr>
        <w:footnoteReference w:id="40"/>
      </w:r>
      <w:r w:rsidRPr="00E63777">
        <w:rPr>
          <w:rFonts w:asciiTheme="minorHAnsi" w:hAnsiTheme="minorHAnsi"/>
          <w:sz w:val="24"/>
          <w:szCs w:val="24"/>
          <w:lang w:val="en-US"/>
        </w:rPr>
        <w:t xml:space="preserve"> . According to the Code of Good Practice in Horticulture Regarding Invasive Plants of Foreign Origin (GDOŚ 2016), the species is regionally invasive and is gradually occupying new sites. It is classified in Poland as a Category I invasive species. The GDOŚ Code contains the following recommendations regarding the cultivation of the species: </w:t>
      </w:r>
    </w:p>
    <w:p w14:paraId="3F01A413" w14:textId="77777777" w:rsidR="008B6E13" w:rsidRPr="00E63777" w:rsidRDefault="008B6E13" w:rsidP="00E63777">
      <w:pPr>
        <w:spacing w:after="120" w:line="276" w:lineRule="auto"/>
        <w:jc w:val="both"/>
        <w:rPr>
          <w:rFonts w:asciiTheme="minorHAnsi" w:hAnsiTheme="minorHAnsi"/>
          <w:i/>
          <w:iCs/>
          <w:sz w:val="24"/>
          <w:szCs w:val="24"/>
          <w:lang w:val="en-US"/>
        </w:rPr>
      </w:pPr>
      <w:r w:rsidRPr="00E63777">
        <w:rPr>
          <w:rFonts w:asciiTheme="minorHAnsi" w:hAnsiTheme="minorHAnsi"/>
          <w:i/>
          <w:iCs/>
          <w:sz w:val="24"/>
          <w:szCs w:val="24"/>
          <w:lang w:val="en-US"/>
        </w:rPr>
        <w:t>“Areas where this species should not be cultivated:</w:t>
      </w:r>
    </w:p>
    <w:p w14:paraId="3D004279" w14:textId="77777777" w:rsidR="008B6E13" w:rsidRPr="00E63777" w:rsidRDefault="008B6E13" w:rsidP="00E63777">
      <w:pPr>
        <w:pStyle w:val="ListParagraph"/>
        <w:numPr>
          <w:ilvl w:val="0"/>
          <w:numId w:val="9"/>
        </w:numPr>
        <w:spacing w:after="120" w:line="276" w:lineRule="auto"/>
        <w:contextualSpacing w:val="0"/>
        <w:jc w:val="both"/>
        <w:rPr>
          <w:rFonts w:asciiTheme="minorHAnsi" w:hAnsiTheme="minorHAnsi"/>
          <w:i/>
          <w:iCs/>
          <w:sz w:val="24"/>
          <w:szCs w:val="24"/>
          <w:lang w:val="en-US"/>
        </w:rPr>
      </w:pPr>
      <w:r w:rsidRPr="00E63777">
        <w:rPr>
          <w:rFonts w:asciiTheme="minorHAnsi" w:hAnsiTheme="minorHAnsi"/>
          <w:i/>
          <w:iCs/>
          <w:sz w:val="24"/>
          <w:szCs w:val="24"/>
          <w:lang w:val="en-US"/>
        </w:rPr>
        <w:t>near forests, peatlands, and watercourses,</w:t>
      </w:r>
    </w:p>
    <w:p w14:paraId="4E02E011" w14:textId="77777777" w:rsidR="008B6E13" w:rsidRPr="00E63777" w:rsidRDefault="008B6E13" w:rsidP="00E63777">
      <w:pPr>
        <w:pStyle w:val="ListParagraph"/>
        <w:numPr>
          <w:ilvl w:val="0"/>
          <w:numId w:val="9"/>
        </w:numPr>
        <w:spacing w:after="120" w:line="276" w:lineRule="auto"/>
        <w:contextualSpacing w:val="0"/>
        <w:jc w:val="both"/>
        <w:rPr>
          <w:rFonts w:asciiTheme="minorHAnsi" w:hAnsiTheme="minorHAnsi"/>
          <w:i/>
          <w:iCs/>
          <w:sz w:val="24"/>
          <w:szCs w:val="24"/>
        </w:rPr>
      </w:pPr>
      <w:r w:rsidRPr="00E63777">
        <w:rPr>
          <w:rFonts w:asciiTheme="minorHAnsi" w:hAnsiTheme="minorHAnsi"/>
          <w:i/>
          <w:iCs/>
          <w:sz w:val="24"/>
          <w:szCs w:val="24"/>
        </w:rPr>
        <w:t xml:space="preserve">in open landscapes, </w:t>
      </w:r>
    </w:p>
    <w:p w14:paraId="5F5ACA49" w14:textId="77777777" w:rsidR="008B6E13" w:rsidRPr="00E63777" w:rsidRDefault="008B6E13" w:rsidP="00E63777">
      <w:pPr>
        <w:pStyle w:val="ListParagraph"/>
        <w:numPr>
          <w:ilvl w:val="0"/>
          <w:numId w:val="9"/>
        </w:numPr>
        <w:spacing w:after="120" w:line="276" w:lineRule="auto"/>
        <w:contextualSpacing w:val="0"/>
        <w:jc w:val="both"/>
        <w:rPr>
          <w:rFonts w:asciiTheme="minorHAnsi" w:hAnsiTheme="minorHAnsi"/>
          <w:i/>
          <w:iCs/>
          <w:sz w:val="24"/>
          <w:szCs w:val="24"/>
          <w:lang w:val="en-US"/>
        </w:rPr>
      </w:pPr>
      <w:r w:rsidRPr="00E63777">
        <w:rPr>
          <w:rFonts w:asciiTheme="minorHAnsi" w:hAnsiTheme="minorHAnsi"/>
          <w:i/>
          <w:iCs/>
          <w:sz w:val="24"/>
          <w:szCs w:val="24"/>
          <w:lang w:val="en-US"/>
        </w:rPr>
        <w:t>in protected areas and their buffer zones.</w:t>
      </w:r>
    </w:p>
    <w:p w14:paraId="390F31C1" w14:textId="77777777" w:rsidR="008B6E13" w:rsidRPr="00E63777" w:rsidRDefault="008B6E13" w:rsidP="00E63777">
      <w:pPr>
        <w:spacing w:after="120" w:line="276" w:lineRule="auto"/>
        <w:jc w:val="both"/>
        <w:rPr>
          <w:rFonts w:asciiTheme="minorHAnsi" w:hAnsiTheme="minorHAnsi"/>
          <w:i/>
          <w:iCs/>
          <w:sz w:val="24"/>
          <w:szCs w:val="24"/>
          <w:lang w:val="en-US"/>
        </w:rPr>
      </w:pPr>
      <w:r w:rsidRPr="00E63777">
        <w:rPr>
          <w:rFonts w:asciiTheme="minorHAnsi" w:hAnsiTheme="minorHAnsi"/>
          <w:i/>
          <w:iCs/>
          <w:sz w:val="24"/>
          <w:szCs w:val="24"/>
          <w:lang w:val="en-US"/>
        </w:rPr>
        <w:t>It is recommended to refrain from cultivation or to implement the following measures to minimize the risk of the plant spreading beyond the cultivation site:</w:t>
      </w:r>
    </w:p>
    <w:p w14:paraId="16F48DC9" w14:textId="77777777" w:rsidR="008B6E13" w:rsidRPr="00E63777" w:rsidRDefault="008B6E13" w:rsidP="00E63777">
      <w:pPr>
        <w:pStyle w:val="ListParagraph"/>
        <w:numPr>
          <w:ilvl w:val="0"/>
          <w:numId w:val="10"/>
        </w:numPr>
        <w:spacing w:after="120" w:line="276" w:lineRule="auto"/>
        <w:contextualSpacing w:val="0"/>
        <w:jc w:val="both"/>
        <w:rPr>
          <w:rFonts w:asciiTheme="minorHAnsi" w:hAnsiTheme="minorHAnsi"/>
          <w:i/>
          <w:iCs/>
          <w:sz w:val="24"/>
          <w:szCs w:val="24"/>
          <w:lang w:val="en-US"/>
        </w:rPr>
      </w:pPr>
      <w:r w:rsidRPr="00E63777">
        <w:rPr>
          <w:rFonts w:asciiTheme="minorHAnsi" w:hAnsiTheme="minorHAnsi"/>
          <w:i/>
          <w:iCs/>
          <w:sz w:val="24"/>
          <w:szCs w:val="24"/>
          <w:lang w:val="en-US"/>
        </w:rPr>
        <w:t>regularly digging up young plants from areas adjacent to the cultivation site (since they can regrow from rhizome fragments),</w:t>
      </w:r>
    </w:p>
    <w:p w14:paraId="3EF0153D" w14:textId="77777777" w:rsidR="008B6E13" w:rsidRPr="00E63777" w:rsidRDefault="008B6E13" w:rsidP="00E63777">
      <w:pPr>
        <w:pStyle w:val="ListParagraph"/>
        <w:numPr>
          <w:ilvl w:val="0"/>
          <w:numId w:val="10"/>
        </w:numPr>
        <w:spacing w:after="120" w:line="276" w:lineRule="auto"/>
        <w:contextualSpacing w:val="0"/>
        <w:jc w:val="both"/>
        <w:rPr>
          <w:rFonts w:asciiTheme="minorHAnsi" w:hAnsiTheme="minorHAnsi"/>
          <w:i/>
          <w:iCs/>
          <w:sz w:val="24"/>
          <w:szCs w:val="24"/>
          <w:lang w:val="en-US"/>
        </w:rPr>
      </w:pPr>
      <w:r w:rsidRPr="00E63777">
        <w:rPr>
          <w:rFonts w:asciiTheme="minorHAnsi" w:hAnsiTheme="minorHAnsi"/>
          <w:i/>
          <w:iCs/>
          <w:sz w:val="24"/>
          <w:szCs w:val="24"/>
          <w:lang w:val="en-US"/>
        </w:rPr>
        <w:t xml:space="preserve">cutting off the inflorescences after flowering and disposing of them, </w:t>
      </w:r>
    </w:p>
    <w:p w14:paraId="1B6B8800" w14:textId="2BC0A79D" w:rsidR="008B6E13" w:rsidRPr="00E63777" w:rsidRDefault="008B6E13" w:rsidP="00E63777">
      <w:pPr>
        <w:pStyle w:val="ListParagraph"/>
        <w:numPr>
          <w:ilvl w:val="0"/>
          <w:numId w:val="10"/>
        </w:numPr>
        <w:spacing w:after="120" w:line="276" w:lineRule="auto"/>
        <w:contextualSpacing w:val="0"/>
        <w:jc w:val="both"/>
        <w:rPr>
          <w:rFonts w:asciiTheme="minorHAnsi" w:hAnsiTheme="minorHAnsi"/>
          <w:sz w:val="24"/>
          <w:szCs w:val="24"/>
          <w:lang w:val="en-US"/>
        </w:rPr>
      </w:pPr>
      <w:r w:rsidRPr="00E63777">
        <w:rPr>
          <w:rFonts w:asciiTheme="minorHAnsi" w:hAnsiTheme="minorHAnsi"/>
          <w:i/>
          <w:iCs/>
          <w:sz w:val="24"/>
          <w:szCs w:val="24"/>
          <w:lang w:val="en-US"/>
        </w:rPr>
        <w:t>removing the plant after the growing season ends</w:t>
      </w:r>
      <w:r w:rsidRPr="00E63777">
        <w:rPr>
          <w:rFonts w:asciiTheme="minorHAnsi" w:hAnsiTheme="minorHAnsi"/>
          <w:sz w:val="24"/>
          <w:szCs w:val="24"/>
          <w:lang w:val="en-US"/>
        </w:rPr>
        <w:t>”</w:t>
      </w:r>
      <w:r w:rsidRPr="00E63777">
        <w:rPr>
          <w:rStyle w:val="FootnoteReference"/>
          <w:rFonts w:asciiTheme="minorHAnsi" w:hAnsiTheme="minorHAnsi"/>
          <w:sz w:val="24"/>
          <w:szCs w:val="24"/>
        </w:rPr>
        <w:footnoteReference w:id="41"/>
      </w:r>
      <w:r w:rsidRPr="00E63777">
        <w:rPr>
          <w:rFonts w:asciiTheme="minorHAnsi" w:hAnsiTheme="minorHAnsi"/>
          <w:sz w:val="24"/>
          <w:szCs w:val="24"/>
          <w:lang w:val="en-US"/>
        </w:rPr>
        <w:t>.</w:t>
      </w:r>
    </w:p>
    <w:p w14:paraId="1E93EB90" w14:textId="77777777" w:rsidR="007F0B51" w:rsidRPr="00D049D4" w:rsidRDefault="007F0B51" w:rsidP="007F0B51">
      <w:pPr>
        <w:pStyle w:val="ListParagraph"/>
        <w:spacing w:after="0" w:line="240" w:lineRule="atLeast"/>
        <w:jc w:val="both"/>
        <w:rPr>
          <w:lang w:val="en-US"/>
        </w:rPr>
      </w:pPr>
    </w:p>
    <w:p w14:paraId="28C879D4" w14:textId="10FFF3B8" w:rsidR="00FB23F5" w:rsidRPr="00626277" w:rsidRDefault="0019511F" w:rsidP="00E63777">
      <w:pPr>
        <w:jc w:val="center"/>
      </w:pPr>
      <w:r w:rsidRPr="00626277">
        <w:drawing>
          <wp:inline distT="0" distB="0" distL="0" distR="0" wp14:anchorId="46359423" wp14:editId="1080E8B2">
            <wp:extent cx="4499610" cy="4305300"/>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499610" cy="4305300"/>
                    </a:xfrm>
                    <a:prstGeom prst="rect">
                      <a:avLst/>
                    </a:prstGeom>
                  </pic:spPr>
                </pic:pic>
              </a:graphicData>
            </a:graphic>
          </wp:inline>
        </w:drawing>
      </w:r>
    </w:p>
    <w:p w14:paraId="3D47D76B" w14:textId="77777777" w:rsidR="008B6E13" w:rsidRPr="00E63777" w:rsidRDefault="008B6E13" w:rsidP="008B6E13">
      <w:pPr>
        <w:jc w:val="both"/>
        <w:rPr>
          <w:rFonts w:asciiTheme="minorHAnsi" w:hAnsiTheme="minorHAnsi"/>
          <w:sz w:val="18"/>
          <w:szCs w:val="18"/>
          <w:lang w:val="en-US"/>
        </w:rPr>
      </w:pPr>
      <w:r w:rsidRPr="00E63777">
        <w:rPr>
          <w:rFonts w:asciiTheme="minorHAnsi" w:hAnsiTheme="minorHAnsi"/>
          <w:sz w:val="18"/>
          <w:szCs w:val="18"/>
          <w:lang w:val="en-US"/>
        </w:rPr>
        <w:t>Source: GDOŚ Guidelines 2016 (Photo credit: Stefan Didam-Schmallenberg (“Selbst fotografiert – own work”) [GFDL (http://www.gnu.org/copyleft/fdl.html) or CC-BY-SA-3.0-2.5-2.0-1.0 (http://creativecommons.org/licenses/by-sa/3.0)], undefined</w:t>
      </w:r>
    </w:p>
    <w:p w14:paraId="081FEBBB" w14:textId="28827E26" w:rsidR="008B6E13" w:rsidRPr="008915CD" w:rsidRDefault="00446F7D" w:rsidP="008915CD">
      <w:pPr>
        <w:spacing w:after="120" w:line="276" w:lineRule="auto"/>
        <w:jc w:val="both"/>
        <w:rPr>
          <w:rFonts w:asciiTheme="minorHAnsi" w:hAnsiTheme="minorHAnsi"/>
          <w:b/>
          <w:bCs/>
          <w:sz w:val="24"/>
          <w:szCs w:val="24"/>
        </w:rPr>
      </w:pPr>
      <w:r w:rsidRPr="008915CD">
        <w:rPr>
          <w:rFonts w:asciiTheme="minorHAnsi" w:hAnsiTheme="minorHAnsi"/>
          <w:b/>
          <w:bCs/>
          <w:sz w:val="24"/>
          <w:szCs w:val="24"/>
        </w:rPr>
        <w:t>Eradication methods</w:t>
      </w:r>
    </w:p>
    <w:p w14:paraId="4BA31FD4" w14:textId="78FB5F8C" w:rsidR="008B6E13" w:rsidRPr="008915CD" w:rsidRDefault="008B6E13" w:rsidP="008915CD">
      <w:pPr>
        <w:pStyle w:val="ListParagraph"/>
        <w:numPr>
          <w:ilvl w:val="0"/>
          <w:numId w:val="8"/>
        </w:numPr>
        <w:spacing w:after="120" w:line="276" w:lineRule="auto"/>
        <w:contextualSpacing w:val="0"/>
        <w:jc w:val="both"/>
        <w:rPr>
          <w:rFonts w:asciiTheme="minorHAnsi" w:hAnsiTheme="minorHAnsi"/>
          <w:sz w:val="24"/>
          <w:szCs w:val="24"/>
          <w:lang w:val="en-US"/>
        </w:rPr>
      </w:pPr>
      <w:r w:rsidRPr="008915CD">
        <w:rPr>
          <w:rFonts w:asciiTheme="minorHAnsi" w:hAnsiTheme="minorHAnsi"/>
          <w:sz w:val="24"/>
          <w:szCs w:val="24"/>
          <w:lang w:val="en-US"/>
        </w:rPr>
        <w:t>Control typically involves regularly digging up young plants from areas adjacent to the cultivation site (since they can regrow from rhizome fragments)</w:t>
      </w:r>
      <w:r w:rsidRPr="008915CD">
        <w:rPr>
          <w:rStyle w:val="FootnoteReference"/>
          <w:rFonts w:asciiTheme="minorHAnsi" w:hAnsiTheme="minorHAnsi"/>
          <w:sz w:val="24"/>
          <w:szCs w:val="24"/>
        </w:rPr>
        <w:footnoteReference w:id="42"/>
      </w:r>
      <w:r w:rsidRPr="008915CD">
        <w:rPr>
          <w:rFonts w:asciiTheme="minorHAnsi" w:hAnsiTheme="minorHAnsi"/>
          <w:sz w:val="24"/>
          <w:szCs w:val="24"/>
          <w:lang w:val="en-US"/>
        </w:rPr>
        <w:t>.</w:t>
      </w:r>
    </w:p>
    <w:p w14:paraId="4C08D903" w14:textId="3EC1EFCA" w:rsidR="008B6E13" w:rsidRPr="008915CD" w:rsidRDefault="008B6E13" w:rsidP="008915CD">
      <w:pPr>
        <w:spacing w:after="120" w:line="276" w:lineRule="auto"/>
        <w:jc w:val="both"/>
        <w:rPr>
          <w:rFonts w:asciiTheme="minorHAnsi" w:hAnsiTheme="minorHAnsi"/>
          <w:b/>
          <w:bCs/>
          <w:sz w:val="24"/>
          <w:szCs w:val="24"/>
          <w:lang w:val="en-US"/>
        </w:rPr>
      </w:pPr>
      <w:r w:rsidRPr="008915CD">
        <w:rPr>
          <w:rFonts w:asciiTheme="minorHAnsi" w:hAnsiTheme="minorHAnsi"/>
          <w:b/>
          <w:bCs/>
          <w:sz w:val="24"/>
          <w:szCs w:val="24"/>
          <w:lang w:val="en-US"/>
        </w:rPr>
        <w:t>Recommendations regarding biomass management are provided in Chapter 3.</w:t>
      </w:r>
    </w:p>
    <w:p w14:paraId="67E79D2E" w14:textId="72FBE660" w:rsidR="008B6E13" w:rsidRPr="00D049D4" w:rsidRDefault="006F7B36" w:rsidP="006F7B36">
      <w:pPr>
        <w:pStyle w:val="Heading2"/>
        <w:rPr>
          <w:lang w:val="en-US"/>
        </w:rPr>
      </w:pPr>
      <w:bookmarkStart w:id="21" w:name="_Toc239856702"/>
      <w:r w:rsidRPr="00D049D4">
        <w:rPr>
          <w:lang w:val="en-US"/>
        </w:rPr>
        <w:t xml:space="preserve">2.12. </w:t>
      </w:r>
      <w:r w:rsidR="009374B7" w:rsidRPr="00D049D4">
        <w:rPr>
          <w:lang w:val="en-US"/>
        </w:rPr>
        <w:t xml:space="preserve">Yellow oxeye </w:t>
      </w:r>
      <w:r w:rsidRPr="00D049D4">
        <w:rPr>
          <w:lang w:val="en-US"/>
        </w:rPr>
        <w:t>(</w:t>
      </w:r>
      <w:r w:rsidRPr="00D049D4">
        <w:rPr>
          <w:i/>
          <w:iCs/>
          <w:lang w:val="en-US"/>
        </w:rPr>
        <w:t>Telekia speciosa</w:t>
      </w:r>
      <w:r w:rsidRPr="00D049D4">
        <w:rPr>
          <w:lang w:val="en-US"/>
        </w:rPr>
        <w:t>)</w:t>
      </w:r>
      <w:bookmarkEnd w:id="21"/>
    </w:p>
    <w:p w14:paraId="223255DC" w14:textId="77777777" w:rsidR="006F7B36" w:rsidRPr="008915CD" w:rsidRDefault="006F7B36" w:rsidP="008915CD">
      <w:pPr>
        <w:spacing w:after="120" w:line="276" w:lineRule="auto"/>
        <w:jc w:val="both"/>
        <w:rPr>
          <w:rFonts w:asciiTheme="minorHAnsi" w:hAnsiTheme="minorHAnsi"/>
          <w:b/>
          <w:bCs/>
          <w:sz w:val="24"/>
          <w:szCs w:val="24"/>
          <w:lang w:val="en-US"/>
        </w:rPr>
      </w:pPr>
      <w:r w:rsidRPr="008915CD">
        <w:rPr>
          <w:rFonts w:asciiTheme="minorHAnsi" w:hAnsiTheme="minorHAnsi"/>
          <w:b/>
          <w:bCs/>
          <w:sz w:val="24"/>
          <w:szCs w:val="24"/>
          <w:lang w:val="en-US"/>
        </w:rPr>
        <w:t>Characteristics of the Species</w:t>
      </w:r>
    </w:p>
    <w:p w14:paraId="00148D14" w14:textId="77777777" w:rsidR="006F7B36" w:rsidRPr="008915CD" w:rsidRDefault="006F7B36" w:rsidP="008915CD">
      <w:pPr>
        <w:spacing w:after="120" w:line="276" w:lineRule="auto"/>
        <w:jc w:val="both"/>
        <w:rPr>
          <w:rFonts w:asciiTheme="minorHAnsi" w:hAnsiTheme="minorHAnsi"/>
          <w:sz w:val="24"/>
          <w:szCs w:val="24"/>
          <w:lang w:val="en-US"/>
        </w:rPr>
      </w:pPr>
      <w:r w:rsidRPr="008915CD">
        <w:rPr>
          <w:rFonts w:asciiTheme="minorHAnsi" w:hAnsiTheme="minorHAnsi"/>
          <w:i/>
          <w:iCs/>
          <w:sz w:val="24"/>
          <w:szCs w:val="24"/>
          <w:lang w:val="en-US"/>
        </w:rPr>
        <w:t xml:space="preserve">Telekia speciosa </w:t>
      </w:r>
      <w:r w:rsidRPr="008915CD">
        <w:rPr>
          <w:rFonts w:asciiTheme="minorHAnsi" w:hAnsiTheme="minorHAnsi"/>
          <w:sz w:val="24"/>
          <w:szCs w:val="24"/>
          <w:lang w:val="en-US"/>
        </w:rPr>
        <w:t xml:space="preserve">is a perennial with yellow flowers. It reproduces by seed. The plant is tolerant of shade and prefers loamy, moist, and nitrogen-rich soils. It forms dense, tall stands (up to 2 m) and thereby limits the growth of native plants and alters the vegetation structure. </w:t>
      </w:r>
    </w:p>
    <w:p w14:paraId="2F74D590" w14:textId="5E8D7E49" w:rsidR="006F7B36" w:rsidRPr="008915CD" w:rsidRDefault="006F7B36" w:rsidP="008915CD">
      <w:pPr>
        <w:spacing w:after="120" w:line="276" w:lineRule="auto"/>
        <w:jc w:val="both"/>
        <w:rPr>
          <w:rFonts w:asciiTheme="minorHAnsi" w:hAnsiTheme="minorHAnsi"/>
          <w:sz w:val="24"/>
          <w:szCs w:val="24"/>
          <w:lang w:val="en-US"/>
        </w:rPr>
      </w:pPr>
      <w:r w:rsidRPr="008915CD">
        <w:rPr>
          <w:rFonts w:asciiTheme="minorHAnsi" w:hAnsiTheme="minorHAnsi"/>
          <w:sz w:val="24"/>
          <w:szCs w:val="24"/>
          <w:lang w:val="en-US"/>
        </w:rPr>
        <w:t>It spreads, among other places, on clear-cut areas, at forest edges, on degraded land, and along transportation routes. It poses a threat particularly to vegetation along riverbanks and lakeshores (including herbaceous plants) and to wet meadows</w:t>
      </w:r>
      <w:r w:rsidRPr="008915CD">
        <w:rPr>
          <w:rStyle w:val="FootnoteReference"/>
          <w:rFonts w:asciiTheme="minorHAnsi" w:hAnsiTheme="minorHAnsi"/>
          <w:sz w:val="24"/>
          <w:szCs w:val="24"/>
        </w:rPr>
        <w:footnoteReference w:id="43"/>
      </w:r>
      <w:r w:rsidRPr="008915CD">
        <w:rPr>
          <w:rFonts w:asciiTheme="minorHAnsi" w:hAnsiTheme="minorHAnsi"/>
          <w:sz w:val="24"/>
          <w:szCs w:val="24"/>
          <w:lang w:val="en-US"/>
        </w:rPr>
        <w:t>.</w:t>
      </w:r>
    </w:p>
    <w:p w14:paraId="3E63169D" w14:textId="574FAD6B" w:rsidR="00FB23F5" w:rsidRPr="00626277" w:rsidRDefault="009374B7" w:rsidP="008915CD">
      <w:pPr>
        <w:jc w:val="center"/>
      </w:pPr>
      <w:r w:rsidRPr="00626277">
        <w:drawing>
          <wp:inline distT="0" distB="0" distL="0" distR="0" wp14:anchorId="26BCD2CA" wp14:editId="34EF5EF5">
            <wp:extent cx="4499610" cy="3917315"/>
            <wp:effectExtent l="0" t="0" r="0" b="6985"/>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499610" cy="3917315"/>
                    </a:xfrm>
                    <a:prstGeom prst="rect">
                      <a:avLst/>
                    </a:prstGeom>
                  </pic:spPr>
                </pic:pic>
              </a:graphicData>
            </a:graphic>
          </wp:inline>
        </w:drawing>
      </w:r>
    </w:p>
    <w:p w14:paraId="030AB2C2" w14:textId="77777777" w:rsidR="006F7B36" w:rsidRPr="008915CD" w:rsidRDefault="006F7B36" w:rsidP="006F7B36">
      <w:pPr>
        <w:rPr>
          <w:rFonts w:asciiTheme="minorHAnsi" w:hAnsiTheme="minorHAnsi"/>
          <w:sz w:val="18"/>
          <w:szCs w:val="18"/>
          <w:lang w:val="en-US"/>
        </w:rPr>
      </w:pPr>
      <w:r w:rsidRPr="008915CD">
        <w:rPr>
          <w:rFonts w:asciiTheme="minorHAnsi" w:hAnsiTheme="minorHAnsi"/>
          <w:sz w:val="18"/>
          <w:szCs w:val="18"/>
          <w:lang w:val="en-US"/>
        </w:rPr>
        <w:t>Code: Photo credit: Jerzy Opioła (Own work) [CC BY-SA 4.0 (http://creativecommons.org/licenses/by-sa/4.0)]</w:t>
      </w:r>
    </w:p>
    <w:p w14:paraId="4C7879B2" w14:textId="573E8CC9" w:rsidR="006F7B36" w:rsidRPr="008915CD" w:rsidRDefault="00446F7D" w:rsidP="008915CD">
      <w:pPr>
        <w:spacing w:after="120" w:line="276" w:lineRule="auto"/>
        <w:jc w:val="both"/>
        <w:rPr>
          <w:rFonts w:asciiTheme="minorHAnsi" w:hAnsiTheme="minorHAnsi"/>
          <w:b/>
          <w:bCs/>
          <w:sz w:val="24"/>
          <w:szCs w:val="24"/>
        </w:rPr>
      </w:pPr>
      <w:r w:rsidRPr="008915CD">
        <w:rPr>
          <w:rFonts w:asciiTheme="minorHAnsi" w:hAnsiTheme="minorHAnsi"/>
          <w:b/>
          <w:bCs/>
          <w:sz w:val="24"/>
          <w:szCs w:val="24"/>
        </w:rPr>
        <w:t>Eradication methods</w:t>
      </w:r>
    </w:p>
    <w:p w14:paraId="44E17B80" w14:textId="77777777" w:rsidR="006F7B36" w:rsidRPr="008915CD" w:rsidRDefault="006F7B36" w:rsidP="008915CD">
      <w:pPr>
        <w:pStyle w:val="ListParagraph"/>
        <w:numPr>
          <w:ilvl w:val="0"/>
          <w:numId w:val="11"/>
        </w:numPr>
        <w:spacing w:after="120" w:line="276" w:lineRule="auto"/>
        <w:contextualSpacing w:val="0"/>
        <w:jc w:val="both"/>
        <w:rPr>
          <w:rFonts w:asciiTheme="minorHAnsi" w:hAnsiTheme="minorHAnsi"/>
          <w:sz w:val="24"/>
          <w:szCs w:val="24"/>
          <w:lang w:val="en-US"/>
        </w:rPr>
      </w:pPr>
      <w:r w:rsidRPr="008915CD">
        <w:rPr>
          <w:rFonts w:asciiTheme="minorHAnsi" w:hAnsiTheme="minorHAnsi"/>
          <w:sz w:val="24"/>
          <w:szCs w:val="24"/>
          <w:lang w:val="en-US"/>
        </w:rPr>
        <w:t>Control typically involves regular mowing of the plants during the growing season (before fruit set).</w:t>
      </w:r>
    </w:p>
    <w:p w14:paraId="0666D192" w14:textId="77777777" w:rsidR="006F7B36" w:rsidRPr="008915CD" w:rsidRDefault="006F7B36" w:rsidP="008915CD">
      <w:pPr>
        <w:spacing w:after="120" w:line="276" w:lineRule="auto"/>
        <w:jc w:val="both"/>
        <w:rPr>
          <w:rFonts w:asciiTheme="minorHAnsi" w:hAnsiTheme="minorHAnsi"/>
          <w:b/>
          <w:bCs/>
          <w:sz w:val="24"/>
          <w:szCs w:val="24"/>
          <w:lang w:val="en-US"/>
        </w:rPr>
      </w:pPr>
      <w:r w:rsidRPr="008915CD">
        <w:rPr>
          <w:rFonts w:asciiTheme="minorHAnsi" w:hAnsiTheme="minorHAnsi"/>
          <w:b/>
          <w:bCs/>
          <w:sz w:val="24"/>
          <w:szCs w:val="24"/>
          <w:lang w:val="en-US"/>
        </w:rPr>
        <w:t>Recommendations regarding biomass management are provided in Chapter 3.</w:t>
      </w:r>
    </w:p>
    <w:p w14:paraId="259B32EC" w14:textId="2A5829A1" w:rsidR="006F7B36" w:rsidRPr="00D049D4" w:rsidRDefault="006F7B36" w:rsidP="006F7B36">
      <w:pPr>
        <w:pStyle w:val="Heading2"/>
        <w:rPr>
          <w:lang w:val="en-US"/>
        </w:rPr>
      </w:pPr>
      <w:bookmarkStart w:id="22" w:name="_Toc239856703"/>
      <w:r w:rsidRPr="00D049D4">
        <w:rPr>
          <w:lang w:val="en-US"/>
        </w:rPr>
        <w:t>2.13. Sosnowski's hogweed (</w:t>
      </w:r>
      <w:r w:rsidRPr="00D049D4">
        <w:rPr>
          <w:i/>
          <w:iCs/>
          <w:lang w:val="en-US"/>
        </w:rPr>
        <w:t>Heracleum sosnowskyi</w:t>
      </w:r>
      <w:r w:rsidRPr="00D049D4">
        <w:rPr>
          <w:lang w:val="en-US"/>
        </w:rPr>
        <w:t>)</w:t>
      </w:r>
      <w:bookmarkEnd w:id="22"/>
    </w:p>
    <w:p w14:paraId="16C91F09" w14:textId="77777777" w:rsidR="006F7B36" w:rsidRPr="008915CD" w:rsidRDefault="006F7B36" w:rsidP="008915CD">
      <w:pPr>
        <w:spacing w:after="120" w:line="276" w:lineRule="auto"/>
        <w:jc w:val="both"/>
        <w:rPr>
          <w:rFonts w:asciiTheme="minorHAnsi" w:hAnsiTheme="minorHAnsi"/>
          <w:b/>
          <w:bCs/>
          <w:sz w:val="24"/>
          <w:szCs w:val="24"/>
          <w:lang w:val="en-US"/>
        </w:rPr>
      </w:pPr>
      <w:r w:rsidRPr="008915CD">
        <w:rPr>
          <w:rFonts w:asciiTheme="minorHAnsi" w:hAnsiTheme="minorHAnsi"/>
          <w:b/>
          <w:bCs/>
          <w:sz w:val="24"/>
          <w:szCs w:val="24"/>
          <w:lang w:val="en-US"/>
        </w:rPr>
        <w:t>Characteristics of the species</w:t>
      </w:r>
    </w:p>
    <w:p w14:paraId="0856475A" w14:textId="48A11A95" w:rsidR="006F7B36" w:rsidRPr="008915CD" w:rsidRDefault="006F7B36" w:rsidP="008915CD">
      <w:pPr>
        <w:spacing w:after="120" w:line="276" w:lineRule="auto"/>
        <w:jc w:val="both"/>
        <w:rPr>
          <w:rFonts w:asciiTheme="minorHAnsi" w:hAnsiTheme="minorHAnsi"/>
          <w:sz w:val="24"/>
          <w:szCs w:val="24"/>
          <w:lang w:val="en-US"/>
        </w:rPr>
      </w:pPr>
      <w:r w:rsidRPr="008915CD">
        <w:rPr>
          <w:rFonts w:asciiTheme="minorHAnsi" w:hAnsiTheme="minorHAnsi"/>
          <w:sz w:val="24"/>
          <w:szCs w:val="24"/>
          <w:lang w:val="en-US"/>
        </w:rPr>
        <w:t>H. sosnowskyi is a single-stemmed biennial or perennial plant. Its height is often reported as 100–300 cm, although in the original description from its native range it is “only” 100–150 cm (</w:t>
      </w:r>
      <w:r w:rsidRPr="008915CD">
        <w:rPr>
          <w:rFonts w:asciiTheme="minorHAnsi" w:hAnsiTheme="minorHAnsi"/>
          <w:i/>
          <w:iCs/>
          <w:sz w:val="24"/>
          <w:szCs w:val="24"/>
          <w:lang w:val="en-US"/>
        </w:rPr>
        <w:t>Mandenova, 1950</w:t>
      </w:r>
      <w:r w:rsidRPr="008915CD">
        <w:rPr>
          <w:rFonts w:asciiTheme="minorHAnsi" w:hAnsiTheme="minorHAnsi"/>
          <w:sz w:val="24"/>
          <w:szCs w:val="24"/>
          <w:lang w:val="en-US"/>
        </w:rPr>
        <w:t>). The stem is striated and sparsely hairy with purple spots. The leaves of mature plants are divided to varying degrees, either into three approximately equal parts, which may be further subdivided (ternate), or into more than three leaflets arranged in rows along the central leaf stalk (pinnately divided). The leaf margins have short, rounded teeth. The upper surface of the leaves is glabrous, while the underside is slightly hairy. The flowers are white, sometimes pinkish. The outer petals are radiate, 9–10 mm long. The flowers are arranged in slightly convex, compound umbels 30–50 cm in diameter. The umbels have 30–75 rays with short hairs. Flowering usually occurs from June to August. The fruits are ovoid or oval; 9–16 mm long, 5–9 mm wide, and densely hairy when immature. Mature fruits have wings with numerous spines located on small spherical or ovoid swellings. The fruits have very distinct oil channels that do not extend to the base of the fruit (Nielsen et al., 2005). The entire plant ( ) contains photosensitizing furanocoumarins, which can cause burns and/or blisters on human skin (following contact with the plant sap and subsequent UV exposure).</w:t>
      </w:r>
      <w:r w:rsidRPr="008915CD">
        <w:rPr>
          <w:rStyle w:val="FootnoteReference"/>
          <w:rFonts w:asciiTheme="minorHAnsi" w:hAnsiTheme="minorHAnsi"/>
          <w:sz w:val="24"/>
          <w:szCs w:val="24"/>
          <w:lang w:val="en-US"/>
        </w:rPr>
        <w:t xml:space="preserve"> </w:t>
      </w:r>
      <w:r w:rsidRPr="008915CD">
        <w:rPr>
          <w:rStyle w:val="FootnoteReference"/>
          <w:rFonts w:asciiTheme="minorHAnsi" w:hAnsiTheme="minorHAnsi"/>
          <w:sz w:val="24"/>
          <w:szCs w:val="24"/>
        </w:rPr>
        <w:footnoteReference w:id="44"/>
      </w:r>
    </w:p>
    <w:p w14:paraId="70FC0090" w14:textId="77777777" w:rsidR="006F7B36" w:rsidRPr="00626277" w:rsidRDefault="006F7B36" w:rsidP="008915CD">
      <w:pPr>
        <w:jc w:val="center"/>
      </w:pPr>
      <w:r w:rsidRPr="00626277">
        <w:drawing>
          <wp:inline distT="0" distB="0" distL="0" distR="0" wp14:anchorId="7C53CC17" wp14:editId="35C99860">
            <wp:extent cx="4499610" cy="5544820"/>
            <wp:effectExtent l="0" t="0" r="0" b="0"/>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499610" cy="5544820"/>
                    </a:xfrm>
                    <a:prstGeom prst="rect">
                      <a:avLst/>
                    </a:prstGeom>
                  </pic:spPr>
                </pic:pic>
              </a:graphicData>
            </a:graphic>
          </wp:inline>
        </w:drawing>
      </w:r>
    </w:p>
    <w:p w14:paraId="0EAE8F59" w14:textId="77777777" w:rsidR="006F7B36" w:rsidRPr="00626277" w:rsidRDefault="006F7B36" w:rsidP="008915CD">
      <w:pPr>
        <w:jc w:val="center"/>
      </w:pPr>
      <w:r w:rsidRPr="00626277">
        <w:drawing>
          <wp:inline distT="0" distB="0" distL="0" distR="0" wp14:anchorId="11E764D5" wp14:editId="7513FD91">
            <wp:extent cx="5068636" cy="6057900"/>
            <wp:effectExtent l="0" t="0" r="0" b="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071540" cy="6061371"/>
                    </a:xfrm>
                    <a:prstGeom prst="rect">
                      <a:avLst/>
                    </a:prstGeom>
                  </pic:spPr>
                </pic:pic>
              </a:graphicData>
            </a:graphic>
          </wp:inline>
        </w:drawing>
      </w:r>
    </w:p>
    <w:p w14:paraId="59BE06B2" w14:textId="77777777" w:rsidR="006F7B36" w:rsidRPr="00626277" w:rsidRDefault="006F7B36" w:rsidP="008915CD">
      <w:pPr>
        <w:jc w:val="center"/>
      </w:pPr>
      <w:r w:rsidRPr="00626277">
        <w:drawing>
          <wp:inline distT="0" distB="0" distL="0" distR="0" wp14:anchorId="1AF39ABD" wp14:editId="0E841044">
            <wp:extent cx="4600575" cy="4975841"/>
            <wp:effectExtent l="0" t="0" r="0" b="0"/>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603833" cy="4979364"/>
                    </a:xfrm>
                    <a:prstGeom prst="rect">
                      <a:avLst/>
                    </a:prstGeom>
                  </pic:spPr>
                </pic:pic>
              </a:graphicData>
            </a:graphic>
          </wp:inline>
        </w:drawing>
      </w:r>
    </w:p>
    <w:p w14:paraId="6A13D1CC" w14:textId="77777777" w:rsidR="006F7B36" w:rsidRPr="00026041" w:rsidRDefault="006F7B36" w:rsidP="008915CD">
      <w:pPr>
        <w:spacing w:after="120" w:line="276" w:lineRule="auto"/>
        <w:jc w:val="both"/>
        <w:rPr>
          <w:rFonts w:asciiTheme="minorHAnsi" w:hAnsiTheme="minorHAnsi"/>
          <w:sz w:val="18"/>
          <w:szCs w:val="18"/>
          <w:lang w:val="en-US"/>
        </w:rPr>
      </w:pPr>
      <w:r w:rsidRPr="00026041">
        <w:rPr>
          <w:rFonts w:asciiTheme="minorHAnsi" w:hAnsiTheme="minorHAnsi"/>
          <w:sz w:val="18"/>
          <w:szCs w:val="18"/>
          <w:lang w:val="en-US"/>
        </w:rPr>
        <w:t>Source: Compendium. Methods for Controlling Caucasian Hogweed, GDOŚ, Warsaw 2022 (https://www.gov.pl/web/gdos/kompendia-zwalczania-wybranych-igo)</w:t>
      </w:r>
    </w:p>
    <w:p w14:paraId="156477F9" w14:textId="342B1D5F" w:rsidR="006F7B36" w:rsidRPr="008915CD" w:rsidRDefault="00D35092" w:rsidP="008915CD">
      <w:pPr>
        <w:spacing w:after="120" w:line="276" w:lineRule="auto"/>
        <w:jc w:val="both"/>
        <w:rPr>
          <w:rFonts w:asciiTheme="minorHAnsi" w:hAnsiTheme="minorHAnsi"/>
          <w:b/>
          <w:bCs/>
          <w:sz w:val="24"/>
          <w:szCs w:val="24"/>
          <w:lang w:val="en-US"/>
        </w:rPr>
      </w:pPr>
      <w:r w:rsidRPr="008915CD">
        <w:rPr>
          <w:rFonts w:asciiTheme="minorHAnsi" w:hAnsiTheme="minorHAnsi"/>
          <w:b/>
          <w:bCs/>
          <w:sz w:val="24"/>
          <w:szCs w:val="24"/>
          <w:lang w:val="en-US"/>
        </w:rPr>
        <w:t>Eradication methods</w:t>
      </w:r>
      <w:r w:rsidR="006F7B36" w:rsidRPr="008915CD">
        <w:rPr>
          <w:rFonts w:asciiTheme="minorHAnsi" w:hAnsiTheme="minorHAnsi"/>
          <w:b/>
          <w:bCs/>
          <w:sz w:val="24"/>
          <w:szCs w:val="24"/>
          <w:lang w:val="en-US"/>
        </w:rPr>
        <w:t xml:space="preserve"> </w:t>
      </w:r>
    </w:p>
    <w:p w14:paraId="4A5B3E68" w14:textId="63C0D873" w:rsidR="006F7B36" w:rsidRPr="008915CD" w:rsidRDefault="006F7B36" w:rsidP="008915CD">
      <w:pPr>
        <w:spacing w:after="120" w:line="276" w:lineRule="auto"/>
        <w:jc w:val="both"/>
        <w:rPr>
          <w:rFonts w:asciiTheme="minorHAnsi" w:hAnsiTheme="minorHAnsi"/>
          <w:sz w:val="24"/>
          <w:szCs w:val="24"/>
          <w:lang w:val="en-US"/>
        </w:rPr>
      </w:pPr>
      <w:r w:rsidRPr="008915CD">
        <w:rPr>
          <w:rFonts w:asciiTheme="minorHAnsi" w:hAnsiTheme="minorHAnsi"/>
          <w:sz w:val="24"/>
          <w:szCs w:val="24"/>
          <w:lang w:val="en-US"/>
        </w:rPr>
        <w:t>The overview of control and eradication methods presented below is based on the CABI Compendium. It is also recommended to consult the Compendium of Methods for Controlling Carpathian Hogweed published by GDOŚ in 2022.</w:t>
      </w:r>
      <w:r w:rsidRPr="008915CD">
        <w:rPr>
          <w:rStyle w:val="FootnoteReference"/>
          <w:rFonts w:asciiTheme="minorHAnsi" w:hAnsiTheme="minorHAnsi"/>
          <w:sz w:val="24"/>
          <w:szCs w:val="24"/>
        </w:rPr>
        <w:footnoteReference w:id="45"/>
      </w:r>
      <w:r w:rsidRPr="008915CD">
        <w:rPr>
          <w:rFonts w:asciiTheme="minorHAnsi" w:hAnsiTheme="minorHAnsi"/>
          <w:sz w:val="24"/>
          <w:szCs w:val="24"/>
          <w:lang w:val="en-US"/>
        </w:rPr>
        <w:t xml:space="preserve"> .</w:t>
      </w:r>
    </w:p>
    <w:p w14:paraId="29760967" w14:textId="77777777" w:rsidR="006F7B36" w:rsidRPr="008915CD" w:rsidRDefault="006F7B36" w:rsidP="008915CD">
      <w:pPr>
        <w:spacing w:after="120" w:line="276" w:lineRule="auto"/>
        <w:jc w:val="both"/>
        <w:rPr>
          <w:rFonts w:asciiTheme="minorHAnsi" w:hAnsiTheme="minorHAnsi"/>
          <w:sz w:val="24"/>
          <w:szCs w:val="24"/>
        </w:rPr>
      </w:pPr>
      <w:r w:rsidRPr="008915CD">
        <w:rPr>
          <w:rFonts w:asciiTheme="minorHAnsi" w:hAnsiTheme="minorHAnsi"/>
          <w:sz w:val="24"/>
          <w:szCs w:val="24"/>
        </w:rPr>
        <w:t>Physical/Mechanical Control Methods</w:t>
      </w:r>
      <w:r w:rsidRPr="008915CD">
        <w:rPr>
          <w:rStyle w:val="FootnoteReference"/>
          <w:rFonts w:asciiTheme="minorHAnsi" w:hAnsiTheme="minorHAnsi"/>
          <w:sz w:val="24"/>
          <w:szCs w:val="24"/>
        </w:rPr>
        <w:footnoteReference w:id="46"/>
      </w:r>
    </w:p>
    <w:p w14:paraId="3053844B" w14:textId="77777777" w:rsidR="006F7B36" w:rsidRPr="008915CD" w:rsidRDefault="006F7B36" w:rsidP="008915CD">
      <w:pPr>
        <w:pStyle w:val="ListParagraph"/>
        <w:numPr>
          <w:ilvl w:val="0"/>
          <w:numId w:val="12"/>
        </w:numPr>
        <w:spacing w:after="120" w:line="276" w:lineRule="auto"/>
        <w:contextualSpacing w:val="0"/>
        <w:jc w:val="both"/>
        <w:rPr>
          <w:rFonts w:asciiTheme="minorHAnsi" w:hAnsiTheme="minorHAnsi"/>
          <w:sz w:val="24"/>
          <w:szCs w:val="24"/>
          <w:lang w:val="en-US"/>
        </w:rPr>
      </w:pPr>
      <w:r w:rsidRPr="008915CD">
        <w:rPr>
          <w:rFonts w:asciiTheme="minorHAnsi" w:hAnsiTheme="minorHAnsi"/>
          <w:sz w:val="24"/>
          <w:szCs w:val="24"/>
          <w:lang w:val="en-US"/>
        </w:rPr>
        <w:t xml:space="preserve">Manual and mechanical methods for controlling </w:t>
      </w:r>
      <w:r w:rsidRPr="008915CD">
        <w:rPr>
          <w:rFonts w:asciiTheme="minorHAnsi" w:hAnsiTheme="minorHAnsi"/>
          <w:i/>
          <w:iCs/>
          <w:sz w:val="24"/>
          <w:szCs w:val="24"/>
          <w:lang w:val="en-US"/>
        </w:rPr>
        <w:t xml:space="preserve">H. sosnowskyi </w:t>
      </w:r>
      <w:r w:rsidRPr="008915CD">
        <w:rPr>
          <w:rFonts w:asciiTheme="minorHAnsi" w:hAnsiTheme="minorHAnsi"/>
          <w:sz w:val="24"/>
          <w:szCs w:val="24"/>
          <w:lang w:val="en-US"/>
        </w:rPr>
        <w:t xml:space="preserve">include techniques such as cutting roots, cutting down plants, mowing, removing seed heads, and plowing. With the exception of root cutting, mechanical control does not result in the immediate eradication of plants. Eradication occurs after 2–3 treatments per year over several growing seasons as a result of the depletion of nutrient reserves. </w:t>
      </w:r>
    </w:p>
    <w:p w14:paraId="0F06FCDA" w14:textId="77777777" w:rsidR="006F7B36" w:rsidRPr="008915CD" w:rsidRDefault="006F7B36" w:rsidP="008915CD">
      <w:pPr>
        <w:pStyle w:val="ListParagraph"/>
        <w:numPr>
          <w:ilvl w:val="0"/>
          <w:numId w:val="12"/>
        </w:numPr>
        <w:spacing w:after="120" w:line="276" w:lineRule="auto"/>
        <w:contextualSpacing w:val="0"/>
        <w:jc w:val="both"/>
        <w:rPr>
          <w:rFonts w:asciiTheme="minorHAnsi" w:hAnsiTheme="minorHAnsi"/>
          <w:sz w:val="24"/>
          <w:szCs w:val="24"/>
          <w:lang w:val="en-US"/>
        </w:rPr>
      </w:pPr>
      <w:r w:rsidRPr="008915CD">
        <w:rPr>
          <w:rFonts w:asciiTheme="minorHAnsi" w:hAnsiTheme="minorHAnsi"/>
          <w:sz w:val="24"/>
          <w:szCs w:val="24"/>
          <w:lang w:val="en-US"/>
        </w:rPr>
        <w:t xml:space="preserve">Root pruning (or digging up) is effective but labor-intensive and is recommended for individual plants or small stands (&lt;200 plants). It is typically performed with a standard spade with a sharp blade. Pruning should be carried out in early spring and repeated in mid-summer. It is recommended that the root be cut at least 10 cm below soil level (or up to 25 cm if additional layers of soil may be covering the plants). The cut plant parts are pulled out of the soil and either destroyed or left to dry out. </w:t>
      </w:r>
    </w:p>
    <w:p w14:paraId="1A1EF53D" w14:textId="77777777" w:rsidR="006F7B36" w:rsidRPr="008915CD" w:rsidRDefault="006F7B36" w:rsidP="008915CD">
      <w:pPr>
        <w:pStyle w:val="ListParagraph"/>
        <w:numPr>
          <w:ilvl w:val="0"/>
          <w:numId w:val="12"/>
        </w:numPr>
        <w:spacing w:after="120" w:line="276" w:lineRule="auto"/>
        <w:contextualSpacing w:val="0"/>
        <w:jc w:val="both"/>
        <w:rPr>
          <w:rFonts w:asciiTheme="minorHAnsi" w:hAnsiTheme="minorHAnsi"/>
          <w:sz w:val="24"/>
          <w:szCs w:val="24"/>
          <w:lang w:val="en-US"/>
        </w:rPr>
      </w:pPr>
      <w:r w:rsidRPr="008915CD">
        <w:rPr>
          <w:rFonts w:asciiTheme="minorHAnsi" w:hAnsiTheme="minorHAnsi"/>
          <w:sz w:val="24"/>
          <w:szCs w:val="24"/>
          <w:lang w:val="en-US"/>
        </w:rPr>
        <w:t xml:space="preserve">For large infested areas, mechanical mowing—for example, with a flail mower—is effective. The plants regrow quickly, and mowing should be repeated 2–3 times during the growing season to prevent regrowing plants from accumulating nutrients in their roots and subsequently flowering and setting seeds. </w:t>
      </w:r>
    </w:p>
    <w:p w14:paraId="30B2E7EC" w14:textId="77777777" w:rsidR="006F7B36" w:rsidRPr="008915CD" w:rsidRDefault="006F7B36" w:rsidP="008915CD">
      <w:pPr>
        <w:pStyle w:val="ListParagraph"/>
        <w:numPr>
          <w:ilvl w:val="0"/>
          <w:numId w:val="12"/>
        </w:numPr>
        <w:spacing w:after="120" w:line="276" w:lineRule="auto"/>
        <w:contextualSpacing w:val="0"/>
        <w:jc w:val="both"/>
        <w:rPr>
          <w:rFonts w:asciiTheme="minorHAnsi" w:hAnsiTheme="minorHAnsi"/>
          <w:sz w:val="24"/>
          <w:szCs w:val="24"/>
          <w:lang w:val="en-US"/>
        </w:rPr>
      </w:pPr>
      <w:r w:rsidRPr="008915CD">
        <w:rPr>
          <w:rFonts w:asciiTheme="minorHAnsi" w:hAnsiTheme="minorHAnsi"/>
          <w:sz w:val="24"/>
          <w:szCs w:val="24"/>
          <w:lang w:val="en-US"/>
        </w:rPr>
        <w:t xml:space="preserve">If the population is small or located in a place unsuitable for mechanical mowing—such as along rivers or on slopes—the plants can be cut by hand using a scythe or a brush cutter. One mowing strategy is to cut only flowering plants in the middle of the flowering phase. This will prevent the production of new seeds, and the vegetative plants will shade each other. If carefully repeated, this strategy should eliminate the population within a few years with minimal labor. </w:t>
      </w:r>
    </w:p>
    <w:p w14:paraId="5A781C81" w14:textId="77777777" w:rsidR="006F7B36" w:rsidRPr="008915CD" w:rsidRDefault="006F7B36" w:rsidP="008915CD">
      <w:pPr>
        <w:pStyle w:val="ListParagraph"/>
        <w:numPr>
          <w:ilvl w:val="0"/>
          <w:numId w:val="12"/>
        </w:numPr>
        <w:spacing w:after="120" w:line="276" w:lineRule="auto"/>
        <w:contextualSpacing w:val="0"/>
        <w:jc w:val="both"/>
        <w:rPr>
          <w:rFonts w:asciiTheme="minorHAnsi" w:hAnsiTheme="minorHAnsi"/>
          <w:sz w:val="24"/>
          <w:szCs w:val="24"/>
          <w:lang w:val="en-US"/>
        </w:rPr>
      </w:pPr>
      <w:r w:rsidRPr="008915CD">
        <w:rPr>
          <w:rFonts w:asciiTheme="minorHAnsi" w:hAnsiTheme="minorHAnsi"/>
          <w:sz w:val="24"/>
          <w:szCs w:val="24"/>
          <w:lang w:val="en-US"/>
        </w:rPr>
        <w:t>Removing the flower heads can be just as effective as cutting down the entire plants, but this control method often fails to prevent seed production due to the plants’ high regenerative potential. Plants that have had their inflorescences removed can easily regenerate and produce new flowers and viable, normal-sized seeds that germinate well. This method should be considered solely as a stopgap measure for controlling plants in locations where no other control efforts have been made previously. The timing of removal is critical, because if the treatment is applied too early in the season (before full inflorescence), regeneration is very vigorous and an even greater number of seeds are produced. If the treatment is applied too late (at the start of seed set), there is a risk that seeds will ripen even on cut umbels that remain on the ground. Cut umbels must be collected and destroyed. Umbel removal is most effective when the terminal umbels are just beginning to bloom. Even then, some regrowth occurs, and treated sites must be monitored during seed maturation to prevent the release of seeds resulting from regrowth (</w:t>
      </w:r>
      <w:r w:rsidRPr="008915CD">
        <w:rPr>
          <w:rFonts w:asciiTheme="minorHAnsi" w:hAnsiTheme="minorHAnsi"/>
          <w:i/>
          <w:iCs/>
          <w:sz w:val="24"/>
          <w:szCs w:val="24"/>
          <w:lang w:val="en-US"/>
        </w:rPr>
        <w:t>Nielsen et al., 2005; Pyšek et al., 2007</w:t>
      </w:r>
      <w:r w:rsidRPr="008915CD">
        <w:rPr>
          <w:rFonts w:asciiTheme="minorHAnsi" w:hAnsiTheme="minorHAnsi"/>
          <w:sz w:val="24"/>
          <w:szCs w:val="24"/>
          <w:lang w:val="en-US"/>
        </w:rPr>
        <w:t xml:space="preserve">).   </w:t>
      </w:r>
    </w:p>
    <w:p w14:paraId="4CEA5D8D" w14:textId="77777777" w:rsidR="006F7B36" w:rsidRPr="008915CD" w:rsidRDefault="006F7B36" w:rsidP="008915CD">
      <w:pPr>
        <w:pStyle w:val="ListParagraph"/>
        <w:numPr>
          <w:ilvl w:val="0"/>
          <w:numId w:val="12"/>
        </w:numPr>
        <w:spacing w:after="120" w:line="276" w:lineRule="auto"/>
        <w:contextualSpacing w:val="0"/>
        <w:jc w:val="both"/>
        <w:rPr>
          <w:rFonts w:asciiTheme="minorHAnsi" w:hAnsiTheme="minorHAnsi"/>
          <w:sz w:val="24"/>
          <w:szCs w:val="24"/>
          <w:lang w:val="en-US"/>
        </w:rPr>
      </w:pPr>
      <w:r w:rsidRPr="008915CD">
        <w:rPr>
          <w:rFonts w:asciiTheme="minorHAnsi" w:hAnsiTheme="minorHAnsi"/>
          <w:sz w:val="24"/>
          <w:szCs w:val="24"/>
          <w:lang w:val="en-US"/>
        </w:rPr>
        <w:t>Plowing can control H. sosnowskyi infestations on agricultural land. Deep plowing (up to 24 cm) significantly reduces hogweed seed germination by burying the topsoil (where most seeds are concentrated). The best results are achieved when mechanical or chemical methods are applied prior to plowing (</w:t>
      </w:r>
      <w:r w:rsidRPr="008915CD">
        <w:rPr>
          <w:rFonts w:asciiTheme="minorHAnsi" w:hAnsiTheme="minorHAnsi"/>
          <w:i/>
          <w:iCs/>
          <w:sz w:val="24"/>
          <w:szCs w:val="24"/>
          <w:lang w:val="en-US"/>
        </w:rPr>
        <w:t>Nielsen et al., 2005</w:t>
      </w:r>
      <w:r w:rsidRPr="008915CD">
        <w:rPr>
          <w:rFonts w:asciiTheme="minorHAnsi" w:hAnsiTheme="minorHAnsi"/>
          <w:sz w:val="24"/>
          <w:szCs w:val="24"/>
          <w:lang w:val="en-US"/>
        </w:rPr>
        <w:t xml:space="preserve">).  </w:t>
      </w:r>
    </w:p>
    <w:p w14:paraId="5613B826" w14:textId="77777777" w:rsidR="006F7B36" w:rsidRPr="008915CD" w:rsidRDefault="006F7B36" w:rsidP="008915CD">
      <w:pPr>
        <w:spacing w:after="120" w:line="276" w:lineRule="auto"/>
        <w:jc w:val="both"/>
        <w:rPr>
          <w:rFonts w:asciiTheme="minorHAnsi" w:hAnsiTheme="minorHAnsi"/>
          <w:sz w:val="24"/>
          <w:szCs w:val="24"/>
        </w:rPr>
      </w:pPr>
      <w:r w:rsidRPr="008915CD">
        <w:rPr>
          <w:rFonts w:asciiTheme="minorHAnsi" w:hAnsiTheme="minorHAnsi"/>
          <w:sz w:val="24"/>
          <w:szCs w:val="24"/>
        </w:rPr>
        <w:t>Chemical control methods</w:t>
      </w:r>
      <w:r w:rsidRPr="008915CD">
        <w:rPr>
          <w:rStyle w:val="FootnoteReference"/>
          <w:rFonts w:asciiTheme="minorHAnsi" w:hAnsiTheme="minorHAnsi"/>
          <w:sz w:val="24"/>
          <w:szCs w:val="24"/>
        </w:rPr>
        <w:footnoteReference w:id="47"/>
      </w:r>
    </w:p>
    <w:p w14:paraId="4D8C600C" w14:textId="77777777" w:rsidR="006F7B36" w:rsidRPr="008915CD" w:rsidRDefault="006F7B36" w:rsidP="008915CD">
      <w:pPr>
        <w:pStyle w:val="ListParagraph"/>
        <w:numPr>
          <w:ilvl w:val="0"/>
          <w:numId w:val="13"/>
        </w:numPr>
        <w:spacing w:after="120" w:line="276" w:lineRule="auto"/>
        <w:contextualSpacing w:val="0"/>
        <w:jc w:val="both"/>
        <w:rPr>
          <w:rFonts w:asciiTheme="minorHAnsi" w:hAnsiTheme="minorHAnsi"/>
          <w:sz w:val="24"/>
          <w:szCs w:val="24"/>
          <w:lang w:val="en-US"/>
        </w:rPr>
      </w:pPr>
      <w:r w:rsidRPr="008915CD">
        <w:rPr>
          <w:rFonts w:asciiTheme="minorHAnsi" w:hAnsiTheme="minorHAnsi"/>
          <w:i/>
          <w:iCs/>
          <w:sz w:val="24"/>
          <w:szCs w:val="24"/>
          <w:lang w:val="en-US"/>
        </w:rPr>
        <w:t xml:space="preserve">H. sosnowskyi </w:t>
      </w:r>
      <w:r w:rsidRPr="008915CD">
        <w:rPr>
          <w:rFonts w:asciiTheme="minorHAnsi" w:hAnsiTheme="minorHAnsi"/>
          <w:sz w:val="24"/>
          <w:szCs w:val="24"/>
          <w:lang w:val="en-US"/>
        </w:rPr>
        <w:t xml:space="preserve">(like other invasive </w:t>
      </w:r>
      <w:r w:rsidRPr="008915CD">
        <w:rPr>
          <w:rFonts w:asciiTheme="minorHAnsi" w:hAnsiTheme="minorHAnsi"/>
          <w:i/>
          <w:iCs/>
          <w:sz w:val="24"/>
          <w:szCs w:val="24"/>
          <w:lang w:val="en-US"/>
        </w:rPr>
        <w:t>Heracleum</w:t>
      </w:r>
      <w:r w:rsidRPr="008915CD">
        <w:rPr>
          <w:rFonts w:asciiTheme="minorHAnsi" w:hAnsiTheme="minorHAnsi"/>
          <w:sz w:val="24"/>
          <w:szCs w:val="24"/>
          <w:lang w:val="en-US"/>
        </w:rPr>
        <w:t xml:space="preserve"> species) is susceptible to systemic herbicides such as glyphosate, triclopyr, and imazapyr. Glyphosate is the most commonly used compound, but due to the risk of toxicity to fish and algae, an unsprayed buffer zone 2 m wide should adjoin every river or other body of water (</w:t>
      </w:r>
      <w:r w:rsidRPr="008915CD">
        <w:rPr>
          <w:rFonts w:asciiTheme="minorHAnsi" w:hAnsiTheme="minorHAnsi"/>
          <w:i/>
          <w:iCs/>
          <w:sz w:val="24"/>
          <w:szCs w:val="24"/>
          <w:lang w:val="en-US"/>
        </w:rPr>
        <w:t>Marcher, 2001</w:t>
      </w:r>
      <w:r w:rsidRPr="008915CD">
        <w:rPr>
          <w:rFonts w:asciiTheme="minorHAnsi" w:hAnsiTheme="minorHAnsi"/>
          <w:sz w:val="24"/>
          <w:szCs w:val="24"/>
          <w:lang w:val="en-US"/>
        </w:rPr>
        <w:t xml:space="preserve">). </w:t>
      </w:r>
    </w:p>
    <w:p w14:paraId="1D4D88D3" w14:textId="77777777" w:rsidR="006F7B36" w:rsidRPr="008915CD" w:rsidRDefault="006F7B36" w:rsidP="008915CD">
      <w:pPr>
        <w:pStyle w:val="ListParagraph"/>
        <w:numPr>
          <w:ilvl w:val="0"/>
          <w:numId w:val="13"/>
        </w:numPr>
        <w:spacing w:after="120" w:line="276" w:lineRule="auto"/>
        <w:contextualSpacing w:val="0"/>
        <w:jc w:val="both"/>
        <w:rPr>
          <w:rFonts w:asciiTheme="minorHAnsi" w:hAnsiTheme="minorHAnsi"/>
          <w:sz w:val="24"/>
          <w:szCs w:val="24"/>
          <w:lang w:val="en-US"/>
        </w:rPr>
      </w:pPr>
      <w:r w:rsidRPr="008915CD">
        <w:rPr>
          <w:rFonts w:asciiTheme="minorHAnsi" w:hAnsiTheme="minorHAnsi"/>
          <w:sz w:val="24"/>
          <w:szCs w:val="24"/>
          <w:lang w:val="en-US"/>
        </w:rPr>
        <w:t>Triclopyr has no effect on germinating grasses and is useful for controlling a range of broadleaf species. Imazapyr has residual activity in the soil that prevents further germination, but it may also affect non-target species (</w:t>
      </w:r>
      <w:r w:rsidRPr="008915CD">
        <w:rPr>
          <w:rFonts w:asciiTheme="minorHAnsi" w:hAnsiTheme="minorHAnsi"/>
          <w:i/>
          <w:iCs/>
          <w:sz w:val="24"/>
          <w:szCs w:val="24"/>
          <w:lang w:val="en-US"/>
        </w:rPr>
        <w:t>EPPO, 2008</w:t>
      </w:r>
      <w:r w:rsidRPr="008915CD">
        <w:rPr>
          <w:rFonts w:asciiTheme="minorHAnsi" w:hAnsiTheme="minorHAnsi"/>
          <w:sz w:val="24"/>
          <w:szCs w:val="24"/>
          <w:lang w:val="en-US"/>
        </w:rPr>
        <w:t xml:space="preserve">). </w:t>
      </w:r>
    </w:p>
    <w:p w14:paraId="4286BFAC" w14:textId="77777777" w:rsidR="006F7B36" w:rsidRPr="008915CD" w:rsidRDefault="006F7B36" w:rsidP="008915CD">
      <w:pPr>
        <w:pStyle w:val="ListParagraph"/>
        <w:numPr>
          <w:ilvl w:val="0"/>
          <w:numId w:val="13"/>
        </w:numPr>
        <w:spacing w:after="120" w:line="276" w:lineRule="auto"/>
        <w:contextualSpacing w:val="0"/>
        <w:jc w:val="both"/>
        <w:rPr>
          <w:rFonts w:asciiTheme="minorHAnsi" w:hAnsiTheme="minorHAnsi"/>
          <w:sz w:val="24"/>
          <w:szCs w:val="24"/>
          <w:lang w:val="en-US"/>
        </w:rPr>
      </w:pPr>
      <w:r w:rsidRPr="008915CD">
        <w:rPr>
          <w:rFonts w:asciiTheme="minorHAnsi" w:hAnsiTheme="minorHAnsi"/>
          <w:sz w:val="24"/>
          <w:szCs w:val="24"/>
          <w:lang w:val="en-US"/>
        </w:rPr>
        <w:t xml:space="preserve">Before applying herbicides, familiarize yourself with UE policies as well as national regulations and guidelines. Spraying should be carried out in dry and calm weather. If herbicides are to be used, it is strongly recommended that they be applied in early spring, when plants reach a height of 20–50 cm and access to the center of the colony is still possible. Before the end of May, a follow-up spray may be necessary to control new seedlings. This second spray can be replaced by mowing or pruning.  </w:t>
      </w:r>
    </w:p>
    <w:p w14:paraId="46740C17" w14:textId="77777777" w:rsidR="006F7B36" w:rsidRPr="008915CD" w:rsidRDefault="006F7B36" w:rsidP="008915CD">
      <w:pPr>
        <w:spacing w:after="120" w:line="276" w:lineRule="auto"/>
        <w:jc w:val="both"/>
        <w:rPr>
          <w:rFonts w:asciiTheme="minorHAnsi" w:hAnsiTheme="minorHAnsi"/>
          <w:sz w:val="24"/>
          <w:szCs w:val="24"/>
        </w:rPr>
      </w:pPr>
      <w:r w:rsidRPr="008915CD">
        <w:rPr>
          <w:rFonts w:asciiTheme="minorHAnsi" w:hAnsiTheme="minorHAnsi"/>
          <w:sz w:val="24"/>
          <w:szCs w:val="24"/>
        </w:rPr>
        <w:t>Integrated Pest Management (IPM)</w:t>
      </w:r>
      <w:r w:rsidRPr="008915CD">
        <w:rPr>
          <w:rStyle w:val="FootnoteReference"/>
          <w:rFonts w:asciiTheme="minorHAnsi" w:hAnsiTheme="minorHAnsi"/>
          <w:sz w:val="24"/>
          <w:szCs w:val="24"/>
        </w:rPr>
        <w:footnoteReference w:id="48"/>
      </w:r>
    </w:p>
    <w:p w14:paraId="6D00A9B1" w14:textId="77777777" w:rsidR="006F7B36" w:rsidRPr="008915CD" w:rsidRDefault="006F7B36" w:rsidP="008915CD">
      <w:pPr>
        <w:pStyle w:val="ListParagraph"/>
        <w:numPr>
          <w:ilvl w:val="0"/>
          <w:numId w:val="14"/>
        </w:numPr>
        <w:spacing w:after="120" w:line="276" w:lineRule="auto"/>
        <w:contextualSpacing w:val="0"/>
        <w:jc w:val="both"/>
        <w:rPr>
          <w:rFonts w:asciiTheme="minorHAnsi" w:hAnsiTheme="minorHAnsi"/>
          <w:sz w:val="24"/>
          <w:szCs w:val="24"/>
          <w:lang w:val="en-US"/>
        </w:rPr>
      </w:pPr>
      <w:r w:rsidRPr="008915CD">
        <w:rPr>
          <w:rFonts w:asciiTheme="minorHAnsi" w:hAnsiTheme="minorHAnsi"/>
          <w:sz w:val="24"/>
          <w:szCs w:val="24"/>
          <w:lang w:val="en-US"/>
        </w:rPr>
        <w:t>An integrated pest management strategy should be preferred, focusing on optimal management in terms of effectiveness, ecology, and economy. Such a program should include clearly defined objectives (e.g., eradication or containment), identification of all plant locations within a given area and habitats susceptible to invasion, and availability of resources. The choice of control method(s) depends on many factors, and often a combination of two or more methods may be more effective. Regardless of the control method, management typically requires repeated and proper application to achieve satisfactory results. To optimize efforts, plant control should begin at the start of the growing season and continue for several years until the seed bank in the soil is depleted and the root system dies off. Due to the likely downstream spread of seeds, it is important to ensure that infestations upstream have been controlled before attempting to control the species (</w:t>
      </w:r>
      <w:r w:rsidRPr="008915CD">
        <w:rPr>
          <w:rFonts w:asciiTheme="minorHAnsi" w:hAnsiTheme="minorHAnsi"/>
          <w:i/>
          <w:iCs/>
          <w:sz w:val="24"/>
          <w:szCs w:val="24"/>
          <w:lang w:val="en-US"/>
        </w:rPr>
        <w:t>Caffrey and Madsen, 2001; Nielsen et al., 2005, 2007; EPPO, 2008</w:t>
      </w:r>
      <w:r w:rsidRPr="008915CD">
        <w:rPr>
          <w:rFonts w:asciiTheme="minorHAnsi" w:hAnsiTheme="minorHAnsi"/>
          <w:sz w:val="24"/>
          <w:szCs w:val="24"/>
          <w:lang w:val="en-US"/>
        </w:rPr>
        <w:t>).</w:t>
      </w:r>
    </w:p>
    <w:p w14:paraId="4D7AD540" w14:textId="77777777" w:rsidR="006F7B36" w:rsidRPr="008915CD" w:rsidRDefault="006F7B36" w:rsidP="008915CD">
      <w:pPr>
        <w:spacing w:after="120" w:line="276" w:lineRule="auto"/>
        <w:jc w:val="both"/>
        <w:rPr>
          <w:rFonts w:asciiTheme="minorHAnsi" w:hAnsiTheme="minorHAnsi"/>
          <w:b/>
          <w:bCs/>
          <w:sz w:val="24"/>
          <w:szCs w:val="24"/>
          <w:lang w:val="en-US"/>
        </w:rPr>
      </w:pPr>
      <w:r w:rsidRPr="008915CD">
        <w:rPr>
          <w:rFonts w:asciiTheme="minorHAnsi" w:hAnsiTheme="minorHAnsi"/>
          <w:b/>
          <w:bCs/>
          <w:sz w:val="24"/>
          <w:szCs w:val="24"/>
          <w:lang w:val="en-US"/>
        </w:rPr>
        <w:t>Recommendations regarding biomass management are provided in Chapter 3.</w:t>
      </w:r>
    </w:p>
    <w:p w14:paraId="5FBA1B5A" w14:textId="5B1A5F45" w:rsidR="006F7B36" w:rsidRPr="00D049D4" w:rsidRDefault="006F7B36" w:rsidP="006F7B36">
      <w:pPr>
        <w:pStyle w:val="Heading2"/>
        <w:rPr>
          <w:lang w:val="en-US"/>
        </w:rPr>
      </w:pPr>
      <w:bookmarkStart w:id="23" w:name="_Toc239856704"/>
      <w:r w:rsidRPr="00D049D4">
        <w:rPr>
          <w:lang w:val="en-US"/>
        </w:rPr>
        <w:t>2.14. Giant hogweed (</w:t>
      </w:r>
      <w:r w:rsidRPr="00D049D4">
        <w:rPr>
          <w:i/>
          <w:iCs/>
          <w:lang w:val="en-US"/>
        </w:rPr>
        <w:t>Heracelum mantegazzianum</w:t>
      </w:r>
      <w:r w:rsidRPr="00D049D4">
        <w:rPr>
          <w:lang w:val="en-US"/>
        </w:rPr>
        <w:t>)</w:t>
      </w:r>
      <w:bookmarkEnd w:id="23"/>
    </w:p>
    <w:p w14:paraId="114440AF" w14:textId="77777777" w:rsidR="006F7B36" w:rsidRPr="002D76A6" w:rsidRDefault="006F7B36" w:rsidP="002D76A6">
      <w:pPr>
        <w:spacing w:after="120" w:line="276" w:lineRule="auto"/>
        <w:rPr>
          <w:rFonts w:asciiTheme="minorHAnsi" w:hAnsiTheme="minorHAnsi"/>
          <w:b/>
          <w:bCs/>
          <w:sz w:val="24"/>
          <w:szCs w:val="24"/>
          <w:lang w:val="en-US"/>
        </w:rPr>
      </w:pPr>
      <w:r w:rsidRPr="002D76A6">
        <w:rPr>
          <w:rFonts w:asciiTheme="minorHAnsi" w:hAnsiTheme="minorHAnsi"/>
          <w:b/>
          <w:bCs/>
          <w:sz w:val="24"/>
          <w:szCs w:val="24"/>
          <w:lang w:val="en-US"/>
        </w:rPr>
        <w:t>Characteristics of the Species</w:t>
      </w:r>
    </w:p>
    <w:p w14:paraId="02723359" w14:textId="77777777" w:rsidR="006F7B36" w:rsidRPr="002D76A6" w:rsidRDefault="006F7B36" w:rsidP="002D76A6">
      <w:pPr>
        <w:spacing w:after="120" w:line="276" w:lineRule="auto"/>
        <w:jc w:val="both"/>
        <w:rPr>
          <w:rFonts w:asciiTheme="minorHAnsi" w:hAnsiTheme="minorHAnsi"/>
          <w:sz w:val="24"/>
          <w:szCs w:val="24"/>
          <w:lang w:val="en-US"/>
        </w:rPr>
      </w:pPr>
      <w:r w:rsidRPr="002D76A6">
        <w:rPr>
          <w:rFonts w:asciiTheme="minorHAnsi" w:hAnsiTheme="minorHAnsi"/>
          <w:i/>
          <w:iCs/>
          <w:sz w:val="24"/>
          <w:szCs w:val="24"/>
          <w:lang w:val="en-US"/>
        </w:rPr>
        <w:t xml:space="preserve">Heracleum mantegazzianum </w:t>
      </w:r>
      <w:r w:rsidRPr="002D76A6">
        <w:rPr>
          <w:rFonts w:asciiTheme="minorHAnsi" w:hAnsiTheme="minorHAnsi"/>
          <w:sz w:val="24"/>
          <w:szCs w:val="24"/>
          <w:lang w:val="en-US"/>
        </w:rPr>
        <w:t>is a single-stemmed perennial that grows from a yellow, branched root system 40–60 cm deep and up to 15 cm in diameter at the crown when mature. The root is somewhat contractile, pulling the crown to about 10 cm below the soil surface. During the growing season, the plant forms a rosette of leaves that enlarges from year to year. The leaves are alternate; the lowest ones reach up to 3 m in length and up to 1.7 m in width, and are trifoliate or pinnately compound with coarsely serrated margins. The upper leaves on the flowering stem gradually become smaller. The upper surface of the leaf is glabrous, but the underside and petiole are covered with hairs. When it finally blooms, usually after 3–5 years, a single hollow stem appears, up to 2–5 m tall and 10 cm in diameter. The stem is striated, with purple spots, and covered with pustular bristles. The main inflorescence is a terminal compound umbel up to 80 cm in diameter with about 100 uneven, hairy rays, each 10–40 cm long. There are also up to eight satellite umbels that tower above the main one, while others develop on the branches below. The main umbel is hermaphroditic; the lower ones, which mature earlier, may be male only. The flowers, borne on 10–20 mm long pedicels, are white or pinkish with petals up to 12 mm long. The numerous fruits are flattened, elliptical, 6–18 mm long and 4–10 mm wide, narrowly winged; larger fruits occur on the main inflorescence, and smaller ones on the satellite inflorescences; they range from glabrous to hairy and are divided into two columns, each with 3–5 elongated oil channels. For the first few years, the aboveground growth dies back every winter. After flowering, the plant dies back completely (</w:t>
      </w:r>
      <w:r w:rsidRPr="002D76A6">
        <w:rPr>
          <w:rFonts w:asciiTheme="minorHAnsi" w:hAnsiTheme="minorHAnsi"/>
          <w:i/>
          <w:iCs/>
          <w:sz w:val="24"/>
          <w:szCs w:val="24"/>
          <w:lang w:val="en-US"/>
        </w:rPr>
        <w:t>according to Tiley et al., 1996</w:t>
      </w:r>
      <w:r w:rsidRPr="002D76A6">
        <w:rPr>
          <w:rFonts w:asciiTheme="minorHAnsi" w:hAnsiTheme="minorHAnsi"/>
          <w:sz w:val="24"/>
          <w:szCs w:val="24"/>
          <w:lang w:val="en-US"/>
        </w:rPr>
        <w:t xml:space="preserve">). </w:t>
      </w:r>
      <w:r w:rsidRPr="002D76A6">
        <w:rPr>
          <w:rFonts w:asciiTheme="minorHAnsi" w:hAnsiTheme="minorHAnsi"/>
          <w:i/>
          <w:iCs/>
          <w:sz w:val="24"/>
          <w:szCs w:val="24"/>
          <w:lang w:val="en-US"/>
        </w:rPr>
        <w:t xml:space="preserve">Nielsen et al. (2005) </w:t>
      </w:r>
      <w:r w:rsidRPr="002D76A6">
        <w:rPr>
          <w:rFonts w:asciiTheme="minorHAnsi" w:hAnsiTheme="minorHAnsi"/>
          <w:sz w:val="24"/>
          <w:szCs w:val="24"/>
          <w:lang w:val="en-US"/>
        </w:rPr>
        <w:t xml:space="preserve">provide excellent illustrations </w:t>
      </w:r>
      <w:r w:rsidRPr="002D76A6">
        <w:rPr>
          <w:rFonts w:asciiTheme="minorHAnsi" w:hAnsiTheme="minorHAnsi"/>
          <w:i/>
          <w:iCs/>
          <w:sz w:val="24"/>
          <w:szCs w:val="24"/>
          <w:lang w:val="en-US"/>
        </w:rPr>
        <w:t xml:space="preserve">of H. mantegazzianum </w:t>
      </w:r>
      <w:r w:rsidRPr="002D76A6">
        <w:rPr>
          <w:rFonts w:asciiTheme="minorHAnsi" w:hAnsiTheme="minorHAnsi"/>
          <w:sz w:val="24"/>
          <w:szCs w:val="24"/>
          <w:lang w:val="en-US"/>
        </w:rPr>
        <w:t>and related species.</w:t>
      </w:r>
      <w:r w:rsidRPr="002D76A6">
        <w:rPr>
          <w:rStyle w:val="FootnoteReference"/>
          <w:rFonts w:asciiTheme="minorHAnsi" w:hAnsiTheme="minorHAnsi"/>
          <w:sz w:val="24"/>
          <w:szCs w:val="24"/>
          <w:lang w:val="en-US"/>
        </w:rPr>
        <w:t xml:space="preserve"> </w:t>
      </w:r>
      <w:r w:rsidRPr="002D76A6">
        <w:rPr>
          <w:rStyle w:val="FootnoteReference"/>
          <w:rFonts w:asciiTheme="minorHAnsi" w:hAnsiTheme="minorHAnsi"/>
          <w:sz w:val="24"/>
          <w:szCs w:val="24"/>
        </w:rPr>
        <w:footnoteReference w:id="49"/>
      </w:r>
    </w:p>
    <w:p w14:paraId="198A43E7" w14:textId="5DECEEA5" w:rsidR="006F7B36" w:rsidRPr="002D76A6" w:rsidRDefault="006F7B36" w:rsidP="002D76A6">
      <w:pPr>
        <w:spacing w:after="120" w:line="276" w:lineRule="auto"/>
        <w:jc w:val="both"/>
        <w:rPr>
          <w:rFonts w:asciiTheme="minorHAnsi" w:hAnsiTheme="minorHAnsi"/>
          <w:sz w:val="24"/>
          <w:szCs w:val="24"/>
          <w:lang w:val="en-US"/>
        </w:rPr>
      </w:pPr>
      <w:r w:rsidRPr="002D76A6">
        <w:rPr>
          <w:rFonts w:asciiTheme="minorHAnsi" w:hAnsiTheme="minorHAnsi"/>
          <w:sz w:val="24"/>
          <w:szCs w:val="24"/>
          <w:lang w:val="en-US"/>
        </w:rPr>
        <w:t>Both Sosnowski's hogweed (see item 15 above) and Giant hogweed are large perennials, typically reaching a height of 2–3 m (maximum 450–500 cm). The two species are similar to one another, and the morphological differences noted in the literature are difficult to observe in practice. Due to the difficulty in distinguishing between them and their similar invasive and toxic properties, they are often confused or treated as a single species. Both species ( ) are usually identified based on the morphological characteristics of their leaves, flowers, and fruits</w:t>
      </w:r>
      <w:r w:rsidRPr="002D76A6">
        <w:rPr>
          <w:rStyle w:val="FootnoteReference"/>
          <w:rFonts w:asciiTheme="minorHAnsi" w:hAnsiTheme="minorHAnsi"/>
          <w:sz w:val="24"/>
          <w:szCs w:val="24"/>
        </w:rPr>
        <w:footnoteReference w:id="50"/>
      </w:r>
      <w:r w:rsidRPr="002D76A6">
        <w:rPr>
          <w:rFonts w:asciiTheme="minorHAnsi" w:hAnsiTheme="minorHAnsi"/>
          <w:sz w:val="24"/>
          <w:szCs w:val="24"/>
          <w:lang w:val="en-US"/>
        </w:rPr>
        <w:t xml:space="preserve"> . Detailed information on distinguishing between hogweed species is included in the cited GDOŚ Compendium of Methods for Controlling Caucasian Hogweed</w:t>
      </w:r>
      <w:r w:rsidR="009374B7" w:rsidRPr="002D76A6">
        <w:rPr>
          <w:rFonts w:asciiTheme="minorHAnsi" w:hAnsiTheme="minorHAnsi"/>
          <w:sz w:val="24"/>
          <w:szCs w:val="24"/>
          <w:lang w:val="en-US"/>
        </w:rPr>
        <w:t>s</w:t>
      </w:r>
      <w:r w:rsidRPr="002D76A6">
        <w:rPr>
          <w:rFonts w:asciiTheme="minorHAnsi" w:hAnsiTheme="minorHAnsi"/>
          <w:sz w:val="24"/>
          <w:szCs w:val="24"/>
          <w:lang w:val="en-US"/>
        </w:rPr>
        <w:t>. (Compendium. Methods for Controlling Caucasian Hogweed</w:t>
      </w:r>
      <w:r w:rsidR="009374B7" w:rsidRPr="002D76A6">
        <w:rPr>
          <w:rFonts w:asciiTheme="minorHAnsi" w:hAnsiTheme="minorHAnsi"/>
          <w:sz w:val="24"/>
          <w:szCs w:val="24"/>
          <w:lang w:val="en-US"/>
        </w:rPr>
        <w:t>s</w:t>
      </w:r>
      <w:r w:rsidRPr="002D76A6">
        <w:rPr>
          <w:rFonts w:asciiTheme="minorHAnsi" w:hAnsiTheme="minorHAnsi"/>
          <w:sz w:val="24"/>
          <w:szCs w:val="24"/>
          <w:lang w:val="en-US"/>
        </w:rPr>
        <w:t>, GDOŚ, Warsaw 2022 (https://www.gov.pl/web/gdos/kompendia-zwalczania-wybranych-igo).</w:t>
      </w:r>
    </w:p>
    <w:p w14:paraId="16702207" w14:textId="739D95E3" w:rsidR="00FB23F5" w:rsidRPr="00626277" w:rsidRDefault="009374B7" w:rsidP="002D76A6">
      <w:pPr>
        <w:jc w:val="center"/>
        <w:rPr>
          <w:b/>
          <w:bCs/>
        </w:rPr>
      </w:pPr>
      <w:r w:rsidRPr="00626277">
        <w:rPr>
          <w:b/>
          <w:bCs/>
        </w:rPr>
        <w:drawing>
          <wp:inline distT="0" distB="0" distL="0" distR="0" wp14:anchorId="7F8C29C9" wp14:editId="3F2BFBD5">
            <wp:extent cx="4499610" cy="5983605"/>
            <wp:effectExtent l="0" t="0" r="0" b="0"/>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499610" cy="5983605"/>
                    </a:xfrm>
                    <a:prstGeom prst="rect">
                      <a:avLst/>
                    </a:prstGeom>
                  </pic:spPr>
                </pic:pic>
              </a:graphicData>
            </a:graphic>
          </wp:inline>
        </w:drawing>
      </w:r>
    </w:p>
    <w:p w14:paraId="65FA269D" w14:textId="658C26DA" w:rsidR="006F7B36" w:rsidRPr="002D76A6" w:rsidRDefault="005B232C" w:rsidP="006F7B36">
      <w:pPr>
        <w:jc w:val="both"/>
        <w:rPr>
          <w:rFonts w:asciiTheme="minorHAnsi" w:hAnsiTheme="minorHAnsi"/>
          <w:sz w:val="18"/>
          <w:szCs w:val="18"/>
          <w:lang w:val="en-US"/>
        </w:rPr>
      </w:pPr>
      <w:r w:rsidRPr="002D76A6">
        <w:rPr>
          <w:rFonts w:asciiTheme="minorHAnsi" w:hAnsiTheme="minorHAnsi"/>
          <w:b/>
          <w:bCs/>
          <w:sz w:val="18"/>
          <w:szCs w:val="18"/>
          <w:lang w:val="en-US"/>
        </w:rPr>
        <w:t>Source</w:t>
      </w:r>
      <w:r w:rsidR="006F7B36" w:rsidRPr="002D76A6">
        <w:rPr>
          <w:rFonts w:asciiTheme="minorHAnsi" w:hAnsiTheme="minorHAnsi"/>
          <w:b/>
          <w:bCs/>
          <w:sz w:val="18"/>
          <w:szCs w:val="18"/>
          <w:lang w:val="en-US"/>
        </w:rPr>
        <w:t xml:space="preserve">: </w:t>
      </w:r>
      <w:r w:rsidR="006F7B36" w:rsidRPr="002D76A6">
        <w:rPr>
          <w:rFonts w:asciiTheme="minorHAnsi" w:hAnsiTheme="minorHAnsi"/>
          <w:sz w:val="18"/>
          <w:szCs w:val="18"/>
          <w:lang w:val="en-US"/>
        </w:rPr>
        <w:t>Compendium. Methods for Controlling Caucasian Hogweed</w:t>
      </w:r>
      <w:r w:rsidR="009374B7" w:rsidRPr="002D76A6">
        <w:rPr>
          <w:rFonts w:asciiTheme="minorHAnsi" w:hAnsiTheme="minorHAnsi"/>
          <w:sz w:val="18"/>
          <w:szCs w:val="18"/>
          <w:lang w:val="en-US"/>
        </w:rPr>
        <w:t>s</w:t>
      </w:r>
      <w:r w:rsidR="006F7B36" w:rsidRPr="002D76A6">
        <w:rPr>
          <w:rFonts w:asciiTheme="minorHAnsi" w:hAnsiTheme="minorHAnsi"/>
          <w:sz w:val="18"/>
          <w:szCs w:val="18"/>
          <w:lang w:val="en-US"/>
        </w:rPr>
        <w:t>, GDOŚ, Warsaw 2022 (</w:t>
      </w:r>
      <w:hyperlink r:id="rId49" w:history="1">
        <w:r w:rsidR="006F7B36" w:rsidRPr="002D76A6">
          <w:rPr>
            <w:rStyle w:val="Hyperlink"/>
            <w:rFonts w:asciiTheme="minorHAnsi" w:hAnsiTheme="minorHAnsi"/>
            <w:color w:val="auto"/>
            <w:sz w:val="18"/>
            <w:szCs w:val="18"/>
            <w:lang w:val="en-US"/>
          </w:rPr>
          <w:t>https://www.gov.pl/web/gdos/kompendia-zwalczania-wybranych-igo</w:t>
        </w:r>
      </w:hyperlink>
      <w:r w:rsidR="006F7B36" w:rsidRPr="002D76A6">
        <w:rPr>
          <w:rFonts w:asciiTheme="minorHAnsi" w:hAnsiTheme="minorHAnsi"/>
          <w:sz w:val="18"/>
          <w:szCs w:val="18"/>
          <w:lang w:val="en-US"/>
        </w:rPr>
        <w:t>)</w:t>
      </w:r>
    </w:p>
    <w:p w14:paraId="48A839BD" w14:textId="62595C21" w:rsidR="006F7B36" w:rsidRPr="00D049D4" w:rsidRDefault="006F7B36" w:rsidP="006F7B36">
      <w:pPr>
        <w:jc w:val="both"/>
        <w:rPr>
          <w:b/>
          <w:bCs/>
          <w:lang w:val="en-US"/>
        </w:rPr>
      </w:pPr>
    </w:p>
    <w:tbl>
      <w:tblPr>
        <w:tblStyle w:val="Swecotable"/>
        <w:tblW w:w="7086" w:type="dxa"/>
        <w:tblInd w:w="-5" w:type="dxa"/>
        <w:tblBorders>
          <w:left w:val="single" w:sz="4" w:space="0" w:color="auto"/>
          <w:right w:val="single" w:sz="4" w:space="0" w:color="auto"/>
        </w:tblBorders>
        <w:tblLook w:val="04A0" w:firstRow="1" w:lastRow="0" w:firstColumn="1" w:lastColumn="0" w:noHBand="0" w:noVBand="1"/>
      </w:tblPr>
      <w:tblGrid>
        <w:gridCol w:w="4260"/>
        <w:gridCol w:w="4327"/>
      </w:tblGrid>
      <w:tr w:rsidR="006F7B36" w:rsidRPr="00626277" w14:paraId="26EE9387" w14:textId="77777777" w:rsidTr="001B40C0">
        <w:trPr>
          <w:cnfStyle w:val="100000000000" w:firstRow="1" w:lastRow="0" w:firstColumn="0" w:lastColumn="0" w:oddVBand="0" w:evenVBand="0" w:oddHBand="0" w:evenHBand="0" w:firstRowFirstColumn="0" w:firstRowLastColumn="0" w:lastRowFirstColumn="0" w:lastRowLastColumn="0"/>
        </w:trPr>
        <w:tc>
          <w:tcPr>
            <w:tcW w:w="3516" w:type="dxa"/>
            <w:shd w:val="clear" w:color="auto" w:fill="auto"/>
          </w:tcPr>
          <w:p w14:paraId="78BBE64B" w14:textId="77777777" w:rsidR="006F7B36" w:rsidRPr="00626277" w:rsidRDefault="006F7B36" w:rsidP="002D76A6">
            <w:pPr>
              <w:jc w:val="center"/>
              <w:rPr>
                <w:b/>
                <w:bCs/>
                <w:lang w:val="pl-PL"/>
              </w:rPr>
            </w:pPr>
            <w:r w:rsidRPr="00626277">
              <w:rPr>
                <w:b/>
                <w:bCs/>
              </w:rPr>
              <w:drawing>
                <wp:inline distT="0" distB="0" distL="0" distR="0" wp14:anchorId="3CDA41E2" wp14:editId="135478D3">
                  <wp:extent cx="2628900" cy="3569211"/>
                  <wp:effectExtent l="0" t="0" r="0" b="0"/>
                  <wp:docPr id="62" name="Obraz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649825" cy="3597621"/>
                          </a:xfrm>
                          <a:prstGeom prst="rect">
                            <a:avLst/>
                          </a:prstGeom>
                        </pic:spPr>
                      </pic:pic>
                    </a:graphicData>
                  </a:graphic>
                </wp:inline>
              </w:drawing>
            </w:r>
          </w:p>
        </w:tc>
        <w:tc>
          <w:tcPr>
            <w:tcW w:w="3570" w:type="dxa"/>
            <w:shd w:val="clear" w:color="auto" w:fill="auto"/>
          </w:tcPr>
          <w:p w14:paraId="5B7EB4E5" w14:textId="77777777" w:rsidR="006F7B36" w:rsidRPr="00626277" w:rsidRDefault="006F7B36" w:rsidP="006F7B36">
            <w:pPr>
              <w:jc w:val="both"/>
              <w:rPr>
                <w:b/>
                <w:bCs/>
                <w:lang w:val="pl-PL"/>
              </w:rPr>
            </w:pPr>
            <w:r w:rsidRPr="00626277">
              <w:rPr>
                <w:b/>
                <w:bCs/>
              </w:rPr>
              <w:drawing>
                <wp:inline distT="0" distB="0" distL="0" distR="0" wp14:anchorId="51BBFE16" wp14:editId="68F27F67">
                  <wp:extent cx="2671502" cy="3568700"/>
                  <wp:effectExtent l="0" t="0" r="0" b="0"/>
                  <wp:docPr id="63" name="Obraz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699440" cy="3606020"/>
                          </a:xfrm>
                          <a:prstGeom prst="rect">
                            <a:avLst/>
                          </a:prstGeom>
                        </pic:spPr>
                      </pic:pic>
                    </a:graphicData>
                  </a:graphic>
                </wp:inline>
              </w:drawing>
            </w:r>
          </w:p>
        </w:tc>
      </w:tr>
      <w:tr w:rsidR="006F7B36" w:rsidRPr="00626277" w14:paraId="020F12ED" w14:textId="77777777" w:rsidTr="001B40C0">
        <w:tc>
          <w:tcPr>
            <w:tcW w:w="3516" w:type="dxa"/>
          </w:tcPr>
          <w:p w14:paraId="299E6FD2" w14:textId="77777777" w:rsidR="006F7B36" w:rsidRPr="00626277" w:rsidRDefault="006F7B36" w:rsidP="006F7B36">
            <w:pPr>
              <w:jc w:val="both"/>
              <w:rPr>
                <w:b/>
                <w:bCs/>
                <w:lang w:val="pl-PL"/>
              </w:rPr>
            </w:pPr>
            <w:r w:rsidRPr="00626277">
              <w:rPr>
                <w:b/>
                <w:bCs/>
                <w:lang w:val="pl-PL"/>
              </w:rPr>
              <w:t>Sosnowskyi’s hogweed</w:t>
            </w:r>
          </w:p>
        </w:tc>
        <w:tc>
          <w:tcPr>
            <w:tcW w:w="3570" w:type="dxa"/>
          </w:tcPr>
          <w:p w14:paraId="3E349398" w14:textId="77777777" w:rsidR="006F7B36" w:rsidRPr="00626277" w:rsidRDefault="006F7B36" w:rsidP="006F7B36">
            <w:pPr>
              <w:jc w:val="both"/>
              <w:rPr>
                <w:b/>
                <w:bCs/>
                <w:lang w:val="pl-PL"/>
              </w:rPr>
            </w:pPr>
            <w:r w:rsidRPr="00626277">
              <w:rPr>
                <w:b/>
                <w:bCs/>
                <w:lang w:val="pl-PL"/>
              </w:rPr>
              <w:t>Giant hogweed</w:t>
            </w:r>
          </w:p>
        </w:tc>
      </w:tr>
    </w:tbl>
    <w:p w14:paraId="1755C65F" w14:textId="4CBB5D26" w:rsidR="006F7B36" w:rsidRPr="002D76A6" w:rsidRDefault="005B232C" w:rsidP="006F7B36">
      <w:pPr>
        <w:jc w:val="both"/>
        <w:rPr>
          <w:rFonts w:asciiTheme="minorHAnsi" w:hAnsiTheme="minorHAnsi"/>
          <w:sz w:val="18"/>
          <w:szCs w:val="18"/>
          <w:lang w:val="en-US"/>
        </w:rPr>
      </w:pPr>
      <w:r w:rsidRPr="002D76A6">
        <w:rPr>
          <w:rFonts w:asciiTheme="minorHAnsi" w:hAnsiTheme="minorHAnsi"/>
          <w:b/>
          <w:bCs/>
          <w:sz w:val="18"/>
          <w:szCs w:val="18"/>
          <w:lang w:val="en-US"/>
        </w:rPr>
        <w:t>Source</w:t>
      </w:r>
      <w:r w:rsidR="006F7B36" w:rsidRPr="002D76A6">
        <w:rPr>
          <w:rFonts w:asciiTheme="minorHAnsi" w:hAnsiTheme="minorHAnsi"/>
          <w:b/>
          <w:bCs/>
          <w:sz w:val="18"/>
          <w:szCs w:val="18"/>
          <w:lang w:val="en-US"/>
        </w:rPr>
        <w:t xml:space="preserve">: </w:t>
      </w:r>
      <w:r w:rsidR="006F7B36" w:rsidRPr="002D76A6">
        <w:rPr>
          <w:rFonts w:asciiTheme="minorHAnsi" w:hAnsiTheme="minorHAnsi"/>
          <w:sz w:val="18"/>
          <w:szCs w:val="18"/>
          <w:lang w:val="en-US"/>
        </w:rPr>
        <w:t>Compendium. Methods for Controlling Caucasian Hogweed</w:t>
      </w:r>
      <w:r w:rsidR="009374B7" w:rsidRPr="002D76A6">
        <w:rPr>
          <w:rFonts w:asciiTheme="minorHAnsi" w:hAnsiTheme="minorHAnsi"/>
          <w:sz w:val="18"/>
          <w:szCs w:val="18"/>
          <w:lang w:val="en-US"/>
        </w:rPr>
        <w:t>s</w:t>
      </w:r>
      <w:r w:rsidR="006F7B36" w:rsidRPr="002D76A6">
        <w:rPr>
          <w:rFonts w:asciiTheme="minorHAnsi" w:hAnsiTheme="minorHAnsi"/>
          <w:sz w:val="18"/>
          <w:szCs w:val="18"/>
          <w:lang w:val="en-US"/>
        </w:rPr>
        <w:t>, GDOŚ, Warsaw 2022 (</w:t>
      </w:r>
      <w:hyperlink r:id="rId52" w:history="1">
        <w:r w:rsidR="006F7B36" w:rsidRPr="002D76A6">
          <w:rPr>
            <w:rStyle w:val="Hyperlink"/>
            <w:rFonts w:asciiTheme="minorHAnsi" w:hAnsiTheme="minorHAnsi"/>
            <w:color w:val="auto"/>
            <w:sz w:val="18"/>
            <w:szCs w:val="18"/>
            <w:lang w:val="en-US"/>
          </w:rPr>
          <w:t>https://www.gov.pl/web/gdos/kompendia-zwalczania-wybranych-igo</w:t>
        </w:r>
      </w:hyperlink>
      <w:r w:rsidR="006F7B36" w:rsidRPr="002D76A6">
        <w:rPr>
          <w:rFonts w:asciiTheme="minorHAnsi" w:hAnsiTheme="minorHAnsi"/>
          <w:sz w:val="18"/>
          <w:szCs w:val="18"/>
          <w:lang w:val="en-US"/>
        </w:rPr>
        <w:t>)</w:t>
      </w:r>
    </w:p>
    <w:p w14:paraId="50A7EDCD" w14:textId="65613DE9" w:rsidR="006F7B36" w:rsidRPr="002D76A6" w:rsidRDefault="00D35092" w:rsidP="002D76A6">
      <w:pPr>
        <w:spacing w:after="120" w:line="276" w:lineRule="auto"/>
        <w:jc w:val="both"/>
        <w:rPr>
          <w:rFonts w:asciiTheme="minorHAnsi" w:hAnsiTheme="minorHAnsi"/>
          <w:b/>
          <w:bCs/>
          <w:sz w:val="24"/>
          <w:szCs w:val="24"/>
          <w:lang w:val="en-US"/>
        </w:rPr>
      </w:pPr>
      <w:r w:rsidRPr="002D76A6">
        <w:rPr>
          <w:rFonts w:asciiTheme="minorHAnsi" w:hAnsiTheme="minorHAnsi"/>
          <w:b/>
          <w:bCs/>
          <w:sz w:val="24"/>
          <w:szCs w:val="24"/>
          <w:lang w:val="en-US"/>
        </w:rPr>
        <w:t>Eradication methods</w:t>
      </w:r>
      <w:r w:rsidR="006F7B36" w:rsidRPr="002D76A6">
        <w:rPr>
          <w:rFonts w:asciiTheme="minorHAnsi" w:hAnsiTheme="minorHAnsi"/>
          <w:b/>
          <w:bCs/>
          <w:sz w:val="24"/>
          <w:szCs w:val="24"/>
          <w:lang w:val="en-US"/>
        </w:rPr>
        <w:t xml:space="preserve"> </w:t>
      </w:r>
    </w:p>
    <w:p w14:paraId="555AA04C" w14:textId="4DE4A661" w:rsidR="006F7B36" w:rsidRPr="002D76A6" w:rsidRDefault="006F7B36" w:rsidP="002D76A6">
      <w:pPr>
        <w:spacing w:after="120" w:line="276" w:lineRule="auto"/>
        <w:jc w:val="both"/>
        <w:rPr>
          <w:rFonts w:asciiTheme="minorHAnsi" w:hAnsiTheme="minorHAnsi"/>
          <w:sz w:val="24"/>
          <w:szCs w:val="24"/>
          <w:lang w:val="en-US"/>
        </w:rPr>
      </w:pPr>
      <w:r w:rsidRPr="002D76A6">
        <w:rPr>
          <w:rFonts w:asciiTheme="minorHAnsi" w:hAnsiTheme="minorHAnsi"/>
          <w:sz w:val="24"/>
          <w:szCs w:val="24"/>
          <w:lang w:val="en-US"/>
        </w:rPr>
        <w:t>The overview of control and eradication methods presented below is based on the CABI Compendium. It is also recommended to consult the Compendium of Methods for Controlling Carpathian Hogweed published by GDOŚ in 2022.</w:t>
      </w:r>
      <w:r w:rsidRPr="002D76A6">
        <w:rPr>
          <w:rStyle w:val="FootnoteReference"/>
          <w:rFonts w:asciiTheme="minorHAnsi" w:hAnsiTheme="minorHAnsi"/>
          <w:sz w:val="24"/>
          <w:szCs w:val="24"/>
        </w:rPr>
        <w:footnoteReference w:id="51"/>
      </w:r>
    </w:p>
    <w:p w14:paraId="10C460C0" w14:textId="77777777" w:rsidR="006F7B36" w:rsidRPr="002D76A6" w:rsidRDefault="006F7B36" w:rsidP="002D76A6">
      <w:pPr>
        <w:spacing w:after="120" w:line="276" w:lineRule="auto"/>
        <w:jc w:val="both"/>
        <w:rPr>
          <w:rFonts w:asciiTheme="minorHAnsi" w:hAnsiTheme="minorHAnsi"/>
          <w:sz w:val="24"/>
          <w:szCs w:val="24"/>
        </w:rPr>
      </w:pPr>
      <w:r w:rsidRPr="002D76A6">
        <w:rPr>
          <w:rFonts w:asciiTheme="minorHAnsi" w:hAnsiTheme="minorHAnsi"/>
          <w:sz w:val="24"/>
          <w:szCs w:val="24"/>
        </w:rPr>
        <w:t>Physical/Mechanical Control Methods</w:t>
      </w:r>
      <w:r w:rsidRPr="002D76A6">
        <w:rPr>
          <w:rStyle w:val="FootnoteReference"/>
          <w:rFonts w:asciiTheme="minorHAnsi" w:hAnsiTheme="minorHAnsi"/>
          <w:sz w:val="24"/>
          <w:szCs w:val="24"/>
        </w:rPr>
        <w:footnoteReference w:id="52"/>
      </w:r>
    </w:p>
    <w:p w14:paraId="58C050C2" w14:textId="77777777" w:rsidR="006F7B36" w:rsidRPr="002D76A6" w:rsidRDefault="006F7B36" w:rsidP="002D76A6">
      <w:pPr>
        <w:pStyle w:val="ListParagraph"/>
        <w:numPr>
          <w:ilvl w:val="0"/>
          <w:numId w:val="15"/>
        </w:numPr>
        <w:spacing w:after="120" w:line="276" w:lineRule="auto"/>
        <w:contextualSpacing w:val="0"/>
        <w:jc w:val="both"/>
        <w:rPr>
          <w:rFonts w:asciiTheme="minorHAnsi" w:hAnsiTheme="minorHAnsi"/>
          <w:sz w:val="24"/>
          <w:szCs w:val="24"/>
          <w:lang w:val="en-US"/>
        </w:rPr>
      </w:pPr>
      <w:r w:rsidRPr="002D76A6">
        <w:rPr>
          <w:rFonts w:asciiTheme="minorHAnsi" w:hAnsiTheme="minorHAnsi"/>
          <w:sz w:val="24"/>
          <w:szCs w:val="24"/>
          <w:lang w:val="en-US"/>
        </w:rPr>
        <w:t xml:space="preserve">Manual removal (while wearing gloves) can be effective for young seedlings but is impractical for larger plants. </w:t>
      </w:r>
    </w:p>
    <w:p w14:paraId="64E7065B" w14:textId="77777777" w:rsidR="006F7B36" w:rsidRPr="002D76A6" w:rsidRDefault="006F7B36" w:rsidP="002D76A6">
      <w:pPr>
        <w:pStyle w:val="ListParagraph"/>
        <w:numPr>
          <w:ilvl w:val="0"/>
          <w:numId w:val="15"/>
        </w:numPr>
        <w:spacing w:after="120" w:line="276" w:lineRule="auto"/>
        <w:contextualSpacing w:val="0"/>
        <w:jc w:val="both"/>
        <w:rPr>
          <w:rFonts w:asciiTheme="minorHAnsi" w:hAnsiTheme="minorHAnsi"/>
          <w:sz w:val="24"/>
          <w:szCs w:val="24"/>
          <w:lang w:val="en-US"/>
        </w:rPr>
      </w:pPr>
      <w:r w:rsidRPr="002D76A6">
        <w:rPr>
          <w:rFonts w:asciiTheme="minorHAnsi" w:hAnsiTheme="minorHAnsi"/>
          <w:sz w:val="24"/>
          <w:szCs w:val="24"/>
          <w:lang w:val="en-US"/>
        </w:rPr>
        <w:t>Mechanical cutting is often used to clear riverbanks, but it does not provide long-term effectiveness because the plant quickly regrows from underground. It may also contribute to prolonging the flowering of shoots that would otherwise die back after flowering. Mowing in May and June is slightly more effective at reducing seed production and/or regrowth than mowing in March, but a single mowing cannot be relied upon to prevent potential seed dispersal. Even four mowings per year over two years failed to eradicate the plant (</w:t>
      </w:r>
      <w:r w:rsidRPr="002D76A6">
        <w:rPr>
          <w:rFonts w:asciiTheme="minorHAnsi" w:hAnsiTheme="minorHAnsi"/>
          <w:i/>
          <w:iCs/>
          <w:sz w:val="24"/>
          <w:szCs w:val="24"/>
          <w:lang w:val="en-US"/>
        </w:rPr>
        <w:t>Nielsen et al., 2007</w:t>
      </w:r>
      <w:r w:rsidRPr="002D76A6">
        <w:rPr>
          <w:rFonts w:asciiTheme="minorHAnsi" w:hAnsiTheme="minorHAnsi"/>
          <w:sz w:val="24"/>
          <w:szCs w:val="24"/>
          <w:lang w:val="en-US"/>
        </w:rPr>
        <w:t>). There is a trade-off between early cutting and high regrowth versus later removal of flower heads, which more effectively reduces fertility but requires dealing with more developed fruits that are capable of ripening even on cut flower heads (</w:t>
      </w:r>
      <w:r w:rsidRPr="002D76A6">
        <w:rPr>
          <w:rFonts w:asciiTheme="minorHAnsi" w:hAnsiTheme="minorHAnsi"/>
          <w:i/>
          <w:iCs/>
          <w:sz w:val="24"/>
          <w:szCs w:val="24"/>
          <w:lang w:val="en-US"/>
        </w:rPr>
        <w:t xml:space="preserve">Pyšek et al., 2007c). </w:t>
      </w:r>
    </w:p>
    <w:p w14:paraId="0DEBAFC5" w14:textId="77777777" w:rsidR="006F7B36" w:rsidRPr="002D76A6" w:rsidRDefault="006F7B36" w:rsidP="002D76A6">
      <w:pPr>
        <w:pStyle w:val="ListParagraph"/>
        <w:numPr>
          <w:ilvl w:val="0"/>
          <w:numId w:val="15"/>
        </w:numPr>
        <w:spacing w:after="120" w:line="276" w:lineRule="auto"/>
        <w:contextualSpacing w:val="0"/>
        <w:jc w:val="both"/>
        <w:rPr>
          <w:rFonts w:asciiTheme="minorHAnsi" w:hAnsiTheme="minorHAnsi"/>
          <w:sz w:val="24"/>
          <w:szCs w:val="24"/>
          <w:lang w:val="en-US"/>
        </w:rPr>
      </w:pPr>
      <w:r w:rsidRPr="002D76A6">
        <w:rPr>
          <w:rFonts w:asciiTheme="minorHAnsi" w:hAnsiTheme="minorHAnsi"/>
          <w:sz w:val="24"/>
          <w:szCs w:val="24"/>
          <w:lang w:val="en-US"/>
        </w:rPr>
        <w:t>Digging up or plowing to destroy the crown (below 10 cm soil depth) or otherwise severing the taproot from the crown (“root cutting”) can completely destroy the plant (</w:t>
      </w:r>
      <w:r w:rsidRPr="002D76A6">
        <w:rPr>
          <w:rFonts w:asciiTheme="minorHAnsi" w:hAnsiTheme="minorHAnsi"/>
          <w:i/>
          <w:iCs/>
          <w:sz w:val="24"/>
          <w:szCs w:val="24"/>
          <w:lang w:val="en-US"/>
        </w:rPr>
        <w:t>Pyšek et al., 2007e</w:t>
      </w:r>
      <w:r w:rsidRPr="002D76A6">
        <w:rPr>
          <w:rFonts w:asciiTheme="minorHAnsi" w:hAnsiTheme="minorHAnsi"/>
          <w:sz w:val="24"/>
          <w:szCs w:val="24"/>
          <w:lang w:val="en-US"/>
        </w:rPr>
        <w:t>).</w:t>
      </w:r>
    </w:p>
    <w:p w14:paraId="25C2E2D3" w14:textId="77777777" w:rsidR="006F7B36" w:rsidRPr="002D76A6" w:rsidRDefault="006F7B36" w:rsidP="002D76A6">
      <w:pPr>
        <w:spacing w:after="120" w:line="276" w:lineRule="auto"/>
        <w:jc w:val="both"/>
        <w:rPr>
          <w:rFonts w:asciiTheme="minorHAnsi" w:hAnsiTheme="minorHAnsi"/>
          <w:sz w:val="24"/>
          <w:szCs w:val="24"/>
        </w:rPr>
      </w:pPr>
      <w:r w:rsidRPr="002D76A6">
        <w:rPr>
          <w:rFonts w:asciiTheme="minorHAnsi" w:hAnsiTheme="minorHAnsi"/>
          <w:sz w:val="24"/>
          <w:szCs w:val="24"/>
        </w:rPr>
        <w:t>Chemical Control Methods</w:t>
      </w:r>
      <w:r w:rsidRPr="002D76A6">
        <w:rPr>
          <w:rStyle w:val="FootnoteReference"/>
          <w:rFonts w:asciiTheme="minorHAnsi" w:hAnsiTheme="minorHAnsi"/>
          <w:sz w:val="24"/>
          <w:szCs w:val="24"/>
        </w:rPr>
        <w:footnoteReference w:id="53"/>
      </w:r>
    </w:p>
    <w:p w14:paraId="40846C5A" w14:textId="77777777" w:rsidR="006F7B36" w:rsidRPr="002D76A6" w:rsidRDefault="006F7B36" w:rsidP="002D76A6">
      <w:pPr>
        <w:pStyle w:val="ListParagraph"/>
        <w:numPr>
          <w:ilvl w:val="0"/>
          <w:numId w:val="16"/>
        </w:numPr>
        <w:spacing w:after="120" w:line="276" w:lineRule="auto"/>
        <w:contextualSpacing w:val="0"/>
        <w:jc w:val="both"/>
        <w:rPr>
          <w:rFonts w:asciiTheme="minorHAnsi" w:hAnsiTheme="minorHAnsi"/>
          <w:sz w:val="24"/>
          <w:szCs w:val="24"/>
          <w:lang w:val="en-US"/>
        </w:rPr>
      </w:pPr>
      <w:r w:rsidRPr="002D76A6">
        <w:rPr>
          <w:rFonts w:asciiTheme="minorHAnsi" w:hAnsiTheme="minorHAnsi"/>
          <w:sz w:val="24"/>
          <w:szCs w:val="24"/>
          <w:lang w:val="en-US"/>
        </w:rPr>
        <w:t xml:space="preserve">In the United Kingdom, herbicides recommended for controlling </w:t>
      </w:r>
      <w:r w:rsidRPr="002D76A6">
        <w:rPr>
          <w:rFonts w:asciiTheme="minorHAnsi" w:hAnsiTheme="minorHAnsi"/>
          <w:i/>
          <w:iCs/>
          <w:sz w:val="24"/>
          <w:szCs w:val="24"/>
          <w:lang w:val="en-US"/>
        </w:rPr>
        <w:t xml:space="preserve">H. mantegazzianum </w:t>
      </w:r>
      <w:r w:rsidRPr="002D76A6">
        <w:rPr>
          <w:rFonts w:asciiTheme="minorHAnsi" w:hAnsiTheme="minorHAnsi"/>
          <w:sz w:val="24"/>
          <w:szCs w:val="24"/>
          <w:lang w:val="en-US"/>
        </w:rPr>
        <w:t>include glyphosate, triclopyr, and imazapyr, but all must be applied early in the season (March through May) for best results. Imazapyr has residual activity in the soil that prevents further germination, but it may also have subsequent effects on non-target species. Glyphosate is the most commonly used compound, typically applied in April or May when plants are 20–50 cm tall; however, due to the risk of toxicity to fish and algae, a 2-meter unsprayed buffer zone must be maintained adjacent to any river or other body of water.</w:t>
      </w:r>
    </w:p>
    <w:p w14:paraId="333D9F46" w14:textId="77777777" w:rsidR="006F7B36" w:rsidRPr="002D76A6" w:rsidRDefault="006F7B36" w:rsidP="002D76A6">
      <w:pPr>
        <w:pStyle w:val="ListParagraph"/>
        <w:numPr>
          <w:ilvl w:val="0"/>
          <w:numId w:val="16"/>
        </w:numPr>
        <w:spacing w:after="120" w:line="276" w:lineRule="auto"/>
        <w:contextualSpacing w:val="0"/>
        <w:jc w:val="both"/>
        <w:rPr>
          <w:rFonts w:asciiTheme="minorHAnsi" w:hAnsiTheme="minorHAnsi"/>
          <w:sz w:val="24"/>
          <w:szCs w:val="24"/>
          <w:lang w:val="en-US"/>
        </w:rPr>
      </w:pPr>
      <w:r w:rsidRPr="002D76A6">
        <w:rPr>
          <w:rFonts w:asciiTheme="minorHAnsi" w:hAnsiTheme="minorHAnsi"/>
          <w:sz w:val="24"/>
          <w:szCs w:val="24"/>
          <w:lang w:val="en-US"/>
        </w:rPr>
        <w:t>Instead of spraying, the herbicide can be injected into the stem to prevent water contamination (</w:t>
      </w:r>
      <w:r w:rsidRPr="002D76A6">
        <w:rPr>
          <w:rFonts w:asciiTheme="minorHAnsi" w:hAnsiTheme="minorHAnsi"/>
          <w:i/>
          <w:iCs/>
          <w:sz w:val="24"/>
          <w:szCs w:val="24"/>
          <w:lang w:val="en-US"/>
        </w:rPr>
        <w:t>Grguric, 2018</w:t>
      </w:r>
      <w:r w:rsidRPr="002D76A6">
        <w:rPr>
          <w:rFonts w:asciiTheme="minorHAnsi" w:hAnsiTheme="minorHAnsi"/>
          <w:sz w:val="24"/>
          <w:szCs w:val="24"/>
          <w:lang w:val="en-US"/>
        </w:rPr>
        <w:t xml:space="preserve">), and the herbicide should generally be viewed as only one of the first steps in an integrated control program. As a biochemical alternative to synthetic pesticides, mulch treated with pyrolytic liquid derived from birch wood can be used to control </w:t>
      </w:r>
      <w:r w:rsidRPr="002D76A6">
        <w:rPr>
          <w:rFonts w:asciiTheme="minorHAnsi" w:hAnsiTheme="minorHAnsi"/>
          <w:i/>
          <w:iCs/>
          <w:sz w:val="24"/>
          <w:szCs w:val="24"/>
          <w:lang w:val="en-US"/>
        </w:rPr>
        <w:t xml:space="preserve">H. mantegazzianum </w:t>
      </w:r>
      <w:r w:rsidRPr="002D76A6">
        <w:rPr>
          <w:rFonts w:asciiTheme="minorHAnsi" w:hAnsiTheme="minorHAnsi"/>
          <w:sz w:val="24"/>
          <w:szCs w:val="24"/>
          <w:lang w:val="en-US"/>
        </w:rPr>
        <w:t>seedlings (</w:t>
      </w:r>
      <w:r w:rsidRPr="002D76A6">
        <w:rPr>
          <w:rFonts w:asciiTheme="minorHAnsi" w:hAnsiTheme="minorHAnsi"/>
          <w:i/>
          <w:iCs/>
          <w:sz w:val="24"/>
          <w:szCs w:val="24"/>
          <w:lang w:val="en-US"/>
        </w:rPr>
        <w:t>Hagner et al., 2020</w:t>
      </w:r>
      <w:r w:rsidRPr="002D76A6">
        <w:rPr>
          <w:rFonts w:asciiTheme="minorHAnsi" w:hAnsiTheme="minorHAnsi"/>
          <w:sz w:val="24"/>
          <w:szCs w:val="24"/>
          <w:lang w:val="en-US"/>
        </w:rPr>
        <w:t>).</w:t>
      </w:r>
    </w:p>
    <w:p w14:paraId="547462BF" w14:textId="77777777" w:rsidR="006F7B36" w:rsidRPr="002D76A6" w:rsidRDefault="006F7B36" w:rsidP="002D76A6">
      <w:pPr>
        <w:spacing w:after="120" w:line="276" w:lineRule="auto"/>
        <w:jc w:val="both"/>
        <w:rPr>
          <w:rFonts w:asciiTheme="minorHAnsi" w:hAnsiTheme="minorHAnsi"/>
          <w:b/>
          <w:bCs/>
          <w:sz w:val="24"/>
          <w:szCs w:val="24"/>
          <w:lang w:val="en-US"/>
        </w:rPr>
      </w:pPr>
      <w:r w:rsidRPr="002D76A6">
        <w:rPr>
          <w:rFonts w:asciiTheme="minorHAnsi" w:hAnsiTheme="minorHAnsi"/>
          <w:b/>
          <w:bCs/>
          <w:sz w:val="24"/>
          <w:szCs w:val="24"/>
          <w:lang w:val="en-US"/>
        </w:rPr>
        <w:t>Recommendations regarding biomass management are provided in Chapter 3.</w:t>
      </w:r>
    </w:p>
    <w:p w14:paraId="647A3B8E" w14:textId="6D0A043B" w:rsidR="0005288C" w:rsidRPr="00D049D4" w:rsidRDefault="0005288C" w:rsidP="0005288C">
      <w:pPr>
        <w:pStyle w:val="Heading2"/>
        <w:rPr>
          <w:lang w:val="en-US"/>
        </w:rPr>
      </w:pPr>
      <w:bookmarkStart w:id="24" w:name="_Toc239856705"/>
      <w:r w:rsidRPr="00D049D4">
        <w:rPr>
          <w:lang w:val="en-US"/>
        </w:rPr>
        <w:t>2.15. Monkeyflower (</w:t>
      </w:r>
      <w:r w:rsidRPr="00D049D4">
        <w:rPr>
          <w:i/>
          <w:iCs/>
          <w:lang w:val="en-US"/>
        </w:rPr>
        <w:t>Mimulus guttatus</w:t>
      </w:r>
      <w:r w:rsidRPr="00D049D4">
        <w:rPr>
          <w:lang w:val="en-US"/>
        </w:rPr>
        <w:t>)</w:t>
      </w:r>
      <w:bookmarkEnd w:id="24"/>
    </w:p>
    <w:p w14:paraId="063A76AB" w14:textId="606709F3" w:rsidR="0005288C" w:rsidRPr="002D76A6" w:rsidRDefault="0005288C" w:rsidP="002D76A6">
      <w:pPr>
        <w:spacing w:after="120" w:line="276" w:lineRule="auto"/>
        <w:jc w:val="both"/>
        <w:rPr>
          <w:rFonts w:asciiTheme="minorHAnsi" w:hAnsiTheme="minorHAnsi"/>
          <w:b/>
          <w:bCs/>
          <w:sz w:val="24"/>
          <w:szCs w:val="24"/>
          <w:lang w:val="en-US"/>
        </w:rPr>
      </w:pPr>
      <w:r w:rsidRPr="002D76A6">
        <w:rPr>
          <w:rFonts w:asciiTheme="minorHAnsi" w:hAnsiTheme="minorHAnsi"/>
          <w:b/>
          <w:bCs/>
          <w:sz w:val="24"/>
          <w:szCs w:val="24"/>
          <w:lang w:val="en-US"/>
        </w:rPr>
        <w:t>Characteristics of the Species</w:t>
      </w:r>
    </w:p>
    <w:p w14:paraId="486D6665" w14:textId="1533C8FB" w:rsidR="0005288C" w:rsidRPr="002D76A6" w:rsidRDefault="0005288C" w:rsidP="002D76A6">
      <w:pPr>
        <w:spacing w:after="120" w:line="276" w:lineRule="auto"/>
        <w:jc w:val="both"/>
        <w:rPr>
          <w:rFonts w:asciiTheme="minorHAnsi" w:hAnsiTheme="minorHAnsi"/>
          <w:sz w:val="24"/>
          <w:szCs w:val="24"/>
          <w:lang w:val="en-US"/>
        </w:rPr>
      </w:pPr>
      <w:r w:rsidRPr="002D76A6">
        <w:rPr>
          <w:rFonts w:asciiTheme="minorHAnsi" w:hAnsiTheme="minorHAnsi"/>
          <w:sz w:val="24"/>
          <w:szCs w:val="24"/>
          <w:lang w:val="en-US"/>
        </w:rPr>
        <w:t>The monkeyflower (</w:t>
      </w:r>
      <w:r w:rsidR="009374B7" w:rsidRPr="002D76A6">
        <w:rPr>
          <w:rFonts w:asciiTheme="minorHAnsi" w:hAnsiTheme="minorHAnsi"/>
          <w:i/>
          <w:iCs/>
          <w:sz w:val="24"/>
          <w:szCs w:val="24"/>
          <w:lang w:val="en-US"/>
        </w:rPr>
        <w:t>mimulus guttatus</w:t>
      </w:r>
      <w:r w:rsidRPr="002D76A6">
        <w:rPr>
          <w:rFonts w:asciiTheme="minorHAnsi" w:hAnsiTheme="minorHAnsi"/>
          <w:sz w:val="24"/>
          <w:szCs w:val="24"/>
          <w:lang w:val="en-US"/>
        </w:rPr>
        <w:t>) is a perennial herbaceous plant whose stems typically reach a height of 30–60 cm, although according to some authors they can grow up to 150 cm. The stem is glabrous or sparsely glandular-hairy. The leaves are arranged oppositely; those on the lower part of the stem are petiolate, while those on the upper part are sessile. The leaf blades are rounded in shape and have serrated margins. The flowers grow singly in the axils of the upper leaves, forming a loose cluster. The calyx, fused from five sepals, becomes loose during fruiting and takes on a bell-shaped form. The corolla, 2.5–4.5 cm long, is bright yellow and consists of five petals forming two lips: the upper lip, formed by the fusion of two petals, and the lower lip, formed by the remaining three. The inner surface of the lower lip is characteristically speckled with red spots. Within the species’ natural range, the flowers of the Monkeyflower are pollinated primarily by bees and bumblebees. The fruit is a capsule containing up to several hundred seeds, which are dispersed mainly by water and wind. This species exhibits broad tolerance to light and temperature conditions, but requires high soil moisture for proper development. For this reason, plant communities in which it occurs are most commonly found along water’s edges, in the fringe zones of springs, and near seepages.</w:t>
      </w:r>
    </w:p>
    <w:p w14:paraId="234E9FC1" w14:textId="0D6BF73C" w:rsidR="00FB23F5" w:rsidRPr="00626277" w:rsidRDefault="009374B7" w:rsidP="002D76A6">
      <w:pPr>
        <w:jc w:val="center"/>
      </w:pPr>
      <w:r w:rsidRPr="00626277">
        <w:drawing>
          <wp:inline distT="0" distB="0" distL="0" distR="0" wp14:anchorId="01F865AF" wp14:editId="33F3B3E9">
            <wp:extent cx="5760720" cy="2429806"/>
            <wp:effectExtent l="0" t="0" r="0" b="8890"/>
            <wp:docPr id="139062716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60720" cy="2429806"/>
                    </a:xfrm>
                    <a:prstGeom prst="rect">
                      <a:avLst/>
                    </a:prstGeom>
                    <a:noFill/>
                  </pic:spPr>
                </pic:pic>
              </a:graphicData>
            </a:graphic>
          </wp:inline>
        </w:drawing>
      </w:r>
    </w:p>
    <w:p w14:paraId="1A8F7247" w14:textId="69998403" w:rsidR="005B232C" w:rsidRPr="002D76A6" w:rsidRDefault="005B232C" w:rsidP="0005288C">
      <w:pPr>
        <w:jc w:val="both"/>
        <w:rPr>
          <w:rFonts w:asciiTheme="minorHAnsi" w:hAnsiTheme="minorHAnsi"/>
          <w:sz w:val="18"/>
          <w:szCs w:val="18"/>
          <w:lang w:val="en-US"/>
        </w:rPr>
      </w:pPr>
      <w:r w:rsidRPr="002D76A6">
        <w:rPr>
          <w:rFonts w:asciiTheme="minorHAnsi" w:hAnsiTheme="minorHAnsi"/>
          <w:b/>
          <w:bCs/>
          <w:sz w:val="18"/>
          <w:szCs w:val="18"/>
          <w:lang w:val="en-US"/>
        </w:rPr>
        <w:t>Source:</w:t>
      </w:r>
      <w:r w:rsidRPr="002D76A6">
        <w:rPr>
          <w:rFonts w:asciiTheme="minorHAnsi" w:hAnsiTheme="minorHAnsi"/>
          <w:sz w:val="18"/>
          <w:szCs w:val="18"/>
          <w:lang w:val="en-US"/>
        </w:rPr>
        <w:t xml:space="preserve"> https://www.gov.pl/web/gdos/mimulus-guttatus---kroplik-zolty, photo by Zygmunt Dajdok.</w:t>
      </w:r>
    </w:p>
    <w:p w14:paraId="6C5421B4" w14:textId="34271BCD" w:rsidR="005B232C" w:rsidRPr="00663D7F" w:rsidRDefault="00D35092" w:rsidP="00663D7F">
      <w:pPr>
        <w:spacing w:after="120" w:line="276" w:lineRule="auto"/>
        <w:jc w:val="both"/>
        <w:rPr>
          <w:rFonts w:asciiTheme="minorHAnsi" w:hAnsiTheme="minorHAnsi"/>
          <w:b/>
          <w:bCs/>
          <w:sz w:val="24"/>
          <w:szCs w:val="24"/>
          <w:lang w:val="en-US"/>
        </w:rPr>
      </w:pPr>
      <w:r w:rsidRPr="00663D7F">
        <w:rPr>
          <w:rFonts w:asciiTheme="minorHAnsi" w:hAnsiTheme="minorHAnsi"/>
          <w:b/>
          <w:bCs/>
          <w:sz w:val="24"/>
          <w:szCs w:val="24"/>
          <w:lang w:val="en-US"/>
        </w:rPr>
        <w:t>Eradication methods</w:t>
      </w:r>
      <w:r w:rsidR="005B232C" w:rsidRPr="00663D7F">
        <w:rPr>
          <w:rFonts w:asciiTheme="minorHAnsi" w:hAnsiTheme="minorHAnsi"/>
          <w:b/>
          <w:bCs/>
          <w:sz w:val="24"/>
          <w:szCs w:val="24"/>
          <w:lang w:val="en-US"/>
        </w:rPr>
        <w:t xml:space="preserve"> </w:t>
      </w:r>
    </w:p>
    <w:p w14:paraId="262406CC" w14:textId="2FB871E9" w:rsidR="005B232C" w:rsidRPr="00663D7F" w:rsidRDefault="005B232C" w:rsidP="00663D7F">
      <w:pPr>
        <w:spacing w:after="120" w:line="276" w:lineRule="auto"/>
        <w:jc w:val="both"/>
        <w:rPr>
          <w:rFonts w:asciiTheme="minorHAnsi" w:hAnsiTheme="minorHAnsi"/>
          <w:sz w:val="24"/>
          <w:szCs w:val="24"/>
          <w:lang w:val="en-US"/>
        </w:rPr>
      </w:pPr>
      <w:r w:rsidRPr="00663D7F">
        <w:rPr>
          <w:rFonts w:asciiTheme="minorHAnsi" w:hAnsiTheme="minorHAnsi"/>
          <w:sz w:val="24"/>
          <w:szCs w:val="24"/>
          <w:lang w:val="en-US"/>
        </w:rPr>
        <w:t>Mechanical removal of individual plants is considered an effective method for eliminating Monkeyflower from the environment. Due to the species’ specific distribution, which is limited to particular riparian habitats, its population size typically allows for manual removal. The positive effects of such measures—in the form of population reduction and, consequently, a limitation on the Monkeyflower’s ability to compete with other native plants—are well-known and proven in Poland, including in the Karkonosze National Park.</w:t>
      </w:r>
    </w:p>
    <w:p w14:paraId="64DB0E3A" w14:textId="13373809" w:rsidR="0005288C" w:rsidRPr="00D049D4" w:rsidRDefault="0005288C" w:rsidP="0005288C">
      <w:pPr>
        <w:pStyle w:val="Heading2"/>
        <w:rPr>
          <w:lang w:val="en-US"/>
        </w:rPr>
      </w:pPr>
      <w:bookmarkStart w:id="25" w:name="_Toc239856706"/>
      <w:r w:rsidRPr="00D049D4">
        <w:rPr>
          <w:lang w:val="en-US"/>
        </w:rPr>
        <w:t>2.16. Cutleaf coneflower (</w:t>
      </w:r>
      <w:r w:rsidRPr="00D049D4">
        <w:rPr>
          <w:i/>
          <w:iCs/>
          <w:lang w:val="en-US"/>
        </w:rPr>
        <w:t>Rudbeckia laciniata</w:t>
      </w:r>
      <w:r w:rsidRPr="00D049D4">
        <w:rPr>
          <w:lang w:val="en-US"/>
        </w:rPr>
        <w:t>)</w:t>
      </w:r>
      <w:bookmarkEnd w:id="25"/>
    </w:p>
    <w:p w14:paraId="484ED667" w14:textId="51F6D78E" w:rsidR="0005288C" w:rsidRPr="00663D7F" w:rsidRDefault="0005288C" w:rsidP="00663D7F">
      <w:pPr>
        <w:spacing w:after="120" w:line="276" w:lineRule="auto"/>
        <w:jc w:val="both"/>
        <w:rPr>
          <w:rFonts w:asciiTheme="minorHAnsi" w:hAnsiTheme="minorHAnsi"/>
          <w:b/>
          <w:bCs/>
          <w:sz w:val="24"/>
          <w:szCs w:val="24"/>
          <w:lang w:val="en-US"/>
        </w:rPr>
      </w:pPr>
      <w:r w:rsidRPr="00663D7F">
        <w:rPr>
          <w:rFonts w:asciiTheme="minorHAnsi" w:hAnsiTheme="minorHAnsi"/>
          <w:b/>
          <w:bCs/>
          <w:sz w:val="24"/>
          <w:szCs w:val="24"/>
          <w:lang w:val="en-US"/>
        </w:rPr>
        <w:t>Characteristics of the species</w:t>
      </w:r>
      <w:r w:rsidR="005B232C" w:rsidRPr="00663D7F">
        <w:rPr>
          <w:rFonts w:asciiTheme="minorHAnsi" w:hAnsiTheme="minorHAnsi"/>
          <w:b/>
          <w:bCs/>
          <w:sz w:val="24"/>
          <w:szCs w:val="24"/>
          <w:lang w:val="en-US"/>
        </w:rPr>
        <w:t>.</w:t>
      </w:r>
    </w:p>
    <w:p w14:paraId="06CC5091" w14:textId="1A38F21B" w:rsidR="005B232C" w:rsidRPr="00663D7F" w:rsidRDefault="005B232C" w:rsidP="00663D7F">
      <w:pPr>
        <w:spacing w:after="120" w:line="276" w:lineRule="auto"/>
        <w:jc w:val="both"/>
        <w:rPr>
          <w:rFonts w:asciiTheme="minorHAnsi" w:hAnsiTheme="minorHAnsi"/>
          <w:sz w:val="24"/>
          <w:szCs w:val="24"/>
          <w:lang w:val="en-US"/>
        </w:rPr>
      </w:pPr>
      <w:r w:rsidRPr="00663D7F">
        <w:rPr>
          <w:rFonts w:asciiTheme="minorHAnsi" w:hAnsiTheme="minorHAnsi"/>
          <w:sz w:val="24"/>
          <w:szCs w:val="24"/>
          <w:lang w:val="en-US"/>
        </w:rPr>
        <w:t>The cutleaf coneflower is a stately perennial with short underground runners. Its stems are erect, branched, glabrous, covered with a bluish bloom, and reach heights ranging from 60 to 300 centimeters. There are three types of leaves on the rudbeckia’s stems: the lower ones are pinnately lobed, composed of 5–7 ovate, incised leaflets; the middle ones are 3–5-lobed; and the uppermost ones are undivided. The flower heads, 7–12 cm in diameter, are showy, with decorative yellow ray flowers and dark olive-colored disk flowers. The calyx is transformed into a pappus (calyx fluff), and the phyllaries (scales growing at the base of the flowers at the bottom of the flower heads in plants of the Asteraceae family) have truncated or rounded tips. The plant blooms from July through August. The fruits are glabrous and tetrahedral. It belongs to a group of species that partially reproduce apomictically (i.e., seed formation without fertilization). Of the numerous seeds produced, only about 50% germinate. Vegetative reproduction via underground runners plays a more important role in the plant’s dispersal. The species can occupy a wide range of habitats, but most often colonizes moist areas, both natural and anthropogenic.</w:t>
      </w:r>
    </w:p>
    <w:p w14:paraId="1E962849" w14:textId="61158804" w:rsidR="005B232C" w:rsidRPr="00626277" w:rsidRDefault="005B232C" w:rsidP="00663D7F">
      <w:pPr>
        <w:jc w:val="center"/>
      </w:pPr>
      <w:r w:rsidRPr="00626277">
        <w:drawing>
          <wp:inline distT="0" distB="0" distL="0" distR="0" wp14:anchorId="2E37727D" wp14:editId="5D829B4A">
            <wp:extent cx="5772150" cy="2435126"/>
            <wp:effectExtent l="0" t="0" r="0" b="3810"/>
            <wp:docPr id="1006390274"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90228" cy="2442753"/>
                    </a:xfrm>
                    <a:prstGeom prst="rect">
                      <a:avLst/>
                    </a:prstGeom>
                    <a:noFill/>
                  </pic:spPr>
                </pic:pic>
              </a:graphicData>
            </a:graphic>
          </wp:inline>
        </w:drawing>
      </w:r>
    </w:p>
    <w:p w14:paraId="781C3613" w14:textId="1728222B" w:rsidR="005B232C" w:rsidRPr="00663D7F" w:rsidRDefault="005B232C" w:rsidP="006375EC">
      <w:pPr>
        <w:suppressAutoHyphens/>
        <w:rPr>
          <w:rFonts w:asciiTheme="minorHAnsi" w:hAnsiTheme="minorHAnsi"/>
          <w:sz w:val="18"/>
          <w:szCs w:val="18"/>
        </w:rPr>
      </w:pPr>
      <w:r w:rsidRPr="00663D7F">
        <w:rPr>
          <w:rFonts w:asciiTheme="minorHAnsi" w:hAnsiTheme="minorHAnsi"/>
          <w:b/>
          <w:bCs/>
          <w:sz w:val="18"/>
          <w:szCs w:val="18"/>
        </w:rPr>
        <w:t>Source</w:t>
      </w:r>
      <w:r w:rsidR="00B02F89">
        <w:rPr>
          <w:rFonts w:asciiTheme="minorHAnsi" w:hAnsiTheme="minorHAnsi"/>
          <w:b/>
          <w:bCs/>
          <w:sz w:val="18"/>
          <w:szCs w:val="18"/>
        </w:rPr>
        <w:t xml:space="preserve"> </w:t>
      </w:r>
      <w:r w:rsidRPr="00663D7F">
        <w:rPr>
          <w:rFonts w:asciiTheme="minorHAnsi" w:hAnsiTheme="minorHAnsi"/>
          <w:sz w:val="18"/>
          <w:szCs w:val="18"/>
        </w:rPr>
        <w:t>https://www.gov.pl/web/gdos/rudbeckia-laciniata---Cut</w:t>
      </w:r>
      <w:hyperlink r:id="rId55" w:history="1">
        <w:r w:rsidRPr="00663D7F">
          <w:rPr>
            <w:rFonts w:asciiTheme="minorHAnsi" w:hAnsiTheme="minorHAnsi"/>
            <w:sz w:val="18"/>
            <w:szCs w:val="18"/>
          </w:rPr>
          <w:t>leaf</w:t>
        </w:r>
        <w:r w:rsidR="006375EC">
          <w:rPr>
            <w:rFonts w:asciiTheme="minorHAnsi" w:hAnsiTheme="minorHAnsi"/>
            <w:sz w:val="18"/>
            <w:szCs w:val="18"/>
          </w:rPr>
          <w:t xml:space="preserve"> </w:t>
        </w:r>
        <w:r w:rsidRPr="00663D7F">
          <w:rPr>
            <w:rFonts w:asciiTheme="minorHAnsi" w:hAnsiTheme="minorHAnsi"/>
            <w:sz w:val="18"/>
            <w:szCs w:val="18"/>
          </w:rPr>
          <w:t>coneflowerhttps://www.gov.pl/web/gdos/rudbeckia-laciniata---Cutleaf coneflower</w:t>
        </w:r>
      </w:hyperlink>
      <w:r w:rsidRPr="00663D7F">
        <w:rPr>
          <w:rFonts w:asciiTheme="minorHAnsi" w:hAnsiTheme="minorHAnsi"/>
          <w:sz w:val="18"/>
          <w:szCs w:val="18"/>
        </w:rPr>
        <w:t>, photo by Barbara Tokara-Guzik.</w:t>
      </w:r>
    </w:p>
    <w:p w14:paraId="77501259" w14:textId="227EC597" w:rsidR="005B232C" w:rsidRPr="006375EC" w:rsidRDefault="00D35092" w:rsidP="006375EC">
      <w:pPr>
        <w:spacing w:after="120" w:line="276" w:lineRule="auto"/>
        <w:jc w:val="both"/>
        <w:rPr>
          <w:rFonts w:asciiTheme="minorHAnsi" w:hAnsiTheme="minorHAnsi"/>
          <w:b/>
          <w:bCs/>
          <w:sz w:val="24"/>
          <w:szCs w:val="24"/>
          <w:lang w:val="en-US"/>
        </w:rPr>
      </w:pPr>
      <w:r w:rsidRPr="006375EC">
        <w:rPr>
          <w:rFonts w:asciiTheme="minorHAnsi" w:hAnsiTheme="minorHAnsi"/>
          <w:b/>
          <w:bCs/>
          <w:sz w:val="24"/>
          <w:szCs w:val="24"/>
          <w:lang w:val="en-US"/>
        </w:rPr>
        <w:t>Eradication methods</w:t>
      </w:r>
      <w:r w:rsidR="005B232C" w:rsidRPr="006375EC">
        <w:rPr>
          <w:rFonts w:asciiTheme="minorHAnsi" w:hAnsiTheme="minorHAnsi"/>
          <w:b/>
          <w:bCs/>
          <w:sz w:val="24"/>
          <w:szCs w:val="24"/>
          <w:lang w:val="en-US"/>
        </w:rPr>
        <w:t xml:space="preserve"> </w:t>
      </w:r>
    </w:p>
    <w:p w14:paraId="3370593D" w14:textId="13079D69" w:rsidR="005B232C" w:rsidRPr="006375EC" w:rsidRDefault="005B232C" w:rsidP="006375EC">
      <w:pPr>
        <w:spacing w:after="120" w:line="276" w:lineRule="auto"/>
        <w:jc w:val="both"/>
        <w:rPr>
          <w:rFonts w:asciiTheme="minorHAnsi" w:hAnsiTheme="minorHAnsi"/>
          <w:sz w:val="24"/>
          <w:szCs w:val="24"/>
          <w:lang w:val="en-US"/>
        </w:rPr>
      </w:pPr>
      <w:r w:rsidRPr="006375EC">
        <w:rPr>
          <w:rFonts w:asciiTheme="minorHAnsi" w:hAnsiTheme="minorHAnsi"/>
          <w:sz w:val="24"/>
          <w:szCs w:val="24"/>
          <w:lang w:val="en-US"/>
        </w:rPr>
        <w:t xml:space="preserve">Removing the aboveground parts, even when repeated over many years, only slightly reduces the species’ abundance and the viability of its individuals. Although it significantly inhibits flowering immediately after treatment, it stimulates the growth of underground parts and is not an effective method for removing the species; on the contrary, it stimulates the growth of underground parts, which ultimately leads to massive flowering and fruiting. The most effective </w:t>
      </w:r>
      <w:r w:rsidRPr="006375EC">
        <w:rPr>
          <w:rFonts w:asciiTheme="minorHAnsi" w:hAnsiTheme="minorHAnsi"/>
          <w:sz w:val="24"/>
          <w:szCs w:val="24"/>
          <w:u w:val="single"/>
          <w:lang w:val="en-US"/>
        </w:rPr>
        <w:t>method is the removal of stolons</w:t>
      </w:r>
      <w:r w:rsidRPr="006375EC">
        <w:rPr>
          <w:rFonts w:asciiTheme="minorHAnsi" w:hAnsiTheme="minorHAnsi"/>
          <w:sz w:val="24"/>
          <w:szCs w:val="24"/>
          <w:lang w:val="en-US"/>
        </w:rPr>
        <w:t>. Because this is a time-consuming process, it is recommended for use on small areas. Furthermore, this method disturbs the habitat, which affects the germination of seeds present in the soil (seeds of this species germinate exclusively in disturbed areas). Planting pioneer tree species, such as those of the alder (</w:t>
      </w:r>
      <w:r w:rsidRPr="006375EC">
        <w:rPr>
          <w:rFonts w:asciiTheme="minorHAnsi" w:hAnsiTheme="minorHAnsi"/>
          <w:i/>
          <w:iCs/>
          <w:sz w:val="24"/>
          <w:szCs w:val="24"/>
          <w:lang w:val="en-US"/>
        </w:rPr>
        <w:t>Alnus</w:t>
      </w:r>
      <w:r w:rsidRPr="006375EC">
        <w:rPr>
          <w:rFonts w:asciiTheme="minorHAnsi" w:hAnsiTheme="minorHAnsi"/>
          <w:sz w:val="24"/>
          <w:szCs w:val="24"/>
          <w:lang w:val="en-US"/>
        </w:rPr>
        <w:t>) and willow (</w:t>
      </w:r>
      <w:r w:rsidRPr="006375EC">
        <w:rPr>
          <w:rFonts w:asciiTheme="minorHAnsi" w:hAnsiTheme="minorHAnsi"/>
          <w:i/>
          <w:iCs/>
          <w:sz w:val="24"/>
          <w:szCs w:val="24"/>
          <w:lang w:val="en-US"/>
        </w:rPr>
        <w:t>Salix</w:t>
      </w:r>
      <w:r w:rsidRPr="006375EC">
        <w:rPr>
          <w:rFonts w:asciiTheme="minorHAnsi" w:hAnsiTheme="minorHAnsi"/>
          <w:sz w:val="24"/>
          <w:szCs w:val="24"/>
          <w:lang w:val="en-US"/>
        </w:rPr>
        <w:t xml:space="preserve">) genera, yields good results in limiting the species’ occurrence; by increasing shading, they cause rudbeckia to gradually retreat. An important part of such measures is the removal of plants that restrict tree growth. </w:t>
      </w:r>
    </w:p>
    <w:p w14:paraId="4787B1F1" w14:textId="2C695472" w:rsidR="006F7B36" w:rsidRPr="006375EC" w:rsidRDefault="006F7B36" w:rsidP="006F7B36">
      <w:pPr>
        <w:pStyle w:val="Heading1"/>
        <w:rPr>
          <w:rFonts w:asciiTheme="majorHAnsi" w:hAnsiTheme="majorHAnsi"/>
          <w:sz w:val="36"/>
          <w:szCs w:val="36"/>
          <w:lang w:val="en-US"/>
        </w:rPr>
      </w:pPr>
      <w:bookmarkStart w:id="26" w:name="_Toc239856707"/>
      <w:r w:rsidRPr="006375EC">
        <w:rPr>
          <w:rFonts w:asciiTheme="majorHAnsi" w:hAnsiTheme="majorHAnsi"/>
          <w:sz w:val="36"/>
          <w:szCs w:val="36"/>
          <w:lang w:val="en-US"/>
        </w:rPr>
        <w:t xml:space="preserve">3. Utilization of </w:t>
      </w:r>
      <w:r w:rsidR="009374B7" w:rsidRPr="006375EC">
        <w:rPr>
          <w:rFonts w:asciiTheme="majorHAnsi" w:hAnsiTheme="majorHAnsi"/>
          <w:sz w:val="36"/>
          <w:szCs w:val="36"/>
          <w:lang w:val="en-US"/>
        </w:rPr>
        <w:t>IAS</w:t>
      </w:r>
      <w:r w:rsidRPr="006375EC">
        <w:rPr>
          <w:rFonts w:asciiTheme="majorHAnsi" w:hAnsiTheme="majorHAnsi"/>
          <w:sz w:val="36"/>
          <w:szCs w:val="36"/>
          <w:lang w:val="en-US"/>
        </w:rPr>
        <w:t xml:space="preserve"> Biomass</w:t>
      </w:r>
      <w:bookmarkEnd w:id="26"/>
    </w:p>
    <w:p w14:paraId="29409C95" w14:textId="67ECDAA0" w:rsidR="006F7B36" w:rsidRPr="00D049D4" w:rsidRDefault="006F7B36" w:rsidP="006375EC">
      <w:pPr>
        <w:pStyle w:val="Heading2"/>
        <w:spacing w:before="120"/>
        <w:rPr>
          <w:lang w:val="en-US"/>
        </w:rPr>
      </w:pPr>
      <w:bookmarkStart w:id="27" w:name="_Toc239856708"/>
      <w:r w:rsidRPr="00D049D4">
        <w:rPr>
          <w:lang w:val="en-US"/>
        </w:rPr>
        <w:t>3.1. Legal Measures</w:t>
      </w:r>
      <w:bookmarkEnd w:id="27"/>
    </w:p>
    <w:p w14:paraId="25F7554B" w14:textId="77777777" w:rsidR="006F7B36" w:rsidRPr="006375EC" w:rsidRDefault="006F7B36" w:rsidP="006375EC">
      <w:pPr>
        <w:spacing w:after="120" w:line="276" w:lineRule="auto"/>
        <w:jc w:val="both"/>
        <w:rPr>
          <w:rFonts w:asciiTheme="minorHAnsi" w:hAnsiTheme="minorHAnsi"/>
          <w:sz w:val="24"/>
          <w:szCs w:val="24"/>
          <w:lang w:val="en-US"/>
        </w:rPr>
      </w:pPr>
      <w:r w:rsidRPr="006375EC">
        <w:rPr>
          <w:rFonts w:asciiTheme="minorHAnsi" w:hAnsiTheme="minorHAnsi"/>
          <w:sz w:val="24"/>
          <w:szCs w:val="24"/>
          <w:lang w:val="en-US"/>
        </w:rPr>
        <w:t>The table below presents the invasive species included in this document in light of current Polish law and their invasiveness status on a scale developed in the publication *Plants of Foreign Origin in Poland with Special Emphasis on Invasive Species*.</w:t>
      </w:r>
    </w:p>
    <w:p w14:paraId="1C8FE189" w14:textId="77777777" w:rsidR="006F7B36" w:rsidRPr="006375EC" w:rsidRDefault="006F7B36" w:rsidP="006375EC">
      <w:pPr>
        <w:spacing w:after="120" w:line="276" w:lineRule="auto"/>
        <w:jc w:val="both"/>
        <w:rPr>
          <w:rFonts w:asciiTheme="minorHAnsi" w:hAnsiTheme="minorHAnsi"/>
          <w:sz w:val="24"/>
          <w:szCs w:val="24"/>
          <w:lang w:val="en-US"/>
        </w:rPr>
      </w:pPr>
      <w:r w:rsidRPr="006375EC">
        <w:rPr>
          <w:rFonts w:asciiTheme="minorHAnsi" w:hAnsiTheme="minorHAnsi"/>
          <w:sz w:val="24"/>
          <w:szCs w:val="24"/>
          <w:lang w:val="en-US"/>
        </w:rPr>
        <w:t>This scale takes into account the range of occurrence in Poland, determined by the number of locations, population size, types of occupied habitats, population dynamics trends, and the resulting ecological, social, and economic threats (detailed description on pp. 175–176 in Tokarska-Guzik et al., 2012).</w:t>
      </w:r>
    </w:p>
    <w:p w14:paraId="1AB4B5E9" w14:textId="620B38C3" w:rsidR="006F7B36" w:rsidRPr="006375EC" w:rsidRDefault="006F7B36" w:rsidP="006375EC">
      <w:pPr>
        <w:pStyle w:val="Caption"/>
        <w:keepNext/>
        <w:spacing w:after="120" w:line="276" w:lineRule="auto"/>
        <w:jc w:val="both"/>
        <w:rPr>
          <w:rFonts w:asciiTheme="minorHAnsi" w:hAnsiTheme="minorHAnsi"/>
          <w:b w:val="0"/>
          <w:bCs/>
          <w:color w:val="000000" w:themeColor="text1"/>
          <w:sz w:val="24"/>
          <w:szCs w:val="24"/>
          <w:lang w:val="en-US"/>
        </w:rPr>
      </w:pPr>
      <w:bookmarkStart w:id="28" w:name="_Toc239856614"/>
      <w:r w:rsidRPr="006375EC">
        <w:rPr>
          <w:rFonts w:asciiTheme="minorHAnsi" w:hAnsiTheme="minorHAnsi"/>
          <w:b w:val="0"/>
          <w:bCs/>
          <w:color w:val="000000" w:themeColor="text1"/>
          <w:sz w:val="24"/>
          <w:szCs w:val="24"/>
          <w:lang w:val="en-US"/>
        </w:rPr>
        <w:t>Table</w:t>
      </w:r>
      <w:r w:rsidRPr="006375EC">
        <w:rPr>
          <w:rFonts w:asciiTheme="minorHAnsi" w:hAnsiTheme="minorHAnsi"/>
          <w:b w:val="0"/>
          <w:bCs/>
          <w:color w:val="000000" w:themeColor="text1"/>
          <w:sz w:val="24"/>
          <w:szCs w:val="24"/>
        </w:rPr>
        <w:fldChar w:fldCharType="begin"/>
      </w:r>
      <w:r w:rsidRPr="006375EC">
        <w:rPr>
          <w:rFonts w:asciiTheme="minorHAnsi" w:hAnsiTheme="minorHAnsi"/>
          <w:b w:val="0"/>
          <w:bCs/>
          <w:color w:val="000000" w:themeColor="text1"/>
          <w:sz w:val="24"/>
          <w:szCs w:val="24"/>
          <w:lang w:val="en-US"/>
        </w:rPr>
        <w:instrText>SEQ Tabela \* ARABIC</w:instrText>
      </w:r>
      <w:r w:rsidRPr="006375EC">
        <w:rPr>
          <w:rFonts w:asciiTheme="minorHAnsi" w:hAnsiTheme="minorHAnsi"/>
          <w:b w:val="0"/>
          <w:bCs/>
          <w:color w:val="000000" w:themeColor="text1"/>
          <w:sz w:val="24"/>
          <w:szCs w:val="24"/>
        </w:rPr>
        <w:fldChar w:fldCharType="separate"/>
      </w:r>
      <w:r w:rsidR="003A1319" w:rsidRPr="006375EC">
        <w:rPr>
          <w:rFonts w:asciiTheme="minorHAnsi" w:hAnsiTheme="minorHAnsi"/>
          <w:b w:val="0"/>
          <w:bCs/>
          <w:color w:val="000000" w:themeColor="text1"/>
          <w:sz w:val="24"/>
          <w:szCs w:val="24"/>
          <w:lang w:val="en-US"/>
        </w:rPr>
        <w:t>1</w:t>
      </w:r>
      <w:r w:rsidRPr="006375EC">
        <w:rPr>
          <w:rFonts w:asciiTheme="minorHAnsi" w:hAnsiTheme="minorHAnsi"/>
          <w:b w:val="0"/>
          <w:bCs/>
          <w:color w:val="000000" w:themeColor="text1"/>
          <w:sz w:val="24"/>
          <w:szCs w:val="24"/>
        </w:rPr>
        <w:fldChar w:fldCharType="end"/>
      </w:r>
      <w:r w:rsidRPr="006375EC">
        <w:rPr>
          <w:rFonts w:asciiTheme="minorHAnsi" w:hAnsiTheme="minorHAnsi"/>
          <w:b w:val="0"/>
          <w:bCs/>
          <w:color w:val="000000" w:themeColor="text1"/>
          <w:sz w:val="24"/>
          <w:szCs w:val="24"/>
          <w:lang w:val="en-US"/>
        </w:rPr>
        <w:t xml:space="preserve"> List of alien species classified by degree of domestication and invasiveness in Poland (Tokarska-Guzik et al., 2012). Plant species posing a threat to Poland are marked in bold (Journal of Laws 2022, item 2649), while those posing a threat to the UE are underlined </w:t>
      </w:r>
      <w:r w:rsidRPr="006375EC">
        <w:rPr>
          <w:rFonts w:asciiTheme="minorHAnsi" w:hAnsiTheme="minorHAnsi"/>
          <w:b w:val="0"/>
          <w:bCs/>
          <w:i/>
          <w:color w:val="000000" w:themeColor="text1"/>
          <w:sz w:val="24"/>
          <w:szCs w:val="24"/>
          <w:lang w:val="en-US"/>
        </w:rPr>
        <w:t>(UE 2022/1203).</w:t>
      </w:r>
      <w:bookmarkEnd w:id="28"/>
    </w:p>
    <w:tbl>
      <w:tblPr>
        <w:tblW w:w="0" w:type="auto"/>
        <w:jc w:val="center"/>
        <w:tblLook w:val="04A0" w:firstRow="1" w:lastRow="0" w:firstColumn="1" w:lastColumn="0" w:noHBand="0" w:noVBand="1"/>
      </w:tblPr>
      <w:tblGrid>
        <w:gridCol w:w="3883"/>
        <w:gridCol w:w="3193"/>
      </w:tblGrid>
      <w:tr w:rsidR="006F7B36" w:rsidRPr="006375EC" w14:paraId="31517898" w14:textId="77777777" w:rsidTr="00E46623">
        <w:trPr>
          <w:tblHeader/>
          <w:jc w:val="center"/>
        </w:trPr>
        <w:tc>
          <w:tcPr>
            <w:tcW w:w="3883"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6AA6130E" w14:textId="77777777" w:rsidR="006F7B36" w:rsidRPr="006375EC" w:rsidRDefault="006F7B36" w:rsidP="006375EC">
            <w:pPr>
              <w:spacing w:after="130" w:line="240" w:lineRule="atLeast"/>
              <w:jc w:val="center"/>
              <w:rPr>
                <w:rFonts w:asciiTheme="minorHAnsi" w:hAnsiTheme="minorHAnsi"/>
                <w:b/>
                <w:sz w:val="18"/>
                <w:szCs w:val="18"/>
              </w:rPr>
            </w:pPr>
            <w:r w:rsidRPr="006375EC">
              <w:rPr>
                <w:rFonts w:asciiTheme="minorHAnsi" w:hAnsiTheme="minorHAnsi"/>
                <w:b/>
                <w:sz w:val="18"/>
                <w:szCs w:val="18"/>
              </w:rPr>
              <w:t>Species</w:t>
            </w:r>
          </w:p>
        </w:tc>
        <w:tc>
          <w:tcPr>
            <w:tcW w:w="3193"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0035F700" w14:textId="77777777" w:rsidR="006F7B36" w:rsidRPr="006375EC" w:rsidRDefault="006F7B36" w:rsidP="006375EC">
            <w:pPr>
              <w:spacing w:after="130" w:line="240" w:lineRule="atLeast"/>
              <w:jc w:val="center"/>
              <w:rPr>
                <w:rFonts w:asciiTheme="minorHAnsi" w:hAnsiTheme="minorHAnsi"/>
                <w:b/>
                <w:sz w:val="18"/>
                <w:szCs w:val="18"/>
              </w:rPr>
            </w:pPr>
            <w:r w:rsidRPr="006375EC">
              <w:rPr>
                <w:rFonts w:asciiTheme="minorHAnsi" w:hAnsiTheme="minorHAnsi"/>
                <w:b/>
                <w:sz w:val="18"/>
                <w:szCs w:val="18"/>
              </w:rPr>
              <w:t>Invasiveness Level</w:t>
            </w:r>
          </w:p>
        </w:tc>
      </w:tr>
      <w:tr w:rsidR="006F7B36" w:rsidRPr="006375EC" w14:paraId="0C3915DB" w14:textId="77777777" w:rsidTr="006375EC">
        <w:trPr>
          <w:jc w:val="center"/>
        </w:trPr>
        <w:tc>
          <w:tcPr>
            <w:tcW w:w="7076"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24848D9A" w14:textId="77777777" w:rsidR="006F7B36" w:rsidRPr="006375EC" w:rsidRDefault="006F7B36" w:rsidP="006F7B36">
            <w:pPr>
              <w:spacing w:after="130" w:line="240" w:lineRule="atLeast"/>
              <w:jc w:val="both"/>
              <w:rPr>
                <w:rFonts w:asciiTheme="minorHAnsi" w:hAnsiTheme="minorHAnsi"/>
                <w:b/>
                <w:sz w:val="18"/>
                <w:szCs w:val="18"/>
              </w:rPr>
            </w:pPr>
            <w:r w:rsidRPr="006375EC">
              <w:rPr>
                <w:rFonts w:asciiTheme="minorHAnsi" w:hAnsiTheme="minorHAnsi"/>
                <w:b/>
                <w:sz w:val="18"/>
                <w:szCs w:val="18"/>
              </w:rPr>
              <w:t>Domesticated, invasive</w:t>
            </w:r>
          </w:p>
        </w:tc>
      </w:tr>
      <w:tr w:rsidR="006F7B36" w:rsidRPr="006375EC" w14:paraId="33E437B4"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05081BEC" w14:textId="22EC81D2" w:rsidR="006F7B36" w:rsidRPr="006375EC" w:rsidRDefault="00F73EBD" w:rsidP="006375EC">
            <w:pPr>
              <w:spacing w:after="130" w:line="276" w:lineRule="auto"/>
              <w:jc w:val="both"/>
              <w:rPr>
                <w:rFonts w:asciiTheme="minorHAnsi" w:hAnsiTheme="minorHAnsi"/>
                <w:b/>
                <w:sz w:val="18"/>
                <w:szCs w:val="18"/>
              </w:rPr>
            </w:pPr>
            <w:r w:rsidRPr="006375EC">
              <w:rPr>
                <w:rFonts w:asciiTheme="minorHAnsi" w:hAnsiTheme="minorHAnsi"/>
                <w:b/>
                <w:sz w:val="18"/>
                <w:szCs w:val="18"/>
              </w:rPr>
              <w:t>Knotweed</w:t>
            </w:r>
            <w:r w:rsidRPr="006375EC">
              <w:rPr>
                <w:rFonts w:asciiTheme="minorHAnsi" w:hAnsiTheme="minorHAnsi"/>
                <w:b/>
                <w:i/>
                <w:sz w:val="18"/>
                <w:szCs w:val="18"/>
              </w:rPr>
              <w:t xml:space="preserve"> (</w:t>
            </w:r>
            <w:r w:rsidR="006F7B36" w:rsidRPr="006375EC">
              <w:rPr>
                <w:rFonts w:asciiTheme="minorHAnsi" w:hAnsiTheme="minorHAnsi"/>
                <w:b/>
                <w:i/>
                <w:sz w:val="18"/>
                <w:szCs w:val="18"/>
              </w:rPr>
              <w:t xml:space="preserve">Reynoutria SP) </w:t>
            </w:r>
          </w:p>
        </w:tc>
        <w:tc>
          <w:tcPr>
            <w:tcW w:w="3193" w:type="dxa"/>
            <w:tcBorders>
              <w:top w:val="single" w:sz="4" w:space="0" w:color="auto"/>
              <w:left w:val="single" w:sz="4" w:space="0" w:color="auto"/>
              <w:bottom w:val="single" w:sz="4" w:space="0" w:color="auto"/>
              <w:right w:val="single" w:sz="4" w:space="0" w:color="auto"/>
            </w:tcBorders>
            <w:shd w:val="clear" w:color="auto" w:fill="C00000"/>
            <w:hideMark/>
          </w:tcPr>
          <w:p w14:paraId="2323EA67"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IV (highest)</w:t>
            </w:r>
          </w:p>
        </w:tc>
      </w:tr>
      <w:tr w:rsidR="006F7B36" w:rsidRPr="006375EC" w14:paraId="77067EF7"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5539B667"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Rugosa rose (</w:t>
            </w:r>
            <w:r w:rsidRPr="006375EC">
              <w:rPr>
                <w:rFonts w:asciiTheme="minorHAnsi" w:hAnsiTheme="minorHAnsi"/>
                <w:i/>
                <w:sz w:val="18"/>
                <w:szCs w:val="18"/>
              </w:rPr>
              <w:t xml:space="preserve">Rosa rugosa) </w:t>
            </w:r>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217683C"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IV (highest)</w:t>
            </w:r>
          </w:p>
        </w:tc>
      </w:tr>
      <w:tr w:rsidR="006F7B36" w:rsidRPr="006375EC" w14:paraId="6F6BD91E"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4F41BA46"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Purple jewelweed (</w:t>
            </w:r>
            <w:r w:rsidRPr="006375EC">
              <w:rPr>
                <w:rFonts w:asciiTheme="minorHAnsi" w:hAnsiTheme="minorHAnsi"/>
                <w:i/>
                <w:sz w:val="18"/>
                <w:szCs w:val="18"/>
              </w:rPr>
              <w:t>Impatiens grandulifera)</w:t>
            </w:r>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793E2AD"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IV (highest)</w:t>
            </w:r>
          </w:p>
        </w:tc>
      </w:tr>
      <w:tr w:rsidR="006F7B36" w:rsidRPr="006375EC" w14:paraId="6EC95A6D"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17753EAD" w14:textId="56ED3681"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 xml:space="preserve">Giant goldenrod </w:t>
            </w:r>
            <w:r w:rsidR="00F73EBD" w:rsidRPr="006375EC">
              <w:rPr>
                <w:rFonts w:asciiTheme="minorHAnsi" w:hAnsiTheme="minorHAnsi"/>
                <w:sz w:val="18"/>
                <w:szCs w:val="18"/>
              </w:rPr>
              <w:t>(</w:t>
            </w:r>
            <w:r w:rsidRPr="006375EC">
              <w:rPr>
                <w:rFonts w:asciiTheme="minorHAnsi" w:hAnsiTheme="minorHAnsi"/>
                <w:i/>
                <w:sz w:val="18"/>
                <w:szCs w:val="18"/>
              </w:rPr>
              <w:t>Solidago gigantea</w:t>
            </w:r>
            <w:r w:rsidR="00F73EBD" w:rsidRPr="006375EC">
              <w:rPr>
                <w:rFonts w:asciiTheme="minorHAnsi" w:hAnsiTheme="minorHAnsi"/>
                <w:i/>
                <w:sz w:val="18"/>
                <w:szCs w:val="18"/>
              </w:rPr>
              <w:t>)</w:t>
            </w:r>
            <w:r w:rsidRPr="006375EC">
              <w:rPr>
                <w:rFonts w:asciiTheme="minorHAnsi" w:hAnsiTheme="minorHAnsi"/>
                <w:i/>
                <w:sz w:val="18"/>
                <w:szCs w:val="18"/>
              </w:rPr>
              <w:t xml:space="preserve"> </w:t>
            </w:r>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7F2202F"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IV (highest)</w:t>
            </w:r>
          </w:p>
        </w:tc>
      </w:tr>
      <w:tr w:rsidR="006F7B36" w:rsidRPr="006375EC" w14:paraId="26CEE113"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3D9F0002" w14:textId="2032FBA5"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 xml:space="preserve">Canadian goldenrod </w:t>
            </w:r>
            <w:r w:rsidR="00F73EBD" w:rsidRPr="006375EC">
              <w:rPr>
                <w:rFonts w:asciiTheme="minorHAnsi" w:hAnsiTheme="minorHAnsi"/>
                <w:sz w:val="18"/>
                <w:szCs w:val="18"/>
              </w:rPr>
              <w:t>(</w:t>
            </w:r>
            <w:r w:rsidRPr="006375EC">
              <w:rPr>
                <w:rFonts w:asciiTheme="minorHAnsi" w:hAnsiTheme="minorHAnsi"/>
                <w:i/>
                <w:iCs/>
                <w:sz w:val="18"/>
                <w:szCs w:val="18"/>
              </w:rPr>
              <w:t>Solidago gigantea</w:t>
            </w:r>
            <w:r w:rsidR="00F73EBD" w:rsidRPr="006375EC">
              <w:rPr>
                <w:rFonts w:asciiTheme="minorHAnsi" w:hAnsiTheme="minorHAnsi"/>
                <w:i/>
                <w:iCs/>
                <w:sz w:val="18"/>
                <w:szCs w:val="18"/>
              </w:rPr>
              <w:t>)</w:t>
            </w:r>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17D022AC"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IV (highest)</w:t>
            </w:r>
          </w:p>
        </w:tc>
      </w:tr>
      <w:tr w:rsidR="006F7B36" w:rsidRPr="006375EC" w14:paraId="2ABC62E4"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699D5F68" w14:textId="37DA53CB"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 xml:space="preserve">Garden lupin </w:t>
            </w:r>
            <w:r w:rsidR="00F73EBD" w:rsidRPr="006375EC">
              <w:rPr>
                <w:rFonts w:asciiTheme="minorHAnsi" w:hAnsiTheme="minorHAnsi"/>
                <w:sz w:val="18"/>
                <w:szCs w:val="18"/>
              </w:rPr>
              <w:t>(</w:t>
            </w:r>
            <w:r w:rsidRPr="006375EC">
              <w:rPr>
                <w:rFonts w:asciiTheme="minorHAnsi" w:hAnsiTheme="minorHAnsi"/>
                <w:i/>
                <w:sz w:val="18"/>
                <w:szCs w:val="18"/>
              </w:rPr>
              <w:t>Lupinus polyphyllus</w:t>
            </w:r>
            <w:r w:rsidR="00F73EBD" w:rsidRPr="006375EC">
              <w:rPr>
                <w:rFonts w:asciiTheme="minorHAnsi" w:hAnsiTheme="minorHAnsi"/>
                <w:i/>
                <w:sz w:val="18"/>
                <w:szCs w:val="18"/>
              </w:rPr>
              <w:t>)</w:t>
            </w:r>
            <w:r w:rsidRPr="006375EC">
              <w:rPr>
                <w:rFonts w:asciiTheme="minorHAnsi" w:hAnsiTheme="minorHAnsi"/>
                <w:i/>
                <w:sz w:val="18"/>
                <w:szCs w:val="18"/>
              </w:rPr>
              <w:t xml:space="preserve"> </w:t>
            </w:r>
          </w:p>
        </w:tc>
        <w:tc>
          <w:tcPr>
            <w:tcW w:w="3193"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5561F9E3"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III (high)</w:t>
            </w:r>
          </w:p>
        </w:tc>
      </w:tr>
      <w:tr w:rsidR="006F7B36" w:rsidRPr="006375EC" w14:paraId="4C3AF64C"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182A8E1C" w14:textId="77777777" w:rsidR="006F7B36" w:rsidRPr="006375EC" w:rsidRDefault="006F7B36" w:rsidP="006375EC">
            <w:pPr>
              <w:spacing w:after="130" w:line="276" w:lineRule="auto"/>
              <w:jc w:val="both"/>
              <w:rPr>
                <w:rFonts w:asciiTheme="minorHAnsi" w:hAnsiTheme="minorHAnsi"/>
                <w:b/>
                <w:sz w:val="18"/>
                <w:szCs w:val="18"/>
              </w:rPr>
            </w:pPr>
            <w:r w:rsidRPr="006375EC">
              <w:rPr>
                <w:rFonts w:asciiTheme="minorHAnsi" w:hAnsiTheme="minorHAnsi"/>
                <w:b/>
                <w:sz w:val="18"/>
                <w:szCs w:val="18"/>
              </w:rPr>
              <w:t xml:space="preserve">Wild cucumber </w:t>
            </w:r>
            <w:r w:rsidRPr="006375EC">
              <w:rPr>
                <w:rFonts w:asciiTheme="minorHAnsi" w:hAnsiTheme="minorHAnsi"/>
                <w:b/>
                <w:i/>
                <w:sz w:val="18"/>
                <w:szCs w:val="18"/>
              </w:rPr>
              <w:t xml:space="preserve">Echinocystis lobata </w:t>
            </w:r>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339A9460"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IV (highest)</w:t>
            </w:r>
          </w:p>
        </w:tc>
      </w:tr>
      <w:tr w:rsidR="006F7B36" w:rsidRPr="006375EC" w14:paraId="4C48AAFD"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0D07B022" w14:textId="6A8F3499" w:rsidR="006F7B36" w:rsidRPr="006375EC" w:rsidRDefault="00F73EBD" w:rsidP="006375EC">
            <w:pPr>
              <w:spacing w:after="130" w:line="276" w:lineRule="auto"/>
              <w:jc w:val="both"/>
              <w:rPr>
                <w:rFonts w:asciiTheme="minorHAnsi" w:hAnsiTheme="minorHAnsi"/>
                <w:sz w:val="18"/>
                <w:szCs w:val="18"/>
              </w:rPr>
            </w:pPr>
            <w:r w:rsidRPr="006375EC">
              <w:rPr>
                <w:rFonts w:asciiTheme="minorHAnsi" w:hAnsiTheme="minorHAnsi"/>
                <w:sz w:val="18"/>
                <w:szCs w:val="18"/>
              </w:rPr>
              <w:t xml:space="preserve">Redroot </w:t>
            </w:r>
            <w:r w:rsidR="006F7B36" w:rsidRPr="006375EC">
              <w:rPr>
                <w:rFonts w:asciiTheme="minorHAnsi" w:hAnsiTheme="minorHAnsi"/>
                <w:sz w:val="18"/>
                <w:szCs w:val="18"/>
              </w:rPr>
              <w:t xml:space="preserve">pigweed </w:t>
            </w:r>
            <w:r w:rsidRPr="006375EC">
              <w:rPr>
                <w:rFonts w:asciiTheme="minorHAnsi" w:hAnsiTheme="minorHAnsi"/>
                <w:sz w:val="18"/>
                <w:szCs w:val="18"/>
              </w:rPr>
              <w:t>(</w:t>
            </w:r>
            <w:r w:rsidR="006F7B36" w:rsidRPr="006375EC">
              <w:rPr>
                <w:rFonts w:asciiTheme="minorHAnsi" w:hAnsiTheme="minorHAnsi"/>
                <w:i/>
                <w:sz w:val="18"/>
                <w:szCs w:val="18"/>
              </w:rPr>
              <w:t>Amaranthus retroflexus</w:t>
            </w:r>
            <w:r w:rsidRPr="006375EC">
              <w:rPr>
                <w:rFonts w:asciiTheme="minorHAnsi" w:hAnsiTheme="minorHAnsi"/>
                <w:i/>
                <w:sz w:val="18"/>
                <w:szCs w:val="18"/>
              </w:rPr>
              <w:t>)</w:t>
            </w:r>
            <w:r w:rsidR="006F7B36" w:rsidRPr="006375EC">
              <w:rPr>
                <w:rFonts w:asciiTheme="minorHAnsi" w:hAnsiTheme="minorHAnsi"/>
                <w:i/>
                <w:sz w:val="18"/>
                <w:szCs w:val="18"/>
              </w:rPr>
              <w:t xml:space="preserve"> </w:t>
            </w:r>
          </w:p>
        </w:tc>
        <w:tc>
          <w:tcPr>
            <w:tcW w:w="319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AFCB8C1"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I (short)</w:t>
            </w:r>
          </w:p>
        </w:tc>
      </w:tr>
      <w:tr w:rsidR="006F7B36" w:rsidRPr="006375EC" w14:paraId="5B3FDE89"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1AD494E3" w14:textId="14A4EDD1" w:rsidR="006F7B36" w:rsidRPr="006375EC" w:rsidRDefault="00F6177A" w:rsidP="006375EC">
            <w:pPr>
              <w:spacing w:after="130" w:line="276" w:lineRule="auto"/>
              <w:jc w:val="both"/>
              <w:rPr>
                <w:rFonts w:asciiTheme="minorHAnsi" w:hAnsiTheme="minorHAnsi"/>
                <w:sz w:val="18"/>
                <w:szCs w:val="18"/>
              </w:rPr>
            </w:pPr>
            <w:r w:rsidRPr="006375EC">
              <w:rPr>
                <w:rFonts w:asciiTheme="minorHAnsi" w:hAnsiTheme="minorHAnsi"/>
                <w:sz w:val="18"/>
                <w:szCs w:val="18"/>
              </w:rPr>
              <w:t>Common Foxglove</w:t>
            </w:r>
            <w:r w:rsidR="006F7B36" w:rsidRPr="006375EC">
              <w:rPr>
                <w:rFonts w:asciiTheme="minorHAnsi" w:hAnsiTheme="minorHAnsi"/>
                <w:sz w:val="18"/>
                <w:szCs w:val="18"/>
              </w:rPr>
              <w:t xml:space="preserve"> (</w:t>
            </w:r>
            <w:r w:rsidR="006F7B36" w:rsidRPr="006375EC">
              <w:rPr>
                <w:rFonts w:asciiTheme="minorHAnsi" w:hAnsiTheme="minorHAnsi"/>
                <w:i/>
                <w:sz w:val="18"/>
                <w:szCs w:val="18"/>
              </w:rPr>
              <w:t xml:space="preserve">Digitalis purpurea) </w:t>
            </w:r>
          </w:p>
        </w:tc>
        <w:tc>
          <w:tcPr>
            <w:tcW w:w="3193"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68608E4C"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II (medium)</w:t>
            </w:r>
          </w:p>
        </w:tc>
      </w:tr>
      <w:tr w:rsidR="006F7B36" w:rsidRPr="006375EC" w14:paraId="0F8592DC"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3C49214F"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 xml:space="preserve">Dwarf serviceberry </w:t>
            </w:r>
            <w:r w:rsidRPr="006375EC">
              <w:rPr>
                <w:rFonts w:asciiTheme="minorHAnsi" w:hAnsiTheme="minorHAnsi"/>
                <w:i/>
                <w:sz w:val="18"/>
                <w:szCs w:val="18"/>
              </w:rPr>
              <w:t xml:space="preserve">Amelanchier spicata </w:t>
            </w:r>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5C8FB0FC"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IV (highest)</w:t>
            </w:r>
          </w:p>
        </w:tc>
      </w:tr>
      <w:tr w:rsidR="006F7B36" w:rsidRPr="006375EC" w14:paraId="179A3557"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125FB733"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Steeplebush (</w:t>
            </w:r>
            <w:r w:rsidRPr="006375EC">
              <w:rPr>
                <w:rFonts w:asciiTheme="minorHAnsi" w:hAnsiTheme="minorHAnsi"/>
                <w:i/>
                <w:sz w:val="18"/>
                <w:szCs w:val="18"/>
              </w:rPr>
              <w:t xml:space="preserve">Spiraea tomentosa) </w:t>
            </w:r>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7D03D89F"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IV (highest)</w:t>
            </w:r>
          </w:p>
        </w:tc>
      </w:tr>
      <w:tr w:rsidR="006F7B36" w:rsidRPr="006375EC" w14:paraId="125E7C15"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11FCFB89"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 xml:space="preserve">Spotted Loosestrife </w:t>
            </w:r>
            <w:r w:rsidRPr="006375EC">
              <w:rPr>
                <w:rFonts w:asciiTheme="minorHAnsi" w:hAnsiTheme="minorHAnsi"/>
                <w:i/>
                <w:sz w:val="18"/>
                <w:szCs w:val="18"/>
              </w:rPr>
              <w:t xml:space="preserve">Lysimachia punctata </w:t>
            </w:r>
          </w:p>
        </w:tc>
        <w:tc>
          <w:tcPr>
            <w:tcW w:w="319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314A81B3"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I (short)</w:t>
            </w:r>
          </w:p>
        </w:tc>
      </w:tr>
      <w:tr w:rsidR="006F7B36" w:rsidRPr="006375EC" w14:paraId="38DBB7A1" w14:textId="77777777" w:rsidTr="006F7B36">
        <w:trPr>
          <w:jc w:val="center"/>
        </w:trPr>
        <w:tc>
          <w:tcPr>
            <w:tcW w:w="3883" w:type="dxa"/>
            <w:tcBorders>
              <w:top w:val="single" w:sz="4" w:space="0" w:color="auto"/>
              <w:left w:val="single" w:sz="4" w:space="0" w:color="auto"/>
              <w:bottom w:val="single" w:sz="4" w:space="0" w:color="auto"/>
              <w:right w:val="single" w:sz="4" w:space="0" w:color="auto"/>
            </w:tcBorders>
            <w:hideMark/>
          </w:tcPr>
          <w:p w14:paraId="4DCAF31E" w14:textId="47E1CF42" w:rsidR="006F7B36" w:rsidRPr="006375EC" w:rsidRDefault="00F73EBD" w:rsidP="006375EC">
            <w:pPr>
              <w:spacing w:after="130" w:line="276" w:lineRule="auto"/>
              <w:jc w:val="both"/>
              <w:rPr>
                <w:rFonts w:asciiTheme="minorHAnsi" w:hAnsiTheme="minorHAnsi"/>
                <w:sz w:val="18"/>
                <w:szCs w:val="18"/>
              </w:rPr>
            </w:pPr>
            <w:r w:rsidRPr="006375EC">
              <w:rPr>
                <w:rFonts w:asciiTheme="minorHAnsi" w:hAnsiTheme="minorHAnsi"/>
                <w:i/>
                <w:sz w:val="18"/>
                <w:szCs w:val="18"/>
              </w:rPr>
              <w:t>Yellow oxeye (</w:t>
            </w:r>
            <w:r w:rsidR="006F7B36" w:rsidRPr="006375EC">
              <w:rPr>
                <w:rFonts w:asciiTheme="minorHAnsi" w:hAnsiTheme="minorHAnsi"/>
                <w:i/>
                <w:sz w:val="18"/>
                <w:szCs w:val="18"/>
              </w:rPr>
              <w:t>Telekia speciosa</w:t>
            </w:r>
            <w:r w:rsidRPr="006375EC">
              <w:rPr>
                <w:rFonts w:asciiTheme="minorHAnsi" w:hAnsiTheme="minorHAnsi"/>
                <w:i/>
                <w:sz w:val="18"/>
                <w:szCs w:val="18"/>
              </w:rPr>
              <w:t>)</w:t>
            </w:r>
          </w:p>
        </w:tc>
        <w:tc>
          <w:tcPr>
            <w:tcW w:w="3193"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7DDD964B"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II (medium)</w:t>
            </w:r>
          </w:p>
        </w:tc>
      </w:tr>
      <w:tr w:rsidR="006F7B36" w:rsidRPr="006375EC" w14:paraId="587EC281" w14:textId="77777777" w:rsidTr="006F7B36">
        <w:trPr>
          <w:trHeight w:val="343"/>
          <w:jc w:val="center"/>
        </w:trPr>
        <w:tc>
          <w:tcPr>
            <w:tcW w:w="3883" w:type="dxa"/>
            <w:tcBorders>
              <w:top w:val="single" w:sz="4" w:space="0" w:color="auto"/>
              <w:left w:val="single" w:sz="4" w:space="0" w:color="auto"/>
              <w:bottom w:val="single" w:sz="4" w:space="0" w:color="auto"/>
              <w:right w:val="single" w:sz="4" w:space="0" w:color="auto"/>
            </w:tcBorders>
            <w:hideMark/>
          </w:tcPr>
          <w:p w14:paraId="6020630B" w14:textId="4DC94669"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 xml:space="preserve">Sosnowski's hogweed </w:t>
            </w:r>
            <w:r w:rsidR="00F73EBD" w:rsidRPr="006375EC">
              <w:rPr>
                <w:rFonts w:asciiTheme="minorHAnsi" w:hAnsiTheme="minorHAnsi"/>
                <w:sz w:val="18"/>
                <w:szCs w:val="18"/>
              </w:rPr>
              <w:t>(</w:t>
            </w:r>
            <w:r w:rsidRPr="006375EC">
              <w:rPr>
                <w:rFonts w:asciiTheme="minorHAnsi" w:hAnsiTheme="minorHAnsi"/>
                <w:i/>
                <w:sz w:val="18"/>
                <w:szCs w:val="18"/>
              </w:rPr>
              <w:t>Heracleum sosnowskyi</w:t>
            </w:r>
            <w:r w:rsidR="00F73EBD" w:rsidRPr="006375EC">
              <w:rPr>
                <w:rFonts w:asciiTheme="minorHAnsi" w:hAnsiTheme="minorHAnsi"/>
                <w:i/>
                <w:sz w:val="18"/>
                <w:szCs w:val="18"/>
              </w:rPr>
              <w:t>)</w:t>
            </w:r>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558488BE"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IV (highest)</w:t>
            </w:r>
          </w:p>
        </w:tc>
      </w:tr>
      <w:tr w:rsidR="006F7B36" w:rsidRPr="006375EC" w14:paraId="43327E99" w14:textId="77777777" w:rsidTr="006F7B36">
        <w:trPr>
          <w:trHeight w:val="348"/>
          <w:jc w:val="center"/>
        </w:trPr>
        <w:tc>
          <w:tcPr>
            <w:tcW w:w="3883" w:type="dxa"/>
            <w:tcBorders>
              <w:top w:val="single" w:sz="4" w:space="0" w:color="auto"/>
              <w:left w:val="single" w:sz="4" w:space="0" w:color="auto"/>
              <w:bottom w:val="single" w:sz="4" w:space="0" w:color="auto"/>
              <w:right w:val="single" w:sz="4" w:space="0" w:color="auto"/>
            </w:tcBorders>
            <w:hideMark/>
          </w:tcPr>
          <w:p w14:paraId="11F8B4C5"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i/>
                <w:sz w:val="18"/>
                <w:szCs w:val="18"/>
              </w:rPr>
              <w:t>Giant</w:t>
            </w:r>
            <w:r w:rsidRPr="006375EC">
              <w:rPr>
                <w:rFonts w:asciiTheme="minorHAnsi" w:hAnsiTheme="minorHAnsi"/>
                <w:sz w:val="18"/>
                <w:szCs w:val="18"/>
              </w:rPr>
              <w:t xml:space="preserve"> hogweed (</w:t>
            </w:r>
            <w:r w:rsidRPr="006375EC">
              <w:rPr>
                <w:rFonts w:asciiTheme="minorHAnsi" w:hAnsiTheme="minorHAnsi"/>
                <w:i/>
                <w:sz w:val="18"/>
                <w:szCs w:val="18"/>
              </w:rPr>
              <w:t xml:space="preserve">Heracleum mantegazzianum) </w:t>
            </w:r>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0D3B9E3F" w14:textId="77777777" w:rsidR="006F7B36" w:rsidRPr="006375EC" w:rsidRDefault="006F7B36" w:rsidP="006375EC">
            <w:pPr>
              <w:spacing w:after="130" w:line="276" w:lineRule="auto"/>
              <w:jc w:val="both"/>
              <w:rPr>
                <w:rFonts w:asciiTheme="minorHAnsi" w:hAnsiTheme="minorHAnsi"/>
                <w:sz w:val="18"/>
                <w:szCs w:val="18"/>
              </w:rPr>
            </w:pPr>
            <w:r w:rsidRPr="006375EC">
              <w:rPr>
                <w:rFonts w:asciiTheme="minorHAnsi" w:hAnsiTheme="minorHAnsi"/>
                <w:sz w:val="18"/>
                <w:szCs w:val="18"/>
              </w:rPr>
              <w:t>IV (highest)</w:t>
            </w:r>
          </w:p>
        </w:tc>
      </w:tr>
      <w:tr w:rsidR="002F2E13" w:rsidRPr="006375EC" w14:paraId="01E360A8" w14:textId="77777777" w:rsidTr="002F2E13">
        <w:trPr>
          <w:trHeight w:val="348"/>
          <w:jc w:val="center"/>
        </w:trPr>
        <w:tc>
          <w:tcPr>
            <w:tcW w:w="3883" w:type="dxa"/>
            <w:tcBorders>
              <w:top w:val="single" w:sz="4" w:space="0" w:color="auto"/>
              <w:left w:val="single" w:sz="4" w:space="0" w:color="auto"/>
              <w:bottom w:val="single" w:sz="4" w:space="0" w:color="auto"/>
              <w:right w:val="single" w:sz="4" w:space="0" w:color="auto"/>
            </w:tcBorders>
          </w:tcPr>
          <w:p w14:paraId="4AAC2004" w14:textId="2E7ED018" w:rsidR="002F2E13" w:rsidRPr="006375EC" w:rsidRDefault="002F2E13" w:rsidP="006375EC">
            <w:pPr>
              <w:spacing w:after="130" w:line="276" w:lineRule="auto"/>
              <w:jc w:val="both"/>
              <w:rPr>
                <w:rFonts w:asciiTheme="minorHAnsi" w:hAnsiTheme="minorHAnsi"/>
                <w:i/>
                <w:iCs/>
                <w:sz w:val="18"/>
                <w:szCs w:val="18"/>
              </w:rPr>
            </w:pPr>
            <w:r w:rsidRPr="006375EC">
              <w:rPr>
                <w:rFonts w:asciiTheme="minorHAnsi" w:hAnsiTheme="minorHAnsi"/>
                <w:sz w:val="18"/>
                <w:szCs w:val="18"/>
              </w:rPr>
              <w:t>Monkeyflower (</w:t>
            </w:r>
            <w:r w:rsidRPr="006375EC">
              <w:rPr>
                <w:rFonts w:asciiTheme="minorHAnsi" w:hAnsiTheme="minorHAnsi"/>
                <w:i/>
                <w:iCs/>
                <w:sz w:val="18"/>
                <w:szCs w:val="18"/>
              </w:rPr>
              <w:t>Mimulus guttatus)</w:t>
            </w:r>
          </w:p>
        </w:tc>
        <w:tc>
          <w:tcPr>
            <w:tcW w:w="3193" w:type="dxa"/>
            <w:tcBorders>
              <w:top w:val="single" w:sz="4" w:space="0" w:color="auto"/>
              <w:left w:val="single" w:sz="4" w:space="0" w:color="auto"/>
              <w:bottom w:val="single" w:sz="4" w:space="0" w:color="auto"/>
              <w:right w:val="single" w:sz="4" w:space="0" w:color="auto"/>
            </w:tcBorders>
            <w:shd w:val="clear" w:color="auto" w:fill="FF0000"/>
            <w:vAlign w:val="center"/>
          </w:tcPr>
          <w:p w14:paraId="48550D13" w14:textId="0F95EDA2" w:rsidR="002F2E13" w:rsidRPr="006375EC" w:rsidRDefault="002F2E13" w:rsidP="006375EC">
            <w:pPr>
              <w:spacing w:after="130" w:line="276" w:lineRule="auto"/>
              <w:jc w:val="both"/>
              <w:rPr>
                <w:rFonts w:asciiTheme="minorHAnsi" w:hAnsiTheme="minorHAnsi"/>
                <w:sz w:val="18"/>
                <w:szCs w:val="18"/>
              </w:rPr>
            </w:pPr>
            <w:r w:rsidRPr="006375EC">
              <w:rPr>
                <w:rFonts w:asciiTheme="minorHAnsi" w:hAnsiTheme="minorHAnsi"/>
                <w:sz w:val="18"/>
                <w:szCs w:val="18"/>
              </w:rPr>
              <w:t>III (high)</w:t>
            </w:r>
          </w:p>
        </w:tc>
      </w:tr>
      <w:tr w:rsidR="002F2E13" w:rsidRPr="006375EC" w14:paraId="0BF0CD59" w14:textId="77777777" w:rsidTr="002F2E13">
        <w:trPr>
          <w:trHeight w:val="348"/>
          <w:jc w:val="center"/>
        </w:trPr>
        <w:tc>
          <w:tcPr>
            <w:tcW w:w="3883" w:type="dxa"/>
            <w:tcBorders>
              <w:top w:val="single" w:sz="4" w:space="0" w:color="auto"/>
              <w:left w:val="single" w:sz="4" w:space="0" w:color="auto"/>
              <w:bottom w:val="single" w:sz="4" w:space="0" w:color="auto"/>
              <w:right w:val="single" w:sz="4" w:space="0" w:color="auto"/>
            </w:tcBorders>
          </w:tcPr>
          <w:p w14:paraId="003FCCFF" w14:textId="08E0C85E" w:rsidR="002F2E13" w:rsidRPr="006375EC" w:rsidRDefault="002F2E13" w:rsidP="006375EC">
            <w:pPr>
              <w:spacing w:after="130" w:line="276" w:lineRule="auto"/>
              <w:jc w:val="both"/>
              <w:rPr>
                <w:rFonts w:asciiTheme="minorHAnsi" w:hAnsiTheme="minorHAnsi"/>
                <w:i/>
                <w:iCs/>
                <w:sz w:val="18"/>
                <w:szCs w:val="18"/>
              </w:rPr>
            </w:pPr>
            <w:r w:rsidRPr="006375EC">
              <w:rPr>
                <w:rFonts w:asciiTheme="minorHAnsi" w:hAnsiTheme="minorHAnsi"/>
                <w:sz w:val="18"/>
                <w:szCs w:val="18"/>
              </w:rPr>
              <w:t>Cutleaf coneflower (</w:t>
            </w:r>
            <w:r w:rsidRPr="006375EC">
              <w:rPr>
                <w:rFonts w:asciiTheme="minorHAnsi" w:hAnsiTheme="minorHAnsi"/>
                <w:i/>
                <w:iCs/>
                <w:sz w:val="18"/>
                <w:szCs w:val="18"/>
              </w:rPr>
              <w:t>Rudbeckia laciniata)</w:t>
            </w:r>
          </w:p>
        </w:tc>
        <w:tc>
          <w:tcPr>
            <w:tcW w:w="3193" w:type="dxa"/>
            <w:tcBorders>
              <w:top w:val="single" w:sz="4" w:space="0" w:color="auto"/>
              <w:left w:val="single" w:sz="4" w:space="0" w:color="auto"/>
              <w:bottom w:val="single" w:sz="4" w:space="0" w:color="auto"/>
              <w:right w:val="single" w:sz="4" w:space="0" w:color="auto"/>
            </w:tcBorders>
            <w:shd w:val="clear" w:color="auto" w:fill="C00000"/>
            <w:vAlign w:val="center"/>
          </w:tcPr>
          <w:p w14:paraId="2AA80C68" w14:textId="455D9EC9" w:rsidR="002F2E13" w:rsidRPr="006375EC" w:rsidRDefault="002F2E13" w:rsidP="006375EC">
            <w:pPr>
              <w:spacing w:after="130" w:line="276" w:lineRule="auto"/>
              <w:jc w:val="both"/>
              <w:rPr>
                <w:rFonts w:asciiTheme="minorHAnsi" w:hAnsiTheme="minorHAnsi"/>
                <w:sz w:val="18"/>
                <w:szCs w:val="18"/>
              </w:rPr>
            </w:pPr>
            <w:r w:rsidRPr="006375EC">
              <w:rPr>
                <w:rFonts w:asciiTheme="minorHAnsi" w:hAnsiTheme="minorHAnsi"/>
                <w:sz w:val="18"/>
                <w:szCs w:val="18"/>
              </w:rPr>
              <w:t>IV (highest)</w:t>
            </w:r>
          </w:p>
        </w:tc>
      </w:tr>
    </w:tbl>
    <w:p w14:paraId="0CFE2D30" w14:textId="77777777" w:rsidR="006F7B36" w:rsidRPr="00626277" w:rsidRDefault="006F7B36" w:rsidP="006F7B36"/>
    <w:p w14:paraId="36E62858" w14:textId="77777777" w:rsidR="006F7B36" w:rsidRPr="00E46623" w:rsidRDefault="006F7B36" w:rsidP="00E46623">
      <w:p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In accordance with Polish law (Journal of Laws 2022, item 2649), measures against invasive plant species include:</w:t>
      </w:r>
    </w:p>
    <w:p w14:paraId="36A68632" w14:textId="77777777" w:rsidR="006F7B36" w:rsidRPr="00E46623" w:rsidRDefault="006F7B36" w:rsidP="00E46623">
      <w:pPr>
        <w:pStyle w:val="ListParagraph"/>
        <w:numPr>
          <w:ilvl w:val="0"/>
          <w:numId w:val="17"/>
        </w:numPr>
        <w:spacing w:after="120" w:line="276" w:lineRule="auto"/>
        <w:contextualSpacing w:val="0"/>
        <w:jc w:val="both"/>
        <w:rPr>
          <w:rFonts w:asciiTheme="minorHAnsi" w:hAnsiTheme="minorHAnsi"/>
          <w:i/>
          <w:iCs/>
          <w:sz w:val="24"/>
          <w:szCs w:val="24"/>
          <w:lang w:val="en-US"/>
        </w:rPr>
      </w:pPr>
      <w:r w:rsidRPr="00E46623">
        <w:rPr>
          <w:rFonts w:asciiTheme="minorHAnsi" w:hAnsiTheme="minorHAnsi"/>
          <w:i/>
          <w:iCs/>
          <w:sz w:val="24"/>
          <w:szCs w:val="24"/>
          <w:lang w:val="en-US"/>
        </w:rPr>
        <w:t>"physical measures—digging up, pulling out, mowing, cutting down, damaging, collecting, plowing under, or shading these plants; cutting or collecting parts from which these plants can reproduce; grazing animals; altering water conditions, covering, mulching, removing the topsoil or bottom sediments, fencing off, creating buffer zones for these plants, or keeping them in isolated facilities.”</w:t>
      </w:r>
    </w:p>
    <w:p w14:paraId="2D76F7EB" w14:textId="77777777" w:rsidR="006F7B36" w:rsidRPr="00E46623" w:rsidRDefault="006F7B36" w:rsidP="00E46623">
      <w:pPr>
        <w:pStyle w:val="ListParagraph"/>
        <w:numPr>
          <w:ilvl w:val="0"/>
          <w:numId w:val="17"/>
        </w:numPr>
        <w:spacing w:after="120" w:line="276" w:lineRule="auto"/>
        <w:contextualSpacing w:val="0"/>
        <w:jc w:val="both"/>
        <w:rPr>
          <w:rFonts w:asciiTheme="minorHAnsi" w:hAnsiTheme="minorHAnsi"/>
          <w:sz w:val="24"/>
          <w:szCs w:val="24"/>
          <w:lang w:val="en-US"/>
        </w:rPr>
      </w:pPr>
      <w:r w:rsidRPr="00E46623">
        <w:rPr>
          <w:rFonts w:asciiTheme="minorHAnsi" w:hAnsiTheme="minorHAnsi"/>
          <w:i/>
          <w:iCs/>
          <w:sz w:val="24"/>
          <w:szCs w:val="24"/>
          <w:lang w:val="en-US"/>
        </w:rPr>
        <w:t>chemical agents—the use of plant protection products placed on the market pursuant to an authorization issued by the minister responsible for agriculture, as referred to in Regulation (EC) (EC) No. 1107/2009 of October 21, 2009, concerning the placing of plant protection products on the market and repealing Council Directives 79/117/EEC and 91/414/EEC (UE 1107/2009), or a parallel trade authorization as referred to in Article 52 of Regulation No. 1107/2009, or the use of other chemical agents in accordance with separate regulations concerning biocidal products</w:t>
      </w:r>
      <w:r w:rsidRPr="00E46623">
        <w:rPr>
          <w:rFonts w:asciiTheme="minorHAnsi" w:hAnsiTheme="minorHAnsi"/>
          <w:sz w:val="24"/>
          <w:szCs w:val="24"/>
          <w:lang w:val="en-US"/>
        </w:rPr>
        <w:t>.</w:t>
      </w:r>
    </w:p>
    <w:p w14:paraId="4811BE59" w14:textId="77777777" w:rsidR="006F7B36" w:rsidRPr="00E46623" w:rsidRDefault="006F7B36" w:rsidP="00E46623">
      <w:p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"Control measures against invasive plant pests in accordance with applicable law (Journal of Laws of 2022, item 2649) should be carried out under the following conditions:</w:t>
      </w:r>
    </w:p>
    <w:p w14:paraId="6BC03D36" w14:textId="77777777" w:rsidR="006F7B36" w:rsidRPr="00E46623" w:rsidRDefault="006F7B36" w:rsidP="00E46623">
      <w:pPr>
        <w:pStyle w:val="ListParagraph"/>
        <w:numPr>
          <w:ilvl w:val="0"/>
          <w:numId w:val="19"/>
        </w:numPr>
        <w:spacing w:after="120" w:line="276" w:lineRule="auto"/>
        <w:contextualSpacing w:val="0"/>
        <w:jc w:val="both"/>
        <w:rPr>
          <w:rFonts w:asciiTheme="minorHAnsi" w:hAnsiTheme="minorHAnsi"/>
          <w:i/>
          <w:iCs/>
          <w:sz w:val="24"/>
          <w:szCs w:val="24"/>
          <w:lang w:val="en-US"/>
        </w:rPr>
      </w:pPr>
      <w:r w:rsidRPr="00E46623">
        <w:rPr>
          <w:rFonts w:asciiTheme="minorHAnsi" w:hAnsiTheme="minorHAnsi"/>
          <w:i/>
          <w:iCs/>
          <w:sz w:val="24"/>
          <w:szCs w:val="24"/>
          <w:lang w:val="en-US"/>
        </w:rPr>
        <w:t>Physical and chemical factors must be adapted to the characteristics of the specific MSR and to the location and timing of these activities;</w:t>
      </w:r>
    </w:p>
    <w:p w14:paraId="48F93B80" w14:textId="77777777" w:rsidR="006F7B36" w:rsidRPr="00E46623" w:rsidRDefault="006F7B36" w:rsidP="00E46623">
      <w:pPr>
        <w:pStyle w:val="ListParagraph"/>
        <w:numPr>
          <w:ilvl w:val="0"/>
          <w:numId w:val="19"/>
        </w:numPr>
        <w:spacing w:after="120" w:line="276" w:lineRule="auto"/>
        <w:contextualSpacing w:val="0"/>
        <w:jc w:val="both"/>
        <w:rPr>
          <w:rFonts w:asciiTheme="minorHAnsi" w:hAnsiTheme="minorHAnsi"/>
          <w:i/>
          <w:iCs/>
          <w:sz w:val="24"/>
          <w:szCs w:val="24"/>
          <w:lang w:val="en-US"/>
        </w:rPr>
      </w:pPr>
      <w:r w:rsidRPr="00E46623">
        <w:rPr>
          <w:rFonts w:asciiTheme="minorHAnsi" w:hAnsiTheme="minorHAnsi"/>
          <w:i/>
          <w:iCs/>
          <w:sz w:val="24"/>
          <w:szCs w:val="24"/>
          <w:lang w:val="en-US"/>
        </w:rPr>
        <w:t>Physical and chemical agents should be applied individually or in combination until the objective of these activities is achieved;</w:t>
      </w:r>
    </w:p>
    <w:p w14:paraId="1C6C7325" w14:textId="77777777" w:rsidR="006F7B36" w:rsidRPr="00E46623" w:rsidRDefault="006F7B36" w:rsidP="00E46623">
      <w:pPr>
        <w:pStyle w:val="ListParagraph"/>
        <w:numPr>
          <w:ilvl w:val="0"/>
          <w:numId w:val="19"/>
        </w:numPr>
        <w:spacing w:after="120" w:line="276" w:lineRule="auto"/>
        <w:contextualSpacing w:val="0"/>
        <w:jc w:val="both"/>
        <w:rPr>
          <w:rFonts w:asciiTheme="minorHAnsi" w:hAnsiTheme="minorHAnsi"/>
          <w:i/>
          <w:iCs/>
          <w:sz w:val="24"/>
          <w:szCs w:val="24"/>
          <w:lang w:val="en-US"/>
        </w:rPr>
      </w:pPr>
      <w:r w:rsidRPr="00E46623">
        <w:rPr>
          <w:rFonts w:asciiTheme="minorHAnsi" w:hAnsiTheme="minorHAnsi"/>
          <w:i/>
          <w:iCs/>
          <w:sz w:val="24"/>
          <w:szCs w:val="24"/>
          <w:lang w:val="en-US"/>
        </w:rPr>
        <w:t>Physical and chemical agents should be applied in such a way as to prevent the accidental spread of these MSRs, including as a result of the movement of substrate containing their samples;</w:t>
      </w:r>
    </w:p>
    <w:p w14:paraId="078A1D86" w14:textId="77777777" w:rsidR="006F7B36" w:rsidRPr="00E46623" w:rsidRDefault="006F7B36" w:rsidP="00E46623">
      <w:pPr>
        <w:pStyle w:val="ListParagraph"/>
        <w:numPr>
          <w:ilvl w:val="0"/>
          <w:numId w:val="19"/>
        </w:numPr>
        <w:spacing w:after="120" w:line="276" w:lineRule="auto"/>
        <w:contextualSpacing w:val="0"/>
        <w:jc w:val="both"/>
        <w:rPr>
          <w:rFonts w:asciiTheme="minorHAnsi" w:hAnsiTheme="minorHAnsi"/>
          <w:i/>
          <w:iCs/>
          <w:sz w:val="24"/>
          <w:szCs w:val="24"/>
          <w:lang w:val="en-US"/>
        </w:rPr>
      </w:pPr>
      <w:r w:rsidRPr="00E46623">
        <w:rPr>
          <w:rFonts w:asciiTheme="minorHAnsi" w:hAnsiTheme="minorHAnsi"/>
          <w:i/>
          <w:iCs/>
          <w:sz w:val="24"/>
          <w:szCs w:val="24"/>
          <w:lang w:val="en-US"/>
        </w:rPr>
        <w:t>Work clothing, tools, machinery, and means of transport should be cleaned of IAS after use;</w:t>
      </w:r>
    </w:p>
    <w:p w14:paraId="589B514E" w14:textId="77777777" w:rsidR="006F7B36" w:rsidRPr="00E46623" w:rsidRDefault="006F7B36" w:rsidP="00E46623">
      <w:pPr>
        <w:pStyle w:val="ListParagraph"/>
        <w:numPr>
          <w:ilvl w:val="0"/>
          <w:numId w:val="19"/>
        </w:numPr>
        <w:spacing w:after="120" w:line="276" w:lineRule="auto"/>
        <w:contextualSpacing w:val="0"/>
        <w:jc w:val="both"/>
        <w:rPr>
          <w:rFonts w:asciiTheme="minorHAnsi" w:hAnsiTheme="minorHAnsi"/>
          <w:i/>
          <w:iCs/>
          <w:sz w:val="24"/>
          <w:szCs w:val="24"/>
          <w:lang w:val="en-US"/>
        </w:rPr>
      </w:pPr>
      <w:r w:rsidRPr="00E46623">
        <w:rPr>
          <w:rFonts w:asciiTheme="minorHAnsi" w:hAnsiTheme="minorHAnsi"/>
          <w:i/>
          <w:iCs/>
          <w:sz w:val="24"/>
          <w:szCs w:val="24"/>
          <w:lang w:val="en-US"/>
        </w:rPr>
        <w:t>Whenever possible, at the early stages of their development, and especially before flowering or fruiting;</w:t>
      </w:r>
    </w:p>
    <w:p w14:paraId="598AFCF1" w14:textId="77777777" w:rsidR="006F7B36" w:rsidRPr="00E46623" w:rsidRDefault="006F7B36" w:rsidP="00E46623">
      <w:pPr>
        <w:pStyle w:val="ListParagraph"/>
        <w:numPr>
          <w:ilvl w:val="0"/>
          <w:numId w:val="19"/>
        </w:numPr>
        <w:spacing w:after="120" w:line="276" w:lineRule="auto"/>
        <w:contextualSpacing w:val="0"/>
        <w:jc w:val="both"/>
        <w:rPr>
          <w:rFonts w:asciiTheme="minorHAnsi" w:hAnsiTheme="minorHAnsi"/>
          <w:i/>
          <w:iCs/>
          <w:sz w:val="24"/>
          <w:szCs w:val="24"/>
          <w:lang w:val="en-US"/>
        </w:rPr>
      </w:pPr>
      <w:r w:rsidRPr="00E46623">
        <w:rPr>
          <w:rFonts w:asciiTheme="minorHAnsi" w:hAnsiTheme="minorHAnsi"/>
          <w:i/>
          <w:iCs/>
          <w:sz w:val="24"/>
          <w:szCs w:val="24"/>
          <w:lang w:val="en-US"/>
        </w:rPr>
        <w:t>Physical control methods should be used first; if physical control methods alone are not effective, chemical control methods should be used.</w:t>
      </w:r>
    </w:p>
    <w:p w14:paraId="35FBD6C4" w14:textId="77777777" w:rsidR="006F7B36" w:rsidRPr="00E46623" w:rsidRDefault="006F7B36" w:rsidP="00E46623">
      <w:pPr>
        <w:spacing w:after="120" w:line="276" w:lineRule="auto"/>
        <w:jc w:val="both"/>
        <w:rPr>
          <w:rFonts w:asciiTheme="minorHAnsi" w:hAnsiTheme="minorHAnsi"/>
          <w:sz w:val="24"/>
          <w:szCs w:val="24"/>
          <w:lang w:val="en-US"/>
        </w:rPr>
      </w:pPr>
    </w:p>
    <w:p w14:paraId="14744051" w14:textId="598DF4F9" w:rsidR="006F7B36" w:rsidRPr="00E46623" w:rsidRDefault="006F7B36" w:rsidP="00E46623">
      <w:pPr>
        <w:spacing w:after="120" w:line="276" w:lineRule="auto"/>
        <w:jc w:val="both"/>
        <w:rPr>
          <w:rFonts w:asciiTheme="minorHAnsi" w:hAnsiTheme="minorHAnsi"/>
          <w:sz w:val="24"/>
          <w:szCs w:val="24"/>
        </w:rPr>
      </w:pPr>
      <w:r w:rsidRPr="00E46623">
        <w:rPr>
          <w:rFonts w:asciiTheme="minorHAnsi" w:hAnsiTheme="minorHAnsi"/>
          <w:sz w:val="24"/>
          <w:szCs w:val="24"/>
          <w:lang w:val="en-US"/>
        </w:rPr>
        <w:t xml:space="preserve">Removed IAS plant biomass is handled in different ways, depending on whether it is planned to be managed at the site of removal or whether it must be transported off-site. </w:t>
      </w:r>
      <w:r w:rsidRPr="00E46623">
        <w:rPr>
          <w:rFonts w:asciiTheme="minorHAnsi" w:hAnsiTheme="minorHAnsi"/>
          <w:sz w:val="24"/>
          <w:szCs w:val="24"/>
        </w:rPr>
        <w:t>In cases where:</w:t>
      </w:r>
    </w:p>
    <w:p w14:paraId="4AD41388" w14:textId="77777777" w:rsidR="006F7B36" w:rsidRPr="00E46623" w:rsidRDefault="006F7B36" w:rsidP="00E46623">
      <w:pPr>
        <w:pStyle w:val="ListParagraph"/>
        <w:numPr>
          <w:ilvl w:val="0"/>
          <w:numId w:val="20"/>
        </w:numPr>
        <w:spacing w:after="120" w:line="276" w:lineRule="auto"/>
        <w:contextualSpacing w:val="0"/>
        <w:jc w:val="both"/>
        <w:rPr>
          <w:rFonts w:asciiTheme="minorHAnsi" w:hAnsiTheme="minorHAnsi"/>
          <w:sz w:val="24"/>
          <w:szCs w:val="24"/>
          <w:lang w:val="en-US"/>
        </w:rPr>
      </w:pPr>
      <w:r w:rsidRPr="00E46623">
        <w:rPr>
          <w:rFonts w:asciiTheme="minorHAnsi" w:hAnsiTheme="minorHAnsi"/>
          <w:sz w:val="24"/>
          <w:szCs w:val="24"/>
          <w:u w:val="single"/>
          <w:lang w:val="en-US"/>
        </w:rPr>
        <w:t>it remains at the site of removal</w:t>
      </w:r>
      <w:r w:rsidRPr="00E46623">
        <w:rPr>
          <w:rFonts w:asciiTheme="minorHAnsi" w:hAnsiTheme="minorHAnsi"/>
          <w:sz w:val="24"/>
          <w:szCs w:val="24"/>
          <w:lang w:val="en-US"/>
        </w:rPr>
        <w:t>—it is left on the ground, wherever:</w:t>
      </w:r>
    </w:p>
    <w:p w14:paraId="44FE1369" w14:textId="2A970A00" w:rsidR="006F7B36" w:rsidRPr="00E46623" w:rsidRDefault="006F7B36" w:rsidP="00E46623">
      <w:pPr>
        <w:spacing w:after="120" w:line="276" w:lineRule="auto"/>
        <w:ind w:left="993" w:hanging="284"/>
        <w:jc w:val="both"/>
        <w:rPr>
          <w:rFonts w:asciiTheme="minorHAnsi" w:hAnsiTheme="minorHAnsi"/>
          <w:sz w:val="24"/>
          <w:szCs w:val="24"/>
          <w:lang w:val="en-US"/>
        </w:rPr>
      </w:pPr>
      <w:r w:rsidRPr="00E46623">
        <w:rPr>
          <w:rFonts w:asciiTheme="minorHAnsi" w:hAnsiTheme="minorHAnsi"/>
          <w:sz w:val="24"/>
          <w:szCs w:val="24"/>
          <w:lang w:val="en-US"/>
        </w:rPr>
        <w:t>a)</w:t>
      </w:r>
      <w:r w:rsidRPr="00E46623">
        <w:rPr>
          <w:rFonts w:asciiTheme="minorHAnsi" w:hAnsiTheme="minorHAnsi"/>
          <w:sz w:val="24"/>
          <w:szCs w:val="24"/>
          <w:lang w:val="en-US"/>
        </w:rPr>
        <w:tab/>
        <w:t>if the removed IAS plants contain seeds—the seeds or plant parts containing seeds must be buried to a depth of at least 2 m (an exception to this list is knotweed, unless a geomembrane is used);</w:t>
      </w:r>
    </w:p>
    <w:p w14:paraId="623B762A" w14:textId="77777777" w:rsidR="006F7B36" w:rsidRPr="00E46623" w:rsidRDefault="006F7B36" w:rsidP="00E46623">
      <w:pPr>
        <w:spacing w:after="120" w:line="276" w:lineRule="auto"/>
        <w:ind w:left="993" w:hanging="284"/>
        <w:jc w:val="both"/>
        <w:rPr>
          <w:rFonts w:asciiTheme="minorHAnsi" w:hAnsiTheme="minorHAnsi"/>
          <w:sz w:val="24"/>
          <w:szCs w:val="24"/>
          <w:lang w:val="en-US"/>
        </w:rPr>
      </w:pPr>
      <w:r w:rsidRPr="00E46623">
        <w:rPr>
          <w:rFonts w:asciiTheme="minorHAnsi" w:hAnsiTheme="minorHAnsi"/>
          <w:sz w:val="24"/>
          <w:szCs w:val="24"/>
          <w:lang w:val="en-US"/>
        </w:rPr>
        <w:t>b)</w:t>
      </w:r>
      <w:r w:rsidRPr="00E46623">
        <w:rPr>
          <w:rFonts w:asciiTheme="minorHAnsi" w:hAnsiTheme="minorHAnsi"/>
          <w:sz w:val="24"/>
          <w:szCs w:val="24"/>
          <w:lang w:val="en-US"/>
        </w:rPr>
        <w:tab/>
        <w:t>if the removed IAS plants contain parts other than seeds from which the plants can reproduce—these parts must be isolated from the soil and protected against spreading;</w:t>
      </w:r>
    </w:p>
    <w:p w14:paraId="1E310CFD" w14:textId="77777777" w:rsidR="006F7B36" w:rsidRPr="00E46623" w:rsidRDefault="006F7B36" w:rsidP="00E46623">
      <w:pPr>
        <w:pStyle w:val="ListParagraph"/>
        <w:numPr>
          <w:ilvl w:val="0"/>
          <w:numId w:val="20"/>
        </w:numPr>
        <w:spacing w:after="120" w:line="276" w:lineRule="auto"/>
        <w:contextualSpacing w:val="0"/>
        <w:jc w:val="both"/>
        <w:rPr>
          <w:rFonts w:asciiTheme="minorHAnsi" w:hAnsiTheme="minorHAnsi"/>
          <w:sz w:val="24"/>
          <w:szCs w:val="24"/>
          <w:lang w:val="en-US"/>
        </w:rPr>
      </w:pPr>
      <w:r w:rsidRPr="00E46623">
        <w:rPr>
          <w:rFonts w:asciiTheme="minorHAnsi" w:hAnsiTheme="minorHAnsi"/>
          <w:sz w:val="24"/>
          <w:szCs w:val="24"/>
          <w:lang w:val="en-US"/>
        </w:rPr>
        <w:t>if</w:t>
      </w:r>
      <w:r w:rsidRPr="00E46623">
        <w:rPr>
          <w:rFonts w:asciiTheme="minorHAnsi" w:hAnsiTheme="minorHAnsi"/>
          <w:sz w:val="24"/>
          <w:szCs w:val="24"/>
          <w:u w:val="single"/>
          <w:lang w:val="en-US"/>
        </w:rPr>
        <w:t xml:space="preserve"> they are to be transported away from the disposal site</w:t>
      </w:r>
      <w:r w:rsidRPr="00E46623">
        <w:rPr>
          <w:rFonts w:asciiTheme="minorHAnsi" w:hAnsiTheme="minorHAnsi"/>
          <w:sz w:val="24"/>
          <w:szCs w:val="24"/>
          <w:lang w:val="en-US"/>
        </w:rPr>
        <w:t>—and if they are capable of reproduction—they must be secured during transport and processed, in particular through composting, anaerobic digestion, landfilling, or thermal treatment, including drying or incineration in authorized facilities.</w:t>
      </w:r>
    </w:p>
    <w:p w14:paraId="5D7029B6" w14:textId="77777777" w:rsidR="002206CF" w:rsidRPr="00E46623" w:rsidRDefault="002206CF" w:rsidP="00E46623">
      <w:pPr>
        <w:spacing w:after="120" w:line="276" w:lineRule="auto"/>
        <w:jc w:val="both"/>
        <w:rPr>
          <w:rFonts w:asciiTheme="minorHAnsi" w:hAnsiTheme="minorHAnsi"/>
          <w:sz w:val="24"/>
          <w:szCs w:val="24"/>
          <w:lang w:val="en-US"/>
        </w:rPr>
      </w:pPr>
    </w:p>
    <w:p w14:paraId="628F0A12" w14:textId="6ADDE391" w:rsidR="006F7B36" w:rsidRPr="00E46623" w:rsidRDefault="006F7B36" w:rsidP="00E46623">
      <w:p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Given the significant variation among individual legal acts regarding the formal classification of specific species as invasive alien species requiring preventive measures (Journal of Laws 2022.2649), and at the same time the availability of relevant scientific knowledge about such species and their impact on the environment (Tokarska-Guzik et al., 2012), we have adopted a broad approach to identifying invasive species (as defined in the Regulation on Invasive Alien Species (UE 1143/2014)) in the Biodiversity Action Plan. Poland’s list of invasive species subject to formal measures is very limited; however, other non-native species that are widely recognized as invasive in Poland based on scientific research and/or globally recognized lists of invasive alien species (such as the CABI Compendium of Invasive Alien Species or the Global Invasive Species Database) may also occur within the Project’s area of influence.  Therefore, in addition to species formally recognized as invasive, all species that could potentially occur within the Project area and that exhibit invasive traits (including rapid growth and reproduction, high adaptability, absence of natural enemies, and threats to native flora) have been taken into account.</w:t>
      </w:r>
    </w:p>
    <w:p w14:paraId="24822DDB" w14:textId="77777777" w:rsidR="006F7B36" w:rsidRPr="00E46623" w:rsidRDefault="006F7B36" w:rsidP="00E46623">
      <w:p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If species posing a threat to the European Union or Poland (listed in Table 1) are identified, in accordance with the Act on Alien Species (Journal of Laws 2023.1589), “</w:t>
      </w:r>
      <w:r w:rsidRPr="00E46623">
        <w:rPr>
          <w:rFonts w:asciiTheme="minorHAnsi" w:hAnsiTheme="minorHAnsi"/>
          <w:i/>
          <w:iCs/>
          <w:sz w:val="24"/>
          <w:szCs w:val="24"/>
          <w:lang w:val="en-US"/>
        </w:rPr>
        <w:t>anyone who detects the presence in the environment of an IAS posing a threat to the Union or Poland shall immediately report this fact to the commune head, mayor, or city president with jurisdiction over the location where the IAS was detected in the environment</w:t>
      </w:r>
      <w:r w:rsidRPr="00E46623">
        <w:rPr>
          <w:rFonts w:asciiTheme="minorHAnsi" w:hAnsiTheme="minorHAnsi"/>
          <w:sz w:val="24"/>
          <w:szCs w:val="24"/>
          <w:lang w:val="en-US"/>
        </w:rPr>
        <w:t>.”</w:t>
      </w:r>
    </w:p>
    <w:p w14:paraId="3125F1D1" w14:textId="77777777" w:rsidR="006F7B36" w:rsidRPr="00E46623" w:rsidRDefault="006F7B36" w:rsidP="00E46623">
      <w:p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 xml:space="preserve">The details of the report are described in the aforementioned Act. The report is forwarded to the competent administrative authorities—the locally competent Regional Directorate for Environmental Protection or the locally competent Maritime Office, depending on whether the species is found in the coastal, technical, or protective zone (designated in accordance with the Act </w:t>
      </w:r>
      <w:r w:rsidRPr="00E46623">
        <w:rPr>
          <w:rFonts w:asciiTheme="minorHAnsi" w:hAnsiTheme="minorHAnsi"/>
          <w:i/>
          <w:iCs/>
          <w:sz w:val="24"/>
          <w:szCs w:val="24"/>
          <w:lang w:val="en-US"/>
        </w:rPr>
        <w:t xml:space="preserve">on the Maritime Areas of the Republic of Poland and Maritime Administration </w:t>
      </w:r>
      <w:r w:rsidRPr="00E46623">
        <w:rPr>
          <w:rFonts w:asciiTheme="minorHAnsi" w:hAnsiTheme="minorHAnsi"/>
          <w:sz w:val="24"/>
          <w:szCs w:val="24"/>
          <w:lang w:val="en-US"/>
        </w:rPr>
        <w:t>(Journal of Laws 2024.1125).</w:t>
      </w:r>
    </w:p>
    <w:p w14:paraId="3017C56A" w14:textId="72965D5A" w:rsidR="008B6E13" w:rsidRPr="00D049D4" w:rsidRDefault="002206CF" w:rsidP="002206CF">
      <w:pPr>
        <w:pStyle w:val="Heading2"/>
        <w:rPr>
          <w:lang w:val="en-US"/>
        </w:rPr>
      </w:pPr>
      <w:bookmarkStart w:id="29" w:name="_Toc239856709"/>
      <w:r w:rsidRPr="00D049D4">
        <w:rPr>
          <w:lang w:val="en-US"/>
        </w:rPr>
        <w:t>3.2. Biomass Management</w:t>
      </w:r>
      <w:bookmarkEnd w:id="29"/>
    </w:p>
    <w:p w14:paraId="191E48F1" w14:textId="29998D83" w:rsidR="002206CF" w:rsidRPr="00E46623" w:rsidRDefault="002206CF" w:rsidP="00E46623">
      <w:p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 xml:space="preserve">The final decision regarding the choice of the target method for handling biomass (on-site management at the </w:t>
      </w:r>
      <w:r w:rsidR="009374B7" w:rsidRPr="00E46623">
        <w:rPr>
          <w:rFonts w:asciiTheme="minorHAnsi" w:hAnsiTheme="minorHAnsi"/>
          <w:sz w:val="24"/>
          <w:szCs w:val="24"/>
          <w:lang w:val="en-US"/>
        </w:rPr>
        <w:t>IAS</w:t>
      </w:r>
      <w:r w:rsidRPr="00E46623">
        <w:rPr>
          <w:rFonts w:asciiTheme="minorHAnsi" w:hAnsiTheme="minorHAnsi"/>
          <w:sz w:val="24"/>
          <w:szCs w:val="24"/>
          <w:lang w:val="en-US"/>
        </w:rPr>
        <w:t xml:space="preserve"> site or transfer of biomass to processors outside the facility) must be confirmed on-site by specialists working on the project. An analysis of the local conditions at the control site (e.g., size, location) is crucial for deciding whether the biomass can be left on-site or transported off-site. Furthermore, whenever making the aforementioned decision, as part of optimizing operations and minimizing the risk of </w:t>
      </w:r>
      <w:r w:rsidR="009374B7" w:rsidRPr="00E46623">
        <w:rPr>
          <w:rFonts w:asciiTheme="minorHAnsi" w:hAnsiTheme="minorHAnsi"/>
          <w:sz w:val="24"/>
          <w:szCs w:val="24"/>
          <w:lang w:val="en-US"/>
        </w:rPr>
        <w:t>IAS</w:t>
      </w:r>
      <w:r w:rsidRPr="00E46623">
        <w:rPr>
          <w:rFonts w:asciiTheme="minorHAnsi" w:hAnsiTheme="minorHAnsi"/>
          <w:sz w:val="24"/>
          <w:szCs w:val="24"/>
          <w:lang w:val="en-US"/>
        </w:rPr>
        <w:t xml:space="preserve"> spread, the following factors must be taken into account: </w:t>
      </w:r>
    </w:p>
    <w:p w14:paraId="39E0F7D4" w14:textId="77777777" w:rsidR="002206CF" w:rsidRPr="00E46623" w:rsidRDefault="002206CF" w:rsidP="00E46623">
      <w:pPr>
        <w:pStyle w:val="ListParagraph"/>
        <w:numPr>
          <w:ilvl w:val="0"/>
          <w:numId w:val="21"/>
        </w:numPr>
        <w:spacing w:after="120" w:line="276" w:lineRule="auto"/>
        <w:contextualSpacing w:val="0"/>
        <w:jc w:val="both"/>
        <w:rPr>
          <w:rFonts w:asciiTheme="minorHAnsi" w:hAnsiTheme="minorHAnsi"/>
          <w:sz w:val="24"/>
          <w:szCs w:val="24"/>
          <w:lang w:val="en-US"/>
        </w:rPr>
      </w:pPr>
      <w:r w:rsidRPr="00E46623">
        <w:rPr>
          <w:rFonts w:asciiTheme="minorHAnsi" w:hAnsiTheme="minorHAnsi"/>
          <w:sz w:val="24"/>
          <w:szCs w:val="24"/>
          <w:lang w:val="en-US"/>
        </w:rPr>
        <w:t xml:space="preserve">the type of biomass, depending on the timing of the control measures—i.e., the plant’s developmental stage (above-ground shoots from the current growing season, roots, inflorescences and/or fruits, seeds)—and the method used. A proper assessment minimizes the risk of spreading the species if, for example, inflorescences/fruits or seeds are present;  </w:t>
      </w:r>
    </w:p>
    <w:p w14:paraId="0690554A" w14:textId="77777777" w:rsidR="002206CF" w:rsidRPr="00E46623" w:rsidRDefault="002206CF" w:rsidP="00E46623">
      <w:pPr>
        <w:pStyle w:val="ListParagraph"/>
        <w:numPr>
          <w:ilvl w:val="0"/>
          <w:numId w:val="21"/>
        </w:numPr>
        <w:spacing w:after="120" w:line="276" w:lineRule="auto"/>
        <w:contextualSpacing w:val="0"/>
        <w:jc w:val="both"/>
        <w:rPr>
          <w:rFonts w:asciiTheme="minorHAnsi" w:hAnsiTheme="minorHAnsi"/>
          <w:sz w:val="24"/>
          <w:szCs w:val="24"/>
          <w:lang w:val="en-US"/>
        </w:rPr>
      </w:pPr>
      <w:r w:rsidRPr="00E46623">
        <w:rPr>
          <w:rFonts w:asciiTheme="minorHAnsi" w:hAnsiTheme="minorHAnsi"/>
          <w:sz w:val="24"/>
          <w:szCs w:val="24"/>
          <w:lang w:val="en-US"/>
        </w:rPr>
        <w:t xml:space="preserve">the amount of biomass obtained from the area occupied by the invasive plant species, its distribution pattern (biomass from individual plants, plants occurring in scattered or small clusters, large patches, dense clusters, and patches), and the age structure of the patch (number of young and mature/flowering plants). </w:t>
      </w:r>
    </w:p>
    <w:p w14:paraId="6A24A01E" w14:textId="77777777" w:rsidR="002206CF" w:rsidRPr="00E46623" w:rsidRDefault="002206CF" w:rsidP="00E46623">
      <w:pPr>
        <w:pStyle w:val="ListParagraph"/>
        <w:numPr>
          <w:ilvl w:val="0"/>
          <w:numId w:val="21"/>
        </w:numPr>
        <w:spacing w:after="120" w:line="276" w:lineRule="auto"/>
        <w:contextualSpacing w:val="0"/>
        <w:jc w:val="both"/>
        <w:rPr>
          <w:rFonts w:asciiTheme="minorHAnsi" w:hAnsiTheme="minorHAnsi"/>
          <w:sz w:val="24"/>
          <w:szCs w:val="24"/>
          <w:lang w:val="en-US"/>
        </w:rPr>
      </w:pPr>
      <w:r w:rsidRPr="00E46623">
        <w:rPr>
          <w:rFonts w:asciiTheme="minorHAnsi" w:hAnsiTheme="minorHAnsi"/>
          <w:sz w:val="24"/>
          <w:szCs w:val="24"/>
          <w:lang w:val="en-US"/>
        </w:rPr>
        <w:t xml:space="preserve">Leaving the biomass at the species’ site (without stacking it) leads, on the one hand, to its accumulation, which may temporarily limit plant growth and prevent the rapid use of the land for other purposes. On the other hand, this may promote faster drying of the biomass;  </w:t>
      </w:r>
    </w:p>
    <w:p w14:paraId="1A1F8D7F" w14:textId="77777777" w:rsidR="002206CF" w:rsidRPr="00E46623" w:rsidRDefault="002206CF" w:rsidP="00E46623">
      <w:pPr>
        <w:pStyle w:val="ListParagraph"/>
        <w:numPr>
          <w:ilvl w:val="0"/>
          <w:numId w:val="21"/>
        </w:numPr>
        <w:spacing w:after="120" w:line="276" w:lineRule="auto"/>
        <w:contextualSpacing w:val="0"/>
        <w:jc w:val="both"/>
        <w:rPr>
          <w:rFonts w:asciiTheme="minorHAnsi" w:hAnsiTheme="minorHAnsi"/>
          <w:sz w:val="24"/>
          <w:szCs w:val="24"/>
          <w:lang w:val="en-US"/>
        </w:rPr>
      </w:pPr>
      <w:r w:rsidRPr="00E46623">
        <w:rPr>
          <w:rFonts w:asciiTheme="minorHAnsi" w:hAnsiTheme="minorHAnsi"/>
          <w:sz w:val="24"/>
          <w:szCs w:val="24"/>
          <w:lang w:val="en-US"/>
        </w:rPr>
        <w:t xml:space="preserve">the possibility of designating a site for biomass storage (e.g., land use, site size, and the presence of sunlit areas conducive to biomass drying) or accessing the site with equipment for biomass removal (if applicable); </w:t>
      </w:r>
    </w:p>
    <w:p w14:paraId="4783F882" w14:textId="77777777" w:rsidR="002206CF" w:rsidRPr="00E46623" w:rsidRDefault="002206CF" w:rsidP="00E46623">
      <w:pPr>
        <w:pStyle w:val="ListParagraph"/>
        <w:numPr>
          <w:ilvl w:val="0"/>
          <w:numId w:val="21"/>
        </w:numPr>
        <w:spacing w:after="120" w:line="276" w:lineRule="auto"/>
        <w:contextualSpacing w:val="0"/>
        <w:jc w:val="both"/>
        <w:rPr>
          <w:rFonts w:asciiTheme="minorHAnsi" w:hAnsiTheme="minorHAnsi"/>
          <w:sz w:val="24"/>
          <w:szCs w:val="24"/>
          <w:lang w:val="en-US"/>
        </w:rPr>
      </w:pPr>
      <w:r w:rsidRPr="00E46623">
        <w:rPr>
          <w:rFonts w:asciiTheme="minorHAnsi" w:hAnsiTheme="minorHAnsi"/>
          <w:sz w:val="24"/>
          <w:szCs w:val="24"/>
          <w:lang w:val="en-US"/>
        </w:rPr>
        <w:t xml:space="preserve">characteristics of the site where the species was controlled (including habitat conditions, the presence of valuable natural habitats / wildlife habitats, as well as ownership, legal, and transportation-related factors, etc.), which determine the method of handling biomass both on-site and the method of preparing it for transport off-site; </w:t>
      </w:r>
    </w:p>
    <w:p w14:paraId="2CE175FC" w14:textId="77777777" w:rsidR="002206CF" w:rsidRPr="00E46623" w:rsidRDefault="002206CF" w:rsidP="00E46623">
      <w:pPr>
        <w:pStyle w:val="ListParagraph"/>
        <w:numPr>
          <w:ilvl w:val="0"/>
          <w:numId w:val="21"/>
        </w:numPr>
        <w:spacing w:after="120" w:line="276" w:lineRule="auto"/>
        <w:contextualSpacing w:val="0"/>
        <w:jc w:val="both"/>
        <w:rPr>
          <w:rFonts w:asciiTheme="minorHAnsi" w:hAnsiTheme="minorHAnsi"/>
          <w:sz w:val="24"/>
          <w:szCs w:val="24"/>
          <w:lang w:val="en-US"/>
        </w:rPr>
      </w:pPr>
      <w:r w:rsidRPr="00E46623">
        <w:rPr>
          <w:rFonts w:asciiTheme="minorHAnsi" w:hAnsiTheme="minorHAnsi"/>
          <w:sz w:val="24"/>
          <w:szCs w:val="24"/>
          <w:lang w:val="en-US"/>
        </w:rPr>
        <w:t xml:space="preserve">knowledge of how the species spreads and the associated need for safety measures when handling biomass on the facility’s premises, as well as how to prepare it for potential transport off-site; </w:t>
      </w:r>
    </w:p>
    <w:p w14:paraId="60780775" w14:textId="77777777" w:rsidR="002206CF" w:rsidRPr="00E46623" w:rsidRDefault="002206CF" w:rsidP="00E46623">
      <w:pPr>
        <w:pStyle w:val="ListParagraph"/>
        <w:numPr>
          <w:ilvl w:val="0"/>
          <w:numId w:val="21"/>
        </w:numPr>
        <w:spacing w:after="120" w:line="276" w:lineRule="auto"/>
        <w:contextualSpacing w:val="0"/>
        <w:jc w:val="both"/>
        <w:rPr>
          <w:rFonts w:asciiTheme="minorHAnsi" w:hAnsiTheme="minorHAnsi"/>
          <w:sz w:val="24"/>
          <w:szCs w:val="24"/>
          <w:lang w:val="en-US"/>
        </w:rPr>
      </w:pPr>
      <w:r w:rsidRPr="00E46623">
        <w:rPr>
          <w:rFonts w:asciiTheme="minorHAnsi" w:hAnsiTheme="minorHAnsi"/>
          <w:sz w:val="24"/>
          <w:szCs w:val="24"/>
          <w:lang w:val="en-US"/>
        </w:rPr>
        <w:t>any restrictions arising from applicable laws</w:t>
      </w:r>
      <w:r w:rsidRPr="00E46623">
        <w:rPr>
          <w:rStyle w:val="FootnoteReference"/>
          <w:rFonts w:asciiTheme="minorHAnsi" w:hAnsiTheme="minorHAnsi"/>
          <w:sz w:val="24"/>
          <w:szCs w:val="24"/>
        </w:rPr>
        <w:footnoteReference w:id="54"/>
      </w:r>
    </w:p>
    <w:p w14:paraId="77C2F535" w14:textId="77777777" w:rsidR="002206CF" w:rsidRPr="00E46623" w:rsidRDefault="002206CF" w:rsidP="00E46623">
      <w:pPr>
        <w:spacing w:after="120" w:line="276" w:lineRule="auto"/>
        <w:jc w:val="both"/>
        <w:rPr>
          <w:rFonts w:asciiTheme="minorHAnsi" w:hAnsiTheme="minorHAnsi"/>
          <w:sz w:val="24"/>
          <w:szCs w:val="24"/>
          <w:lang w:val="en-US"/>
        </w:rPr>
      </w:pPr>
    </w:p>
    <w:p w14:paraId="0D45ED11" w14:textId="77777777" w:rsidR="002206CF" w:rsidRPr="00E46623" w:rsidRDefault="002206CF" w:rsidP="00E46623">
      <w:p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In accordance with the provisions of the Waste Act (Journal of Laws 2023.1587) and Directive 2008/98/EC of the European Parliament and of the Council, the management of biomass should follow the following hierarchy:</w:t>
      </w:r>
    </w:p>
    <w:p w14:paraId="4EA44D90" w14:textId="77777777" w:rsidR="002206CF" w:rsidRPr="00E46623" w:rsidRDefault="002206CF" w:rsidP="00E46623">
      <w:p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1. Use of biomass as a raw material at the point of generation.</w:t>
      </w:r>
    </w:p>
    <w:p w14:paraId="1040637C" w14:textId="77777777" w:rsidR="002206CF" w:rsidRPr="00E46623" w:rsidRDefault="002206CF" w:rsidP="00E46623">
      <w:p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2. Transfer of biomass for management off-site as biowaste, which is subject to further treatment in accordance with the following hierarchy:</w:t>
      </w:r>
    </w:p>
    <w:p w14:paraId="11353B2E" w14:textId="77777777" w:rsidR="002206CF" w:rsidRPr="00E46623" w:rsidRDefault="002206CF" w:rsidP="00E46623">
      <w:pPr>
        <w:numPr>
          <w:ilvl w:val="0"/>
          <w:numId w:val="22"/>
        </w:num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recycling, including organic recycling, i.e., composting or biofermentation, which produce organic matter or methane,</w:t>
      </w:r>
    </w:p>
    <w:p w14:paraId="422C10DA" w14:textId="77777777" w:rsidR="002206CF" w:rsidRPr="00E46623" w:rsidRDefault="002206CF" w:rsidP="00E46623">
      <w:pPr>
        <w:numPr>
          <w:ilvl w:val="0"/>
          <w:numId w:val="22"/>
        </w:num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processing, i.e., incineration in incinerators or co-incinerators with energy recovery,</w:t>
      </w:r>
    </w:p>
    <w:p w14:paraId="2F8F5D6D" w14:textId="77777777" w:rsidR="002206CF" w:rsidRPr="00E46623" w:rsidRDefault="002206CF" w:rsidP="00E46623">
      <w:pPr>
        <w:numPr>
          <w:ilvl w:val="0"/>
          <w:numId w:val="22"/>
        </w:num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disposal, i.e., incineration in incinerators without energy recovery or landfilling, if disposal by other means was not possible.</w:t>
      </w:r>
    </w:p>
    <w:p w14:paraId="29FFFD75" w14:textId="77777777" w:rsidR="002206CF" w:rsidRPr="00E46623" w:rsidRDefault="002206CF" w:rsidP="00E46623">
      <w:p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In accordance with the principle of proximity, which means that waste should be transferred to the nearest authorized facilities for treatment or disposal, so that the environmental impact caused by transportation does not outweigh the choice of technology for combating invasive alien species</w:t>
      </w:r>
      <w:r w:rsidRPr="00E46623">
        <w:rPr>
          <w:rFonts w:asciiTheme="minorHAnsi" w:hAnsiTheme="minorHAnsi"/>
          <w:sz w:val="24"/>
          <w:szCs w:val="24"/>
        </w:rPr>
        <w:fldChar w:fldCharType="begin"/>
      </w:r>
      <w:r w:rsidRPr="00E46623">
        <w:rPr>
          <w:rFonts w:asciiTheme="minorHAnsi" w:hAnsiTheme="minorHAnsi"/>
          <w:sz w:val="24"/>
          <w:szCs w:val="24"/>
          <w:lang w:val="en-US"/>
        </w:rPr>
        <w:instrText xml:space="preserve"> ADDIN ZOTERO_ITEM CSL_CITATION {"citationID":"ULVOGbo5","properties":{"formattedCitation":"(Dz.U.2023.1587, n.d.)","plainCitation":"(Dz.U.2023.1587, n.d.)","dontUpdate":true,"noteIndex":0},"citationItems":[{"id":32,"uris":["http://zotero.org/users/local/WHLSCuHh/items/UFICKWRH"],"itemData":{"id":32,"type":"webpage","title":"Ustawa z dnia 14 grudnia 2012 r. o odpadach","URL":"https://isap.sejm.gov.pl/isap.nsf/DocDetails.xsp?id=WDU20130000021","author":[{"family":"Dz.U.2023.1587","given":""}],"accessed":{"date-parts":[["2024",12,10]]}}}],"schema":"https://github.com/citation-style-language/schema/raw/master/csl-citation.json"} </w:instrText>
      </w:r>
      <w:r w:rsidRPr="00E46623">
        <w:rPr>
          <w:rFonts w:asciiTheme="minorHAnsi" w:hAnsiTheme="minorHAnsi"/>
          <w:sz w:val="24"/>
          <w:szCs w:val="24"/>
        </w:rPr>
        <w:fldChar w:fldCharType="separate"/>
      </w:r>
      <w:r w:rsidRPr="00E46623">
        <w:rPr>
          <w:rFonts w:asciiTheme="minorHAnsi" w:hAnsiTheme="minorHAnsi"/>
          <w:sz w:val="24"/>
          <w:szCs w:val="24"/>
          <w:lang w:val="en-US"/>
        </w:rPr>
        <w:t xml:space="preserve"> (Journal of Laws 2023.1587)</w:t>
      </w:r>
      <w:r w:rsidRPr="00E46623">
        <w:rPr>
          <w:rFonts w:asciiTheme="minorHAnsi" w:hAnsiTheme="minorHAnsi"/>
          <w:sz w:val="24"/>
          <w:szCs w:val="24"/>
        </w:rPr>
        <w:fldChar w:fldCharType="end"/>
      </w:r>
      <w:r w:rsidRPr="00E46623">
        <w:rPr>
          <w:rFonts w:asciiTheme="minorHAnsi" w:hAnsiTheme="minorHAnsi"/>
          <w:sz w:val="24"/>
          <w:szCs w:val="24"/>
          <w:lang w:val="en-US"/>
        </w:rPr>
        <w:t xml:space="preserve"> , the following sites are available if it is necessary to manage invasive alien species outside the facility’s premises:</w:t>
      </w:r>
    </w:p>
    <w:p w14:paraId="5CAB49B1" w14:textId="0F4926E6" w:rsidR="002206CF" w:rsidRPr="00E46623" w:rsidRDefault="00880F0D" w:rsidP="00E46623">
      <w:pPr>
        <w:numPr>
          <w:ilvl w:val="0"/>
          <w:numId w:val="23"/>
        </w:num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 xml:space="preserve">Recycling: </w:t>
      </w:r>
      <w:r w:rsidR="00862AC8" w:rsidRPr="00E46623">
        <w:rPr>
          <w:rFonts w:asciiTheme="minorHAnsi" w:hAnsiTheme="minorHAnsi"/>
          <w:sz w:val="24"/>
          <w:szCs w:val="24"/>
          <w:lang w:val="en-US"/>
        </w:rPr>
        <w:t>Nysa Waste Disposal and Recovery Facility, 156 Domaszkowice St., 48-303 Nysa</w:t>
      </w:r>
      <w:r w:rsidR="00F27B48" w:rsidRPr="00E46623">
        <w:rPr>
          <w:rFonts w:asciiTheme="minorHAnsi" w:hAnsiTheme="minorHAnsi"/>
          <w:sz w:val="24"/>
          <w:szCs w:val="24"/>
          <w:lang w:val="en-US"/>
        </w:rPr>
        <w:t>, approximately 54 km.</w:t>
      </w:r>
    </w:p>
    <w:p w14:paraId="3237037D" w14:textId="77777777" w:rsidR="002206CF" w:rsidRPr="00E46623" w:rsidRDefault="002206CF" w:rsidP="00E46623">
      <w:pPr>
        <w:numPr>
          <w:ilvl w:val="0"/>
          <w:numId w:val="23"/>
        </w:num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Processing: There are no facilities nearby that meet the required licensing or distance criteria.</w:t>
      </w:r>
    </w:p>
    <w:p w14:paraId="695B8FDB" w14:textId="1F0064C7" w:rsidR="002206CF" w:rsidRPr="00E46623" w:rsidRDefault="002206CF" w:rsidP="00E46623">
      <w:pPr>
        <w:numPr>
          <w:ilvl w:val="0"/>
          <w:numId w:val="23"/>
        </w:num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 xml:space="preserve">Disposal: </w:t>
      </w:r>
      <w:r w:rsidR="00862AC8" w:rsidRPr="00E46623">
        <w:rPr>
          <w:rFonts w:asciiTheme="minorHAnsi" w:hAnsiTheme="minorHAnsi"/>
          <w:sz w:val="24"/>
          <w:szCs w:val="24"/>
          <w:lang w:val="en-US"/>
        </w:rPr>
        <w:t>Nysa Waste Treatment and Recovery Facility, 156 Domaszkowice St., 48-303 Nysa, approximately 54 km.</w:t>
      </w:r>
    </w:p>
    <w:p w14:paraId="78AAB76C" w14:textId="7EE0B3A4" w:rsidR="002206CF" w:rsidRPr="00E46623" w:rsidRDefault="002206CF" w:rsidP="00E46623">
      <w:p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 xml:space="preserve">The list of facilities and activities for transporting </w:t>
      </w:r>
      <w:r w:rsidR="009374B7" w:rsidRPr="00E46623">
        <w:rPr>
          <w:rFonts w:asciiTheme="minorHAnsi" w:hAnsiTheme="minorHAnsi"/>
          <w:sz w:val="24"/>
          <w:szCs w:val="24"/>
          <w:lang w:val="en-US"/>
        </w:rPr>
        <w:t>IAS</w:t>
      </w:r>
      <w:r w:rsidRPr="00E46623">
        <w:rPr>
          <w:rFonts w:asciiTheme="minorHAnsi" w:hAnsiTheme="minorHAnsi"/>
          <w:sz w:val="24"/>
          <w:szCs w:val="24"/>
          <w:lang w:val="en-US"/>
        </w:rPr>
        <w:t xml:space="preserve"> away from the site of generation should be considered only if on-site disposal of biomass is not technically feasible or is unlikely to be effective—that is, if the requirement to utilize the biomaterial at the disposal site cannot be met. In accordance with the hierarchy established by Polish law, a given waste disposal facility should be considered only if it is not possible to transport the biowaste to a recycling facility.</w:t>
      </w:r>
    </w:p>
    <w:p w14:paraId="484B9588" w14:textId="77777777" w:rsidR="002206CF" w:rsidRPr="00E46623" w:rsidRDefault="002206CF" w:rsidP="00E46623">
      <w:p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A specialist determines the appropriate location for managing material resulting from control measures related to invasive alien species (IAS). Based on expert knowledge combined with an in-depth understanding of local environmental conditions, disposal or management sites are designated that minimize the risk of invasive species spreading again and ensure the protection of native ecosystems. When conducting independent environmental monitoring and designating a site for the management of biomass intended for disposal, one must consider the potential impact on surface and groundwater quality, soil, air, and the living conditions of plants and animals.</w:t>
      </w:r>
    </w:p>
    <w:p w14:paraId="16B46072" w14:textId="77777777" w:rsidR="002206CF" w:rsidRPr="00E46623" w:rsidRDefault="002206CF" w:rsidP="00E46623">
      <w:pPr>
        <w:spacing w:after="120" w:line="276" w:lineRule="auto"/>
        <w:jc w:val="both"/>
        <w:rPr>
          <w:rFonts w:asciiTheme="minorHAnsi" w:hAnsiTheme="minorHAnsi"/>
          <w:sz w:val="24"/>
          <w:szCs w:val="24"/>
          <w:lang w:val="en-US"/>
        </w:rPr>
      </w:pPr>
      <w:r w:rsidRPr="00E46623">
        <w:rPr>
          <w:rFonts w:asciiTheme="minorHAnsi" w:hAnsiTheme="minorHAnsi"/>
          <w:sz w:val="24"/>
          <w:szCs w:val="24"/>
          <w:lang w:val="en-US"/>
        </w:rPr>
        <w:t>It is also unacceptable to manage IAS biomass in the immediate vicinity of natural habitats / wildlife habitats unaffected by alien species (a buffer zone of at least approximately 50 meters must be maintained). The management of invasive alien species biomass should be conducted as far as possible from habitats and watercourses not affected by the invasion (50 meters is the minimum distance—if this condition cannot be met, biomass management at the site of elimination should be abandoned). Piling or burying should also take place on as flat a surface as possible to limit the movement of water and plant material. On-site biomass management is also not possible in cases where the amount of biomass generated may be so large that on-site storage could negatively impact the environment—for example, by leading to changes in soil composition or microflora (unlikely in this case)—or where the area is not large enough, and the storage of biomass is not safe for the surrounding environment. If it is not possible to manage the biomass at the site where remediation activities are being conducted, it is permissible to manage it in an immediately adjacent area, provided it fully meets the criteria described above (biomass may be moved short distances within the same work zone; a minimum buffer zone of 50 m from natural habitats / wildlife habitats must always be maintained).</w:t>
      </w:r>
    </w:p>
    <w:p w14:paraId="62648405" w14:textId="77777777" w:rsidR="00862AC8" w:rsidRPr="00D049D4" w:rsidRDefault="00862AC8" w:rsidP="002206CF">
      <w:pPr>
        <w:jc w:val="both"/>
        <w:rPr>
          <w:lang w:val="en-US"/>
        </w:rPr>
      </w:pPr>
    </w:p>
    <w:p w14:paraId="750EC39F" w14:textId="0C7668AC" w:rsidR="00862AC8" w:rsidRPr="00E46623" w:rsidRDefault="00862AC8" w:rsidP="00E46623">
      <w:pPr>
        <w:pStyle w:val="Caption"/>
        <w:keepNext/>
        <w:spacing w:after="120" w:line="276" w:lineRule="auto"/>
        <w:jc w:val="both"/>
        <w:rPr>
          <w:rFonts w:asciiTheme="minorHAnsi" w:hAnsiTheme="minorHAnsi"/>
          <w:b w:val="0"/>
          <w:bCs/>
          <w:color w:val="000000" w:themeColor="text1"/>
          <w:sz w:val="24"/>
          <w:szCs w:val="24"/>
          <w:lang w:val="en-US"/>
        </w:rPr>
      </w:pPr>
      <w:bookmarkStart w:id="30" w:name="_Toc239856615"/>
      <w:r w:rsidRPr="00E46623">
        <w:rPr>
          <w:rFonts w:asciiTheme="minorHAnsi" w:hAnsiTheme="minorHAnsi"/>
          <w:b w:val="0"/>
          <w:bCs/>
          <w:color w:val="000000" w:themeColor="text1"/>
          <w:sz w:val="24"/>
          <w:szCs w:val="24"/>
          <w:lang w:val="en-US"/>
        </w:rPr>
        <w:t>Table</w:t>
      </w:r>
      <w:r w:rsidR="001F4320">
        <w:rPr>
          <w:rFonts w:asciiTheme="minorHAnsi" w:hAnsiTheme="minorHAnsi"/>
          <w:b w:val="0"/>
          <w:bCs/>
          <w:color w:val="000000" w:themeColor="text1"/>
          <w:sz w:val="24"/>
          <w:szCs w:val="24"/>
          <w:lang w:val="en-US"/>
        </w:rPr>
        <w:t xml:space="preserve"> </w:t>
      </w:r>
      <w:r w:rsidRPr="00E46623">
        <w:rPr>
          <w:rFonts w:asciiTheme="minorHAnsi" w:hAnsiTheme="minorHAnsi"/>
          <w:b w:val="0"/>
          <w:bCs/>
          <w:color w:val="000000" w:themeColor="text1"/>
          <w:sz w:val="24"/>
          <w:szCs w:val="24"/>
        </w:rPr>
        <w:fldChar w:fldCharType="begin"/>
      </w:r>
      <w:r w:rsidRPr="00E46623">
        <w:rPr>
          <w:rFonts w:asciiTheme="minorHAnsi" w:hAnsiTheme="minorHAnsi"/>
          <w:b w:val="0"/>
          <w:bCs/>
          <w:color w:val="000000" w:themeColor="text1"/>
          <w:sz w:val="24"/>
          <w:szCs w:val="24"/>
          <w:lang w:val="en-US"/>
        </w:rPr>
        <w:instrText>SEQ Tabela \* ARABIC</w:instrText>
      </w:r>
      <w:r w:rsidRPr="00E46623">
        <w:rPr>
          <w:rFonts w:asciiTheme="minorHAnsi" w:hAnsiTheme="minorHAnsi"/>
          <w:b w:val="0"/>
          <w:bCs/>
          <w:color w:val="000000" w:themeColor="text1"/>
          <w:sz w:val="24"/>
          <w:szCs w:val="24"/>
        </w:rPr>
        <w:fldChar w:fldCharType="separate"/>
      </w:r>
      <w:r w:rsidR="003A1319" w:rsidRPr="00E46623">
        <w:rPr>
          <w:rFonts w:asciiTheme="minorHAnsi" w:hAnsiTheme="minorHAnsi"/>
          <w:b w:val="0"/>
          <w:bCs/>
          <w:color w:val="000000" w:themeColor="text1"/>
          <w:sz w:val="24"/>
          <w:szCs w:val="24"/>
          <w:lang w:val="en-US"/>
        </w:rPr>
        <w:t>2</w:t>
      </w:r>
      <w:r w:rsidRPr="00E46623">
        <w:rPr>
          <w:rFonts w:asciiTheme="minorHAnsi" w:hAnsiTheme="minorHAnsi"/>
          <w:b w:val="0"/>
          <w:bCs/>
          <w:color w:val="000000" w:themeColor="text1"/>
          <w:sz w:val="24"/>
          <w:szCs w:val="24"/>
        </w:rPr>
        <w:fldChar w:fldCharType="end"/>
      </w:r>
      <w:r w:rsidRPr="00E46623">
        <w:rPr>
          <w:rFonts w:asciiTheme="minorHAnsi" w:hAnsiTheme="minorHAnsi"/>
          <w:b w:val="0"/>
          <w:bCs/>
          <w:color w:val="000000" w:themeColor="text1"/>
          <w:sz w:val="24"/>
          <w:szCs w:val="24"/>
          <w:lang w:val="en-US"/>
        </w:rPr>
        <w:t xml:space="preserve"> Methods for managing biomass generated as a result of measures against invasive species</w:t>
      </w:r>
      <w:bookmarkEnd w:id="30"/>
    </w:p>
    <w:tbl>
      <w:tblPr>
        <w:tblStyle w:val="Tabela-Siatka1"/>
        <w:tblW w:w="9067" w:type="dxa"/>
        <w:tblInd w:w="0" w:type="dxa"/>
        <w:tblLook w:val="04A0" w:firstRow="1" w:lastRow="0" w:firstColumn="1" w:lastColumn="0" w:noHBand="0" w:noVBand="1"/>
      </w:tblPr>
      <w:tblGrid>
        <w:gridCol w:w="3562"/>
        <w:gridCol w:w="5505"/>
      </w:tblGrid>
      <w:tr w:rsidR="00862AC8" w:rsidRPr="00E46623" w14:paraId="6CC26207" w14:textId="77777777" w:rsidTr="00E46623">
        <w:trPr>
          <w:tblHeader/>
        </w:trPr>
        <w:tc>
          <w:tcPr>
            <w:tcW w:w="3562"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11092EB8" w14:textId="77777777" w:rsidR="00862AC8" w:rsidRPr="00E46623" w:rsidRDefault="00862AC8" w:rsidP="001F4320">
            <w:pPr>
              <w:tabs>
                <w:tab w:val="left" w:pos="5760"/>
              </w:tabs>
              <w:spacing w:line="276" w:lineRule="auto"/>
              <w:jc w:val="center"/>
              <w:rPr>
                <w:rFonts w:asciiTheme="minorHAnsi" w:eastAsia="Calibri" w:hAnsiTheme="minorHAnsi"/>
                <w:b/>
                <w:sz w:val="18"/>
                <w:szCs w:val="18"/>
                <w:lang w:val="pl-PL"/>
              </w:rPr>
            </w:pPr>
            <w:r w:rsidRPr="00E46623">
              <w:rPr>
                <w:rFonts w:asciiTheme="minorHAnsi" w:eastAsia="Calibri" w:hAnsiTheme="minorHAnsi"/>
                <w:b/>
                <w:sz w:val="18"/>
                <w:szCs w:val="18"/>
                <w:lang w:val="pl-PL"/>
              </w:rPr>
              <w:t>Method Name</w:t>
            </w:r>
          </w:p>
        </w:tc>
        <w:tc>
          <w:tcPr>
            <w:tcW w:w="5505"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2851FF78" w14:textId="77777777" w:rsidR="00862AC8" w:rsidRPr="00E46623" w:rsidRDefault="00862AC8" w:rsidP="001F4320">
            <w:pPr>
              <w:tabs>
                <w:tab w:val="left" w:pos="5760"/>
              </w:tabs>
              <w:spacing w:after="120" w:line="276" w:lineRule="auto"/>
              <w:jc w:val="center"/>
              <w:rPr>
                <w:rFonts w:asciiTheme="minorHAnsi" w:eastAsia="Calibri" w:hAnsiTheme="minorHAnsi"/>
                <w:b/>
                <w:sz w:val="18"/>
                <w:szCs w:val="18"/>
                <w:lang w:val="pl-PL"/>
              </w:rPr>
            </w:pPr>
            <w:r w:rsidRPr="00E46623">
              <w:rPr>
                <w:rFonts w:asciiTheme="minorHAnsi" w:eastAsia="Calibri" w:hAnsiTheme="minorHAnsi"/>
                <w:b/>
                <w:sz w:val="18"/>
                <w:szCs w:val="18"/>
                <w:lang w:val="pl-PL"/>
              </w:rPr>
              <w:t>Species</w:t>
            </w:r>
          </w:p>
        </w:tc>
      </w:tr>
      <w:tr w:rsidR="00862AC8" w:rsidRPr="0089097C" w14:paraId="070261CC" w14:textId="77777777" w:rsidTr="00E46623">
        <w:tc>
          <w:tcPr>
            <w:tcW w:w="9067"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783792A9" w14:textId="77777777" w:rsidR="00862AC8" w:rsidRPr="00E46623" w:rsidRDefault="00862AC8" w:rsidP="00B844F7">
            <w:pPr>
              <w:tabs>
                <w:tab w:val="left" w:pos="5760"/>
              </w:tabs>
              <w:spacing w:after="120" w:line="276" w:lineRule="auto"/>
              <w:rPr>
                <w:rFonts w:asciiTheme="minorHAnsi" w:eastAsia="Calibri" w:hAnsiTheme="minorHAnsi"/>
                <w:bCs/>
                <w:sz w:val="18"/>
                <w:szCs w:val="18"/>
                <w:lang w:val="en-US"/>
              </w:rPr>
            </w:pPr>
            <w:r w:rsidRPr="00E46623">
              <w:rPr>
                <w:rFonts w:asciiTheme="minorHAnsi" w:eastAsia="Calibri" w:hAnsiTheme="minorHAnsi"/>
                <w:bCs/>
                <w:sz w:val="18"/>
                <w:szCs w:val="18"/>
                <w:lang w:val="en-US"/>
              </w:rPr>
              <w:t>If the biomaterial is left at the site of removal</w:t>
            </w:r>
          </w:p>
        </w:tc>
      </w:tr>
      <w:tr w:rsidR="00862AC8" w:rsidRPr="0089097C" w14:paraId="647B50B5" w14:textId="77777777" w:rsidTr="00E46623">
        <w:tc>
          <w:tcPr>
            <w:tcW w:w="3562" w:type="dxa"/>
            <w:tcBorders>
              <w:top w:val="single" w:sz="4" w:space="0" w:color="auto"/>
              <w:left w:val="single" w:sz="4" w:space="0" w:color="auto"/>
              <w:bottom w:val="single" w:sz="4" w:space="0" w:color="auto"/>
              <w:right w:val="single" w:sz="4" w:space="0" w:color="auto"/>
            </w:tcBorders>
            <w:vAlign w:val="center"/>
            <w:hideMark/>
          </w:tcPr>
          <w:p w14:paraId="016E8117"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Burying (if individuals with flowers/seeds/fruits* are observed)</w:t>
            </w:r>
          </w:p>
        </w:tc>
        <w:tc>
          <w:tcPr>
            <w:tcW w:w="5505" w:type="dxa"/>
            <w:tcBorders>
              <w:top w:val="single" w:sz="4" w:space="0" w:color="auto"/>
              <w:left w:val="single" w:sz="4" w:space="0" w:color="auto"/>
              <w:bottom w:val="single" w:sz="4" w:space="0" w:color="auto"/>
              <w:right w:val="single" w:sz="4" w:space="0" w:color="auto"/>
            </w:tcBorders>
            <w:vAlign w:val="center"/>
            <w:hideMark/>
          </w:tcPr>
          <w:p w14:paraId="075B08C1"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i/>
                <w:iCs/>
                <w:sz w:val="18"/>
                <w:szCs w:val="18"/>
                <w:lang w:val="en-US"/>
              </w:rPr>
              <w:t xml:space="preserve">Rugosa </w:t>
            </w:r>
            <w:r w:rsidRPr="00E46623">
              <w:rPr>
                <w:rFonts w:asciiTheme="minorHAnsi" w:eastAsia="Calibri" w:hAnsiTheme="minorHAnsi"/>
                <w:sz w:val="18"/>
                <w:szCs w:val="18"/>
                <w:lang w:val="en-US"/>
              </w:rPr>
              <w:t>rose</w:t>
            </w:r>
            <w:r w:rsidRPr="00E46623">
              <w:rPr>
                <w:rFonts w:asciiTheme="minorHAnsi" w:eastAsia="Calibri" w:hAnsiTheme="minorHAnsi"/>
                <w:i/>
                <w:iCs/>
                <w:sz w:val="18"/>
                <w:szCs w:val="18"/>
                <w:lang w:val="en-US"/>
              </w:rPr>
              <w:t xml:space="preserve"> </w:t>
            </w:r>
          </w:p>
          <w:p w14:paraId="4A6B8CD6"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 xml:space="preserve">Purple jewelweed </w:t>
            </w:r>
            <w:r w:rsidRPr="00E46623">
              <w:rPr>
                <w:rFonts w:asciiTheme="minorHAnsi" w:eastAsia="Calibri" w:hAnsiTheme="minorHAnsi"/>
                <w:i/>
                <w:iCs/>
                <w:sz w:val="18"/>
                <w:szCs w:val="18"/>
                <w:lang w:val="en-US"/>
              </w:rPr>
              <w:t xml:space="preserve">Impatiens grandulifera </w:t>
            </w:r>
          </w:p>
          <w:p w14:paraId="1B06BFFB"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 xml:space="preserve">Giant goldenrod </w:t>
            </w:r>
            <w:r w:rsidRPr="00E46623">
              <w:rPr>
                <w:rFonts w:asciiTheme="minorHAnsi" w:eastAsia="Calibri" w:hAnsiTheme="minorHAnsi"/>
                <w:i/>
                <w:iCs/>
                <w:sz w:val="18"/>
                <w:szCs w:val="18"/>
                <w:lang w:val="en-US"/>
              </w:rPr>
              <w:t xml:space="preserve">Solidago gigantea </w:t>
            </w:r>
          </w:p>
          <w:p w14:paraId="6CFFADE3"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Canadian goldenrod (</w:t>
            </w:r>
            <w:r w:rsidRPr="00E46623">
              <w:rPr>
                <w:rFonts w:asciiTheme="minorHAnsi" w:eastAsia="Calibri" w:hAnsiTheme="minorHAnsi"/>
                <w:i/>
                <w:iCs/>
                <w:sz w:val="18"/>
                <w:szCs w:val="18"/>
                <w:lang w:val="en-US"/>
              </w:rPr>
              <w:t xml:space="preserve">Solidago canadensis) </w:t>
            </w:r>
          </w:p>
          <w:p w14:paraId="27BED607"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Garden lupin (</w:t>
            </w:r>
            <w:r w:rsidRPr="00E46623">
              <w:rPr>
                <w:rFonts w:asciiTheme="minorHAnsi" w:eastAsia="Calibri" w:hAnsiTheme="minorHAnsi"/>
                <w:i/>
                <w:iCs/>
                <w:sz w:val="18"/>
                <w:szCs w:val="18"/>
                <w:lang w:val="en-US"/>
              </w:rPr>
              <w:t>Lupinus polyphyllus)</w:t>
            </w:r>
          </w:p>
          <w:p w14:paraId="5F25880F" w14:textId="77777777" w:rsidR="00862AC8" w:rsidRPr="00E46623" w:rsidRDefault="00862AC8" w:rsidP="001E2BC0">
            <w:pPr>
              <w:tabs>
                <w:tab w:val="left" w:pos="5760"/>
              </w:tabs>
              <w:spacing w:line="276" w:lineRule="auto"/>
              <w:jc w:val="both"/>
              <w:rPr>
                <w:rFonts w:asciiTheme="minorHAnsi" w:eastAsia="Calibri" w:hAnsiTheme="minorHAnsi"/>
                <w:b/>
                <w:bCs/>
                <w:sz w:val="18"/>
                <w:szCs w:val="18"/>
                <w:lang w:val="en-US"/>
              </w:rPr>
            </w:pPr>
            <w:r w:rsidRPr="00E46623">
              <w:rPr>
                <w:rFonts w:asciiTheme="minorHAnsi" w:eastAsia="Calibri" w:hAnsiTheme="minorHAnsi"/>
                <w:sz w:val="18"/>
                <w:szCs w:val="18"/>
                <w:lang w:val="en-US"/>
              </w:rPr>
              <w:t xml:space="preserve">Wild cucumber </w:t>
            </w:r>
            <w:r w:rsidRPr="00E46623">
              <w:rPr>
                <w:rFonts w:asciiTheme="minorHAnsi" w:eastAsia="Calibri" w:hAnsiTheme="minorHAnsi"/>
                <w:i/>
                <w:iCs/>
                <w:sz w:val="18"/>
                <w:szCs w:val="18"/>
                <w:lang w:val="en-US"/>
              </w:rPr>
              <w:t>Echinocystis lobata</w:t>
            </w:r>
          </w:p>
          <w:p w14:paraId="3DE18629" w14:textId="577E1FDB" w:rsidR="00862AC8" w:rsidRPr="00E46623" w:rsidRDefault="00F6177A"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Redroot pigweed</w:t>
            </w:r>
            <w:r w:rsidR="00862AC8" w:rsidRPr="00E46623">
              <w:rPr>
                <w:rFonts w:asciiTheme="minorHAnsi" w:eastAsia="Calibri" w:hAnsiTheme="minorHAnsi"/>
                <w:i/>
                <w:iCs/>
                <w:sz w:val="18"/>
                <w:szCs w:val="18"/>
                <w:lang w:val="en-US"/>
              </w:rPr>
              <w:t xml:space="preserve"> Amaranthus retroflexus </w:t>
            </w:r>
          </w:p>
          <w:p w14:paraId="0FE49D27" w14:textId="517402E1" w:rsidR="00862AC8" w:rsidRPr="00E46623" w:rsidRDefault="00F6177A"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Common Foxglove</w:t>
            </w:r>
            <w:r w:rsidR="00862AC8" w:rsidRPr="00E46623">
              <w:rPr>
                <w:rFonts w:asciiTheme="minorHAnsi" w:eastAsia="Calibri" w:hAnsiTheme="minorHAnsi"/>
                <w:sz w:val="18"/>
                <w:szCs w:val="18"/>
                <w:lang w:val="en-US"/>
              </w:rPr>
              <w:t xml:space="preserve"> (</w:t>
            </w:r>
            <w:r w:rsidR="00862AC8" w:rsidRPr="00E46623">
              <w:rPr>
                <w:rFonts w:asciiTheme="minorHAnsi" w:eastAsia="Calibri" w:hAnsiTheme="minorHAnsi"/>
                <w:i/>
                <w:iCs/>
                <w:sz w:val="18"/>
                <w:szCs w:val="18"/>
                <w:lang w:val="en-US"/>
              </w:rPr>
              <w:t xml:space="preserve">Digitalis purpurea) </w:t>
            </w:r>
          </w:p>
          <w:p w14:paraId="506D94DE"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 xml:space="preserve">Dwarf serviceberry </w:t>
            </w:r>
            <w:r w:rsidRPr="00E46623">
              <w:rPr>
                <w:rFonts w:asciiTheme="minorHAnsi" w:eastAsia="Calibri" w:hAnsiTheme="minorHAnsi"/>
                <w:i/>
                <w:iCs/>
                <w:sz w:val="18"/>
                <w:szCs w:val="18"/>
                <w:lang w:val="en-US"/>
              </w:rPr>
              <w:t xml:space="preserve">Amelanchier spicata </w:t>
            </w:r>
          </w:p>
          <w:p w14:paraId="16F4EF3A"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Steeplebush (</w:t>
            </w:r>
            <w:r w:rsidRPr="00E46623">
              <w:rPr>
                <w:rFonts w:asciiTheme="minorHAnsi" w:eastAsia="Calibri" w:hAnsiTheme="minorHAnsi"/>
                <w:i/>
                <w:iCs/>
                <w:sz w:val="18"/>
                <w:szCs w:val="18"/>
                <w:lang w:val="en-US"/>
              </w:rPr>
              <w:t xml:space="preserve">Spiraea tomentosa) </w:t>
            </w:r>
          </w:p>
          <w:p w14:paraId="4D8A5119"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 xml:space="preserve">Spotted Loosestrife </w:t>
            </w:r>
            <w:r w:rsidRPr="00E46623">
              <w:rPr>
                <w:rFonts w:asciiTheme="minorHAnsi" w:eastAsia="Calibri" w:hAnsiTheme="minorHAnsi"/>
                <w:i/>
                <w:iCs/>
                <w:sz w:val="18"/>
                <w:szCs w:val="18"/>
                <w:lang w:val="en-US"/>
              </w:rPr>
              <w:t xml:space="preserve">Lysimachia punctata </w:t>
            </w:r>
          </w:p>
          <w:p w14:paraId="4E55FB6E" w14:textId="129A1C33" w:rsidR="00862AC8" w:rsidRPr="00E46623" w:rsidRDefault="00F6177A"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Yellow oxeye</w:t>
            </w:r>
            <w:r w:rsidR="00862AC8" w:rsidRPr="00E46623">
              <w:rPr>
                <w:rFonts w:asciiTheme="minorHAnsi" w:eastAsia="Calibri" w:hAnsiTheme="minorHAnsi"/>
                <w:sz w:val="18"/>
                <w:szCs w:val="18"/>
                <w:lang w:val="en-US"/>
              </w:rPr>
              <w:t xml:space="preserve"> (Telekia </w:t>
            </w:r>
            <w:r w:rsidR="00862AC8" w:rsidRPr="00E46623">
              <w:rPr>
                <w:rFonts w:asciiTheme="minorHAnsi" w:eastAsia="Calibri" w:hAnsiTheme="minorHAnsi"/>
                <w:i/>
                <w:iCs/>
                <w:sz w:val="18"/>
                <w:szCs w:val="18"/>
                <w:lang w:val="en-US"/>
              </w:rPr>
              <w:t xml:space="preserve">speciosa) </w:t>
            </w:r>
          </w:p>
          <w:p w14:paraId="539B9283"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Sosnowski's hogweed (</w:t>
            </w:r>
            <w:r w:rsidRPr="00E46623">
              <w:rPr>
                <w:rFonts w:asciiTheme="minorHAnsi" w:eastAsia="Calibri" w:hAnsiTheme="minorHAnsi"/>
                <w:i/>
                <w:iCs/>
                <w:sz w:val="18"/>
                <w:szCs w:val="18"/>
                <w:lang w:val="en-US"/>
              </w:rPr>
              <w:t>Heracleum sosnowskyi</w:t>
            </w:r>
            <w:r w:rsidRPr="00E46623">
              <w:rPr>
                <w:rFonts w:asciiTheme="minorHAnsi" w:eastAsia="Calibri" w:hAnsiTheme="minorHAnsi"/>
                <w:sz w:val="18"/>
                <w:szCs w:val="18"/>
                <w:lang w:val="en-US"/>
              </w:rPr>
              <w:t>),</w:t>
            </w:r>
          </w:p>
          <w:p w14:paraId="1250867B"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i/>
                <w:iCs/>
                <w:sz w:val="18"/>
                <w:szCs w:val="18"/>
                <w:lang w:val="en-US"/>
              </w:rPr>
              <w:t>Giant</w:t>
            </w:r>
            <w:r w:rsidRPr="00E46623">
              <w:rPr>
                <w:rFonts w:asciiTheme="minorHAnsi" w:eastAsia="Calibri" w:hAnsiTheme="minorHAnsi"/>
                <w:sz w:val="18"/>
                <w:szCs w:val="18"/>
                <w:lang w:val="en-US"/>
              </w:rPr>
              <w:t xml:space="preserve"> hogweed (</w:t>
            </w:r>
            <w:r w:rsidRPr="00E46623">
              <w:rPr>
                <w:rFonts w:asciiTheme="minorHAnsi" w:eastAsia="Calibri" w:hAnsiTheme="minorHAnsi"/>
                <w:i/>
                <w:iCs/>
                <w:sz w:val="18"/>
                <w:szCs w:val="18"/>
                <w:lang w:val="en-US"/>
              </w:rPr>
              <w:t xml:space="preserve">Heracleum mantegazzianum) </w:t>
            </w:r>
          </w:p>
          <w:p w14:paraId="1A0E03E2"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i/>
                <w:iCs/>
                <w:sz w:val="18"/>
                <w:szCs w:val="18"/>
                <w:lang w:val="en-US"/>
              </w:rPr>
              <w:t xml:space="preserve">Reynoutria </w:t>
            </w:r>
            <w:r w:rsidRPr="00E46623">
              <w:rPr>
                <w:rFonts w:asciiTheme="minorHAnsi" w:eastAsia="Calibri" w:hAnsiTheme="minorHAnsi"/>
                <w:sz w:val="18"/>
                <w:szCs w:val="18"/>
                <w:lang w:val="en-US"/>
              </w:rPr>
              <w:t>SP (Reynoutria)</w:t>
            </w:r>
          </w:p>
          <w:p w14:paraId="3643DCD3" w14:textId="7680401C" w:rsidR="00F04DA1" w:rsidRPr="00E46623" w:rsidRDefault="00F04DA1" w:rsidP="001E2BC0">
            <w:pPr>
              <w:tabs>
                <w:tab w:val="left" w:pos="5760"/>
              </w:tabs>
              <w:spacing w:line="276" w:lineRule="auto"/>
              <w:jc w:val="both"/>
              <w:rPr>
                <w:rFonts w:asciiTheme="minorHAnsi" w:eastAsia="Calibri" w:hAnsiTheme="minorHAnsi"/>
                <w:i/>
                <w:iCs/>
                <w:sz w:val="18"/>
                <w:szCs w:val="18"/>
                <w:lang w:val="en-US"/>
              </w:rPr>
            </w:pPr>
            <w:r w:rsidRPr="00E46623">
              <w:rPr>
                <w:rFonts w:asciiTheme="minorHAnsi" w:eastAsia="Calibri" w:hAnsiTheme="minorHAnsi"/>
                <w:sz w:val="18"/>
                <w:szCs w:val="18"/>
                <w:lang w:val="en-US"/>
              </w:rPr>
              <w:t>Monkeyflower (</w:t>
            </w:r>
            <w:r w:rsidRPr="00E46623">
              <w:rPr>
                <w:rFonts w:asciiTheme="minorHAnsi" w:eastAsia="Calibri" w:hAnsiTheme="minorHAnsi"/>
                <w:i/>
                <w:iCs/>
                <w:sz w:val="18"/>
                <w:szCs w:val="18"/>
                <w:lang w:val="en-US"/>
              </w:rPr>
              <w:t>Mimulus guttatus)</w:t>
            </w:r>
          </w:p>
        </w:tc>
      </w:tr>
      <w:tr w:rsidR="00862AC8" w:rsidRPr="00E46623" w14:paraId="6A9CBD37" w14:textId="77777777" w:rsidTr="00E46623">
        <w:tc>
          <w:tcPr>
            <w:tcW w:w="3562" w:type="dxa"/>
            <w:tcBorders>
              <w:top w:val="single" w:sz="4" w:space="0" w:color="auto"/>
              <w:left w:val="single" w:sz="4" w:space="0" w:color="auto"/>
              <w:bottom w:val="single" w:sz="4" w:space="0" w:color="auto"/>
              <w:right w:val="single" w:sz="4" w:space="0" w:color="auto"/>
            </w:tcBorders>
            <w:vAlign w:val="center"/>
            <w:hideMark/>
          </w:tcPr>
          <w:p w14:paraId="69D42996"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Collecting biomass into piles in locations designated in accordance with established criteria and leaving it to decompose naturally (however, this is not “composting” as defined by the Act, as it does not result in the production of compost—a product for use outside the compost pile) (if no individuals with flowers, seeds, or fruits are observed)</w:t>
            </w:r>
          </w:p>
        </w:tc>
        <w:tc>
          <w:tcPr>
            <w:tcW w:w="5505" w:type="dxa"/>
            <w:tcBorders>
              <w:top w:val="single" w:sz="4" w:space="0" w:color="auto"/>
              <w:left w:val="single" w:sz="4" w:space="0" w:color="auto"/>
              <w:bottom w:val="single" w:sz="4" w:space="0" w:color="auto"/>
              <w:right w:val="single" w:sz="4" w:space="0" w:color="auto"/>
            </w:tcBorders>
            <w:vAlign w:val="center"/>
          </w:tcPr>
          <w:p w14:paraId="0B4C46AC" w14:textId="1DFE6766"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 xml:space="preserve">Rugosa rose </w:t>
            </w:r>
            <w:r w:rsidR="00F73EBD" w:rsidRPr="00E46623">
              <w:rPr>
                <w:rFonts w:asciiTheme="minorHAnsi" w:eastAsia="Calibri" w:hAnsiTheme="minorHAnsi"/>
                <w:sz w:val="18"/>
                <w:szCs w:val="18"/>
                <w:lang w:val="en-US"/>
              </w:rPr>
              <w:t>(</w:t>
            </w:r>
            <w:r w:rsidRPr="00E46623">
              <w:rPr>
                <w:rFonts w:asciiTheme="minorHAnsi" w:eastAsia="Calibri" w:hAnsiTheme="minorHAnsi"/>
                <w:i/>
                <w:iCs/>
                <w:sz w:val="18"/>
                <w:szCs w:val="18"/>
                <w:lang w:val="en-US"/>
              </w:rPr>
              <w:t>Rosa rugosa</w:t>
            </w:r>
            <w:r w:rsidR="00F73EBD" w:rsidRPr="00E46623">
              <w:rPr>
                <w:rFonts w:asciiTheme="minorHAnsi" w:eastAsia="Calibri" w:hAnsiTheme="minorHAnsi"/>
                <w:i/>
                <w:iCs/>
                <w:sz w:val="18"/>
                <w:szCs w:val="18"/>
                <w:lang w:val="en-US"/>
              </w:rPr>
              <w:t>)</w:t>
            </w:r>
            <w:r w:rsidRPr="00E46623">
              <w:rPr>
                <w:rFonts w:asciiTheme="minorHAnsi" w:eastAsia="Calibri" w:hAnsiTheme="minorHAnsi"/>
                <w:i/>
                <w:iCs/>
                <w:sz w:val="18"/>
                <w:szCs w:val="18"/>
                <w:lang w:val="en-US"/>
              </w:rPr>
              <w:t xml:space="preserve"> </w:t>
            </w:r>
          </w:p>
          <w:p w14:paraId="083FEC89"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 xml:space="preserve">Purple jewelweed </w:t>
            </w:r>
            <w:r w:rsidRPr="00E46623">
              <w:rPr>
                <w:rFonts w:asciiTheme="minorHAnsi" w:eastAsia="Calibri" w:hAnsiTheme="minorHAnsi"/>
                <w:i/>
                <w:iCs/>
                <w:sz w:val="18"/>
                <w:szCs w:val="18"/>
                <w:lang w:val="en-US"/>
              </w:rPr>
              <w:t xml:space="preserve">Impatiens grandulifera </w:t>
            </w:r>
          </w:p>
          <w:p w14:paraId="1761F227"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 xml:space="preserve">Giant goldenrod </w:t>
            </w:r>
            <w:r w:rsidRPr="00E46623">
              <w:rPr>
                <w:rFonts w:asciiTheme="minorHAnsi" w:eastAsia="Calibri" w:hAnsiTheme="minorHAnsi"/>
                <w:i/>
                <w:iCs/>
                <w:sz w:val="18"/>
                <w:szCs w:val="18"/>
                <w:lang w:val="en-US"/>
              </w:rPr>
              <w:t xml:space="preserve">Solidago gigantea </w:t>
            </w:r>
          </w:p>
          <w:p w14:paraId="2393865B"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Canadian goldenrod (</w:t>
            </w:r>
            <w:r w:rsidRPr="00E46623">
              <w:rPr>
                <w:rFonts w:asciiTheme="minorHAnsi" w:eastAsia="Calibri" w:hAnsiTheme="minorHAnsi"/>
                <w:i/>
                <w:iCs/>
                <w:sz w:val="18"/>
                <w:szCs w:val="18"/>
                <w:lang w:val="en-US"/>
              </w:rPr>
              <w:t xml:space="preserve">Solidago canadensis) </w:t>
            </w:r>
          </w:p>
          <w:p w14:paraId="6D960FC5"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Garden lupin (</w:t>
            </w:r>
            <w:r w:rsidRPr="00E46623">
              <w:rPr>
                <w:rFonts w:asciiTheme="minorHAnsi" w:eastAsia="Calibri" w:hAnsiTheme="minorHAnsi"/>
                <w:i/>
                <w:iCs/>
                <w:sz w:val="18"/>
                <w:szCs w:val="18"/>
                <w:lang w:val="en-US"/>
              </w:rPr>
              <w:t xml:space="preserve">Lupinus polyphyllus) </w:t>
            </w:r>
          </w:p>
          <w:p w14:paraId="30E7FA0B" w14:textId="77777777" w:rsidR="00862AC8" w:rsidRPr="00E46623" w:rsidRDefault="00862AC8" w:rsidP="001E2BC0">
            <w:pPr>
              <w:tabs>
                <w:tab w:val="left" w:pos="5760"/>
              </w:tabs>
              <w:spacing w:line="276" w:lineRule="auto"/>
              <w:jc w:val="both"/>
              <w:rPr>
                <w:rFonts w:asciiTheme="minorHAnsi" w:eastAsia="Calibri" w:hAnsiTheme="minorHAnsi"/>
                <w:b/>
                <w:bCs/>
                <w:sz w:val="18"/>
                <w:szCs w:val="18"/>
                <w:lang w:val="en-US"/>
              </w:rPr>
            </w:pPr>
            <w:r w:rsidRPr="00E46623">
              <w:rPr>
                <w:rFonts w:asciiTheme="minorHAnsi" w:eastAsia="Calibri" w:hAnsiTheme="minorHAnsi"/>
                <w:sz w:val="18"/>
                <w:szCs w:val="18"/>
                <w:lang w:val="en-US"/>
              </w:rPr>
              <w:t xml:space="preserve">Wild cucumber </w:t>
            </w:r>
            <w:r w:rsidRPr="00E46623">
              <w:rPr>
                <w:rFonts w:asciiTheme="minorHAnsi" w:eastAsia="Calibri" w:hAnsiTheme="minorHAnsi"/>
                <w:i/>
                <w:iCs/>
                <w:sz w:val="18"/>
                <w:szCs w:val="18"/>
                <w:lang w:val="en-US"/>
              </w:rPr>
              <w:t xml:space="preserve">Echinocystis lobata </w:t>
            </w:r>
          </w:p>
          <w:p w14:paraId="4E704D0A" w14:textId="3645BF74" w:rsidR="00862AC8" w:rsidRPr="00E46623" w:rsidRDefault="00F6177A"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Redroot pigweed</w:t>
            </w:r>
            <w:r w:rsidR="00862AC8" w:rsidRPr="00E46623">
              <w:rPr>
                <w:rFonts w:asciiTheme="minorHAnsi" w:eastAsia="Calibri" w:hAnsiTheme="minorHAnsi"/>
                <w:i/>
                <w:iCs/>
                <w:sz w:val="18"/>
                <w:szCs w:val="18"/>
                <w:lang w:val="en-US"/>
              </w:rPr>
              <w:t xml:space="preserve"> Amaranthus retroflexus </w:t>
            </w:r>
          </w:p>
          <w:p w14:paraId="454858B1" w14:textId="7B9F0462" w:rsidR="00862AC8" w:rsidRPr="00E46623" w:rsidRDefault="00F6177A"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Common Foxglove</w:t>
            </w:r>
            <w:r w:rsidR="00862AC8" w:rsidRPr="00E46623">
              <w:rPr>
                <w:rFonts w:asciiTheme="minorHAnsi" w:eastAsia="Calibri" w:hAnsiTheme="minorHAnsi"/>
                <w:sz w:val="18"/>
                <w:szCs w:val="18"/>
                <w:lang w:val="en-US"/>
              </w:rPr>
              <w:t xml:space="preserve"> (</w:t>
            </w:r>
            <w:r w:rsidR="00862AC8" w:rsidRPr="00E46623">
              <w:rPr>
                <w:rFonts w:asciiTheme="minorHAnsi" w:eastAsia="Calibri" w:hAnsiTheme="minorHAnsi"/>
                <w:i/>
                <w:iCs/>
                <w:sz w:val="18"/>
                <w:szCs w:val="18"/>
                <w:lang w:val="en-US"/>
              </w:rPr>
              <w:t xml:space="preserve">Digitalis purpurea) </w:t>
            </w:r>
          </w:p>
          <w:p w14:paraId="037F52E6"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 xml:space="preserve">Dwarf serviceberry </w:t>
            </w:r>
            <w:r w:rsidRPr="00E46623">
              <w:rPr>
                <w:rFonts w:asciiTheme="minorHAnsi" w:eastAsia="Calibri" w:hAnsiTheme="minorHAnsi"/>
                <w:i/>
                <w:iCs/>
                <w:sz w:val="18"/>
                <w:szCs w:val="18"/>
                <w:lang w:val="en-US"/>
              </w:rPr>
              <w:t xml:space="preserve">Amelanchier spicata </w:t>
            </w:r>
          </w:p>
          <w:p w14:paraId="469BF7CD"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Steeplebush (</w:t>
            </w:r>
            <w:r w:rsidRPr="00E46623">
              <w:rPr>
                <w:rFonts w:asciiTheme="minorHAnsi" w:eastAsia="Calibri" w:hAnsiTheme="minorHAnsi"/>
                <w:i/>
                <w:iCs/>
                <w:sz w:val="18"/>
                <w:szCs w:val="18"/>
                <w:lang w:val="en-US"/>
              </w:rPr>
              <w:t xml:space="preserve">Spiraea tomentosa) </w:t>
            </w:r>
          </w:p>
          <w:p w14:paraId="687E60CA" w14:textId="3102A2C8"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 xml:space="preserve">Spotted Loosestrife </w:t>
            </w:r>
            <w:r w:rsidR="00F73EBD" w:rsidRPr="00E46623">
              <w:rPr>
                <w:rFonts w:asciiTheme="minorHAnsi" w:eastAsia="Calibri" w:hAnsiTheme="minorHAnsi"/>
                <w:sz w:val="18"/>
                <w:szCs w:val="18"/>
                <w:lang w:val="en-US"/>
              </w:rPr>
              <w:t>(</w:t>
            </w:r>
            <w:r w:rsidRPr="00E46623">
              <w:rPr>
                <w:rFonts w:asciiTheme="minorHAnsi" w:eastAsia="Calibri" w:hAnsiTheme="minorHAnsi"/>
                <w:i/>
                <w:iCs/>
                <w:sz w:val="18"/>
                <w:szCs w:val="18"/>
                <w:lang w:val="en-US"/>
              </w:rPr>
              <w:t>Lysimachia punctata</w:t>
            </w:r>
            <w:r w:rsidR="00F73EBD" w:rsidRPr="00E46623">
              <w:rPr>
                <w:rFonts w:asciiTheme="minorHAnsi" w:eastAsia="Calibri" w:hAnsiTheme="minorHAnsi"/>
                <w:i/>
                <w:iCs/>
                <w:sz w:val="18"/>
                <w:szCs w:val="18"/>
                <w:lang w:val="en-US"/>
              </w:rPr>
              <w:t>)</w:t>
            </w:r>
            <w:r w:rsidRPr="00E46623">
              <w:rPr>
                <w:rFonts w:asciiTheme="minorHAnsi" w:eastAsia="Calibri" w:hAnsiTheme="minorHAnsi"/>
                <w:i/>
                <w:iCs/>
                <w:sz w:val="18"/>
                <w:szCs w:val="18"/>
                <w:lang w:val="en-US"/>
              </w:rPr>
              <w:t xml:space="preserve"> </w:t>
            </w:r>
          </w:p>
          <w:p w14:paraId="5354261C" w14:textId="45269F82" w:rsidR="00862AC8" w:rsidRPr="00E46623" w:rsidRDefault="00F73EBD"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Yellow oxeye (</w:t>
            </w:r>
            <w:r w:rsidR="00862AC8" w:rsidRPr="00E46623">
              <w:rPr>
                <w:rFonts w:asciiTheme="minorHAnsi" w:eastAsia="Calibri" w:hAnsiTheme="minorHAnsi"/>
                <w:i/>
                <w:iCs/>
                <w:sz w:val="18"/>
                <w:szCs w:val="18"/>
                <w:lang w:val="en-US"/>
              </w:rPr>
              <w:t>Telekia speciosa</w:t>
            </w:r>
            <w:r w:rsidRPr="00E46623">
              <w:rPr>
                <w:rFonts w:asciiTheme="minorHAnsi" w:eastAsia="Calibri" w:hAnsiTheme="minorHAnsi"/>
                <w:i/>
                <w:iCs/>
                <w:sz w:val="18"/>
                <w:szCs w:val="18"/>
                <w:lang w:val="en-US"/>
              </w:rPr>
              <w:t>)</w:t>
            </w:r>
            <w:r w:rsidR="00862AC8" w:rsidRPr="00E46623">
              <w:rPr>
                <w:rFonts w:asciiTheme="minorHAnsi" w:eastAsia="Calibri" w:hAnsiTheme="minorHAnsi"/>
                <w:i/>
                <w:iCs/>
                <w:sz w:val="18"/>
                <w:szCs w:val="18"/>
                <w:lang w:val="en-US"/>
              </w:rPr>
              <w:t xml:space="preserve"> </w:t>
            </w:r>
          </w:p>
          <w:p w14:paraId="5E46DC42"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Sosnowski's hogweed (</w:t>
            </w:r>
            <w:r w:rsidRPr="00E46623">
              <w:rPr>
                <w:rFonts w:asciiTheme="minorHAnsi" w:eastAsia="Calibri" w:hAnsiTheme="minorHAnsi"/>
                <w:i/>
                <w:iCs/>
                <w:sz w:val="18"/>
                <w:szCs w:val="18"/>
                <w:lang w:val="en-US"/>
              </w:rPr>
              <w:t>Heracleum sosnowskyi</w:t>
            </w:r>
            <w:r w:rsidRPr="00E46623">
              <w:rPr>
                <w:rFonts w:asciiTheme="minorHAnsi" w:eastAsia="Calibri" w:hAnsiTheme="minorHAnsi"/>
                <w:sz w:val="18"/>
                <w:szCs w:val="18"/>
                <w:lang w:val="en-US"/>
              </w:rPr>
              <w:t>),</w:t>
            </w:r>
          </w:p>
          <w:p w14:paraId="5F7CB2E1"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i/>
                <w:sz w:val="18"/>
                <w:szCs w:val="18"/>
                <w:lang w:val="en-US"/>
              </w:rPr>
              <w:t>Giant</w:t>
            </w:r>
            <w:r w:rsidRPr="00E46623">
              <w:rPr>
                <w:rFonts w:asciiTheme="minorHAnsi" w:eastAsia="Calibri" w:hAnsiTheme="minorHAnsi"/>
                <w:sz w:val="18"/>
                <w:szCs w:val="18"/>
                <w:lang w:val="en-US"/>
              </w:rPr>
              <w:t xml:space="preserve"> hogweed (</w:t>
            </w:r>
            <w:r w:rsidRPr="00E46623">
              <w:rPr>
                <w:rFonts w:asciiTheme="minorHAnsi" w:eastAsia="Calibri" w:hAnsiTheme="minorHAnsi"/>
                <w:i/>
                <w:sz w:val="18"/>
                <w:szCs w:val="18"/>
                <w:lang w:val="en-US"/>
              </w:rPr>
              <w:t xml:space="preserve">Heracleum mantegazzianum) </w:t>
            </w:r>
          </w:p>
          <w:p w14:paraId="4DE758F3" w14:textId="098EC579" w:rsidR="00862AC8" w:rsidRPr="00E46623" w:rsidRDefault="00F04DA1" w:rsidP="001E2BC0">
            <w:pPr>
              <w:tabs>
                <w:tab w:val="left" w:pos="5760"/>
              </w:tabs>
              <w:spacing w:line="276" w:lineRule="auto"/>
              <w:jc w:val="both"/>
              <w:rPr>
                <w:rFonts w:asciiTheme="minorHAnsi" w:eastAsia="Calibri" w:hAnsiTheme="minorHAnsi"/>
                <w:i/>
                <w:iCs/>
                <w:sz w:val="18"/>
                <w:szCs w:val="18"/>
                <w:lang w:val="pl-PL"/>
              </w:rPr>
            </w:pPr>
            <w:r w:rsidRPr="00E46623">
              <w:rPr>
                <w:rFonts w:asciiTheme="minorHAnsi" w:eastAsia="Calibri" w:hAnsiTheme="minorHAnsi"/>
                <w:sz w:val="18"/>
                <w:szCs w:val="18"/>
                <w:lang w:val="pl-PL"/>
              </w:rPr>
              <w:t>Cutleaf coneflower (</w:t>
            </w:r>
            <w:r w:rsidRPr="00E46623">
              <w:rPr>
                <w:rFonts w:asciiTheme="minorHAnsi" w:eastAsia="Calibri" w:hAnsiTheme="minorHAnsi"/>
                <w:i/>
                <w:iCs/>
                <w:sz w:val="18"/>
                <w:szCs w:val="18"/>
                <w:lang w:val="pl-PL"/>
              </w:rPr>
              <w:t>Rudbeckia laciniata)</w:t>
            </w:r>
          </w:p>
          <w:p w14:paraId="3F4C3BBE"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pl-PL"/>
              </w:rPr>
            </w:pPr>
          </w:p>
        </w:tc>
      </w:tr>
      <w:tr w:rsidR="00862AC8" w:rsidRPr="0089097C" w14:paraId="05DE472D" w14:textId="77777777" w:rsidTr="00E46623">
        <w:tc>
          <w:tcPr>
            <w:tcW w:w="9067"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hideMark/>
          </w:tcPr>
          <w:p w14:paraId="1A13D4FA" w14:textId="77777777" w:rsidR="00862AC8" w:rsidRPr="00E46623" w:rsidRDefault="00862AC8" w:rsidP="001E2BC0">
            <w:pPr>
              <w:tabs>
                <w:tab w:val="left" w:pos="5760"/>
              </w:tabs>
              <w:spacing w:after="120" w:line="276" w:lineRule="auto"/>
              <w:jc w:val="both"/>
              <w:rPr>
                <w:rFonts w:asciiTheme="minorHAnsi" w:eastAsia="Calibri" w:hAnsiTheme="minorHAnsi"/>
                <w:bCs/>
                <w:sz w:val="18"/>
                <w:szCs w:val="18"/>
                <w:lang w:val="en-US"/>
              </w:rPr>
            </w:pPr>
            <w:r w:rsidRPr="00E46623">
              <w:rPr>
                <w:rFonts w:asciiTheme="minorHAnsi" w:eastAsia="Calibri" w:hAnsiTheme="minorHAnsi"/>
                <w:bCs/>
                <w:sz w:val="18"/>
                <w:szCs w:val="18"/>
                <w:lang w:val="en-US"/>
              </w:rPr>
              <w:t>When biomaterial is transported off-site for disposal</w:t>
            </w:r>
          </w:p>
        </w:tc>
      </w:tr>
      <w:tr w:rsidR="00862AC8" w:rsidRPr="0089097C" w14:paraId="1D692619" w14:textId="77777777" w:rsidTr="00E46623">
        <w:tc>
          <w:tcPr>
            <w:tcW w:w="3562" w:type="dxa"/>
            <w:tcBorders>
              <w:top w:val="single" w:sz="4" w:space="0" w:color="auto"/>
              <w:left w:val="single" w:sz="4" w:space="0" w:color="auto"/>
              <w:bottom w:val="single" w:sz="4" w:space="0" w:color="auto"/>
              <w:right w:val="single" w:sz="4" w:space="0" w:color="auto"/>
            </w:tcBorders>
            <w:vAlign w:val="center"/>
            <w:hideMark/>
          </w:tcPr>
          <w:p w14:paraId="3B5D4058"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Transport to an appropriate facility as biowaste</w:t>
            </w:r>
          </w:p>
        </w:tc>
        <w:tc>
          <w:tcPr>
            <w:tcW w:w="5505" w:type="dxa"/>
            <w:tcBorders>
              <w:top w:val="single" w:sz="4" w:space="0" w:color="auto"/>
              <w:left w:val="single" w:sz="4" w:space="0" w:color="auto"/>
              <w:bottom w:val="single" w:sz="4" w:space="0" w:color="auto"/>
              <w:right w:val="single" w:sz="4" w:space="0" w:color="auto"/>
            </w:tcBorders>
            <w:vAlign w:val="center"/>
            <w:hideMark/>
          </w:tcPr>
          <w:p w14:paraId="037A5640"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Rugosa rose (</w:t>
            </w:r>
            <w:r w:rsidRPr="00E46623">
              <w:rPr>
                <w:rFonts w:asciiTheme="minorHAnsi" w:eastAsia="Calibri" w:hAnsiTheme="minorHAnsi"/>
                <w:i/>
                <w:iCs/>
                <w:sz w:val="18"/>
                <w:szCs w:val="18"/>
                <w:lang w:val="en-US"/>
              </w:rPr>
              <w:t xml:space="preserve">Rosa rugosa) </w:t>
            </w:r>
          </w:p>
          <w:p w14:paraId="074B8668"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 xml:space="preserve">Purple jewelweed </w:t>
            </w:r>
            <w:r w:rsidRPr="00E46623">
              <w:rPr>
                <w:rFonts w:asciiTheme="minorHAnsi" w:eastAsia="Calibri" w:hAnsiTheme="minorHAnsi"/>
                <w:i/>
                <w:iCs/>
                <w:sz w:val="18"/>
                <w:szCs w:val="18"/>
                <w:lang w:val="en-US"/>
              </w:rPr>
              <w:t xml:space="preserve">Impatiens grandulifera </w:t>
            </w:r>
          </w:p>
          <w:p w14:paraId="776FFD40"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 xml:space="preserve">Giant goldenrod </w:t>
            </w:r>
            <w:r w:rsidRPr="00E46623">
              <w:rPr>
                <w:rFonts w:asciiTheme="minorHAnsi" w:eastAsia="Calibri" w:hAnsiTheme="minorHAnsi"/>
                <w:i/>
                <w:iCs/>
                <w:sz w:val="18"/>
                <w:szCs w:val="18"/>
                <w:lang w:val="en-US"/>
              </w:rPr>
              <w:t xml:space="preserve">Solidago gigantea </w:t>
            </w:r>
          </w:p>
          <w:p w14:paraId="1E53664E"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Canadian goldenrod (</w:t>
            </w:r>
            <w:r w:rsidRPr="00E46623">
              <w:rPr>
                <w:rFonts w:asciiTheme="minorHAnsi" w:eastAsia="Calibri" w:hAnsiTheme="minorHAnsi"/>
                <w:i/>
                <w:iCs/>
                <w:sz w:val="18"/>
                <w:szCs w:val="18"/>
                <w:lang w:val="en-US"/>
              </w:rPr>
              <w:t xml:space="preserve">Solidago canadensis) </w:t>
            </w:r>
          </w:p>
          <w:p w14:paraId="0088811A"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Garden lupin (</w:t>
            </w:r>
            <w:r w:rsidRPr="00E46623">
              <w:rPr>
                <w:rFonts w:asciiTheme="minorHAnsi" w:eastAsia="Calibri" w:hAnsiTheme="minorHAnsi"/>
                <w:i/>
                <w:iCs/>
                <w:sz w:val="18"/>
                <w:szCs w:val="18"/>
                <w:lang w:val="en-US"/>
              </w:rPr>
              <w:t xml:space="preserve">Lupinus polyphyllus) </w:t>
            </w:r>
          </w:p>
          <w:p w14:paraId="0FCD6FDB" w14:textId="77777777" w:rsidR="00862AC8" w:rsidRPr="00E46623" w:rsidRDefault="00862AC8" w:rsidP="001E2BC0">
            <w:pPr>
              <w:tabs>
                <w:tab w:val="left" w:pos="5760"/>
              </w:tabs>
              <w:spacing w:line="276" w:lineRule="auto"/>
              <w:jc w:val="both"/>
              <w:rPr>
                <w:rFonts w:asciiTheme="minorHAnsi" w:eastAsia="Calibri" w:hAnsiTheme="minorHAnsi"/>
                <w:b/>
                <w:bCs/>
                <w:sz w:val="18"/>
                <w:szCs w:val="18"/>
                <w:lang w:val="en-US"/>
              </w:rPr>
            </w:pPr>
            <w:r w:rsidRPr="00E46623">
              <w:rPr>
                <w:rFonts w:asciiTheme="minorHAnsi" w:eastAsia="Calibri" w:hAnsiTheme="minorHAnsi"/>
                <w:sz w:val="18"/>
                <w:szCs w:val="18"/>
                <w:lang w:val="en-US"/>
              </w:rPr>
              <w:t xml:space="preserve">Wild cucumber </w:t>
            </w:r>
            <w:r w:rsidRPr="00E46623">
              <w:rPr>
                <w:rFonts w:asciiTheme="minorHAnsi" w:eastAsia="Calibri" w:hAnsiTheme="minorHAnsi"/>
                <w:i/>
                <w:iCs/>
                <w:sz w:val="18"/>
                <w:szCs w:val="18"/>
                <w:lang w:val="en-US"/>
              </w:rPr>
              <w:t xml:space="preserve">Echinocystis lobata </w:t>
            </w:r>
          </w:p>
          <w:p w14:paraId="5748DAE2" w14:textId="0E0EF0DA" w:rsidR="00862AC8" w:rsidRPr="00E46623" w:rsidRDefault="00F6177A"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Redroot pigweed</w:t>
            </w:r>
            <w:r w:rsidR="00862AC8" w:rsidRPr="00E46623">
              <w:rPr>
                <w:rFonts w:asciiTheme="minorHAnsi" w:eastAsia="Calibri" w:hAnsiTheme="minorHAnsi"/>
                <w:i/>
                <w:iCs/>
                <w:sz w:val="18"/>
                <w:szCs w:val="18"/>
                <w:lang w:val="en-US"/>
              </w:rPr>
              <w:t xml:space="preserve"> Amaranthus retroflexus </w:t>
            </w:r>
          </w:p>
          <w:p w14:paraId="2101E988" w14:textId="019AEC3E" w:rsidR="00862AC8" w:rsidRPr="00E46623" w:rsidRDefault="00F6177A"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Common Foxglove</w:t>
            </w:r>
            <w:r w:rsidR="00862AC8" w:rsidRPr="00E46623">
              <w:rPr>
                <w:rFonts w:asciiTheme="minorHAnsi" w:eastAsia="Calibri" w:hAnsiTheme="minorHAnsi"/>
                <w:sz w:val="18"/>
                <w:szCs w:val="18"/>
                <w:lang w:val="en-US"/>
              </w:rPr>
              <w:t xml:space="preserve"> (</w:t>
            </w:r>
            <w:r w:rsidR="00862AC8" w:rsidRPr="00E46623">
              <w:rPr>
                <w:rFonts w:asciiTheme="minorHAnsi" w:eastAsia="Calibri" w:hAnsiTheme="minorHAnsi"/>
                <w:i/>
                <w:iCs/>
                <w:sz w:val="18"/>
                <w:szCs w:val="18"/>
                <w:lang w:val="en-US"/>
              </w:rPr>
              <w:t xml:space="preserve">Digitalis purpurea) </w:t>
            </w:r>
          </w:p>
          <w:p w14:paraId="6168C4E5"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 xml:space="preserve">Dwarf serviceberry </w:t>
            </w:r>
            <w:r w:rsidRPr="00E46623">
              <w:rPr>
                <w:rFonts w:asciiTheme="minorHAnsi" w:eastAsia="Calibri" w:hAnsiTheme="minorHAnsi"/>
                <w:i/>
                <w:iCs/>
                <w:sz w:val="18"/>
                <w:szCs w:val="18"/>
                <w:lang w:val="en-US"/>
              </w:rPr>
              <w:t xml:space="preserve">Amelanchier spicata </w:t>
            </w:r>
          </w:p>
          <w:p w14:paraId="0B5671C4"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 xml:space="preserve">Steeplebush </w:t>
            </w:r>
            <w:r w:rsidRPr="00E46623">
              <w:rPr>
                <w:rFonts w:asciiTheme="minorHAnsi" w:eastAsia="Calibri" w:hAnsiTheme="minorHAnsi"/>
                <w:i/>
                <w:iCs/>
                <w:sz w:val="18"/>
                <w:szCs w:val="18"/>
                <w:lang w:val="en-US"/>
              </w:rPr>
              <w:t xml:space="preserve">Spiraea tomentosa </w:t>
            </w:r>
          </w:p>
          <w:p w14:paraId="0E572740" w14:textId="141CCDD6"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Spotted Loosestrife (</w:t>
            </w:r>
            <w:r w:rsidRPr="00E46623">
              <w:rPr>
                <w:rFonts w:asciiTheme="minorHAnsi" w:eastAsia="Calibri" w:hAnsiTheme="minorHAnsi"/>
                <w:i/>
                <w:iCs/>
                <w:sz w:val="18"/>
                <w:szCs w:val="18"/>
                <w:lang w:val="en-US"/>
              </w:rPr>
              <w:t xml:space="preserve">Lysimachia punctata) </w:t>
            </w:r>
            <w:r w:rsidR="00F6177A" w:rsidRPr="00E46623">
              <w:rPr>
                <w:rFonts w:asciiTheme="minorHAnsi" w:eastAsia="Calibri" w:hAnsiTheme="minorHAnsi"/>
                <w:sz w:val="18"/>
                <w:szCs w:val="18"/>
                <w:lang w:val="en-US"/>
              </w:rPr>
              <w:t xml:space="preserve">Yellow oxeye </w:t>
            </w:r>
            <w:r w:rsidRPr="00E46623">
              <w:rPr>
                <w:rFonts w:asciiTheme="minorHAnsi" w:eastAsia="Calibri" w:hAnsiTheme="minorHAnsi"/>
                <w:sz w:val="18"/>
                <w:szCs w:val="18"/>
                <w:lang w:val="en-US"/>
              </w:rPr>
              <w:t>(</w:t>
            </w:r>
            <w:r w:rsidRPr="00E46623">
              <w:rPr>
                <w:rFonts w:asciiTheme="minorHAnsi" w:eastAsia="Calibri" w:hAnsiTheme="minorHAnsi"/>
                <w:i/>
                <w:iCs/>
                <w:sz w:val="18"/>
                <w:szCs w:val="18"/>
                <w:lang w:val="en-US"/>
              </w:rPr>
              <w:t xml:space="preserve">Telekia speciosa) </w:t>
            </w:r>
          </w:p>
          <w:p w14:paraId="40897AD2"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Sosnowski's hogweed (</w:t>
            </w:r>
            <w:r w:rsidRPr="00E46623">
              <w:rPr>
                <w:rFonts w:asciiTheme="minorHAnsi" w:eastAsia="Calibri" w:hAnsiTheme="minorHAnsi"/>
                <w:i/>
                <w:iCs/>
                <w:sz w:val="18"/>
                <w:szCs w:val="18"/>
                <w:lang w:val="en-US"/>
              </w:rPr>
              <w:t>Heracleum sosnowskyi</w:t>
            </w:r>
            <w:r w:rsidRPr="00E46623">
              <w:rPr>
                <w:rFonts w:asciiTheme="minorHAnsi" w:eastAsia="Calibri" w:hAnsiTheme="minorHAnsi"/>
                <w:sz w:val="18"/>
                <w:szCs w:val="18"/>
                <w:lang w:val="en-US"/>
              </w:rPr>
              <w:t>),</w:t>
            </w:r>
          </w:p>
          <w:p w14:paraId="7539A972"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i/>
                <w:iCs/>
                <w:sz w:val="18"/>
                <w:szCs w:val="18"/>
                <w:lang w:val="en-US"/>
              </w:rPr>
              <w:t>Giant</w:t>
            </w:r>
            <w:r w:rsidRPr="00E46623">
              <w:rPr>
                <w:rFonts w:asciiTheme="minorHAnsi" w:eastAsia="Calibri" w:hAnsiTheme="minorHAnsi"/>
                <w:sz w:val="18"/>
                <w:szCs w:val="18"/>
                <w:lang w:val="en-US"/>
              </w:rPr>
              <w:t xml:space="preserve"> hogweed (</w:t>
            </w:r>
            <w:r w:rsidRPr="00E46623">
              <w:rPr>
                <w:rFonts w:asciiTheme="minorHAnsi" w:eastAsia="Calibri" w:hAnsiTheme="minorHAnsi"/>
                <w:i/>
                <w:iCs/>
                <w:sz w:val="18"/>
                <w:szCs w:val="18"/>
                <w:lang w:val="en-US"/>
              </w:rPr>
              <w:t xml:space="preserve">Heracleum mantegazzianum) </w:t>
            </w:r>
          </w:p>
          <w:p w14:paraId="28ADF396"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i/>
                <w:iCs/>
                <w:sz w:val="18"/>
                <w:szCs w:val="18"/>
                <w:lang w:val="en-US"/>
              </w:rPr>
              <w:t xml:space="preserve">Reynoutria </w:t>
            </w:r>
            <w:r w:rsidRPr="00E46623">
              <w:rPr>
                <w:rFonts w:asciiTheme="minorHAnsi" w:eastAsia="Calibri" w:hAnsiTheme="minorHAnsi"/>
                <w:sz w:val="18"/>
                <w:szCs w:val="18"/>
                <w:lang w:val="en-US"/>
              </w:rPr>
              <w:t>SP.</w:t>
            </w:r>
          </w:p>
          <w:p w14:paraId="40266E7A" w14:textId="71B84D91" w:rsidR="00F04DA1" w:rsidRPr="00E46623" w:rsidRDefault="00F04DA1" w:rsidP="001E2BC0">
            <w:pPr>
              <w:tabs>
                <w:tab w:val="left" w:pos="5760"/>
              </w:tabs>
              <w:spacing w:line="276" w:lineRule="auto"/>
              <w:jc w:val="both"/>
              <w:rPr>
                <w:rFonts w:asciiTheme="minorHAnsi" w:eastAsia="Calibri" w:hAnsiTheme="minorHAnsi"/>
                <w:i/>
                <w:iCs/>
                <w:sz w:val="18"/>
                <w:szCs w:val="18"/>
                <w:lang w:val="en-US"/>
              </w:rPr>
            </w:pPr>
            <w:r w:rsidRPr="00E46623">
              <w:rPr>
                <w:rFonts w:asciiTheme="minorHAnsi" w:eastAsia="Calibri" w:hAnsiTheme="minorHAnsi"/>
                <w:sz w:val="18"/>
                <w:szCs w:val="18"/>
                <w:lang w:val="en-US"/>
              </w:rPr>
              <w:t>Monkeyflower (</w:t>
            </w:r>
            <w:r w:rsidRPr="00E46623">
              <w:rPr>
                <w:rFonts w:asciiTheme="minorHAnsi" w:eastAsia="Calibri" w:hAnsiTheme="minorHAnsi"/>
                <w:i/>
                <w:iCs/>
                <w:sz w:val="18"/>
                <w:szCs w:val="18"/>
                <w:lang w:val="en-US"/>
              </w:rPr>
              <w:t>Mimulus guttatus)</w:t>
            </w:r>
          </w:p>
        </w:tc>
      </w:tr>
      <w:tr w:rsidR="00862AC8" w:rsidRPr="0089097C" w14:paraId="58C98EEF" w14:textId="77777777" w:rsidTr="00E46623">
        <w:tc>
          <w:tcPr>
            <w:tcW w:w="3562" w:type="dxa"/>
            <w:tcBorders>
              <w:top w:val="single" w:sz="4" w:space="0" w:color="auto"/>
              <w:left w:val="single" w:sz="4" w:space="0" w:color="auto"/>
              <w:bottom w:val="single" w:sz="4" w:space="0" w:color="auto"/>
              <w:right w:val="single" w:sz="4" w:space="0" w:color="auto"/>
            </w:tcBorders>
            <w:vAlign w:val="center"/>
            <w:hideMark/>
          </w:tcPr>
          <w:p w14:paraId="65E75683"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Transport of biomass in black plastic bags</w:t>
            </w:r>
          </w:p>
        </w:tc>
        <w:tc>
          <w:tcPr>
            <w:tcW w:w="5505" w:type="dxa"/>
            <w:tcBorders>
              <w:top w:val="single" w:sz="4" w:space="0" w:color="auto"/>
              <w:left w:val="single" w:sz="4" w:space="0" w:color="auto"/>
              <w:bottom w:val="single" w:sz="4" w:space="0" w:color="auto"/>
              <w:right w:val="single" w:sz="4" w:space="0" w:color="auto"/>
            </w:tcBorders>
            <w:vAlign w:val="center"/>
            <w:hideMark/>
          </w:tcPr>
          <w:p w14:paraId="76EEB9BA"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 xml:space="preserve">Garden lupin (Lupinus polyphyllus) </w:t>
            </w:r>
          </w:p>
          <w:p w14:paraId="3F58021E"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 xml:space="preserve">Wild cucumber Echinocystis lobata </w:t>
            </w:r>
          </w:p>
          <w:p w14:paraId="2E5601F4"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 xml:space="preserve">Rough pigweed (Amaranthus retroflexus) </w:t>
            </w:r>
          </w:p>
          <w:p w14:paraId="3495CB4D" w14:textId="6CD40137" w:rsidR="00862AC8" w:rsidRPr="00E46623" w:rsidRDefault="00F6177A"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Common Foxglove</w:t>
            </w:r>
            <w:r w:rsidR="00862AC8" w:rsidRPr="00E46623">
              <w:rPr>
                <w:rFonts w:asciiTheme="minorHAnsi" w:eastAsia="Calibri" w:hAnsiTheme="minorHAnsi"/>
                <w:sz w:val="18"/>
                <w:szCs w:val="18"/>
                <w:lang w:val="en-US"/>
              </w:rPr>
              <w:t xml:space="preserve"> (Digitalis purpurea) </w:t>
            </w:r>
          </w:p>
          <w:p w14:paraId="71A524C2"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 xml:space="preserve">Spotted loosestrife (Lysimachia punctata) </w:t>
            </w:r>
          </w:p>
          <w:p w14:paraId="678013DF" w14:textId="3F1E0A27" w:rsidR="00862AC8" w:rsidRPr="00E46623" w:rsidRDefault="00F6177A"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Yellow oxeye</w:t>
            </w:r>
            <w:r w:rsidR="00862AC8" w:rsidRPr="00E46623">
              <w:rPr>
                <w:rFonts w:asciiTheme="minorHAnsi" w:eastAsia="Calibri" w:hAnsiTheme="minorHAnsi"/>
                <w:sz w:val="18"/>
                <w:szCs w:val="18"/>
                <w:lang w:val="en-US"/>
              </w:rPr>
              <w:t xml:space="preserve"> (Telekia speciosa) </w:t>
            </w:r>
          </w:p>
          <w:p w14:paraId="6ACC3543" w14:textId="77777777" w:rsidR="00862AC8" w:rsidRPr="00E46623" w:rsidRDefault="00862AC8" w:rsidP="001E2BC0">
            <w:pPr>
              <w:tabs>
                <w:tab w:val="left" w:pos="5760"/>
              </w:tabs>
              <w:spacing w:line="276" w:lineRule="auto"/>
              <w:jc w:val="both"/>
              <w:rPr>
                <w:rFonts w:asciiTheme="minorHAnsi" w:eastAsia="Calibri" w:hAnsiTheme="minorHAnsi"/>
                <w:sz w:val="18"/>
                <w:szCs w:val="18"/>
                <w:lang w:val="en-US"/>
              </w:rPr>
            </w:pPr>
            <w:r w:rsidRPr="00E46623">
              <w:rPr>
                <w:rFonts w:asciiTheme="minorHAnsi" w:eastAsia="Calibri" w:hAnsiTheme="minorHAnsi"/>
                <w:sz w:val="18"/>
                <w:szCs w:val="18"/>
                <w:lang w:val="en-US"/>
              </w:rPr>
              <w:t xml:space="preserve">Reynoutria SP </w:t>
            </w:r>
          </w:p>
          <w:p w14:paraId="37873358" w14:textId="5ED05F76" w:rsidR="00F04DA1" w:rsidRPr="00E46623" w:rsidRDefault="00F04DA1" w:rsidP="001E2BC0">
            <w:pPr>
              <w:tabs>
                <w:tab w:val="left" w:pos="5760"/>
              </w:tabs>
              <w:spacing w:line="276" w:lineRule="auto"/>
              <w:jc w:val="both"/>
              <w:rPr>
                <w:rFonts w:asciiTheme="minorHAnsi" w:eastAsia="Calibri" w:hAnsiTheme="minorHAnsi"/>
                <w:i/>
                <w:iCs/>
                <w:sz w:val="18"/>
                <w:szCs w:val="18"/>
                <w:lang w:val="en-US"/>
              </w:rPr>
            </w:pPr>
            <w:r w:rsidRPr="00E46623">
              <w:rPr>
                <w:rFonts w:asciiTheme="minorHAnsi" w:eastAsia="Calibri" w:hAnsiTheme="minorHAnsi"/>
                <w:sz w:val="18"/>
                <w:szCs w:val="18"/>
                <w:lang w:val="en-US"/>
              </w:rPr>
              <w:t>Cutleaf coneflower (</w:t>
            </w:r>
            <w:r w:rsidRPr="00E46623">
              <w:rPr>
                <w:rFonts w:asciiTheme="minorHAnsi" w:eastAsia="Calibri" w:hAnsiTheme="minorHAnsi"/>
                <w:i/>
                <w:iCs/>
                <w:sz w:val="18"/>
                <w:szCs w:val="18"/>
                <w:lang w:val="en-US"/>
              </w:rPr>
              <w:t>Rudbeckia laciniata)</w:t>
            </w:r>
          </w:p>
        </w:tc>
      </w:tr>
    </w:tbl>
    <w:p w14:paraId="66058564" w14:textId="77777777" w:rsidR="00862AC8" w:rsidRPr="00A404C7" w:rsidRDefault="00862AC8" w:rsidP="00862AC8">
      <w:pPr>
        <w:tabs>
          <w:tab w:val="left" w:pos="5760"/>
        </w:tabs>
        <w:spacing w:line="256" w:lineRule="auto"/>
        <w:rPr>
          <w:rFonts w:asciiTheme="minorHAnsi" w:eastAsia="Calibri" w:hAnsiTheme="minorHAnsi"/>
          <w:sz w:val="18"/>
          <w:szCs w:val="18"/>
          <w:lang w:val="en-US"/>
        </w:rPr>
      </w:pPr>
      <w:r w:rsidRPr="00A404C7">
        <w:rPr>
          <w:rFonts w:asciiTheme="minorHAnsi" w:eastAsia="Calibri" w:hAnsiTheme="minorHAnsi"/>
          <w:sz w:val="18"/>
          <w:szCs w:val="18"/>
          <w:lang w:val="en-US"/>
        </w:rPr>
        <w:t>* If the number of plants is too large to properly separate them all, or if such separation poses a risk of spreading invasive alien species, the entire biomass should be buried.</w:t>
      </w:r>
    </w:p>
    <w:p w14:paraId="3B622EC1" w14:textId="35A0222A" w:rsidR="002206CF" w:rsidRPr="00D049D4" w:rsidRDefault="00862AC8" w:rsidP="006E6A95">
      <w:pPr>
        <w:pStyle w:val="Heading3"/>
        <w:spacing w:line="276" w:lineRule="auto"/>
        <w:rPr>
          <w:lang w:val="en-US"/>
        </w:rPr>
      </w:pPr>
      <w:bookmarkStart w:id="31" w:name="_Toc239856710"/>
      <w:r w:rsidRPr="00D049D4">
        <w:rPr>
          <w:lang w:val="en-US"/>
        </w:rPr>
        <w:t>3.2.1. Burial</w:t>
      </w:r>
      <w:bookmarkEnd w:id="31"/>
    </w:p>
    <w:p w14:paraId="61CF5AC7" w14:textId="1C986380" w:rsidR="00862AC8" w:rsidRPr="006E6A95" w:rsidRDefault="00862AC8" w:rsidP="006E6A95">
      <w:pPr>
        <w:spacing w:after="120" w:line="276" w:lineRule="auto"/>
        <w:jc w:val="both"/>
        <w:rPr>
          <w:rFonts w:asciiTheme="minorHAnsi" w:hAnsiTheme="minorHAnsi"/>
          <w:sz w:val="24"/>
          <w:szCs w:val="24"/>
          <w:lang w:val="en-US"/>
        </w:rPr>
      </w:pPr>
      <w:r w:rsidRPr="006E6A95">
        <w:rPr>
          <w:rFonts w:asciiTheme="minorHAnsi" w:hAnsiTheme="minorHAnsi"/>
          <w:sz w:val="24"/>
          <w:szCs w:val="24"/>
          <w:lang w:val="en-US"/>
        </w:rPr>
        <w:t xml:space="preserve">Burying involves activities related to the disposal of </w:t>
      </w:r>
      <w:r w:rsidR="009374B7" w:rsidRPr="006E6A95">
        <w:rPr>
          <w:rFonts w:asciiTheme="minorHAnsi" w:hAnsiTheme="minorHAnsi"/>
          <w:sz w:val="24"/>
          <w:szCs w:val="24"/>
          <w:lang w:val="en-US"/>
        </w:rPr>
        <w:t>IAS</w:t>
      </w:r>
      <w:r w:rsidRPr="006E6A95">
        <w:rPr>
          <w:rFonts w:asciiTheme="minorHAnsi" w:hAnsiTheme="minorHAnsi"/>
          <w:sz w:val="24"/>
          <w:szCs w:val="24"/>
          <w:lang w:val="en-US"/>
        </w:rPr>
        <w:t xml:space="preserve"> biomass underground. Burying is permitted only if it does not adversely affect the quality of surface and groundwater, soil, air, or the living conditions of plants and animals. The material must be buried at the site where it was removed (alternatively, disposal in an area immediately adjacent to it within the same work zone is permitted). Plant parts and soil that may contain seeds or other vegetative parts from which these plants could regrow must be buried. If a plant contains vegetative parts from which it can regrow, it should be additionally secured with material that isolates it from the ground and tightly sealed with as little air as possible. The material, such as geotextile, should be undamaged, tightly sealed, UV-resistant, of appropriate size, and durable for at least 50 years. The site should be marked and inspected twice a year (two months after burial and after the end of the growing season—except when burial was performed at the end of the growing season, in which case only one inspection is required), and then once a year for the following three years (in the middle of the growing season) to ensure that the material has been properly secured. This procedure (burial) should be carried out especially when the biomaterial contains flowers, seeds, or fruit. </w:t>
      </w:r>
    </w:p>
    <w:p w14:paraId="0AE52964" w14:textId="090B1F46" w:rsidR="00862AC8" w:rsidRPr="006E6A95" w:rsidRDefault="00862AC8" w:rsidP="006E6A95">
      <w:pPr>
        <w:pStyle w:val="Caption"/>
        <w:keepNext/>
        <w:spacing w:line="276" w:lineRule="auto"/>
        <w:jc w:val="both"/>
        <w:rPr>
          <w:rFonts w:asciiTheme="minorHAnsi" w:hAnsiTheme="minorHAnsi"/>
          <w:b w:val="0"/>
          <w:bCs/>
          <w:color w:val="000000" w:themeColor="text1"/>
          <w:sz w:val="24"/>
          <w:szCs w:val="24"/>
          <w:lang w:val="en-US"/>
        </w:rPr>
      </w:pPr>
      <w:bookmarkStart w:id="32" w:name="_Toc239856616"/>
      <w:r w:rsidRPr="006E6A95">
        <w:rPr>
          <w:rFonts w:asciiTheme="minorHAnsi" w:hAnsiTheme="minorHAnsi"/>
          <w:b w:val="0"/>
          <w:bCs/>
          <w:color w:val="000000" w:themeColor="text1"/>
          <w:sz w:val="24"/>
          <w:szCs w:val="24"/>
          <w:lang w:val="en-US"/>
        </w:rPr>
        <w:t>Table</w:t>
      </w:r>
      <w:r w:rsidRPr="006E6A95">
        <w:rPr>
          <w:rFonts w:asciiTheme="minorHAnsi" w:hAnsiTheme="minorHAnsi"/>
          <w:b w:val="0"/>
          <w:bCs/>
          <w:color w:val="000000" w:themeColor="text1"/>
          <w:sz w:val="24"/>
          <w:szCs w:val="24"/>
        </w:rPr>
        <w:fldChar w:fldCharType="begin"/>
      </w:r>
      <w:r w:rsidRPr="006E6A95">
        <w:rPr>
          <w:rFonts w:asciiTheme="minorHAnsi" w:hAnsiTheme="minorHAnsi"/>
          <w:b w:val="0"/>
          <w:bCs/>
          <w:color w:val="000000" w:themeColor="text1"/>
          <w:sz w:val="24"/>
          <w:szCs w:val="24"/>
          <w:lang w:val="en-US"/>
        </w:rPr>
        <w:instrText>SEQ Tabela \* ARABIC</w:instrText>
      </w:r>
      <w:r w:rsidRPr="006E6A95">
        <w:rPr>
          <w:rFonts w:asciiTheme="minorHAnsi" w:hAnsiTheme="minorHAnsi"/>
          <w:b w:val="0"/>
          <w:bCs/>
          <w:color w:val="000000" w:themeColor="text1"/>
          <w:sz w:val="24"/>
          <w:szCs w:val="24"/>
        </w:rPr>
        <w:fldChar w:fldCharType="separate"/>
      </w:r>
      <w:r w:rsidR="003A1319" w:rsidRPr="006E6A95">
        <w:rPr>
          <w:rFonts w:asciiTheme="minorHAnsi" w:hAnsiTheme="minorHAnsi"/>
          <w:b w:val="0"/>
          <w:bCs/>
          <w:color w:val="000000" w:themeColor="text1"/>
          <w:sz w:val="24"/>
          <w:szCs w:val="24"/>
          <w:lang w:val="en-US"/>
        </w:rPr>
        <w:t>3</w:t>
      </w:r>
      <w:r w:rsidRPr="006E6A95">
        <w:rPr>
          <w:rFonts w:asciiTheme="minorHAnsi" w:hAnsiTheme="minorHAnsi"/>
          <w:b w:val="0"/>
          <w:bCs/>
          <w:color w:val="000000" w:themeColor="text1"/>
          <w:sz w:val="24"/>
          <w:szCs w:val="24"/>
        </w:rPr>
        <w:fldChar w:fldCharType="end"/>
      </w:r>
      <w:r w:rsidRPr="006E6A95">
        <w:rPr>
          <w:rFonts w:asciiTheme="minorHAnsi" w:hAnsiTheme="minorHAnsi"/>
          <w:b w:val="0"/>
          <w:bCs/>
          <w:color w:val="000000" w:themeColor="text1"/>
          <w:sz w:val="24"/>
          <w:szCs w:val="24"/>
          <w:lang w:val="en-US"/>
        </w:rPr>
        <w:t xml:space="preserve"> Minimum depth required for the proper implementation of remedial measures through burial. Plant species that can reproduce vegetatively and that must be protected with geotextile are highlighted in bold.</w:t>
      </w:r>
      <w:bookmarkEnd w:id="32"/>
    </w:p>
    <w:tbl>
      <w:tblPr>
        <w:tblW w:w="9067" w:type="dxa"/>
        <w:tblLook w:val="04A0" w:firstRow="1" w:lastRow="0" w:firstColumn="1" w:lastColumn="0" w:noHBand="0" w:noVBand="1"/>
      </w:tblPr>
      <w:tblGrid>
        <w:gridCol w:w="4531"/>
        <w:gridCol w:w="4536"/>
      </w:tblGrid>
      <w:tr w:rsidR="00862AC8" w:rsidRPr="006E6A95" w14:paraId="6F58F034" w14:textId="77777777" w:rsidTr="006E6A95">
        <w:trPr>
          <w:tblHeader/>
        </w:trPr>
        <w:tc>
          <w:tcPr>
            <w:tcW w:w="4531"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20474855" w14:textId="77777777" w:rsidR="00862AC8" w:rsidRPr="006E6A95" w:rsidRDefault="00862AC8" w:rsidP="006E6A95">
            <w:pPr>
              <w:jc w:val="center"/>
              <w:rPr>
                <w:rFonts w:asciiTheme="minorHAnsi" w:hAnsiTheme="minorHAnsi" w:cs="Calibri"/>
                <w:b/>
                <w:bCs/>
                <w:sz w:val="18"/>
                <w:szCs w:val="18"/>
              </w:rPr>
            </w:pPr>
            <w:r w:rsidRPr="006E6A95">
              <w:rPr>
                <w:rFonts w:asciiTheme="minorHAnsi" w:hAnsiTheme="minorHAnsi" w:cs="Calibri"/>
                <w:b/>
                <w:bCs/>
                <w:sz w:val="18"/>
                <w:szCs w:val="18"/>
              </w:rPr>
              <w:t>Species</w:t>
            </w:r>
          </w:p>
        </w:tc>
        <w:tc>
          <w:tcPr>
            <w:tcW w:w="4536" w:type="dxa"/>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69AEBB6B" w14:textId="77777777" w:rsidR="00862AC8" w:rsidRPr="006E6A95" w:rsidRDefault="00862AC8" w:rsidP="006E6A95">
            <w:pPr>
              <w:jc w:val="center"/>
              <w:rPr>
                <w:rFonts w:asciiTheme="minorHAnsi" w:hAnsiTheme="minorHAnsi" w:cs="Calibri"/>
                <w:b/>
                <w:bCs/>
                <w:sz w:val="18"/>
                <w:szCs w:val="18"/>
              </w:rPr>
            </w:pPr>
            <w:r w:rsidRPr="006E6A95">
              <w:rPr>
                <w:rFonts w:asciiTheme="minorHAnsi" w:hAnsiTheme="minorHAnsi" w:cs="Calibri"/>
                <w:b/>
                <w:bCs/>
                <w:sz w:val="18"/>
                <w:szCs w:val="18"/>
              </w:rPr>
              <w:t>Depth below ground level</w:t>
            </w:r>
          </w:p>
        </w:tc>
      </w:tr>
      <w:tr w:rsidR="00862AC8" w:rsidRPr="006E6A95" w14:paraId="0617E68E" w14:textId="77777777" w:rsidTr="006E6A95">
        <w:tc>
          <w:tcPr>
            <w:tcW w:w="4531" w:type="dxa"/>
            <w:tcBorders>
              <w:top w:val="single" w:sz="4" w:space="0" w:color="auto"/>
              <w:left w:val="single" w:sz="4" w:space="0" w:color="auto"/>
              <w:bottom w:val="single" w:sz="4" w:space="0" w:color="auto"/>
              <w:right w:val="single" w:sz="4" w:space="0" w:color="auto"/>
            </w:tcBorders>
            <w:vAlign w:val="center"/>
            <w:hideMark/>
          </w:tcPr>
          <w:p w14:paraId="4203F027" w14:textId="77777777" w:rsidR="00862AC8" w:rsidRPr="006E6A95" w:rsidRDefault="00862AC8" w:rsidP="001E2BC0">
            <w:pPr>
              <w:jc w:val="both"/>
              <w:rPr>
                <w:rFonts w:asciiTheme="minorHAnsi" w:hAnsiTheme="minorHAnsi" w:cs="Calibri"/>
                <w:sz w:val="18"/>
                <w:szCs w:val="18"/>
              </w:rPr>
            </w:pPr>
            <w:r w:rsidRPr="006E6A95">
              <w:rPr>
                <w:rFonts w:asciiTheme="minorHAnsi" w:hAnsiTheme="minorHAnsi" w:cs="Calibri"/>
                <w:i/>
                <w:iCs/>
                <w:sz w:val="18"/>
                <w:szCs w:val="18"/>
              </w:rPr>
              <w:t xml:space="preserve">Reynoutria </w:t>
            </w:r>
            <w:r w:rsidRPr="006E6A95">
              <w:rPr>
                <w:rFonts w:asciiTheme="minorHAnsi" w:hAnsiTheme="minorHAnsi" w:cs="Calibri"/>
                <w:sz w:val="18"/>
                <w:szCs w:val="18"/>
              </w:rPr>
              <w:t xml:space="preserve">SP (knotweed)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2C20EC59" w14:textId="77777777" w:rsidR="00862AC8" w:rsidRPr="006E6A95" w:rsidRDefault="00862AC8" w:rsidP="001E2BC0">
            <w:pPr>
              <w:jc w:val="both"/>
              <w:rPr>
                <w:rFonts w:asciiTheme="minorHAnsi" w:hAnsiTheme="minorHAnsi" w:cs="Calibri"/>
                <w:sz w:val="18"/>
                <w:szCs w:val="18"/>
              </w:rPr>
            </w:pPr>
            <w:r w:rsidRPr="006E6A95">
              <w:rPr>
                <w:rFonts w:asciiTheme="minorHAnsi" w:hAnsiTheme="minorHAnsi" w:cs="Calibri"/>
                <w:sz w:val="18"/>
                <w:szCs w:val="18"/>
              </w:rPr>
              <w:t>Min. 5 m</w:t>
            </w:r>
          </w:p>
        </w:tc>
      </w:tr>
      <w:tr w:rsidR="00862AC8" w:rsidRPr="006E6A95" w14:paraId="6D85DE80" w14:textId="77777777" w:rsidTr="006E6A95">
        <w:tc>
          <w:tcPr>
            <w:tcW w:w="4531" w:type="dxa"/>
            <w:tcBorders>
              <w:top w:val="single" w:sz="4" w:space="0" w:color="auto"/>
              <w:left w:val="single" w:sz="4" w:space="0" w:color="auto"/>
              <w:bottom w:val="single" w:sz="4" w:space="0" w:color="auto"/>
              <w:right w:val="single" w:sz="4" w:space="0" w:color="auto"/>
            </w:tcBorders>
            <w:vAlign w:val="center"/>
            <w:hideMark/>
          </w:tcPr>
          <w:p w14:paraId="5DF48F5B" w14:textId="77777777" w:rsidR="00862AC8" w:rsidRPr="006E6A95" w:rsidRDefault="00862AC8" w:rsidP="001E2BC0">
            <w:pPr>
              <w:jc w:val="both"/>
              <w:rPr>
                <w:rFonts w:asciiTheme="minorHAnsi" w:hAnsiTheme="minorHAnsi" w:cs="Calibri"/>
                <w:sz w:val="18"/>
                <w:szCs w:val="18"/>
                <w:lang w:val="en-US"/>
              </w:rPr>
            </w:pPr>
            <w:r w:rsidRPr="006E6A95">
              <w:rPr>
                <w:rFonts w:asciiTheme="minorHAnsi" w:hAnsiTheme="minorHAnsi" w:cs="Calibri"/>
                <w:sz w:val="18"/>
                <w:szCs w:val="18"/>
                <w:lang w:val="en-US"/>
              </w:rPr>
              <w:t>Purple jewelweed (</w:t>
            </w:r>
            <w:r w:rsidRPr="006E6A95">
              <w:rPr>
                <w:rFonts w:asciiTheme="minorHAnsi" w:hAnsiTheme="minorHAnsi" w:cs="Calibri"/>
                <w:i/>
                <w:iCs/>
                <w:sz w:val="18"/>
                <w:szCs w:val="18"/>
                <w:lang w:val="en-US"/>
              </w:rPr>
              <w:t>Impatiens grandulifera</w:t>
            </w:r>
            <w:r w:rsidRPr="006E6A95">
              <w:rPr>
                <w:rFonts w:asciiTheme="minorHAnsi" w:hAnsiTheme="minorHAnsi" w:cs="Calibri"/>
                <w:sz w:val="18"/>
                <w:szCs w:val="18"/>
                <w:lang w:val="en-US"/>
              </w:rPr>
              <w:t>),</w:t>
            </w:r>
          </w:p>
          <w:p w14:paraId="0A2C71A0" w14:textId="77777777" w:rsidR="00862AC8" w:rsidRPr="006E6A95" w:rsidRDefault="00862AC8" w:rsidP="001E2BC0">
            <w:pPr>
              <w:jc w:val="both"/>
              <w:rPr>
                <w:rFonts w:asciiTheme="minorHAnsi" w:hAnsiTheme="minorHAnsi" w:cs="Calibri"/>
                <w:sz w:val="18"/>
                <w:szCs w:val="18"/>
                <w:lang w:val="en-US"/>
              </w:rPr>
            </w:pPr>
            <w:r w:rsidRPr="006E6A95">
              <w:rPr>
                <w:rFonts w:asciiTheme="minorHAnsi" w:hAnsiTheme="minorHAnsi" w:cs="Calibri"/>
                <w:sz w:val="18"/>
                <w:szCs w:val="18"/>
                <w:lang w:val="en-US"/>
              </w:rPr>
              <w:t>Garden lupin (</w:t>
            </w:r>
            <w:r w:rsidRPr="006E6A95">
              <w:rPr>
                <w:rFonts w:asciiTheme="minorHAnsi" w:hAnsiTheme="minorHAnsi" w:cs="Calibri"/>
                <w:i/>
                <w:iCs/>
                <w:sz w:val="18"/>
                <w:szCs w:val="18"/>
                <w:lang w:val="en-US"/>
              </w:rPr>
              <w:t>Lupinus polyphyllus</w:t>
            </w:r>
            <w:r w:rsidRPr="006E6A95">
              <w:rPr>
                <w:rFonts w:asciiTheme="minorHAnsi" w:hAnsiTheme="minorHAnsi" w:cs="Calibri"/>
                <w:sz w:val="18"/>
                <w:szCs w:val="18"/>
                <w:lang w:val="en-US"/>
              </w:rPr>
              <w:t>),</w:t>
            </w:r>
          </w:p>
          <w:p w14:paraId="660FB940" w14:textId="1C7EA364" w:rsidR="00862AC8" w:rsidRPr="006E6A95" w:rsidRDefault="008C2E74" w:rsidP="001E2BC0">
            <w:pPr>
              <w:jc w:val="both"/>
              <w:rPr>
                <w:rFonts w:asciiTheme="minorHAnsi" w:hAnsiTheme="minorHAnsi" w:cs="Calibri"/>
                <w:b/>
                <w:bCs/>
                <w:sz w:val="18"/>
                <w:szCs w:val="18"/>
                <w:lang w:val="en-US"/>
              </w:rPr>
            </w:pPr>
            <w:r w:rsidRPr="006E6A95">
              <w:rPr>
                <w:rFonts w:asciiTheme="minorHAnsi" w:hAnsiTheme="minorHAnsi" w:cs="Calibri"/>
                <w:sz w:val="18"/>
                <w:szCs w:val="18"/>
                <w:lang w:val="en-US"/>
              </w:rPr>
              <w:t>Wild cucumber</w:t>
            </w:r>
            <w:r w:rsidR="00862AC8" w:rsidRPr="006E6A95">
              <w:rPr>
                <w:rFonts w:asciiTheme="minorHAnsi" w:hAnsiTheme="minorHAnsi" w:cs="Calibri"/>
                <w:i/>
                <w:iCs/>
                <w:sz w:val="18"/>
                <w:szCs w:val="18"/>
                <w:lang w:val="en-US"/>
              </w:rPr>
              <w:t xml:space="preserve"> (Echinocystis lobata) </w:t>
            </w:r>
          </w:p>
          <w:p w14:paraId="0442B9F3" w14:textId="52332DC4" w:rsidR="00862AC8" w:rsidRPr="006E6A95" w:rsidRDefault="008C2E74" w:rsidP="001E2BC0">
            <w:pPr>
              <w:jc w:val="both"/>
              <w:rPr>
                <w:rFonts w:asciiTheme="minorHAnsi" w:hAnsiTheme="minorHAnsi" w:cs="Calibri"/>
                <w:sz w:val="18"/>
                <w:szCs w:val="18"/>
                <w:lang w:val="en-US"/>
              </w:rPr>
            </w:pPr>
            <w:r w:rsidRPr="006E6A95">
              <w:rPr>
                <w:rFonts w:asciiTheme="minorHAnsi" w:hAnsiTheme="minorHAnsi" w:cs="Calibri"/>
                <w:sz w:val="18"/>
                <w:szCs w:val="18"/>
                <w:lang w:val="en-US"/>
              </w:rPr>
              <w:t>Redroot pigweed</w:t>
            </w:r>
            <w:r w:rsidR="00862AC8" w:rsidRPr="006E6A95">
              <w:rPr>
                <w:rFonts w:asciiTheme="minorHAnsi" w:hAnsiTheme="minorHAnsi" w:cs="Calibri"/>
                <w:sz w:val="18"/>
                <w:szCs w:val="18"/>
                <w:lang w:val="en-US"/>
              </w:rPr>
              <w:t xml:space="preserve"> (</w:t>
            </w:r>
            <w:r w:rsidR="00862AC8" w:rsidRPr="006E6A95">
              <w:rPr>
                <w:rFonts w:asciiTheme="minorHAnsi" w:hAnsiTheme="minorHAnsi" w:cs="Calibri"/>
                <w:i/>
                <w:iCs/>
                <w:sz w:val="18"/>
                <w:szCs w:val="18"/>
                <w:lang w:val="en-US"/>
              </w:rPr>
              <w:t>Amaranthus retroflexus</w:t>
            </w:r>
            <w:r w:rsidR="00862AC8" w:rsidRPr="006E6A95">
              <w:rPr>
                <w:rFonts w:asciiTheme="minorHAnsi" w:hAnsiTheme="minorHAnsi" w:cs="Calibri"/>
                <w:sz w:val="18"/>
                <w:szCs w:val="18"/>
                <w:lang w:val="en-US"/>
              </w:rPr>
              <w:t>),</w:t>
            </w:r>
          </w:p>
          <w:p w14:paraId="0EE44FC2" w14:textId="4ADD0DA3" w:rsidR="00862AC8" w:rsidRPr="006E6A95" w:rsidRDefault="00F6177A" w:rsidP="001E2BC0">
            <w:pPr>
              <w:jc w:val="both"/>
              <w:rPr>
                <w:rFonts w:asciiTheme="minorHAnsi" w:hAnsiTheme="minorHAnsi" w:cs="Calibri"/>
                <w:sz w:val="18"/>
                <w:szCs w:val="18"/>
                <w:lang w:val="en-US"/>
              </w:rPr>
            </w:pPr>
            <w:r w:rsidRPr="006E6A95">
              <w:rPr>
                <w:rFonts w:asciiTheme="minorHAnsi" w:hAnsiTheme="minorHAnsi" w:cs="Calibri"/>
                <w:sz w:val="18"/>
                <w:szCs w:val="18"/>
                <w:lang w:val="en-US"/>
              </w:rPr>
              <w:t>Common Foxglove</w:t>
            </w:r>
            <w:r w:rsidR="00862AC8" w:rsidRPr="006E6A95">
              <w:rPr>
                <w:rFonts w:asciiTheme="minorHAnsi" w:hAnsiTheme="minorHAnsi" w:cs="Calibri"/>
                <w:sz w:val="18"/>
                <w:szCs w:val="18"/>
                <w:lang w:val="en-US"/>
              </w:rPr>
              <w:t xml:space="preserve"> (</w:t>
            </w:r>
            <w:r w:rsidR="00862AC8" w:rsidRPr="006E6A95">
              <w:rPr>
                <w:rFonts w:asciiTheme="minorHAnsi" w:hAnsiTheme="minorHAnsi" w:cs="Calibri"/>
                <w:i/>
                <w:iCs/>
                <w:sz w:val="18"/>
                <w:szCs w:val="18"/>
                <w:lang w:val="en-US"/>
              </w:rPr>
              <w:t>Digitalis purpurea</w:t>
            </w:r>
            <w:r w:rsidR="00862AC8" w:rsidRPr="006E6A95">
              <w:rPr>
                <w:rFonts w:asciiTheme="minorHAnsi" w:hAnsiTheme="minorHAnsi" w:cs="Calibri"/>
                <w:sz w:val="18"/>
                <w:szCs w:val="18"/>
                <w:lang w:val="en-US"/>
              </w:rPr>
              <w:t>),</w:t>
            </w:r>
          </w:p>
          <w:p w14:paraId="67D48CF5" w14:textId="77777777" w:rsidR="00862AC8" w:rsidRPr="006E6A95" w:rsidRDefault="00862AC8" w:rsidP="001E2BC0">
            <w:pPr>
              <w:jc w:val="both"/>
              <w:rPr>
                <w:rFonts w:asciiTheme="minorHAnsi" w:hAnsiTheme="minorHAnsi" w:cs="Calibri"/>
                <w:sz w:val="18"/>
                <w:szCs w:val="18"/>
                <w:lang w:val="en-US"/>
              </w:rPr>
            </w:pPr>
            <w:r w:rsidRPr="006E6A95">
              <w:rPr>
                <w:rFonts w:asciiTheme="minorHAnsi" w:hAnsiTheme="minorHAnsi" w:cs="Calibri"/>
                <w:sz w:val="18"/>
                <w:szCs w:val="18"/>
                <w:lang w:val="en-US"/>
              </w:rPr>
              <w:t>Sosnowski's hogweed (</w:t>
            </w:r>
            <w:r w:rsidRPr="006E6A95">
              <w:rPr>
                <w:rFonts w:asciiTheme="minorHAnsi" w:hAnsiTheme="minorHAnsi" w:cs="Calibri"/>
                <w:i/>
                <w:iCs/>
                <w:sz w:val="18"/>
                <w:szCs w:val="18"/>
                <w:lang w:val="en-US"/>
              </w:rPr>
              <w:t>Heracleum sosnowskyi</w:t>
            </w:r>
            <w:r w:rsidRPr="006E6A95">
              <w:rPr>
                <w:rFonts w:asciiTheme="minorHAnsi" w:hAnsiTheme="minorHAnsi" w:cs="Calibri"/>
                <w:sz w:val="18"/>
                <w:szCs w:val="18"/>
                <w:lang w:val="en-US"/>
              </w:rPr>
              <w:t>),</w:t>
            </w:r>
          </w:p>
          <w:p w14:paraId="719D97B6" w14:textId="77777777" w:rsidR="00862AC8" w:rsidRPr="006E6A95" w:rsidRDefault="00862AC8" w:rsidP="001E2BC0">
            <w:pPr>
              <w:jc w:val="both"/>
              <w:rPr>
                <w:rFonts w:asciiTheme="minorHAnsi" w:hAnsiTheme="minorHAnsi" w:cs="Calibri"/>
                <w:i/>
                <w:iCs/>
                <w:sz w:val="18"/>
                <w:szCs w:val="18"/>
                <w:lang w:val="en-US"/>
              </w:rPr>
            </w:pPr>
            <w:r w:rsidRPr="006E6A95">
              <w:rPr>
                <w:rFonts w:asciiTheme="minorHAnsi" w:hAnsiTheme="minorHAnsi" w:cs="Calibri"/>
                <w:i/>
                <w:iCs/>
                <w:sz w:val="18"/>
                <w:szCs w:val="18"/>
                <w:lang w:val="en-US"/>
              </w:rPr>
              <w:t>Giant</w:t>
            </w:r>
            <w:r w:rsidRPr="006E6A95">
              <w:rPr>
                <w:rFonts w:asciiTheme="minorHAnsi" w:hAnsiTheme="minorHAnsi" w:cs="Calibri"/>
                <w:sz w:val="18"/>
                <w:szCs w:val="18"/>
                <w:lang w:val="en-US"/>
              </w:rPr>
              <w:t xml:space="preserve"> hogweed (</w:t>
            </w:r>
            <w:r w:rsidRPr="006E6A95">
              <w:rPr>
                <w:rFonts w:asciiTheme="minorHAnsi" w:hAnsiTheme="minorHAnsi" w:cs="Calibri"/>
                <w:i/>
                <w:iCs/>
                <w:sz w:val="18"/>
                <w:szCs w:val="18"/>
                <w:lang w:val="en-US"/>
              </w:rPr>
              <w:t xml:space="preserve">Heracleum mantegazzianum) </w:t>
            </w:r>
          </w:p>
          <w:p w14:paraId="603077C8" w14:textId="6B1636C2" w:rsidR="009556D9" w:rsidRPr="006E6A95" w:rsidRDefault="009556D9" w:rsidP="001E2BC0">
            <w:pPr>
              <w:jc w:val="both"/>
              <w:rPr>
                <w:rFonts w:asciiTheme="minorHAnsi" w:hAnsiTheme="minorHAnsi" w:cs="Calibri"/>
                <w:i/>
                <w:iCs/>
                <w:sz w:val="18"/>
                <w:szCs w:val="18"/>
                <w:lang w:val="en-US"/>
              </w:rPr>
            </w:pPr>
            <w:r w:rsidRPr="006E6A95">
              <w:rPr>
                <w:rFonts w:asciiTheme="minorHAnsi" w:hAnsiTheme="minorHAnsi" w:cs="Calibri"/>
                <w:sz w:val="18"/>
                <w:szCs w:val="18"/>
                <w:lang w:val="en-US"/>
              </w:rPr>
              <w:t>Monkeyflower (</w:t>
            </w:r>
            <w:r w:rsidRPr="006E6A95">
              <w:rPr>
                <w:rFonts w:asciiTheme="minorHAnsi" w:hAnsiTheme="minorHAnsi" w:cs="Calibri"/>
                <w:i/>
                <w:iCs/>
                <w:sz w:val="18"/>
                <w:szCs w:val="18"/>
                <w:lang w:val="en-US"/>
              </w:rPr>
              <w:t>Mimulus guttatus)</w:t>
            </w:r>
          </w:p>
        </w:tc>
        <w:tc>
          <w:tcPr>
            <w:tcW w:w="4536" w:type="dxa"/>
            <w:tcBorders>
              <w:top w:val="single" w:sz="4" w:space="0" w:color="auto"/>
              <w:left w:val="single" w:sz="4" w:space="0" w:color="auto"/>
              <w:bottom w:val="single" w:sz="4" w:space="0" w:color="auto"/>
              <w:right w:val="single" w:sz="4" w:space="0" w:color="auto"/>
            </w:tcBorders>
            <w:vAlign w:val="center"/>
            <w:hideMark/>
          </w:tcPr>
          <w:p w14:paraId="3E701942" w14:textId="77777777" w:rsidR="00862AC8" w:rsidRPr="006E6A95" w:rsidRDefault="00862AC8" w:rsidP="001E2BC0">
            <w:pPr>
              <w:jc w:val="both"/>
              <w:rPr>
                <w:rFonts w:asciiTheme="minorHAnsi" w:hAnsiTheme="minorHAnsi" w:cs="Calibri"/>
                <w:sz w:val="18"/>
                <w:szCs w:val="18"/>
              </w:rPr>
            </w:pPr>
            <w:r w:rsidRPr="006E6A95">
              <w:rPr>
                <w:rFonts w:asciiTheme="minorHAnsi" w:hAnsiTheme="minorHAnsi" w:cs="Calibri"/>
                <w:sz w:val="18"/>
                <w:szCs w:val="18"/>
              </w:rPr>
              <w:t>Min. 2 m</w:t>
            </w:r>
          </w:p>
        </w:tc>
      </w:tr>
      <w:tr w:rsidR="00862AC8" w:rsidRPr="006E6A95" w14:paraId="76BF2E1C" w14:textId="77777777" w:rsidTr="006E6A95">
        <w:tc>
          <w:tcPr>
            <w:tcW w:w="4531" w:type="dxa"/>
            <w:tcBorders>
              <w:top w:val="single" w:sz="4" w:space="0" w:color="auto"/>
              <w:left w:val="single" w:sz="4" w:space="0" w:color="auto"/>
              <w:bottom w:val="single" w:sz="4" w:space="0" w:color="auto"/>
              <w:right w:val="single" w:sz="4" w:space="0" w:color="auto"/>
            </w:tcBorders>
            <w:vAlign w:val="center"/>
            <w:hideMark/>
          </w:tcPr>
          <w:p w14:paraId="43B5D96C" w14:textId="77777777" w:rsidR="00862AC8" w:rsidRPr="006E6A95" w:rsidRDefault="00862AC8" w:rsidP="001E2BC0">
            <w:pPr>
              <w:jc w:val="both"/>
              <w:rPr>
                <w:rFonts w:asciiTheme="minorHAnsi" w:hAnsiTheme="minorHAnsi" w:cs="Calibri"/>
                <w:sz w:val="18"/>
                <w:szCs w:val="18"/>
                <w:lang w:val="en-US"/>
              </w:rPr>
            </w:pPr>
            <w:r w:rsidRPr="006E6A95">
              <w:rPr>
                <w:rFonts w:asciiTheme="minorHAnsi" w:hAnsiTheme="minorHAnsi" w:cs="Calibri"/>
                <w:b/>
                <w:bCs/>
                <w:sz w:val="18"/>
                <w:szCs w:val="18"/>
                <w:lang w:val="en-US"/>
              </w:rPr>
              <w:t>Rugosa rose (</w:t>
            </w:r>
            <w:r w:rsidRPr="006E6A95">
              <w:rPr>
                <w:rFonts w:asciiTheme="minorHAnsi" w:hAnsiTheme="minorHAnsi" w:cs="Calibri"/>
                <w:b/>
                <w:bCs/>
                <w:i/>
                <w:iCs/>
                <w:sz w:val="18"/>
                <w:szCs w:val="18"/>
                <w:lang w:val="en-US"/>
              </w:rPr>
              <w:t>Rosa rugosa</w:t>
            </w:r>
            <w:r w:rsidRPr="006E6A95">
              <w:rPr>
                <w:rFonts w:asciiTheme="minorHAnsi" w:hAnsiTheme="minorHAnsi" w:cs="Calibri"/>
                <w:b/>
                <w:bCs/>
                <w:sz w:val="18"/>
                <w:szCs w:val="18"/>
                <w:lang w:val="en-US"/>
              </w:rPr>
              <w:t>),</w:t>
            </w:r>
          </w:p>
          <w:p w14:paraId="3262E711" w14:textId="77777777" w:rsidR="00862AC8" w:rsidRPr="006E6A95" w:rsidRDefault="00862AC8" w:rsidP="001E2BC0">
            <w:pPr>
              <w:jc w:val="both"/>
              <w:rPr>
                <w:rFonts w:asciiTheme="minorHAnsi" w:hAnsiTheme="minorHAnsi" w:cs="Calibri"/>
                <w:sz w:val="18"/>
                <w:szCs w:val="18"/>
                <w:lang w:val="en-US"/>
              </w:rPr>
            </w:pPr>
            <w:r w:rsidRPr="006E6A95">
              <w:rPr>
                <w:rFonts w:asciiTheme="minorHAnsi" w:hAnsiTheme="minorHAnsi" w:cs="Calibri"/>
                <w:b/>
                <w:bCs/>
                <w:i/>
                <w:iCs/>
                <w:sz w:val="18"/>
                <w:szCs w:val="18"/>
                <w:lang w:val="en-US"/>
              </w:rPr>
              <w:t>Giant</w:t>
            </w:r>
            <w:r w:rsidRPr="006E6A95">
              <w:rPr>
                <w:rFonts w:asciiTheme="minorHAnsi" w:hAnsiTheme="minorHAnsi" w:cs="Calibri"/>
                <w:b/>
                <w:bCs/>
                <w:sz w:val="18"/>
                <w:szCs w:val="18"/>
                <w:lang w:val="en-US"/>
              </w:rPr>
              <w:t xml:space="preserve"> goldenrod (</w:t>
            </w:r>
            <w:r w:rsidRPr="006E6A95">
              <w:rPr>
                <w:rFonts w:asciiTheme="minorHAnsi" w:hAnsiTheme="minorHAnsi" w:cs="Calibri"/>
                <w:b/>
                <w:bCs/>
                <w:i/>
                <w:iCs/>
                <w:sz w:val="18"/>
                <w:szCs w:val="18"/>
                <w:lang w:val="en-US"/>
              </w:rPr>
              <w:t>Solidago gigantea</w:t>
            </w:r>
            <w:r w:rsidRPr="006E6A95">
              <w:rPr>
                <w:rFonts w:asciiTheme="minorHAnsi" w:hAnsiTheme="minorHAnsi" w:cs="Calibri"/>
                <w:b/>
                <w:bCs/>
                <w:sz w:val="18"/>
                <w:szCs w:val="18"/>
                <w:lang w:val="en-US"/>
              </w:rPr>
              <w:t>),</w:t>
            </w:r>
          </w:p>
          <w:p w14:paraId="1747410F" w14:textId="77777777" w:rsidR="00862AC8" w:rsidRPr="006E6A95" w:rsidRDefault="00862AC8" w:rsidP="001E2BC0">
            <w:pPr>
              <w:jc w:val="both"/>
              <w:rPr>
                <w:rFonts w:asciiTheme="minorHAnsi" w:hAnsiTheme="minorHAnsi" w:cs="Calibri"/>
                <w:b/>
                <w:bCs/>
                <w:sz w:val="18"/>
                <w:szCs w:val="18"/>
                <w:lang w:val="en-US"/>
              </w:rPr>
            </w:pPr>
            <w:r w:rsidRPr="006E6A95">
              <w:rPr>
                <w:rFonts w:asciiTheme="minorHAnsi" w:hAnsiTheme="minorHAnsi" w:cs="Calibri"/>
                <w:b/>
                <w:bCs/>
                <w:sz w:val="18"/>
                <w:szCs w:val="18"/>
                <w:lang w:val="en-US"/>
              </w:rPr>
              <w:t>Canadian goldenrod (</w:t>
            </w:r>
            <w:r w:rsidRPr="006E6A95">
              <w:rPr>
                <w:rFonts w:asciiTheme="minorHAnsi" w:hAnsiTheme="minorHAnsi" w:cs="Calibri"/>
                <w:b/>
                <w:bCs/>
                <w:i/>
                <w:iCs/>
                <w:sz w:val="18"/>
                <w:szCs w:val="18"/>
                <w:lang w:val="en-US"/>
              </w:rPr>
              <w:t>Solidago canadensis</w:t>
            </w:r>
            <w:r w:rsidRPr="006E6A95">
              <w:rPr>
                <w:rFonts w:asciiTheme="minorHAnsi" w:hAnsiTheme="minorHAnsi" w:cs="Calibri"/>
                <w:b/>
                <w:bCs/>
                <w:sz w:val="18"/>
                <w:szCs w:val="18"/>
                <w:lang w:val="en-US"/>
              </w:rPr>
              <w:t>),</w:t>
            </w:r>
          </w:p>
          <w:p w14:paraId="239793AC" w14:textId="77777777" w:rsidR="00862AC8" w:rsidRPr="006E6A95" w:rsidRDefault="00862AC8" w:rsidP="001E2BC0">
            <w:pPr>
              <w:jc w:val="both"/>
              <w:rPr>
                <w:rFonts w:asciiTheme="minorHAnsi" w:hAnsiTheme="minorHAnsi" w:cs="Calibri"/>
                <w:b/>
                <w:bCs/>
                <w:sz w:val="18"/>
                <w:szCs w:val="18"/>
                <w:lang w:val="en-US"/>
              </w:rPr>
            </w:pPr>
            <w:r w:rsidRPr="006E6A95">
              <w:rPr>
                <w:rFonts w:asciiTheme="minorHAnsi" w:hAnsiTheme="minorHAnsi" w:cs="Calibri"/>
                <w:b/>
                <w:bCs/>
                <w:sz w:val="18"/>
                <w:szCs w:val="18"/>
                <w:lang w:val="en-US"/>
              </w:rPr>
              <w:t xml:space="preserve">Dwarf serviceberry </w:t>
            </w:r>
            <w:r w:rsidRPr="006E6A95">
              <w:rPr>
                <w:rFonts w:asciiTheme="minorHAnsi" w:hAnsiTheme="minorHAnsi" w:cs="Calibri"/>
                <w:b/>
                <w:bCs/>
                <w:i/>
                <w:iCs/>
                <w:sz w:val="18"/>
                <w:szCs w:val="18"/>
                <w:lang w:val="en-US"/>
              </w:rPr>
              <w:t>Amelanchier spicata</w:t>
            </w:r>
            <w:r w:rsidRPr="006E6A95">
              <w:rPr>
                <w:rFonts w:asciiTheme="minorHAnsi" w:hAnsiTheme="minorHAnsi" w:cs="Calibri"/>
                <w:b/>
                <w:bCs/>
                <w:sz w:val="18"/>
                <w:szCs w:val="18"/>
                <w:lang w:val="en-US"/>
              </w:rPr>
              <w:t>,</w:t>
            </w:r>
          </w:p>
          <w:p w14:paraId="0909024F" w14:textId="77777777" w:rsidR="00862AC8" w:rsidRPr="006E6A95" w:rsidRDefault="00862AC8" w:rsidP="001E2BC0">
            <w:pPr>
              <w:jc w:val="both"/>
              <w:rPr>
                <w:rFonts w:asciiTheme="minorHAnsi" w:hAnsiTheme="minorHAnsi" w:cs="Calibri"/>
                <w:b/>
                <w:bCs/>
                <w:sz w:val="18"/>
                <w:szCs w:val="18"/>
                <w:lang w:val="en-US"/>
              </w:rPr>
            </w:pPr>
            <w:r w:rsidRPr="006E6A95">
              <w:rPr>
                <w:rFonts w:asciiTheme="minorHAnsi" w:hAnsiTheme="minorHAnsi" w:cs="Calibri"/>
                <w:b/>
                <w:bCs/>
                <w:sz w:val="18"/>
                <w:szCs w:val="18"/>
                <w:lang w:val="en-US"/>
              </w:rPr>
              <w:t>Steeplebush (</w:t>
            </w:r>
            <w:r w:rsidRPr="006E6A95">
              <w:rPr>
                <w:rFonts w:asciiTheme="minorHAnsi" w:hAnsiTheme="minorHAnsi" w:cs="Calibri"/>
                <w:b/>
                <w:bCs/>
                <w:i/>
                <w:iCs/>
                <w:sz w:val="18"/>
                <w:szCs w:val="18"/>
                <w:lang w:val="en-US"/>
              </w:rPr>
              <w:t>Spiraea tomentosa</w:t>
            </w:r>
            <w:r w:rsidRPr="006E6A95">
              <w:rPr>
                <w:rFonts w:asciiTheme="minorHAnsi" w:hAnsiTheme="minorHAnsi" w:cs="Calibri"/>
                <w:b/>
                <w:bCs/>
                <w:sz w:val="18"/>
                <w:szCs w:val="18"/>
                <w:lang w:val="en-US"/>
              </w:rPr>
              <w:t>),</w:t>
            </w:r>
          </w:p>
          <w:p w14:paraId="39AA357D" w14:textId="77777777" w:rsidR="00862AC8" w:rsidRPr="006E6A95" w:rsidRDefault="00862AC8" w:rsidP="001E2BC0">
            <w:pPr>
              <w:jc w:val="both"/>
              <w:rPr>
                <w:rFonts w:asciiTheme="minorHAnsi" w:hAnsiTheme="minorHAnsi" w:cs="Calibri"/>
                <w:b/>
                <w:bCs/>
                <w:sz w:val="18"/>
                <w:szCs w:val="18"/>
                <w:lang w:val="en-US"/>
              </w:rPr>
            </w:pPr>
            <w:r w:rsidRPr="006E6A95">
              <w:rPr>
                <w:rFonts w:asciiTheme="minorHAnsi" w:hAnsiTheme="minorHAnsi" w:cs="Calibri"/>
                <w:b/>
                <w:bCs/>
                <w:sz w:val="18"/>
                <w:szCs w:val="18"/>
                <w:lang w:val="en-US"/>
              </w:rPr>
              <w:t>Spotted yellowroot (</w:t>
            </w:r>
            <w:r w:rsidRPr="006E6A95">
              <w:rPr>
                <w:rFonts w:asciiTheme="minorHAnsi" w:hAnsiTheme="minorHAnsi" w:cs="Calibri"/>
                <w:b/>
                <w:bCs/>
                <w:i/>
                <w:iCs/>
                <w:sz w:val="18"/>
                <w:szCs w:val="18"/>
                <w:lang w:val="en-US"/>
              </w:rPr>
              <w:t>Lysimachia punctata</w:t>
            </w:r>
            <w:r w:rsidRPr="006E6A95">
              <w:rPr>
                <w:rFonts w:asciiTheme="minorHAnsi" w:hAnsiTheme="minorHAnsi" w:cs="Calibri"/>
                <w:b/>
                <w:bCs/>
                <w:sz w:val="18"/>
                <w:szCs w:val="18"/>
                <w:lang w:val="en-US"/>
              </w:rPr>
              <w:t>),</w:t>
            </w:r>
          </w:p>
          <w:p w14:paraId="51D2DD5E" w14:textId="0F3816D0" w:rsidR="00862AC8" w:rsidRPr="006E6A95" w:rsidRDefault="00F73EBD" w:rsidP="001E2BC0">
            <w:pPr>
              <w:jc w:val="both"/>
              <w:rPr>
                <w:rFonts w:asciiTheme="minorHAnsi" w:hAnsiTheme="minorHAnsi" w:cs="Calibri"/>
                <w:b/>
                <w:bCs/>
                <w:sz w:val="18"/>
                <w:szCs w:val="18"/>
                <w:lang w:val="en-US"/>
              </w:rPr>
            </w:pPr>
            <w:r w:rsidRPr="006E6A95">
              <w:rPr>
                <w:rFonts w:asciiTheme="minorHAnsi" w:hAnsiTheme="minorHAnsi" w:cs="Calibri"/>
                <w:b/>
                <w:bCs/>
                <w:i/>
                <w:iCs/>
                <w:sz w:val="18"/>
                <w:szCs w:val="18"/>
                <w:lang w:val="en-US"/>
              </w:rPr>
              <w:t>Yellow oxeye (</w:t>
            </w:r>
            <w:r w:rsidR="00862AC8" w:rsidRPr="006E6A95">
              <w:rPr>
                <w:rFonts w:asciiTheme="minorHAnsi" w:hAnsiTheme="minorHAnsi" w:cs="Calibri"/>
                <w:b/>
                <w:bCs/>
                <w:i/>
                <w:iCs/>
                <w:sz w:val="18"/>
                <w:szCs w:val="18"/>
                <w:lang w:val="en-US"/>
              </w:rPr>
              <w:t>Telekia speciosa</w:t>
            </w:r>
            <w:r w:rsidRPr="006E6A95">
              <w:rPr>
                <w:rFonts w:asciiTheme="minorHAnsi" w:hAnsiTheme="minorHAnsi" w:cs="Calibri"/>
                <w:b/>
                <w:bCs/>
                <w:i/>
                <w:iCs/>
                <w:sz w:val="18"/>
                <w:szCs w:val="18"/>
                <w:lang w:val="en-US"/>
              </w:rPr>
              <w:t>)</w:t>
            </w:r>
            <w:r w:rsidR="00862AC8" w:rsidRPr="006E6A95">
              <w:rPr>
                <w:rFonts w:asciiTheme="minorHAnsi" w:hAnsiTheme="minorHAnsi" w:cs="Calibri"/>
                <w:b/>
                <w:bCs/>
                <w:sz w:val="18"/>
                <w:szCs w:val="18"/>
                <w:lang w:val="en-US"/>
              </w:rPr>
              <w:t>,</w:t>
            </w:r>
          </w:p>
          <w:p w14:paraId="79C3737A" w14:textId="433A107A" w:rsidR="00862AC8" w:rsidRPr="006E6A95" w:rsidRDefault="008C2E74" w:rsidP="001E2BC0">
            <w:pPr>
              <w:jc w:val="both"/>
              <w:rPr>
                <w:rFonts w:asciiTheme="minorHAnsi" w:hAnsiTheme="minorHAnsi" w:cs="Calibri"/>
                <w:b/>
                <w:bCs/>
                <w:sz w:val="18"/>
                <w:szCs w:val="18"/>
                <w:lang w:val="en-US"/>
              </w:rPr>
            </w:pPr>
            <w:r w:rsidRPr="006E6A95">
              <w:rPr>
                <w:rFonts w:asciiTheme="minorHAnsi" w:hAnsiTheme="minorHAnsi" w:cs="Calibri"/>
                <w:b/>
                <w:bCs/>
                <w:i/>
                <w:iCs/>
                <w:sz w:val="18"/>
                <w:szCs w:val="18"/>
                <w:lang w:val="en-US"/>
              </w:rPr>
              <w:t xml:space="preserve">Knotweed </w:t>
            </w:r>
            <w:r w:rsidR="00F73EBD" w:rsidRPr="006E6A95">
              <w:rPr>
                <w:rFonts w:asciiTheme="minorHAnsi" w:hAnsiTheme="minorHAnsi" w:cs="Calibri"/>
                <w:b/>
                <w:bCs/>
                <w:i/>
                <w:iCs/>
                <w:sz w:val="18"/>
                <w:szCs w:val="18"/>
                <w:lang w:val="en-US"/>
              </w:rPr>
              <w:t>(</w:t>
            </w:r>
            <w:r w:rsidR="00862AC8" w:rsidRPr="006E6A95">
              <w:rPr>
                <w:rFonts w:asciiTheme="minorHAnsi" w:hAnsiTheme="minorHAnsi" w:cs="Calibri"/>
                <w:b/>
                <w:bCs/>
                <w:i/>
                <w:iCs/>
                <w:sz w:val="18"/>
                <w:szCs w:val="18"/>
                <w:lang w:val="en-US"/>
              </w:rPr>
              <w:t xml:space="preserve">Reynoutria </w:t>
            </w:r>
            <w:r w:rsidR="00862AC8" w:rsidRPr="006E6A95">
              <w:rPr>
                <w:rFonts w:asciiTheme="minorHAnsi" w:hAnsiTheme="minorHAnsi" w:cs="Calibri"/>
                <w:b/>
                <w:bCs/>
                <w:sz w:val="18"/>
                <w:szCs w:val="18"/>
                <w:lang w:val="en-US"/>
              </w:rPr>
              <w:t>SP.</w:t>
            </w:r>
            <w:r w:rsidR="00F73EBD" w:rsidRPr="006E6A95">
              <w:rPr>
                <w:rFonts w:asciiTheme="minorHAnsi" w:hAnsiTheme="minorHAnsi" w:cs="Calibri"/>
                <w:b/>
                <w:bCs/>
                <w:sz w:val="18"/>
                <w:szCs w:val="18"/>
                <w:lang w:val="en-US"/>
              </w:rPr>
              <w:t>)</w:t>
            </w:r>
          </w:p>
          <w:p w14:paraId="21833AA3" w14:textId="2CBA1663" w:rsidR="009556D9" w:rsidRPr="006E6A95" w:rsidRDefault="009556D9" w:rsidP="001E2BC0">
            <w:pPr>
              <w:jc w:val="both"/>
              <w:rPr>
                <w:rFonts w:asciiTheme="minorHAnsi" w:hAnsiTheme="minorHAnsi" w:cs="Calibri"/>
                <w:b/>
                <w:bCs/>
                <w:i/>
                <w:iCs/>
                <w:sz w:val="18"/>
                <w:szCs w:val="18"/>
              </w:rPr>
            </w:pPr>
            <w:r w:rsidRPr="006E6A95">
              <w:rPr>
                <w:rFonts w:asciiTheme="minorHAnsi" w:hAnsiTheme="minorHAnsi" w:cs="Calibri"/>
                <w:b/>
                <w:bCs/>
                <w:sz w:val="18"/>
                <w:szCs w:val="18"/>
              </w:rPr>
              <w:t>Cutleaf coneflower (</w:t>
            </w:r>
            <w:r w:rsidRPr="006E6A95">
              <w:rPr>
                <w:rFonts w:asciiTheme="minorHAnsi" w:hAnsiTheme="minorHAnsi" w:cs="Calibri"/>
                <w:b/>
                <w:bCs/>
                <w:i/>
                <w:iCs/>
                <w:sz w:val="18"/>
                <w:szCs w:val="18"/>
              </w:rPr>
              <w:t>Rudbeckia laciniata)</w:t>
            </w:r>
          </w:p>
        </w:tc>
        <w:tc>
          <w:tcPr>
            <w:tcW w:w="4536" w:type="dxa"/>
            <w:tcBorders>
              <w:top w:val="single" w:sz="4" w:space="0" w:color="auto"/>
              <w:left w:val="single" w:sz="4" w:space="0" w:color="auto"/>
              <w:bottom w:val="single" w:sz="4" w:space="0" w:color="auto"/>
              <w:right w:val="single" w:sz="4" w:space="0" w:color="auto"/>
            </w:tcBorders>
            <w:vAlign w:val="center"/>
            <w:hideMark/>
          </w:tcPr>
          <w:p w14:paraId="426D50BD" w14:textId="77777777" w:rsidR="00862AC8" w:rsidRPr="006E6A95" w:rsidRDefault="00862AC8" w:rsidP="001E2BC0">
            <w:pPr>
              <w:jc w:val="both"/>
              <w:rPr>
                <w:rFonts w:asciiTheme="minorHAnsi" w:hAnsiTheme="minorHAnsi" w:cs="Calibri"/>
                <w:sz w:val="18"/>
                <w:szCs w:val="18"/>
              </w:rPr>
            </w:pPr>
            <w:r w:rsidRPr="006E6A95">
              <w:rPr>
                <w:rFonts w:asciiTheme="minorHAnsi" w:hAnsiTheme="minorHAnsi" w:cs="Calibri"/>
                <w:sz w:val="18"/>
                <w:szCs w:val="18"/>
              </w:rPr>
              <w:t>Min. 2 m + geotextile membrane</w:t>
            </w:r>
          </w:p>
        </w:tc>
      </w:tr>
    </w:tbl>
    <w:p w14:paraId="7791B3B2" w14:textId="77777777" w:rsidR="00862AC8" w:rsidRPr="00626277" w:rsidRDefault="00862AC8" w:rsidP="00862AC8"/>
    <w:p w14:paraId="07C6F63C" w14:textId="77777777" w:rsidR="00862AC8" w:rsidRPr="006E6A95" w:rsidRDefault="00862AC8" w:rsidP="006E6A95">
      <w:pPr>
        <w:spacing w:after="120" w:line="276" w:lineRule="auto"/>
        <w:jc w:val="both"/>
        <w:rPr>
          <w:rFonts w:asciiTheme="minorHAnsi" w:hAnsiTheme="minorHAnsi"/>
          <w:sz w:val="24"/>
          <w:szCs w:val="24"/>
          <w:lang w:val="en-US"/>
        </w:rPr>
      </w:pPr>
      <w:r w:rsidRPr="006E6A95">
        <w:rPr>
          <w:rFonts w:asciiTheme="minorHAnsi" w:hAnsiTheme="minorHAnsi"/>
          <w:sz w:val="24"/>
          <w:szCs w:val="24"/>
          <w:lang w:val="en-US"/>
        </w:rPr>
        <w:t>A geomembrane can be used to bury the knotweed at a depth of at least 2 m below ground level instead of 5 m. The geomembrane used to line the walls and bottom of the excavation should be: undamaged, large enough to minimize the need for seams, capable of containing the entire volume of plant biomass, UV-resistant, and capable of remaining intact for at least 50 years.</w:t>
      </w:r>
    </w:p>
    <w:p w14:paraId="0B95AAD2" w14:textId="551856C5" w:rsidR="00862AC8" w:rsidRPr="006E6A95" w:rsidRDefault="00862AC8" w:rsidP="00862AC8">
      <w:pPr>
        <w:pStyle w:val="Heading4"/>
        <w:rPr>
          <w:i w:val="0"/>
          <w:iCs w:val="0"/>
          <w:sz w:val="24"/>
          <w:szCs w:val="24"/>
          <w:lang w:val="en-US"/>
        </w:rPr>
      </w:pPr>
      <w:r w:rsidRPr="006E6A95">
        <w:rPr>
          <w:i w:val="0"/>
          <w:iCs w:val="0"/>
          <w:sz w:val="24"/>
          <w:szCs w:val="24"/>
          <w:lang w:val="en-US"/>
        </w:rPr>
        <w:t>3.2.1.1. Management of Contaminated Soil</w:t>
      </w:r>
    </w:p>
    <w:p w14:paraId="4F8BA90F" w14:textId="77777777" w:rsidR="00862AC8" w:rsidRPr="00AE2500" w:rsidRDefault="00862AC8" w:rsidP="00AE2500">
      <w:pPr>
        <w:spacing w:after="120" w:line="276" w:lineRule="auto"/>
        <w:jc w:val="both"/>
        <w:rPr>
          <w:rFonts w:asciiTheme="minorHAnsi" w:hAnsiTheme="minorHAnsi"/>
          <w:sz w:val="24"/>
          <w:szCs w:val="24"/>
          <w:lang w:val="en-US"/>
        </w:rPr>
      </w:pPr>
      <w:r w:rsidRPr="00AE2500">
        <w:rPr>
          <w:rFonts w:asciiTheme="minorHAnsi" w:hAnsiTheme="minorHAnsi"/>
          <w:sz w:val="24"/>
          <w:szCs w:val="24"/>
          <w:lang w:val="en-US"/>
        </w:rPr>
        <w:t>It is assumed that there will be small clumps of invasive species and that the volume of excavated soil will be less than 400 m</w:t>
      </w:r>
      <w:r w:rsidRPr="00AE2500">
        <w:rPr>
          <w:rFonts w:asciiTheme="minorHAnsi" w:hAnsiTheme="minorHAnsi"/>
          <w:sz w:val="24"/>
          <w:szCs w:val="24"/>
          <w:vertAlign w:val="superscript"/>
          <w:lang w:val="en-US"/>
        </w:rPr>
        <w:t>3</w:t>
      </w:r>
      <w:r w:rsidRPr="00AE2500">
        <w:rPr>
          <w:rFonts w:asciiTheme="minorHAnsi" w:hAnsiTheme="minorHAnsi"/>
          <w:sz w:val="24"/>
          <w:szCs w:val="24"/>
          <w:lang w:val="en-US"/>
        </w:rPr>
        <w:t xml:space="preserve">  (in accordance with the technical parameters of soil specified in the Polish Standard PN-B-03020:1981</w:t>
      </w:r>
      <w:r w:rsidRPr="00AE2500">
        <w:rPr>
          <w:rFonts w:asciiTheme="minorHAnsi" w:hAnsiTheme="minorHAnsi"/>
          <w:sz w:val="24"/>
          <w:szCs w:val="24"/>
          <w:vertAlign w:val="superscript"/>
        </w:rPr>
        <w:footnoteReference w:id="55"/>
      </w:r>
      <w:r w:rsidRPr="00AE2500">
        <w:rPr>
          <w:rFonts w:asciiTheme="minorHAnsi" w:hAnsiTheme="minorHAnsi"/>
          <w:sz w:val="24"/>
          <w:szCs w:val="24"/>
          <w:lang w:val="en-US"/>
        </w:rPr>
        <w:t xml:space="preserve"> ), most cohesive and non-cohesive soils within the planned project area have a density of approximately 2.65 g/cm³. Based on this, it can be assumed that 1,000 metric tons of soil will occupy approximately 400 m³ of volume, which can be calculated on-site (e.g., the excavation area must not exceed 20 m × 10 m × 2 m), it is permissible to screen the soil using screens, such as a drum screen (with a minimum mesh size of less than 0.5 cm), to separate plant material from the soil and place it in stockpiles. </w:t>
      </w:r>
    </w:p>
    <w:p w14:paraId="3BE171C7" w14:textId="77777777" w:rsidR="00862AC8" w:rsidRPr="00AE2500" w:rsidRDefault="00862AC8" w:rsidP="00AE2500">
      <w:pPr>
        <w:spacing w:after="120" w:line="276" w:lineRule="auto"/>
        <w:jc w:val="both"/>
        <w:rPr>
          <w:rFonts w:asciiTheme="minorHAnsi" w:hAnsiTheme="minorHAnsi"/>
          <w:sz w:val="24"/>
          <w:szCs w:val="24"/>
          <w:lang w:val="en-US"/>
        </w:rPr>
      </w:pPr>
      <w:r w:rsidRPr="00AE2500">
        <w:rPr>
          <w:rFonts w:asciiTheme="minorHAnsi" w:hAnsiTheme="minorHAnsi"/>
          <w:sz w:val="24"/>
          <w:szCs w:val="24"/>
          <w:lang w:val="en-US"/>
        </w:rPr>
        <w:t>The screened soil should be inspected by a specialist to determine whether it can be reused or should be considered contaminated and buried along with the appropriate plant material (</w:t>
      </w:r>
      <w:r w:rsidRPr="00AE2500">
        <w:rPr>
          <w:rFonts w:asciiTheme="minorHAnsi" w:hAnsiTheme="minorHAnsi"/>
          <w:sz w:val="24"/>
          <w:szCs w:val="24"/>
          <w:u w:val="single"/>
          <w:lang w:val="en-US"/>
        </w:rPr>
        <w:t>this does not apply to soil where knotweed grew</w:t>
      </w:r>
      <w:r w:rsidRPr="00AE2500">
        <w:rPr>
          <w:rFonts w:asciiTheme="minorHAnsi" w:hAnsiTheme="minorHAnsi"/>
          <w:sz w:val="24"/>
          <w:szCs w:val="24"/>
          <w:lang w:val="en-US"/>
        </w:rPr>
        <w:t xml:space="preserve">). If the volume of excavated soil exceeds 400 </w:t>
      </w:r>
      <w:r w:rsidRPr="00AE2500">
        <w:rPr>
          <w:rFonts w:asciiTheme="minorHAnsi" w:hAnsiTheme="minorHAnsi"/>
          <w:sz w:val="24"/>
          <w:szCs w:val="24"/>
          <w:vertAlign w:val="superscript"/>
          <w:lang w:val="en-US"/>
        </w:rPr>
        <w:t>m³</w:t>
      </w:r>
      <w:r w:rsidRPr="00AE2500">
        <w:rPr>
          <w:rFonts w:asciiTheme="minorHAnsi" w:hAnsiTheme="minorHAnsi"/>
          <w:sz w:val="24"/>
          <w:szCs w:val="24"/>
          <w:lang w:val="en-US"/>
        </w:rPr>
        <w:t xml:space="preserve">(or may contain parts of Japanese knotweed), it must be secured in accordance with the transportation guidelines in Section 3.2.3 and transported for disposal to an appropriate licensed facility. </w:t>
      </w:r>
    </w:p>
    <w:p w14:paraId="38144F59" w14:textId="7E1B0DE3" w:rsidR="00862AC8" w:rsidRPr="00D049D4" w:rsidRDefault="00862AC8" w:rsidP="00AE2500">
      <w:pPr>
        <w:pStyle w:val="Heading3"/>
        <w:spacing w:line="276" w:lineRule="auto"/>
        <w:jc w:val="both"/>
        <w:rPr>
          <w:lang w:val="en-US"/>
        </w:rPr>
      </w:pPr>
      <w:bookmarkStart w:id="33" w:name="_Toc239856711"/>
      <w:r w:rsidRPr="00D049D4">
        <w:rPr>
          <w:lang w:val="en-US"/>
        </w:rPr>
        <w:t>3.2.2. Collecting biomass into piles at locations designated in accordance with established criteria and leaving it to decompose naturally</w:t>
      </w:r>
      <w:bookmarkEnd w:id="33"/>
    </w:p>
    <w:p w14:paraId="4F9D67F7" w14:textId="77777777" w:rsidR="00EB084C" w:rsidRPr="00AE2500" w:rsidRDefault="00862AC8" w:rsidP="00AE2500">
      <w:pPr>
        <w:spacing w:after="120" w:line="276" w:lineRule="auto"/>
        <w:jc w:val="both"/>
        <w:rPr>
          <w:rFonts w:asciiTheme="minorHAnsi" w:hAnsiTheme="minorHAnsi"/>
          <w:sz w:val="24"/>
          <w:szCs w:val="24"/>
          <w:lang w:val="en-US"/>
        </w:rPr>
      </w:pPr>
      <w:r w:rsidRPr="00AE2500">
        <w:rPr>
          <w:rFonts w:asciiTheme="minorHAnsi" w:hAnsiTheme="minorHAnsi"/>
          <w:sz w:val="24"/>
          <w:szCs w:val="24"/>
          <w:lang w:val="en-US"/>
        </w:rPr>
        <w:t xml:space="preserve">This process involves gathering cut or uprooted plants into piles (heaps) at the work site. The collected biomass should be isolated from the ground and placed on an impermeable material or surface, such as tarps, and additionally covered from above—for example, with a mesh (15x15 mm)—to prevent accidental dispersal by wind or animals, among other factors. The collection of material into piles must take place at the site of its removal, and the piles should be properly labeled, e.g., “Warning! Invasive plants. Leave in the designated area; do not move to new locations.” </w:t>
      </w:r>
    </w:p>
    <w:p w14:paraId="44E938FF" w14:textId="64AA5382" w:rsidR="00862AC8" w:rsidRPr="00AE2500" w:rsidRDefault="00862AC8" w:rsidP="00AE2500">
      <w:pPr>
        <w:spacing w:after="120" w:line="276" w:lineRule="auto"/>
        <w:jc w:val="both"/>
        <w:rPr>
          <w:rFonts w:asciiTheme="minorHAnsi" w:hAnsiTheme="minorHAnsi"/>
          <w:sz w:val="24"/>
          <w:szCs w:val="24"/>
          <w:lang w:val="en-US"/>
        </w:rPr>
      </w:pPr>
      <w:r w:rsidRPr="00AE2500">
        <w:rPr>
          <w:rFonts w:asciiTheme="minorHAnsi" w:hAnsiTheme="minorHAnsi"/>
          <w:sz w:val="24"/>
          <w:szCs w:val="24"/>
          <w:lang w:val="en-US"/>
        </w:rPr>
        <w:t>The piles should be located as far as possible from protected species or valuable natural habitats / wildlife habitats (alternatively, they may be placed in an area immediately adjacent to such sites). For plants that have parts capable of vegetative reproduction, be sure to place these parts at the very top of the pile to minimize the risk of their interaction with the soil. This is possible if the plants were collected at the right time and have not yet produced flowers, seeds, or fruits. If flowers, seeds, or fruits are found, they must be separated from the rest and buried</w:t>
      </w:r>
      <w:r w:rsidRPr="00AE2500">
        <w:rPr>
          <w:rFonts w:asciiTheme="minorHAnsi" w:hAnsiTheme="minorHAnsi"/>
          <w:sz w:val="24"/>
          <w:szCs w:val="24"/>
        </w:rPr>
        <w:fldChar w:fldCharType="begin"/>
      </w:r>
      <w:r w:rsidRPr="00AE2500">
        <w:rPr>
          <w:rFonts w:asciiTheme="minorHAnsi" w:hAnsiTheme="minorHAnsi"/>
          <w:sz w:val="24"/>
          <w:szCs w:val="24"/>
          <w:lang w:val="en-US"/>
        </w:rPr>
        <w:instrText xml:space="preserve"> ADDIN ZOTERO_ITEM CSL_CITATION {"citationID":"b3lMyh3s","properties":{"formattedCitation":"(Dz.U. 2022 poz. 2649, 2022)","plainCitation":"(Dz.U. 2022 poz. 2649, 2022)","noteIndex":0},"citationItems":[{"id":14,"uris":["http://zotero.org/users/local/WHLSCuHh/items/7B4WMC8S"],"itemData":{"id":14,"type":"webpage","title":"Rozporządzenie Rady Ministrów z dnia 9 grudnia 2022 r. w sprawie listy inwazyjnych gatunków obcych stwarzających zagrożenie dla Unii i listy inwazyjnych gatunków obcych stwarzających zagrożenie dla Polski, działań zaradczych oraz środków mających na celu przywrócenie naturalnego stanu ekosystemów","URL":"https://isap.sejm.gov.pl/isap.nsf/DocDetails.xsp?id=WDU20220002649","author":[{"family":"Dz.U. 2022 poz. 2649","given":""}],"accessed":{"date-parts":[["2024",12,10]]},"issued":{"date-parts":[["2022",12,17]]}}}],"schema":"https://github.com/citation-style-language/schema/raw/master/csl-citation.json"} </w:instrText>
      </w:r>
      <w:r w:rsidRPr="00AE2500">
        <w:rPr>
          <w:rFonts w:asciiTheme="minorHAnsi" w:hAnsiTheme="minorHAnsi"/>
          <w:sz w:val="24"/>
          <w:szCs w:val="24"/>
        </w:rPr>
        <w:fldChar w:fldCharType="separate"/>
      </w:r>
      <w:r w:rsidRPr="00AE2500">
        <w:rPr>
          <w:rFonts w:asciiTheme="minorHAnsi" w:hAnsiTheme="minorHAnsi"/>
          <w:sz w:val="24"/>
          <w:szCs w:val="24"/>
          <w:lang w:val="en-US"/>
        </w:rPr>
        <w:t xml:space="preserve"> (Journal of Laws 2022.2649)</w:t>
      </w:r>
      <w:r w:rsidRPr="00AE2500">
        <w:rPr>
          <w:rFonts w:asciiTheme="minorHAnsi" w:hAnsiTheme="minorHAnsi"/>
          <w:sz w:val="24"/>
          <w:szCs w:val="24"/>
        </w:rPr>
        <w:fldChar w:fldCharType="end"/>
      </w:r>
      <w:r w:rsidRPr="00AE2500">
        <w:rPr>
          <w:rFonts w:asciiTheme="minorHAnsi" w:hAnsiTheme="minorHAnsi"/>
          <w:sz w:val="24"/>
          <w:szCs w:val="24"/>
          <w:lang w:val="en-US"/>
        </w:rPr>
        <w:t xml:space="preserve"> at a depth consistent with the information provided in Table 3. If the number of specimens is too large to properly separate all plants, or if such separation poses a risk of spreading </w:t>
      </w:r>
      <w:r w:rsidR="009374B7" w:rsidRPr="00AE2500">
        <w:rPr>
          <w:rFonts w:asciiTheme="minorHAnsi" w:hAnsiTheme="minorHAnsi"/>
          <w:sz w:val="24"/>
          <w:szCs w:val="24"/>
          <w:lang w:val="en-US"/>
        </w:rPr>
        <w:t>IAS</w:t>
      </w:r>
      <w:r w:rsidRPr="00AE2500">
        <w:rPr>
          <w:rFonts w:asciiTheme="minorHAnsi" w:hAnsiTheme="minorHAnsi"/>
          <w:sz w:val="24"/>
          <w:szCs w:val="24"/>
          <w:lang w:val="en-US"/>
        </w:rPr>
        <w:t xml:space="preserve"> propagules, the entire waste should be considered to contain them and must be buried.</w:t>
      </w:r>
    </w:p>
    <w:p w14:paraId="423C5E96" w14:textId="77777777" w:rsidR="00862AC8" w:rsidRPr="00AE2500" w:rsidRDefault="00862AC8" w:rsidP="00AE2500">
      <w:pPr>
        <w:spacing w:after="120" w:line="276" w:lineRule="auto"/>
        <w:jc w:val="both"/>
        <w:rPr>
          <w:rFonts w:asciiTheme="minorHAnsi" w:hAnsiTheme="minorHAnsi"/>
          <w:sz w:val="24"/>
          <w:szCs w:val="24"/>
          <w:lang w:val="en-US"/>
        </w:rPr>
      </w:pPr>
      <w:r w:rsidRPr="00AE2500">
        <w:rPr>
          <w:rFonts w:asciiTheme="minorHAnsi" w:hAnsiTheme="minorHAnsi"/>
          <w:sz w:val="24"/>
          <w:szCs w:val="24"/>
          <w:lang w:val="en-US"/>
        </w:rPr>
        <w:t>The number and size of the piles created depend on the amount of biomass collected, which is determined, among other factors, by the size of the area occupied, the spatial structure of the population (distribution and density of individuals), and the storage location of the biomass.</w:t>
      </w:r>
    </w:p>
    <w:p w14:paraId="7A31B58A" w14:textId="77777777" w:rsidR="00EB084C" w:rsidRPr="00AE2500" w:rsidRDefault="00862AC8" w:rsidP="00AE2500">
      <w:pPr>
        <w:spacing w:after="120" w:line="276" w:lineRule="auto"/>
        <w:jc w:val="both"/>
        <w:rPr>
          <w:rFonts w:asciiTheme="minorHAnsi" w:hAnsiTheme="minorHAnsi"/>
          <w:sz w:val="24"/>
          <w:szCs w:val="24"/>
          <w:lang w:val="en-US"/>
        </w:rPr>
      </w:pPr>
      <w:r w:rsidRPr="00AE2500">
        <w:rPr>
          <w:rFonts w:asciiTheme="minorHAnsi" w:hAnsiTheme="minorHAnsi"/>
          <w:sz w:val="24"/>
          <w:szCs w:val="24"/>
          <w:lang w:val="en-US"/>
        </w:rPr>
        <w:t xml:space="preserve">For example, 1 hectare of land 100% covered with common thistle can yield approximately 8 metric tons of biomass, while an area 62% covered with Purple jewelweed may yield nearly 13 metric tons of biomass. To standardize the process and ensure that the collected plant material is properly sealed, it must be placed on an impermeable surface, such as tarps with an area </w:t>
      </w:r>
      <w:r w:rsidRPr="00AE2500">
        <w:rPr>
          <w:rFonts w:asciiTheme="minorHAnsi" w:hAnsiTheme="minorHAnsi"/>
          <w:sz w:val="24"/>
          <w:szCs w:val="24"/>
          <w:vertAlign w:val="superscript"/>
          <w:lang w:val="en-US"/>
        </w:rPr>
        <w:t>of</w:t>
      </w:r>
      <w:r w:rsidRPr="00AE2500">
        <w:rPr>
          <w:rFonts w:asciiTheme="minorHAnsi" w:hAnsiTheme="minorHAnsi"/>
          <w:sz w:val="24"/>
          <w:szCs w:val="24"/>
          <w:lang w:val="en-US"/>
        </w:rPr>
        <w:t xml:space="preserve"> 25 </w:t>
      </w:r>
      <w:r w:rsidRPr="00AE2500">
        <w:rPr>
          <w:rFonts w:asciiTheme="minorHAnsi" w:hAnsiTheme="minorHAnsi"/>
          <w:sz w:val="24"/>
          <w:szCs w:val="24"/>
          <w:vertAlign w:val="superscript"/>
          <w:lang w:val="en-US"/>
        </w:rPr>
        <w:t>m²</w:t>
      </w:r>
      <w:r w:rsidRPr="00AE2500">
        <w:rPr>
          <w:rFonts w:asciiTheme="minorHAnsi" w:hAnsiTheme="minorHAnsi"/>
          <w:sz w:val="24"/>
          <w:szCs w:val="24"/>
          <w:lang w:val="en-US"/>
        </w:rPr>
        <w:t xml:space="preserve">, and compacted very carefully, aiming to form piles approximately 3 m high, which will accelerate the decomposition process. As a result, the biomass is able to decompose (the end of the process can be identified by the absence of living plant parts capable of self-regeneration; furthermore, the absence of substances that emit an unpleasant odor indicates the completion of decomposition processes) almost completely within one year (for example, </w:t>
      </w:r>
      <w:r w:rsidRPr="00AE2500">
        <w:rPr>
          <w:rFonts w:asciiTheme="minorHAnsi" w:hAnsiTheme="minorHAnsi"/>
          <w:i/>
          <w:iCs/>
          <w:sz w:val="24"/>
          <w:szCs w:val="24"/>
          <w:lang w:val="en-US"/>
        </w:rPr>
        <w:t xml:space="preserve">Reynoutria </w:t>
      </w:r>
      <w:r w:rsidRPr="00AE2500">
        <w:rPr>
          <w:rFonts w:asciiTheme="minorHAnsi" w:hAnsiTheme="minorHAnsi"/>
          <w:sz w:val="24"/>
          <w:szCs w:val="24"/>
          <w:lang w:val="en-US"/>
        </w:rPr>
        <w:t xml:space="preserve">sp. and </w:t>
      </w:r>
      <w:r w:rsidRPr="00AE2500">
        <w:rPr>
          <w:rFonts w:asciiTheme="minorHAnsi" w:hAnsiTheme="minorHAnsi"/>
          <w:i/>
          <w:iCs/>
          <w:sz w:val="24"/>
          <w:szCs w:val="24"/>
          <w:lang w:val="en-US"/>
        </w:rPr>
        <w:t xml:space="preserve">Heracleum </w:t>
      </w:r>
      <w:r w:rsidRPr="00AE2500">
        <w:rPr>
          <w:rFonts w:asciiTheme="minorHAnsi" w:hAnsiTheme="minorHAnsi"/>
          <w:sz w:val="24"/>
          <w:szCs w:val="24"/>
          <w:lang w:val="en-US"/>
        </w:rPr>
        <w:t xml:space="preserve">sp. dry out and decompose within 3–4 months of placement, but species containing woody parts, such as </w:t>
      </w:r>
      <w:r w:rsidRPr="00AE2500">
        <w:rPr>
          <w:rFonts w:asciiTheme="minorHAnsi" w:hAnsiTheme="minorHAnsi"/>
          <w:i/>
          <w:iCs/>
          <w:sz w:val="24"/>
          <w:szCs w:val="24"/>
          <w:lang w:val="en-US"/>
        </w:rPr>
        <w:t xml:space="preserve">Rosa rugosa </w:t>
      </w:r>
      <w:r w:rsidRPr="00AE2500">
        <w:rPr>
          <w:rFonts w:asciiTheme="minorHAnsi" w:hAnsiTheme="minorHAnsi"/>
          <w:sz w:val="24"/>
          <w:szCs w:val="24"/>
          <w:lang w:val="en-US"/>
        </w:rPr>
        <w:t xml:space="preserve">or </w:t>
      </w:r>
      <w:r w:rsidRPr="00AE2500">
        <w:rPr>
          <w:rFonts w:asciiTheme="minorHAnsi" w:hAnsiTheme="minorHAnsi"/>
          <w:i/>
          <w:iCs/>
          <w:sz w:val="24"/>
          <w:szCs w:val="24"/>
          <w:lang w:val="en-US"/>
        </w:rPr>
        <w:t xml:space="preserve">Solidago </w:t>
      </w:r>
      <w:r w:rsidRPr="00AE2500">
        <w:rPr>
          <w:rFonts w:asciiTheme="minorHAnsi" w:hAnsiTheme="minorHAnsi"/>
          <w:sz w:val="24"/>
          <w:szCs w:val="24"/>
          <w:lang w:val="en-US"/>
        </w:rPr>
        <w:t>sp., require more time. The completion of decomposition processes should be determined by a specialist monitoring the condition of the piles.)</w:t>
      </w:r>
    </w:p>
    <w:p w14:paraId="4BA53BC1" w14:textId="77777777" w:rsidR="007805B3" w:rsidRDefault="00862AC8" w:rsidP="00AE2500">
      <w:pPr>
        <w:spacing w:after="120" w:line="276" w:lineRule="auto"/>
        <w:jc w:val="both"/>
        <w:rPr>
          <w:rFonts w:asciiTheme="minorHAnsi" w:hAnsiTheme="minorHAnsi"/>
          <w:sz w:val="24"/>
          <w:szCs w:val="24"/>
          <w:lang w:val="en-US"/>
        </w:rPr>
      </w:pPr>
      <w:r w:rsidRPr="00AE2500">
        <w:rPr>
          <w:rFonts w:asciiTheme="minorHAnsi" w:hAnsiTheme="minorHAnsi"/>
          <w:sz w:val="24"/>
          <w:szCs w:val="24"/>
          <w:lang w:val="en-US"/>
        </w:rPr>
        <w:t>Fully decomposed material may remain at the decomposition site after the impermeable liner is removed, in order to keep the biomass in the natural cycle and enrich the soil with organic matter. The stacked plant material should be monitored monthly for any contact between the vegetative parts of the plants and the substrate, the progress of decomposition, and other possible disturbances, such as those caused by animals or wind. If regrowth is observed, along with entanglement in the nets or other signs indicating the viability of the plants’ regenerative organs, the pile should be divided into two parts to</w:t>
      </w:r>
      <w:r w:rsidR="001D00CA">
        <w:rPr>
          <w:rFonts w:asciiTheme="minorHAnsi" w:hAnsiTheme="minorHAnsi"/>
          <w:sz w:val="24"/>
          <w:szCs w:val="24"/>
          <w:lang w:val="en-US"/>
        </w:rPr>
        <w:t xml:space="preserve"> </w:t>
      </w:r>
      <w:r w:rsidRPr="00AE2500">
        <w:rPr>
          <w:rFonts w:asciiTheme="minorHAnsi" w:hAnsiTheme="minorHAnsi"/>
          <w:sz w:val="24"/>
          <w:szCs w:val="24"/>
          <w:lang w:val="en-US"/>
        </w:rPr>
        <w:t xml:space="preserve">thin it out and allow it to dry. </w:t>
      </w:r>
    </w:p>
    <w:p w14:paraId="21057311" w14:textId="4DD3A672" w:rsidR="00862AC8" w:rsidRPr="00AE2500" w:rsidRDefault="00862AC8" w:rsidP="00AE2500">
      <w:pPr>
        <w:spacing w:after="120" w:line="276" w:lineRule="auto"/>
        <w:jc w:val="both"/>
        <w:rPr>
          <w:rFonts w:asciiTheme="minorHAnsi" w:hAnsiTheme="minorHAnsi"/>
          <w:sz w:val="24"/>
          <w:szCs w:val="24"/>
          <w:lang w:val="en-US"/>
        </w:rPr>
      </w:pPr>
      <w:r w:rsidRPr="00AE2500">
        <w:rPr>
          <w:rFonts w:asciiTheme="minorHAnsi" w:hAnsiTheme="minorHAnsi"/>
          <w:sz w:val="24"/>
          <w:szCs w:val="24"/>
          <w:lang w:val="en-US"/>
        </w:rPr>
        <w:t>Additionally, to limit the potential transport of propagules via water and reduce its impact on the piles, it is recommended to use impermeable (waterproof) protective materials as a preventive measure during periods of heavy rainfall (covering the piles and removing the material once the rain has stopped), in accordance with weather forecasts.</w:t>
      </w:r>
    </w:p>
    <w:p w14:paraId="252A74FA" w14:textId="3147994F" w:rsidR="00862AC8" w:rsidRPr="00D049D4" w:rsidRDefault="00862AC8" w:rsidP="00AE2500">
      <w:pPr>
        <w:pStyle w:val="Heading3"/>
        <w:spacing w:line="276" w:lineRule="auto"/>
        <w:jc w:val="both"/>
        <w:rPr>
          <w:lang w:val="en-US"/>
        </w:rPr>
      </w:pPr>
      <w:bookmarkStart w:id="34" w:name="_Toc239856712"/>
      <w:r w:rsidRPr="00D049D4">
        <w:rPr>
          <w:lang w:val="en-US"/>
        </w:rPr>
        <w:t>3.2.3. Transport to an Appropriate Facility as Biowaste</w:t>
      </w:r>
      <w:bookmarkEnd w:id="34"/>
    </w:p>
    <w:p w14:paraId="478254AB" w14:textId="77777777" w:rsidR="003A1319" w:rsidRPr="00AE2500" w:rsidRDefault="003A1319" w:rsidP="00AE2500">
      <w:pPr>
        <w:spacing w:after="120" w:line="276" w:lineRule="auto"/>
        <w:jc w:val="both"/>
        <w:rPr>
          <w:rFonts w:asciiTheme="minorHAnsi" w:hAnsiTheme="minorHAnsi"/>
          <w:sz w:val="24"/>
          <w:szCs w:val="24"/>
          <w:lang w:val="en-US"/>
        </w:rPr>
      </w:pPr>
      <w:r w:rsidRPr="00AE2500">
        <w:rPr>
          <w:rFonts w:asciiTheme="minorHAnsi" w:hAnsiTheme="minorHAnsi"/>
          <w:sz w:val="24"/>
          <w:szCs w:val="24"/>
          <w:lang w:val="en-US"/>
        </w:rPr>
        <w:t>If on-site methods are not feasible, the plant material should be transported to a facility with the appropriate authorization to dispose of this type of waste (the facilities listed in the document have met all requirements). The transportation company providing personnel and vehicles for transport should also hold the appropriate certifications to handle this type of waste. Vehicles used to transport contaminated soil should be filled to no more than 20 cm below the top edge. The remaining space should be tightly filled and secured with an appropriate membrane, creating a temporary compartment to prevent material loss during transport, particularly spillage (Journal of Laws 2016, No. 1742).</w:t>
      </w:r>
    </w:p>
    <w:p w14:paraId="6DF70E71" w14:textId="08A3634F" w:rsidR="003A1319" w:rsidRPr="00AE2500" w:rsidRDefault="003A1319" w:rsidP="00AE2500">
      <w:pPr>
        <w:spacing w:after="120" w:line="276" w:lineRule="auto"/>
        <w:jc w:val="both"/>
        <w:rPr>
          <w:rFonts w:asciiTheme="minorHAnsi" w:hAnsiTheme="minorHAnsi"/>
          <w:sz w:val="24"/>
          <w:szCs w:val="24"/>
          <w:lang w:val="en-US"/>
        </w:rPr>
      </w:pPr>
      <w:r w:rsidRPr="00AE2500">
        <w:rPr>
          <w:rFonts w:asciiTheme="minorHAnsi" w:hAnsiTheme="minorHAnsi"/>
          <w:sz w:val="24"/>
          <w:szCs w:val="24"/>
          <w:lang w:val="en-US"/>
        </w:rPr>
        <w:t xml:space="preserve">After each transport and loading, the vehicle must be thoroughly cleaned on the outside, especially in areas where propagules of invasive plants may be present, such as tire treads, wheel wells, and the vehicle body where the biomass was transported. Cleaning should be performed by trained personnel capable of identifying any plant parts capable of reproduction. A pressure washer and a stiff-bristled brush should be used for cleaning, and all residues from the cleaning process must be removed and secured as </w:t>
      </w:r>
      <w:r w:rsidR="009374B7" w:rsidRPr="00AE2500">
        <w:rPr>
          <w:rFonts w:asciiTheme="minorHAnsi" w:hAnsiTheme="minorHAnsi"/>
          <w:sz w:val="24"/>
          <w:szCs w:val="24"/>
          <w:lang w:val="en-US"/>
        </w:rPr>
        <w:t>IAS</w:t>
      </w:r>
      <w:r w:rsidRPr="00AE2500">
        <w:rPr>
          <w:rFonts w:asciiTheme="minorHAnsi" w:hAnsiTheme="minorHAnsi"/>
          <w:sz w:val="24"/>
          <w:szCs w:val="24"/>
          <w:lang w:val="en-US"/>
        </w:rPr>
        <w:t xml:space="preserve"> waste and treated in the same manner as the transported waste. This means securing the remaining material in black plastic bags (the volume of residue should be minimal if all procedures were followed) and delivering it to recycling or disposal facilities.</w:t>
      </w:r>
    </w:p>
    <w:p w14:paraId="39F1FB97" w14:textId="77777777" w:rsidR="003A1319" w:rsidRPr="00AE2500" w:rsidRDefault="003A1319" w:rsidP="00AE2500">
      <w:pPr>
        <w:spacing w:after="120" w:line="276" w:lineRule="auto"/>
        <w:jc w:val="both"/>
        <w:rPr>
          <w:rFonts w:asciiTheme="minorHAnsi" w:hAnsiTheme="minorHAnsi"/>
          <w:sz w:val="24"/>
          <w:szCs w:val="24"/>
          <w:lang w:val="en-US"/>
        </w:rPr>
      </w:pPr>
      <w:r w:rsidRPr="00AE2500">
        <w:rPr>
          <w:rFonts w:asciiTheme="minorHAnsi" w:hAnsiTheme="minorHAnsi"/>
          <w:sz w:val="24"/>
          <w:szCs w:val="24"/>
          <w:lang w:val="en-US"/>
        </w:rPr>
        <w:t>To prevent the further spread of invasive species, vehicle cleaning should take place exclusively on an impermeable surface—such as a sealed membrane or hard concrete—when transporting waste off-site, which will retain any contaminants and prevent them from entering the sewer system, ditches, or waterways.</w:t>
      </w:r>
    </w:p>
    <w:p w14:paraId="134D911F" w14:textId="77777777" w:rsidR="003A1319" w:rsidRPr="00AE2500" w:rsidRDefault="003A1319" w:rsidP="00AE2500">
      <w:pPr>
        <w:spacing w:after="120" w:line="276" w:lineRule="auto"/>
        <w:jc w:val="both"/>
        <w:rPr>
          <w:rFonts w:asciiTheme="minorHAnsi" w:hAnsiTheme="minorHAnsi"/>
          <w:b/>
          <w:bCs/>
          <w:sz w:val="24"/>
          <w:szCs w:val="24"/>
          <w:lang w:val="en-US"/>
        </w:rPr>
      </w:pPr>
      <w:r w:rsidRPr="00AE2500">
        <w:rPr>
          <w:rFonts w:asciiTheme="minorHAnsi" w:hAnsiTheme="minorHAnsi"/>
          <w:b/>
          <w:bCs/>
          <w:sz w:val="24"/>
          <w:szCs w:val="24"/>
          <w:lang w:val="en-US"/>
        </w:rPr>
        <w:t>Note: In the case of hogweed, an important aspect of conducting remediation, biomass management, or monitoring activities is providing additional personal protective equipment, such as protective coveralls, gloves, and face masks, to safeguard human health.</w:t>
      </w:r>
    </w:p>
    <w:p w14:paraId="4FD602C8" w14:textId="0EAD9AA2" w:rsidR="00862AC8" w:rsidRPr="00D049D4" w:rsidRDefault="003A1319" w:rsidP="003A1319">
      <w:pPr>
        <w:pStyle w:val="Heading3"/>
        <w:rPr>
          <w:lang w:val="en-US"/>
        </w:rPr>
      </w:pPr>
      <w:bookmarkStart w:id="35" w:name="_Toc239856713"/>
      <w:r w:rsidRPr="00D049D4">
        <w:rPr>
          <w:lang w:val="en-US"/>
        </w:rPr>
        <w:t>3.2.4. Transporting Biomass in Black Plastic Bags</w:t>
      </w:r>
      <w:bookmarkEnd w:id="35"/>
    </w:p>
    <w:p w14:paraId="6C92BCD9" w14:textId="77777777" w:rsidR="003A1319" w:rsidRPr="00AE2500" w:rsidRDefault="003A1319" w:rsidP="00AE2500">
      <w:pPr>
        <w:spacing w:after="120" w:line="276" w:lineRule="auto"/>
        <w:jc w:val="both"/>
        <w:rPr>
          <w:rFonts w:asciiTheme="minorHAnsi" w:hAnsiTheme="minorHAnsi"/>
          <w:sz w:val="24"/>
          <w:szCs w:val="24"/>
          <w:lang w:val="en-US"/>
        </w:rPr>
      </w:pPr>
      <w:r w:rsidRPr="00AE2500">
        <w:rPr>
          <w:rFonts w:asciiTheme="minorHAnsi" w:hAnsiTheme="minorHAnsi"/>
          <w:sz w:val="24"/>
          <w:szCs w:val="24"/>
          <w:lang w:val="en-US"/>
        </w:rPr>
        <w:t xml:space="preserve">Packing plant biomass into plastic bags and transporting it to a waste incineration facility is a possible method for disposing of such waste, but it requires special attention and caution. </w:t>
      </w:r>
      <w:r w:rsidRPr="00AE2500">
        <w:rPr>
          <w:rFonts w:asciiTheme="minorHAnsi" w:hAnsiTheme="minorHAnsi"/>
          <w:sz w:val="24"/>
          <w:szCs w:val="24"/>
          <w:lang w:val="en-US"/>
        </w:rPr>
        <w:br/>
        <w:t xml:space="preserve">First and foremost, it is important to remember that this method is safe only for certain types of plants. </w:t>
      </w:r>
      <w:r w:rsidRPr="00AE2500">
        <w:rPr>
          <w:rFonts w:asciiTheme="minorHAnsi" w:hAnsiTheme="minorHAnsi"/>
          <w:sz w:val="24"/>
          <w:szCs w:val="24"/>
          <w:u w:val="single"/>
          <w:lang w:val="en-US"/>
        </w:rPr>
        <w:t>This applies to plants that do not have woody or hard parts that could damage the bag during transport or storage</w:t>
      </w:r>
      <w:r w:rsidRPr="00AE2500">
        <w:rPr>
          <w:rFonts w:asciiTheme="minorHAnsi" w:hAnsiTheme="minorHAnsi"/>
          <w:sz w:val="24"/>
          <w:szCs w:val="24"/>
          <w:lang w:val="en-US"/>
        </w:rPr>
        <w:t>. An exception here is knotweed, which, despite having stiff stems, can be broken quite easily. A prerequisite for transporting them is that they be properly shredded so that they cannot puncture the bag.</w:t>
      </w:r>
    </w:p>
    <w:p w14:paraId="5A7B275D" w14:textId="69360014" w:rsidR="003A1319" w:rsidRPr="00AE2500" w:rsidRDefault="00AE2500" w:rsidP="00AE2500">
      <w:pPr>
        <w:pStyle w:val="Caption"/>
        <w:keepNext/>
        <w:jc w:val="both"/>
        <w:rPr>
          <w:rFonts w:asciiTheme="minorHAnsi" w:hAnsiTheme="minorHAnsi"/>
          <w:b w:val="0"/>
          <w:bCs/>
          <w:color w:val="000000" w:themeColor="text1"/>
          <w:sz w:val="24"/>
          <w:szCs w:val="24"/>
          <w:lang w:val="en-US"/>
        </w:rPr>
      </w:pPr>
      <w:bookmarkStart w:id="36" w:name="_Toc239856617"/>
      <w:r w:rsidRPr="00AE2500">
        <w:rPr>
          <w:rFonts w:asciiTheme="minorHAnsi" w:hAnsiTheme="minorHAnsi"/>
          <w:b w:val="0"/>
          <w:bCs/>
          <w:color w:val="000000" w:themeColor="text1"/>
          <w:sz w:val="24"/>
          <w:szCs w:val="24"/>
          <w:lang w:val="en-US"/>
        </w:rPr>
        <w:t xml:space="preserve">Table </w:t>
      </w:r>
      <w:r w:rsidR="003A1319" w:rsidRPr="00AE2500">
        <w:rPr>
          <w:rFonts w:asciiTheme="minorHAnsi" w:hAnsiTheme="minorHAnsi"/>
          <w:b w:val="0"/>
          <w:bCs/>
          <w:color w:val="000000" w:themeColor="text1"/>
          <w:sz w:val="24"/>
          <w:szCs w:val="24"/>
        </w:rPr>
        <w:fldChar w:fldCharType="begin"/>
      </w:r>
      <w:r w:rsidR="003A1319" w:rsidRPr="00AE2500">
        <w:rPr>
          <w:rFonts w:asciiTheme="minorHAnsi" w:hAnsiTheme="minorHAnsi"/>
          <w:b w:val="0"/>
          <w:bCs/>
          <w:color w:val="000000" w:themeColor="text1"/>
          <w:sz w:val="24"/>
          <w:szCs w:val="24"/>
          <w:lang w:val="en-US"/>
        </w:rPr>
        <w:instrText>SEQ Tabela \* ARABIC</w:instrText>
      </w:r>
      <w:r w:rsidR="003A1319" w:rsidRPr="00AE2500">
        <w:rPr>
          <w:rFonts w:asciiTheme="minorHAnsi" w:hAnsiTheme="minorHAnsi"/>
          <w:b w:val="0"/>
          <w:bCs/>
          <w:color w:val="000000" w:themeColor="text1"/>
          <w:sz w:val="24"/>
          <w:szCs w:val="24"/>
        </w:rPr>
        <w:fldChar w:fldCharType="separate"/>
      </w:r>
      <w:r w:rsidR="003A1319" w:rsidRPr="00AE2500">
        <w:rPr>
          <w:rFonts w:asciiTheme="minorHAnsi" w:hAnsiTheme="minorHAnsi"/>
          <w:b w:val="0"/>
          <w:bCs/>
          <w:color w:val="000000" w:themeColor="text1"/>
          <w:sz w:val="24"/>
          <w:szCs w:val="24"/>
          <w:lang w:val="en-US"/>
        </w:rPr>
        <w:t>4</w:t>
      </w:r>
      <w:r w:rsidR="003A1319" w:rsidRPr="00AE2500">
        <w:rPr>
          <w:rFonts w:asciiTheme="minorHAnsi" w:hAnsiTheme="minorHAnsi"/>
          <w:b w:val="0"/>
          <w:bCs/>
          <w:color w:val="000000" w:themeColor="text1"/>
          <w:sz w:val="24"/>
          <w:szCs w:val="24"/>
        </w:rPr>
        <w:fldChar w:fldCharType="end"/>
      </w:r>
      <w:r w:rsidR="003A1319" w:rsidRPr="00AE2500">
        <w:rPr>
          <w:rFonts w:asciiTheme="minorHAnsi" w:hAnsiTheme="minorHAnsi"/>
          <w:b w:val="0"/>
          <w:bCs/>
          <w:color w:val="000000" w:themeColor="text1"/>
          <w:sz w:val="24"/>
          <w:szCs w:val="24"/>
          <w:lang w:val="en-US"/>
        </w:rPr>
        <w:t xml:space="preserve"> List of plants that may be stored and transported for burning in black bags. Plant species that pose a threat to Poland are marked in bold* (Journal of Laws of 2022, item 2649).</w:t>
      </w:r>
      <w:bookmarkEnd w:id="36"/>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3A1319" w:rsidRPr="00AE2500" w14:paraId="234B8886" w14:textId="77777777" w:rsidTr="00AE2500">
        <w:tc>
          <w:tcPr>
            <w:tcW w:w="9067"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42E34143" w14:textId="77777777" w:rsidR="003A1319" w:rsidRPr="00AE2500" w:rsidRDefault="003A1319" w:rsidP="00AE2500">
            <w:pPr>
              <w:jc w:val="center"/>
              <w:rPr>
                <w:rFonts w:asciiTheme="minorHAnsi" w:hAnsiTheme="minorHAnsi" w:cs="Calibri"/>
                <w:sz w:val="18"/>
                <w:szCs w:val="18"/>
              </w:rPr>
            </w:pPr>
            <w:r w:rsidRPr="00AE2500">
              <w:rPr>
                <w:rFonts w:asciiTheme="minorHAnsi" w:hAnsiTheme="minorHAnsi" w:cs="Calibri"/>
                <w:sz w:val="18"/>
                <w:szCs w:val="18"/>
              </w:rPr>
              <w:t>Species</w:t>
            </w:r>
          </w:p>
        </w:tc>
      </w:tr>
      <w:tr w:rsidR="003A1319" w:rsidRPr="0089097C" w14:paraId="2413CA8B" w14:textId="77777777" w:rsidTr="00AE2500">
        <w:trPr>
          <w:trHeight w:val="1276"/>
        </w:trPr>
        <w:tc>
          <w:tcPr>
            <w:tcW w:w="9067" w:type="dxa"/>
            <w:tcBorders>
              <w:top w:val="single" w:sz="4" w:space="0" w:color="auto"/>
              <w:left w:val="single" w:sz="4" w:space="0" w:color="auto"/>
              <w:bottom w:val="single" w:sz="4" w:space="0" w:color="auto"/>
              <w:right w:val="single" w:sz="4" w:space="0" w:color="auto"/>
            </w:tcBorders>
            <w:hideMark/>
          </w:tcPr>
          <w:p w14:paraId="23C146B6" w14:textId="0707EC95" w:rsidR="003A1319" w:rsidRPr="00AE2500" w:rsidRDefault="00F73EBD" w:rsidP="00AE2500">
            <w:pPr>
              <w:jc w:val="both"/>
              <w:rPr>
                <w:rFonts w:asciiTheme="minorHAnsi" w:hAnsiTheme="minorHAnsi" w:cs="Calibri"/>
                <w:b/>
                <w:bCs/>
                <w:sz w:val="18"/>
                <w:szCs w:val="18"/>
                <w:lang w:val="en-US"/>
              </w:rPr>
            </w:pPr>
            <w:r w:rsidRPr="00AE2500">
              <w:rPr>
                <w:rFonts w:asciiTheme="minorHAnsi" w:hAnsiTheme="minorHAnsi" w:cs="Calibri"/>
                <w:b/>
                <w:bCs/>
                <w:sz w:val="18"/>
                <w:szCs w:val="18"/>
                <w:lang w:val="en-US"/>
              </w:rPr>
              <w:t>Knotweed</w:t>
            </w:r>
            <w:r w:rsidRPr="00AE2500">
              <w:rPr>
                <w:rFonts w:asciiTheme="minorHAnsi" w:hAnsiTheme="minorHAnsi" w:cs="Calibri"/>
                <w:b/>
                <w:bCs/>
                <w:i/>
                <w:iCs/>
                <w:sz w:val="18"/>
                <w:szCs w:val="18"/>
                <w:lang w:val="en-US"/>
              </w:rPr>
              <w:t xml:space="preserve"> </w:t>
            </w:r>
            <w:r w:rsidR="003A1319" w:rsidRPr="00AE2500">
              <w:rPr>
                <w:rFonts w:asciiTheme="minorHAnsi" w:hAnsiTheme="minorHAnsi" w:cs="Calibri"/>
                <w:b/>
                <w:bCs/>
                <w:i/>
                <w:iCs/>
                <w:sz w:val="18"/>
                <w:szCs w:val="18"/>
                <w:lang w:val="en-US"/>
              </w:rPr>
              <w:t>(</w:t>
            </w:r>
            <w:r w:rsidRPr="00AE2500">
              <w:rPr>
                <w:rFonts w:asciiTheme="minorHAnsi" w:hAnsiTheme="minorHAnsi" w:cs="Calibri"/>
                <w:b/>
                <w:bCs/>
                <w:i/>
                <w:iCs/>
                <w:sz w:val="18"/>
                <w:szCs w:val="18"/>
                <w:lang w:val="en-US"/>
              </w:rPr>
              <w:t>Reynoutria SP</w:t>
            </w:r>
            <w:r w:rsidR="003A1319" w:rsidRPr="00AE2500">
              <w:rPr>
                <w:rFonts w:asciiTheme="minorHAnsi" w:hAnsiTheme="minorHAnsi" w:cs="Calibri"/>
                <w:b/>
                <w:bCs/>
                <w:i/>
                <w:iCs/>
                <w:sz w:val="18"/>
                <w:szCs w:val="18"/>
                <w:lang w:val="en-US"/>
              </w:rPr>
              <w:t xml:space="preserve">) </w:t>
            </w:r>
          </w:p>
          <w:p w14:paraId="48C27947" w14:textId="77777777" w:rsidR="003A1319" w:rsidRPr="00AE2500" w:rsidRDefault="003A1319" w:rsidP="00AE2500">
            <w:pPr>
              <w:jc w:val="both"/>
              <w:rPr>
                <w:rFonts w:asciiTheme="minorHAnsi" w:hAnsiTheme="minorHAnsi" w:cs="Calibri"/>
                <w:sz w:val="18"/>
                <w:szCs w:val="18"/>
                <w:lang w:val="en-US"/>
              </w:rPr>
            </w:pPr>
            <w:r w:rsidRPr="00AE2500">
              <w:rPr>
                <w:rFonts w:asciiTheme="minorHAnsi" w:hAnsiTheme="minorHAnsi" w:cs="Calibri"/>
                <w:sz w:val="18"/>
                <w:szCs w:val="18"/>
                <w:lang w:val="en-US"/>
              </w:rPr>
              <w:t xml:space="preserve">Garden lupin, </w:t>
            </w:r>
            <w:r w:rsidRPr="00AE2500">
              <w:rPr>
                <w:rFonts w:asciiTheme="minorHAnsi" w:hAnsiTheme="minorHAnsi" w:cs="Calibri"/>
                <w:i/>
                <w:iCs/>
                <w:sz w:val="18"/>
                <w:szCs w:val="18"/>
                <w:lang w:val="en-US"/>
              </w:rPr>
              <w:t xml:space="preserve">Lupinus polyphyllus </w:t>
            </w:r>
            <w:r w:rsidRPr="00AE2500">
              <w:rPr>
                <w:rFonts w:asciiTheme="minorHAnsi" w:hAnsiTheme="minorHAnsi" w:cs="Calibri"/>
                <w:sz w:val="18"/>
                <w:szCs w:val="18"/>
                <w:lang w:val="en-US"/>
              </w:rPr>
              <w:t>(large-leaved lupine)</w:t>
            </w:r>
          </w:p>
          <w:p w14:paraId="67B3655E" w14:textId="76A6BDC0" w:rsidR="003A1319" w:rsidRPr="00AE2500" w:rsidRDefault="00F73EBD" w:rsidP="00AE2500">
            <w:pPr>
              <w:jc w:val="both"/>
              <w:rPr>
                <w:rFonts w:asciiTheme="minorHAnsi" w:hAnsiTheme="minorHAnsi" w:cs="Calibri"/>
                <w:b/>
                <w:bCs/>
                <w:sz w:val="18"/>
                <w:szCs w:val="18"/>
                <w:lang w:val="en-US"/>
              </w:rPr>
            </w:pPr>
            <w:r w:rsidRPr="00AE2500">
              <w:rPr>
                <w:rFonts w:asciiTheme="minorHAnsi" w:hAnsiTheme="minorHAnsi" w:cs="Calibri"/>
                <w:b/>
                <w:bCs/>
                <w:sz w:val="18"/>
                <w:szCs w:val="18"/>
                <w:lang w:val="en-US"/>
              </w:rPr>
              <w:t xml:space="preserve">Wild cucumber </w:t>
            </w:r>
            <w:r w:rsidR="003A1319" w:rsidRPr="00AE2500">
              <w:rPr>
                <w:rFonts w:asciiTheme="minorHAnsi" w:hAnsiTheme="minorHAnsi" w:cs="Calibri"/>
                <w:b/>
                <w:bCs/>
                <w:i/>
                <w:iCs/>
                <w:sz w:val="18"/>
                <w:szCs w:val="18"/>
                <w:lang w:val="en-US"/>
              </w:rPr>
              <w:t xml:space="preserve">(Echinocystis lobata) </w:t>
            </w:r>
          </w:p>
          <w:p w14:paraId="6844B969" w14:textId="001CFE55" w:rsidR="003A1319" w:rsidRPr="00AE2500" w:rsidRDefault="00F73EBD" w:rsidP="00AE2500">
            <w:pPr>
              <w:jc w:val="both"/>
              <w:rPr>
                <w:rFonts w:asciiTheme="minorHAnsi" w:hAnsiTheme="minorHAnsi" w:cs="Calibri"/>
                <w:sz w:val="18"/>
                <w:szCs w:val="18"/>
                <w:lang w:val="en-US"/>
              </w:rPr>
            </w:pPr>
            <w:r w:rsidRPr="00AE2500">
              <w:rPr>
                <w:rFonts w:asciiTheme="minorHAnsi" w:hAnsiTheme="minorHAnsi" w:cs="Calibri"/>
                <w:sz w:val="18"/>
                <w:szCs w:val="18"/>
                <w:lang w:val="en-US"/>
              </w:rPr>
              <w:t xml:space="preserve">Redroot pigweed </w:t>
            </w:r>
            <w:r w:rsidR="003A1319" w:rsidRPr="00AE2500">
              <w:rPr>
                <w:rFonts w:asciiTheme="minorHAnsi" w:hAnsiTheme="minorHAnsi" w:cs="Calibri"/>
                <w:sz w:val="18"/>
                <w:szCs w:val="18"/>
                <w:lang w:val="en-US"/>
              </w:rPr>
              <w:t>(</w:t>
            </w:r>
            <w:r w:rsidR="003A1319" w:rsidRPr="00AE2500">
              <w:rPr>
                <w:rFonts w:asciiTheme="minorHAnsi" w:hAnsiTheme="minorHAnsi" w:cs="Calibri"/>
                <w:i/>
                <w:iCs/>
                <w:sz w:val="18"/>
                <w:szCs w:val="18"/>
                <w:lang w:val="en-US"/>
              </w:rPr>
              <w:t xml:space="preserve">Amaranthus retroflexus) </w:t>
            </w:r>
          </w:p>
          <w:p w14:paraId="2F89F16C" w14:textId="301D6A4C" w:rsidR="003A1319" w:rsidRPr="00AE2500" w:rsidRDefault="00F6177A" w:rsidP="00AE2500">
            <w:pPr>
              <w:jc w:val="both"/>
              <w:rPr>
                <w:rFonts w:asciiTheme="minorHAnsi" w:hAnsiTheme="minorHAnsi" w:cs="Calibri"/>
                <w:sz w:val="18"/>
                <w:szCs w:val="18"/>
                <w:lang w:val="en-US"/>
              </w:rPr>
            </w:pPr>
            <w:r w:rsidRPr="00AE2500">
              <w:rPr>
                <w:rFonts w:asciiTheme="minorHAnsi" w:hAnsiTheme="minorHAnsi" w:cs="Calibri"/>
                <w:sz w:val="18"/>
                <w:szCs w:val="18"/>
                <w:lang w:val="en-US"/>
              </w:rPr>
              <w:t>Common Foxglove</w:t>
            </w:r>
            <w:r w:rsidR="003A1319" w:rsidRPr="00AE2500">
              <w:rPr>
                <w:rFonts w:asciiTheme="minorHAnsi" w:hAnsiTheme="minorHAnsi" w:cs="Calibri"/>
                <w:sz w:val="18"/>
                <w:szCs w:val="18"/>
                <w:lang w:val="en-US"/>
              </w:rPr>
              <w:t xml:space="preserve"> (</w:t>
            </w:r>
            <w:r w:rsidR="003A1319" w:rsidRPr="00AE2500">
              <w:rPr>
                <w:rFonts w:asciiTheme="minorHAnsi" w:hAnsiTheme="minorHAnsi" w:cs="Calibri"/>
                <w:i/>
                <w:iCs/>
                <w:sz w:val="18"/>
                <w:szCs w:val="18"/>
                <w:lang w:val="en-US"/>
              </w:rPr>
              <w:t xml:space="preserve">Digitalis purpurea) </w:t>
            </w:r>
          </w:p>
          <w:p w14:paraId="59FF94E0" w14:textId="3B7F0A34" w:rsidR="003A1319" w:rsidRPr="00AE2500" w:rsidRDefault="003A1319" w:rsidP="00AE2500">
            <w:pPr>
              <w:jc w:val="both"/>
              <w:rPr>
                <w:rFonts w:asciiTheme="minorHAnsi" w:hAnsiTheme="minorHAnsi" w:cs="Calibri"/>
                <w:i/>
                <w:iCs/>
                <w:sz w:val="18"/>
                <w:szCs w:val="18"/>
                <w:lang w:val="en-US"/>
              </w:rPr>
            </w:pPr>
            <w:r w:rsidRPr="00AE2500">
              <w:rPr>
                <w:rFonts w:asciiTheme="minorHAnsi" w:hAnsiTheme="minorHAnsi" w:cs="Calibri"/>
                <w:sz w:val="18"/>
                <w:szCs w:val="18"/>
                <w:lang w:val="en-US"/>
              </w:rPr>
              <w:t xml:space="preserve">Spotted loosestrife </w:t>
            </w:r>
            <w:r w:rsidR="00F73EBD" w:rsidRPr="00AE2500">
              <w:rPr>
                <w:rFonts w:asciiTheme="minorHAnsi" w:hAnsiTheme="minorHAnsi" w:cs="Calibri"/>
                <w:sz w:val="18"/>
                <w:szCs w:val="18"/>
                <w:lang w:val="en-US"/>
              </w:rPr>
              <w:t>(</w:t>
            </w:r>
            <w:r w:rsidRPr="00AE2500">
              <w:rPr>
                <w:rFonts w:asciiTheme="minorHAnsi" w:hAnsiTheme="minorHAnsi" w:cs="Calibri"/>
                <w:i/>
                <w:iCs/>
                <w:sz w:val="18"/>
                <w:szCs w:val="18"/>
                <w:lang w:val="en-US"/>
              </w:rPr>
              <w:t>Lysimachia punctata</w:t>
            </w:r>
            <w:r w:rsidR="00F73EBD" w:rsidRPr="00AE2500">
              <w:rPr>
                <w:rFonts w:asciiTheme="minorHAnsi" w:hAnsiTheme="minorHAnsi" w:cs="Calibri"/>
                <w:i/>
                <w:iCs/>
                <w:sz w:val="18"/>
                <w:szCs w:val="18"/>
                <w:lang w:val="en-US"/>
              </w:rPr>
              <w:t>)</w:t>
            </w:r>
            <w:r w:rsidRPr="00AE2500">
              <w:rPr>
                <w:rFonts w:asciiTheme="minorHAnsi" w:hAnsiTheme="minorHAnsi" w:cs="Calibri"/>
                <w:i/>
                <w:iCs/>
                <w:sz w:val="18"/>
                <w:szCs w:val="18"/>
                <w:lang w:val="en-US"/>
              </w:rPr>
              <w:t xml:space="preserve"> </w:t>
            </w:r>
          </w:p>
          <w:p w14:paraId="75776417" w14:textId="0E0A8C49" w:rsidR="003A1319" w:rsidRPr="00AE2500" w:rsidRDefault="00F73EBD" w:rsidP="00AE2500">
            <w:pPr>
              <w:jc w:val="both"/>
              <w:rPr>
                <w:rFonts w:asciiTheme="minorHAnsi" w:hAnsiTheme="minorHAnsi" w:cs="Calibri"/>
                <w:i/>
                <w:iCs/>
                <w:sz w:val="18"/>
                <w:szCs w:val="18"/>
                <w:lang w:val="en-US"/>
              </w:rPr>
            </w:pPr>
            <w:r w:rsidRPr="00AE2500">
              <w:rPr>
                <w:rFonts w:asciiTheme="minorHAnsi" w:hAnsiTheme="minorHAnsi" w:cs="Calibri"/>
                <w:i/>
                <w:iCs/>
                <w:sz w:val="18"/>
                <w:szCs w:val="18"/>
                <w:lang w:val="en-US"/>
              </w:rPr>
              <w:t>Yellow oxeye (</w:t>
            </w:r>
            <w:r w:rsidR="003A1319" w:rsidRPr="00AE2500">
              <w:rPr>
                <w:rFonts w:asciiTheme="minorHAnsi" w:hAnsiTheme="minorHAnsi" w:cs="Calibri"/>
                <w:i/>
                <w:iCs/>
                <w:sz w:val="18"/>
                <w:szCs w:val="18"/>
                <w:lang w:val="en-US"/>
              </w:rPr>
              <w:t>Telekia speciosa</w:t>
            </w:r>
            <w:r w:rsidRPr="00AE2500">
              <w:rPr>
                <w:rFonts w:asciiTheme="minorHAnsi" w:hAnsiTheme="minorHAnsi" w:cs="Calibri"/>
                <w:i/>
                <w:iCs/>
                <w:sz w:val="18"/>
                <w:szCs w:val="18"/>
                <w:lang w:val="en-US"/>
              </w:rPr>
              <w:t>)</w:t>
            </w:r>
          </w:p>
          <w:p w14:paraId="3CFF2AA5" w14:textId="04E88E68" w:rsidR="009556D9" w:rsidRPr="00AE2500" w:rsidRDefault="009556D9" w:rsidP="00AE2500">
            <w:pPr>
              <w:jc w:val="both"/>
              <w:rPr>
                <w:rFonts w:asciiTheme="minorHAnsi" w:hAnsiTheme="minorHAnsi" w:cs="Calibri"/>
                <w:i/>
                <w:iCs/>
                <w:sz w:val="18"/>
                <w:szCs w:val="18"/>
                <w:lang w:val="en-US"/>
              </w:rPr>
            </w:pPr>
            <w:r w:rsidRPr="00AE2500">
              <w:rPr>
                <w:rFonts w:asciiTheme="minorHAnsi" w:hAnsiTheme="minorHAnsi" w:cs="Calibri"/>
                <w:sz w:val="18"/>
                <w:szCs w:val="18"/>
                <w:lang w:val="en-US"/>
              </w:rPr>
              <w:t>Cutleaf coneflower (</w:t>
            </w:r>
            <w:r w:rsidRPr="00AE2500">
              <w:rPr>
                <w:rFonts w:asciiTheme="minorHAnsi" w:hAnsiTheme="minorHAnsi" w:cs="Calibri"/>
                <w:i/>
                <w:iCs/>
                <w:sz w:val="18"/>
                <w:szCs w:val="18"/>
                <w:lang w:val="en-US"/>
              </w:rPr>
              <w:t xml:space="preserve">Rudbeckia laciniata) </w:t>
            </w:r>
          </w:p>
        </w:tc>
      </w:tr>
    </w:tbl>
    <w:p w14:paraId="6A8A51E0" w14:textId="77777777" w:rsidR="003A1319" w:rsidRPr="00AE2500" w:rsidRDefault="003A1319" w:rsidP="003A1319">
      <w:pPr>
        <w:rPr>
          <w:rFonts w:asciiTheme="minorHAnsi" w:hAnsiTheme="minorHAnsi"/>
          <w:sz w:val="18"/>
          <w:szCs w:val="18"/>
          <w:lang w:val="en-US"/>
        </w:rPr>
      </w:pPr>
      <w:r w:rsidRPr="00AE2500">
        <w:rPr>
          <w:rFonts w:asciiTheme="minorHAnsi" w:hAnsiTheme="minorHAnsi"/>
          <w:sz w:val="18"/>
          <w:szCs w:val="18"/>
          <w:lang w:val="en-US"/>
        </w:rPr>
        <w:t>*Plants marked in bold may not be transported within the country. An exception is made if a permit is obtained following corrective measures agreed upon with state authorities</w:t>
      </w:r>
      <w:r w:rsidRPr="00AE2500">
        <w:rPr>
          <w:rFonts w:asciiTheme="minorHAnsi" w:hAnsiTheme="minorHAnsi"/>
          <w:sz w:val="18"/>
          <w:szCs w:val="18"/>
        </w:rPr>
        <w:fldChar w:fldCharType="begin"/>
      </w:r>
      <w:r w:rsidRPr="00AE2500">
        <w:rPr>
          <w:rFonts w:asciiTheme="minorHAnsi" w:hAnsiTheme="minorHAnsi"/>
          <w:sz w:val="18"/>
          <w:szCs w:val="18"/>
          <w:lang w:val="en-US"/>
        </w:rPr>
        <w:instrText xml:space="preserve"> ADDIN ZOTERO_ITEM CSL_CITATION {"citationID":"1QcH6BJu","properties":{"formattedCitation":"(Dz.U.2023.1589, 2021)","plainCitation":"(Dz.U.2023.1589, 2021)","noteIndex":0},"citationItems":[{"id":23,"uris":["http://zotero.org/users/local/WHLSCuHh/items/GGLY9YE3"],"itemData":{"id":23,"type":"webpage","title":"Ustawa z dnia 11 sierpnia 2021 r. o gatunkach obcych","URL":"https://isap.sejm.gov.pl/isap.nsf/DocDetails.xsp?id=WDU20210001718","author":[{"family":"Dz.U.2023.1589","given":""}],"accessed":{"date-parts":[["2024",12,10]]},"issued":{"date-parts":[["2021",8,11]]}}}],"schema":"https://github.com/citation-style-language/schema/raw/master/csl-citation.json"} </w:instrText>
      </w:r>
      <w:r w:rsidRPr="00AE2500">
        <w:rPr>
          <w:rFonts w:asciiTheme="minorHAnsi" w:hAnsiTheme="minorHAnsi"/>
          <w:sz w:val="18"/>
          <w:szCs w:val="18"/>
        </w:rPr>
        <w:fldChar w:fldCharType="separate"/>
      </w:r>
      <w:r w:rsidRPr="00AE2500">
        <w:rPr>
          <w:rFonts w:asciiTheme="minorHAnsi" w:hAnsiTheme="minorHAnsi"/>
          <w:sz w:val="18"/>
          <w:szCs w:val="18"/>
          <w:lang w:val="en-US"/>
        </w:rPr>
        <w:t xml:space="preserve"> (Journal of Laws 2023.1589)</w:t>
      </w:r>
      <w:r w:rsidRPr="00AE2500">
        <w:rPr>
          <w:rFonts w:asciiTheme="minorHAnsi" w:hAnsiTheme="minorHAnsi"/>
          <w:sz w:val="18"/>
          <w:szCs w:val="18"/>
        </w:rPr>
        <w:fldChar w:fldCharType="end"/>
      </w:r>
    </w:p>
    <w:p w14:paraId="7FE71672" w14:textId="77777777" w:rsidR="003A1319" w:rsidRPr="00337304" w:rsidRDefault="003A1319" w:rsidP="00337304">
      <w:pPr>
        <w:spacing w:after="120" w:line="276" w:lineRule="auto"/>
        <w:jc w:val="both"/>
        <w:rPr>
          <w:rFonts w:asciiTheme="minorHAnsi" w:hAnsiTheme="minorHAnsi"/>
          <w:sz w:val="24"/>
          <w:szCs w:val="24"/>
          <w:lang w:val="en-US"/>
        </w:rPr>
      </w:pPr>
      <w:r w:rsidRPr="00337304">
        <w:rPr>
          <w:rFonts w:asciiTheme="minorHAnsi" w:hAnsiTheme="minorHAnsi"/>
          <w:sz w:val="24"/>
          <w:szCs w:val="24"/>
          <w:lang w:val="en-US"/>
        </w:rPr>
        <w:t>Collected biomass must be stored on an impermeable surface, similar to when collected in windrows. Bags containing biomass should be placed side by side; under no circumstances should they be stacked on top of one another. This practice minimizes the risk of bag damage and the escape of their contents. A natural process of biomass decomposition begins inside the sealed bags. Bags containing biomass may be stored on-site until a sufficient amount of waste has been collected to make transport to the incineration plant cost-effective. If there is enough biomass to transport immediately after pest control measures have been carried out, this should be done as quickly as possible. It should be noted, however, that storing biomass for a long time can cause leachate to form at the bottom of the bag. For this reason, if the presence of leachate is confirmed, the bags must be transported with caution. The bags of biomass are then sent to a waste incineration plant. It should be noted that transporting biomass over long distances to an incineration plant generates high environmental costs, such as greenhouse gas emissions from transportation. This is inconsistent with the principle of proximity, which states that waste should be processed as close as possible to where it is generated. In this case, the nearest incineration plant is located approximately 90 km from the Project Area, and the environmental impact caused by transportation may outweigh the benefits of the chosen method for controlling invasive alien species (Journal of Laws 2023.1587). The advantage of this method is that there is no need to place great emphasis on cleaning and inspecting vehicles, as the transported material is packaged and secured (compared to the method described in Section 3.2.3).</w:t>
      </w:r>
    </w:p>
    <w:p w14:paraId="0A11B64C" w14:textId="2D221111" w:rsidR="003A1319" w:rsidRPr="00D049D4" w:rsidRDefault="003A1319" w:rsidP="003A1319">
      <w:pPr>
        <w:pStyle w:val="Heading2"/>
        <w:rPr>
          <w:lang w:val="en-US"/>
        </w:rPr>
      </w:pPr>
      <w:bookmarkStart w:id="37" w:name="_Toc239856714"/>
      <w:r w:rsidRPr="00D049D4">
        <w:rPr>
          <w:lang w:val="en-US"/>
        </w:rPr>
        <w:t>3.3. Monitoring Activities</w:t>
      </w:r>
      <w:bookmarkEnd w:id="37"/>
    </w:p>
    <w:p w14:paraId="48531A46" w14:textId="77777777" w:rsidR="003A1319" w:rsidRPr="00E67C23" w:rsidRDefault="003A1319" w:rsidP="00E67C23">
      <w:pPr>
        <w:spacing w:after="120" w:line="276" w:lineRule="auto"/>
        <w:jc w:val="both"/>
        <w:rPr>
          <w:rFonts w:asciiTheme="minorHAnsi" w:hAnsiTheme="minorHAnsi"/>
          <w:sz w:val="24"/>
          <w:szCs w:val="24"/>
          <w:lang w:val="en-US"/>
        </w:rPr>
      </w:pPr>
      <w:r w:rsidRPr="00E67C23">
        <w:rPr>
          <w:rFonts w:asciiTheme="minorHAnsi" w:hAnsiTheme="minorHAnsi"/>
          <w:sz w:val="24"/>
          <w:szCs w:val="24"/>
          <w:lang w:val="en-US"/>
        </w:rPr>
        <w:t>To effectively monitor changes in the populations of invasive species and the impact of eradication measures on native species, a qualified specialist is needed. Such a specialist should have a solid theoretical and practical background, including the ability to identify both invasive and native species, especially those under protection. Regular data collection will enable an accurate assessment of the effectiveness of the measures taken and allow for possible modifications to the control strategy.</w:t>
      </w:r>
    </w:p>
    <w:p w14:paraId="3723C6CC" w14:textId="77777777" w:rsidR="003A1319" w:rsidRPr="00E67C23" w:rsidRDefault="003A1319" w:rsidP="00E67C23">
      <w:pPr>
        <w:spacing w:after="120" w:line="276" w:lineRule="auto"/>
        <w:jc w:val="both"/>
        <w:rPr>
          <w:rFonts w:asciiTheme="minorHAnsi" w:hAnsiTheme="minorHAnsi"/>
          <w:sz w:val="24"/>
          <w:szCs w:val="24"/>
          <w:lang w:val="en-US"/>
        </w:rPr>
      </w:pPr>
      <w:r w:rsidRPr="00E67C23">
        <w:rPr>
          <w:rFonts w:asciiTheme="minorHAnsi" w:hAnsiTheme="minorHAnsi"/>
          <w:sz w:val="24"/>
          <w:szCs w:val="24"/>
          <w:lang w:val="en-US"/>
        </w:rPr>
        <w:t>Determining the effectiveness of the control measures involves estimating changes in the total area occupied by invasive alien species relative to the treated area. Areas occupied by invasive alien species are delineated using a GPS receiver and plotted on a map background (e.g., an orthophoto map) with a resolution of at least 2–5 m. Patches smaller than 5 × 5 m are recorded as 5 × 5 m patches. The assessment is conducted for the entire area covered by the measures in a manner that ensures the representativeness of the observations.</w:t>
      </w:r>
    </w:p>
    <w:p w14:paraId="728E5201" w14:textId="77777777" w:rsidR="003A1319" w:rsidRPr="00E67C23" w:rsidRDefault="003A1319" w:rsidP="00E67C23">
      <w:pPr>
        <w:spacing w:after="120" w:line="276" w:lineRule="auto"/>
        <w:jc w:val="both"/>
        <w:rPr>
          <w:rFonts w:asciiTheme="minorHAnsi" w:hAnsiTheme="minorHAnsi"/>
          <w:sz w:val="24"/>
          <w:szCs w:val="24"/>
          <w:lang w:val="en-US"/>
        </w:rPr>
      </w:pPr>
      <w:r w:rsidRPr="00E67C23">
        <w:rPr>
          <w:rFonts w:asciiTheme="minorHAnsi" w:hAnsiTheme="minorHAnsi"/>
          <w:sz w:val="24"/>
          <w:szCs w:val="24"/>
          <w:lang w:val="en-US"/>
        </w:rPr>
        <w:t xml:space="preserve">The first environmental monitoring should be conducted in the first year of remediation activities, always before they begin (initial—baseline—monitoring). Its results will be used to verify the scope of the remediation activities. In subsequent years, this monitoring will also be conducted before remediation activities begin.  </w:t>
      </w:r>
    </w:p>
    <w:p w14:paraId="58ECDEA8" w14:textId="77777777" w:rsidR="003A1319" w:rsidRPr="00E67C23" w:rsidRDefault="003A1319" w:rsidP="00E67C23">
      <w:pPr>
        <w:spacing w:after="120" w:line="276" w:lineRule="auto"/>
        <w:jc w:val="both"/>
        <w:rPr>
          <w:rFonts w:asciiTheme="minorHAnsi" w:hAnsiTheme="minorHAnsi"/>
          <w:sz w:val="24"/>
          <w:szCs w:val="24"/>
          <w:lang w:val="en-US"/>
        </w:rPr>
      </w:pPr>
      <w:r w:rsidRPr="00E67C23">
        <w:rPr>
          <w:rFonts w:asciiTheme="minorHAnsi" w:hAnsiTheme="minorHAnsi"/>
          <w:sz w:val="24"/>
          <w:szCs w:val="24"/>
          <w:lang w:val="en-US"/>
        </w:rPr>
        <w:t>Assessment of the measures takes place annually, but monitoring of the condition of the area covered by the remedial measures should involve weekly inspections to check the condition of the fenced area, animal interference (e.g., the creation of rooted areas), and other possible disturbances. These activities should be carried out by a designated specialist.</w:t>
      </w:r>
    </w:p>
    <w:p w14:paraId="1226BB42" w14:textId="77777777" w:rsidR="003A1319" w:rsidRPr="00E67C23" w:rsidRDefault="003A1319" w:rsidP="00E67C23">
      <w:pPr>
        <w:spacing w:after="120" w:line="276" w:lineRule="auto"/>
        <w:jc w:val="both"/>
        <w:rPr>
          <w:rFonts w:asciiTheme="minorHAnsi" w:hAnsiTheme="minorHAnsi"/>
          <w:sz w:val="24"/>
          <w:szCs w:val="24"/>
          <w:lang w:val="en-US"/>
        </w:rPr>
      </w:pPr>
      <w:r w:rsidRPr="00E67C23">
        <w:rPr>
          <w:rFonts w:asciiTheme="minorHAnsi" w:hAnsiTheme="minorHAnsi"/>
          <w:sz w:val="24"/>
          <w:szCs w:val="24"/>
          <w:lang w:val="en-US"/>
        </w:rPr>
        <w:t>To consolidate the scope of monitoring activities, the table below provides a summary of monitoring activities for various aspects of invasive species management.</w:t>
      </w:r>
    </w:p>
    <w:p w14:paraId="1A927514" w14:textId="73760DF2" w:rsidR="003A1319" w:rsidRPr="005A7496" w:rsidRDefault="003A1319" w:rsidP="003A1319">
      <w:pPr>
        <w:pStyle w:val="Caption"/>
        <w:keepNext/>
        <w:rPr>
          <w:rFonts w:asciiTheme="minorHAnsi" w:hAnsiTheme="minorHAnsi"/>
          <w:b w:val="0"/>
          <w:bCs/>
          <w:color w:val="000000" w:themeColor="text1"/>
          <w:sz w:val="24"/>
          <w:szCs w:val="24"/>
          <w:lang w:val="en-US"/>
        </w:rPr>
      </w:pPr>
      <w:bookmarkStart w:id="38" w:name="_Toc239856618"/>
      <w:r w:rsidRPr="005A7496">
        <w:rPr>
          <w:rFonts w:asciiTheme="minorHAnsi" w:hAnsiTheme="minorHAnsi"/>
          <w:b w:val="0"/>
          <w:bCs/>
          <w:color w:val="000000" w:themeColor="text1"/>
          <w:sz w:val="24"/>
          <w:szCs w:val="24"/>
          <w:lang w:val="en-US"/>
        </w:rPr>
        <w:t>Table</w:t>
      </w:r>
      <w:r w:rsidR="005A7496">
        <w:rPr>
          <w:rFonts w:asciiTheme="minorHAnsi" w:hAnsiTheme="minorHAnsi"/>
          <w:b w:val="0"/>
          <w:bCs/>
          <w:color w:val="000000" w:themeColor="text1"/>
          <w:sz w:val="24"/>
          <w:szCs w:val="24"/>
          <w:lang w:val="en-US"/>
        </w:rPr>
        <w:t xml:space="preserve"> </w:t>
      </w:r>
      <w:r w:rsidRPr="005A7496">
        <w:rPr>
          <w:rFonts w:asciiTheme="minorHAnsi" w:hAnsiTheme="minorHAnsi"/>
          <w:b w:val="0"/>
          <w:bCs/>
          <w:color w:val="000000" w:themeColor="text1"/>
          <w:sz w:val="24"/>
          <w:szCs w:val="24"/>
        </w:rPr>
        <w:fldChar w:fldCharType="begin"/>
      </w:r>
      <w:r w:rsidRPr="005A7496">
        <w:rPr>
          <w:rFonts w:asciiTheme="minorHAnsi" w:hAnsiTheme="minorHAnsi"/>
          <w:b w:val="0"/>
          <w:bCs/>
          <w:color w:val="000000" w:themeColor="text1"/>
          <w:sz w:val="24"/>
          <w:szCs w:val="24"/>
          <w:lang w:val="en-US"/>
        </w:rPr>
        <w:instrText>SEQ Tabela \* ARABIC</w:instrText>
      </w:r>
      <w:r w:rsidRPr="005A7496">
        <w:rPr>
          <w:rFonts w:asciiTheme="minorHAnsi" w:hAnsiTheme="minorHAnsi"/>
          <w:b w:val="0"/>
          <w:bCs/>
          <w:color w:val="000000" w:themeColor="text1"/>
          <w:sz w:val="24"/>
          <w:szCs w:val="24"/>
        </w:rPr>
        <w:fldChar w:fldCharType="separate"/>
      </w:r>
      <w:r w:rsidRPr="005A7496">
        <w:rPr>
          <w:rFonts w:asciiTheme="minorHAnsi" w:hAnsiTheme="minorHAnsi"/>
          <w:b w:val="0"/>
          <w:bCs/>
          <w:color w:val="000000" w:themeColor="text1"/>
          <w:sz w:val="24"/>
          <w:szCs w:val="24"/>
          <w:lang w:val="en-US"/>
        </w:rPr>
        <w:t>5</w:t>
      </w:r>
      <w:r w:rsidRPr="005A7496">
        <w:rPr>
          <w:rFonts w:asciiTheme="minorHAnsi" w:hAnsiTheme="minorHAnsi"/>
          <w:b w:val="0"/>
          <w:bCs/>
          <w:color w:val="000000" w:themeColor="text1"/>
          <w:sz w:val="24"/>
          <w:szCs w:val="24"/>
        </w:rPr>
        <w:fldChar w:fldCharType="end"/>
      </w:r>
      <w:r w:rsidRPr="005A7496">
        <w:rPr>
          <w:rFonts w:asciiTheme="minorHAnsi" w:hAnsiTheme="minorHAnsi"/>
          <w:b w:val="0"/>
          <w:bCs/>
          <w:color w:val="000000" w:themeColor="text1"/>
          <w:sz w:val="24"/>
          <w:szCs w:val="24"/>
          <w:lang w:val="en-US"/>
        </w:rPr>
        <w:t xml:space="preserve"> Elements of invasive species monitoring</w:t>
      </w:r>
      <w:bookmarkEnd w:id="38"/>
    </w:p>
    <w:tbl>
      <w:tblPr>
        <w:tblW w:w="9067" w:type="dxa"/>
        <w:tblLook w:val="04A0" w:firstRow="1" w:lastRow="0" w:firstColumn="1" w:lastColumn="0" w:noHBand="0" w:noVBand="1"/>
      </w:tblPr>
      <w:tblGrid>
        <w:gridCol w:w="2362"/>
        <w:gridCol w:w="3303"/>
        <w:gridCol w:w="3402"/>
      </w:tblGrid>
      <w:tr w:rsidR="003A1319" w:rsidRPr="005A7496" w14:paraId="75572DAF" w14:textId="77777777" w:rsidTr="005A7496">
        <w:trPr>
          <w:tblHeader/>
        </w:trPr>
        <w:tc>
          <w:tcPr>
            <w:tcW w:w="2362"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41805322" w14:textId="77777777" w:rsidR="003A1319" w:rsidRPr="005A7496" w:rsidRDefault="003A1319" w:rsidP="005A7496">
            <w:pPr>
              <w:jc w:val="center"/>
              <w:rPr>
                <w:rFonts w:asciiTheme="minorHAnsi" w:hAnsiTheme="minorHAnsi" w:cs="Calibri"/>
                <w:b/>
                <w:bCs/>
                <w:sz w:val="18"/>
                <w:szCs w:val="18"/>
              </w:rPr>
            </w:pPr>
            <w:r w:rsidRPr="005A7496">
              <w:rPr>
                <w:rFonts w:asciiTheme="minorHAnsi" w:hAnsiTheme="minorHAnsi" w:cs="Calibri"/>
                <w:b/>
                <w:bCs/>
                <w:sz w:val="18"/>
                <w:szCs w:val="18"/>
              </w:rPr>
              <w:t>Subject of Monitoring</w:t>
            </w:r>
          </w:p>
        </w:tc>
        <w:tc>
          <w:tcPr>
            <w:tcW w:w="3303"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73022148" w14:textId="77777777" w:rsidR="003A1319" w:rsidRPr="005A7496" w:rsidRDefault="003A1319" w:rsidP="005A7496">
            <w:pPr>
              <w:jc w:val="center"/>
              <w:rPr>
                <w:rFonts w:asciiTheme="minorHAnsi" w:hAnsiTheme="minorHAnsi" w:cs="Calibri"/>
                <w:b/>
                <w:bCs/>
                <w:sz w:val="18"/>
                <w:szCs w:val="18"/>
              </w:rPr>
            </w:pPr>
            <w:r w:rsidRPr="005A7496">
              <w:rPr>
                <w:rFonts w:asciiTheme="minorHAnsi" w:hAnsiTheme="minorHAnsi" w:cs="Calibri"/>
                <w:b/>
                <w:bCs/>
                <w:sz w:val="18"/>
                <w:szCs w:val="18"/>
              </w:rPr>
              <w:t>Interval</w:t>
            </w:r>
          </w:p>
        </w:tc>
        <w:tc>
          <w:tcPr>
            <w:tcW w:w="3402"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33C3B082" w14:textId="77777777" w:rsidR="003A1319" w:rsidRPr="005A7496" w:rsidRDefault="003A1319" w:rsidP="005A7496">
            <w:pPr>
              <w:jc w:val="center"/>
              <w:rPr>
                <w:rFonts w:asciiTheme="minorHAnsi" w:hAnsiTheme="minorHAnsi" w:cs="Calibri"/>
                <w:b/>
                <w:bCs/>
                <w:sz w:val="18"/>
                <w:szCs w:val="18"/>
              </w:rPr>
            </w:pPr>
            <w:r w:rsidRPr="005A7496">
              <w:rPr>
                <w:rFonts w:asciiTheme="minorHAnsi" w:hAnsiTheme="minorHAnsi" w:cs="Calibri"/>
                <w:b/>
                <w:bCs/>
                <w:sz w:val="18"/>
                <w:szCs w:val="18"/>
              </w:rPr>
              <w:t>Scope</w:t>
            </w:r>
          </w:p>
        </w:tc>
      </w:tr>
      <w:tr w:rsidR="003A1319" w:rsidRPr="0089097C" w14:paraId="1483E13C" w14:textId="77777777" w:rsidTr="005A7496">
        <w:tc>
          <w:tcPr>
            <w:tcW w:w="2362" w:type="dxa"/>
            <w:tcBorders>
              <w:top w:val="single" w:sz="4" w:space="0" w:color="auto"/>
              <w:left w:val="single" w:sz="4" w:space="0" w:color="auto"/>
              <w:bottom w:val="single" w:sz="4" w:space="0" w:color="auto"/>
              <w:right w:val="single" w:sz="4" w:space="0" w:color="auto"/>
            </w:tcBorders>
            <w:hideMark/>
          </w:tcPr>
          <w:p w14:paraId="2C809733" w14:textId="77777777" w:rsidR="003A1319" w:rsidRPr="005A7496" w:rsidRDefault="003A1319" w:rsidP="005A7496">
            <w:pPr>
              <w:jc w:val="both"/>
              <w:rPr>
                <w:rFonts w:asciiTheme="minorHAnsi" w:hAnsiTheme="minorHAnsi" w:cs="Calibri"/>
                <w:sz w:val="18"/>
                <w:szCs w:val="18"/>
                <w:lang w:val="en-US"/>
              </w:rPr>
            </w:pPr>
            <w:r w:rsidRPr="005A7496">
              <w:rPr>
                <w:rFonts w:asciiTheme="minorHAnsi" w:hAnsiTheme="minorHAnsi" w:cs="Calibri"/>
                <w:sz w:val="18"/>
                <w:szCs w:val="18"/>
                <w:lang w:val="en-US"/>
              </w:rPr>
              <w:t>Regular inventory of the project’s user interface</w:t>
            </w:r>
          </w:p>
        </w:tc>
        <w:tc>
          <w:tcPr>
            <w:tcW w:w="3303" w:type="dxa"/>
            <w:tcBorders>
              <w:top w:val="single" w:sz="4" w:space="0" w:color="auto"/>
              <w:left w:val="single" w:sz="4" w:space="0" w:color="auto"/>
              <w:bottom w:val="single" w:sz="4" w:space="0" w:color="auto"/>
              <w:right w:val="single" w:sz="4" w:space="0" w:color="auto"/>
            </w:tcBorders>
            <w:hideMark/>
          </w:tcPr>
          <w:p w14:paraId="5C35467C" w14:textId="77777777" w:rsidR="003A1319" w:rsidRPr="005A7496" w:rsidRDefault="003A1319" w:rsidP="005A7496">
            <w:pPr>
              <w:jc w:val="both"/>
              <w:rPr>
                <w:rFonts w:asciiTheme="minorHAnsi" w:hAnsiTheme="minorHAnsi" w:cs="Calibri"/>
                <w:sz w:val="18"/>
                <w:szCs w:val="18"/>
                <w:lang w:val="en-US"/>
              </w:rPr>
            </w:pPr>
            <w:r w:rsidRPr="005A7496">
              <w:rPr>
                <w:rFonts w:asciiTheme="minorHAnsi" w:hAnsiTheme="minorHAnsi" w:cs="Calibri"/>
                <w:sz w:val="18"/>
                <w:szCs w:val="18"/>
                <w:lang w:val="en-US"/>
              </w:rPr>
              <w:t>Twice a year during the growing season.</w:t>
            </w:r>
          </w:p>
        </w:tc>
        <w:tc>
          <w:tcPr>
            <w:tcW w:w="3402" w:type="dxa"/>
            <w:tcBorders>
              <w:top w:val="single" w:sz="4" w:space="0" w:color="auto"/>
              <w:left w:val="single" w:sz="4" w:space="0" w:color="auto"/>
              <w:bottom w:val="single" w:sz="4" w:space="0" w:color="auto"/>
              <w:right w:val="single" w:sz="4" w:space="0" w:color="auto"/>
            </w:tcBorders>
            <w:hideMark/>
          </w:tcPr>
          <w:p w14:paraId="02DDDD6A" w14:textId="77777777" w:rsidR="003A1319" w:rsidRPr="005A7496" w:rsidRDefault="003A1319" w:rsidP="005A7496">
            <w:pPr>
              <w:jc w:val="both"/>
              <w:rPr>
                <w:rFonts w:asciiTheme="minorHAnsi" w:hAnsiTheme="minorHAnsi" w:cs="Calibri"/>
                <w:sz w:val="18"/>
                <w:szCs w:val="18"/>
                <w:lang w:val="en-US"/>
              </w:rPr>
            </w:pPr>
            <w:r w:rsidRPr="005A7496">
              <w:rPr>
                <w:rFonts w:asciiTheme="minorHAnsi" w:hAnsiTheme="minorHAnsi" w:cs="Calibri"/>
                <w:sz w:val="18"/>
                <w:szCs w:val="18"/>
                <w:lang w:val="en-US"/>
              </w:rPr>
              <w:t>Until the project is completed.</w:t>
            </w:r>
          </w:p>
        </w:tc>
      </w:tr>
      <w:tr w:rsidR="003A1319" w:rsidRPr="0089097C" w14:paraId="717EF7EF" w14:textId="77777777" w:rsidTr="005A7496">
        <w:tc>
          <w:tcPr>
            <w:tcW w:w="2362" w:type="dxa"/>
            <w:tcBorders>
              <w:top w:val="single" w:sz="4" w:space="0" w:color="auto"/>
              <w:left w:val="single" w:sz="4" w:space="0" w:color="auto"/>
              <w:bottom w:val="single" w:sz="4" w:space="0" w:color="auto"/>
              <w:right w:val="single" w:sz="4" w:space="0" w:color="auto"/>
            </w:tcBorders>
            <w:hideMark/>
          </w:tcPr>
          <w:p w14:paraId="22647758" w14:textId="77777777" w:rsidR="003A1319" w:rsidRPr="005A7496" w:rsidRDefault="003A1319" w:rsidP="005A7496">
            <w:pPr>
              <w:jc w:val="both"/>
              <w:rPr>
                <w:rFonts w:asciiTheme="minorHAnsi" w:hAnsiTheme="minorHAnsi" w:cs="Calibri"/>
                <w:sz w:val="18"/>
                <w:szCs w:val="18"/>
              </w:rPr>
            </w:pPr>
            <w:r w:rsidRPr="005A7496">
              <w:rPr>
                <w:rFonts w:asciiTheme="minorHAnsi" w:hAnsiTheme="minorHAnsi" w:cs="Calibri"/>
                <w:sz w:val="18"/>
                <w:szCs w:val="18"/>
              </w:rPr>
              <w:t>Buried biomass</w:t>
            </w:r>
          </w:p>
        </w:tc>
        <w:tc>
          <w:tcPr>
            <w:tcW w:w="3303" w:type="dxa"/>
            <w:tcBorders>
              <w:top w:val="single" w:sz="4" w:space="0" w:color="auto"/>
              <w:left w:val="single" w:sz="4" w:space="0" w:color="auto"/>
              <w:bottom w:val="single" w:sz="4" w:space="0" w:color="auto"/>
              <w:right w:val="single" w:sz="4" w:space="0" w:color="auto"/>
            </w:tcBorders>
            <w:hideMark/>
          </w:tcPr>
          <w:p w14:paraId="03432C76" w14:textId="77777777" w:rsidR="003A1319" w:rsidRPr="005A7496" w:rsidRDefault="003A1319" w:rsidP="005A7496">
            <w:pPr>
              <w:jc w:val="both"/>
              <w:rPr>
                <w:rFonts w:asciiTheme="minorHAnsi" w:hAnsiTheme="minorHAnsi" w:cs="Calibri"/>
                <w:sz w:val="18"/>
                <w:szCs w:val="18"/>
                <w:lang w:val="en-US"/>
              </w:rPr>
            </w:pPr>
            <w:r w:rsidRPr="005A7496">
              <w:rPr>
                <w:rFonts w:asciiTheme="minorHAnsi" w:hAnsiTheme="minorHAnsi" w:cs="Calibri"/>
                <w:sz w:val="18"/>
                <w:szCs w:val="18"/>
                <w:lang w:val="en-US"/>
              </w:rPr>
              <w:t>Two months after burial or the start of the growing season. Then monthly until the end of the growing season.</w:t>
            </w:r>
          </w:p>
        </w:tc>
        <w:tc>
          <w:tcPr>
            <w:tcW w:w="3402" w:type="dxa"/>
            <w:tcBorders>
              <w:top w:val="single" w:sz="4" w:space="0" w:color="auto"/>
              <w:left w:val="single" w:sz="4" w:space="0" w:color="auto"/>
              <w:bottom w:val="single" w:sz="4" w:space="0" w:color="auto"/>
              <w:right w:val="single" w:sz="4" w:space="0" w:color="auto"/>
            </w:tcBorders>
            <w:hideMark/>
          </w:tcPr>
          <w:p w14:paraId="430D54E7" w14:textId="77777777" w:rsidR="003A1319" w:rsidRPr="005A7496" w:rsidRDefault="003A1319" w:rsidP="005A7496">
            <w:pPr>
              <w:jc w:val="both"/>
              <w:rPr>
                <w:rFonts w:asciiTheme="minorHAnsi" w:hAnsiTheme="minorHAnsi" w:cs="Calibri"/>
                <w:sz w:val="18"/>
                <w:szCs w:val="18"/>
                <w:lang w:val="en-US"/>
              </w:rPr>
            </w:pPr>
            <w:r w:rsidRPr="005A7496">
              <w:rPr>
                <w:rFonts w:asciiTheme="minorHAnsi" w:hAnsiTheme="minorHAnsi" w:cs="Calibri"/>
                <w:sz w:val="18"/>
                <w:szCs w:val="18"/>
                <w:lang w:val="en-US"/>
              </w:rPr>
              <w:t xml:space="preserve">3 years from the time the biomass was buried. </w:t>
            </w:r>
          </w:p>
        </w:tc>
      </w:tr>
      <w:tr w:rsidR="003A1319" w:rsidRPr="0089097C" w14:paraId="6891004A" w14:textId="77777777" w:rsidTr="005A7496">
        <w:tc>
          <w:tcPr>
            <w:tcW w:w="2362" w:type="dxa"/>
            <w:tcBorders>
              <w:top w:val="single" w:sz="4" w:space="0" w:color="auto"/>
              <w:left w:val="single" w:sz="4" w:space="0" w:color="auto"/>
              <w:bottom w:val="single" w:sz="4" w:space="0" w:color="auto"/>
              <w:right w:val="single" w:sz="4" w:space="0" w:color="auto"/>
            </w:tcBorders>
            <w:hideMark/>
          </w:tcPr>
          <w:p w14:paraId="2EFA90C0" w14:textId="77777777" w:rsidR="003A1319" w:rsidRPr="005A7496" w:rsidRDefault="003A1319" w:rsidP="005A7496">
            <w:pPr>
              <w:jc w:val="both"/>
              <w:rPr>
                <w:rFonts w:asciiTheme="minorHAnsi" w:hAnsiTheme="minorHAnsi" w:cs="Calibri"/>
                <w:sz w:val="18"/>
                <w:szCs w:val="18"/>
              </w:rPr>
            </w:pPr>
            <w:r w:rsidRPr="005A7496">
              <w:rPr>
                <w:rFonts w:asciiTheme="minorHAnsi" w:hAnsiTheme="minorHAnsi" w:cs="Calibri"/>
                <w:sz w:val="18"/>
                <w:szCs w:val="18"/>
              </w:rPr>
              <w:t>Biomass in piles</w:t>
            </w:r>
          </w:p>
        </w:tc>
        <w:tc>
          <w:tcPr>
            <w:tcW w:w="3303" w:type="dxa"/>
            <w:tcBorders>
              <w:top w:val="single" w:sz="4" w:space="0" w:color="auto"/>
              <w:left w:val="single" w:sz="4" w:space="0" w:color="auto"/>
              <w:bottom w:val="single" w:sz="4" w:space="0" w:color="auto"/>
              <w:right w:val="single" w:sz="4" w:space="0" w:color="auto"/>
            </w:tcBorders>
            <w:hideMark/>
          </w:tcPr>
          <w:p w14:paraId="5D8FD237" w14:textId="77777777" w:rsidR="003A1319" w:rsidRPr="005A7496" w:rsidRDefault="003A1319" w:rsidP="005A7496">
            <w:pPr>
              <w:jc w:val="both"/>
              <w:rPr>
                <w:rFonts w:asciiTheme="minorHAnsi" w:hAnsiTheme="minorHAnsi" w:cs="Calibri"/>
                <w:sz w:val="18"/>
                <w:szCs w:val="18"/>
                <w:lang w:val="en-US"/>
              </w:rPr>
            </w:pPr>
            <w:r w:rsidRPr="005A7496">
              <w:rPr>
                <w:rFonts w:asciiTheme="minorHAnsi" w:hAnsiTheme="minorHAnsi" w:cs="Calibri"/>
                <w:sz w:val="18"/>
                <w:szCs w:val="18"/>
                <w:lang w:val="en-US"/>
              </w:rPr>
              <w:t>Once a week after the pile is set up.</w:t>
            </w:r>
          </w:p>
        </w:tc>
        <w:tc>
          <w:tcPr>
            <w:tcW w:w="3402" w:type="dxa"/>
            <w:tcBorders>
              <w:top w:val="single" w:sz="4" w:space="0" w:color="auto"/>
              <w:left w:val="single" w:sz="4" w:space="0" w:color="auto"/>
              <w:bottom w:val="single" w:sz="4" w:space="0" w:color="auto"/>
              <w:right w:val="single" w:sz="4" w:space="0" w:color="auto"/>
            </w:tcBorders>
            <w:hideMark/>
          </w:tcPr>
          <w:p w14:paraId="71807838" w14:textId="77777777" w:rsidR="003A1319" w:rsidRPr="005A7496" w:rsidRDefault="003A1319" w:rsidP="005A7496">
            <w:pPr>
              <w:jc w:val="both"/>
              <w:rPr>
                <w:rFonts w:asciiTheme="minorHAnsi" w:hAnsiTheme="minorHAnsi" w:cs="Calibri"/>
                <w:sz w:val="18"/>
                <w:szCs w:val="18"/>
                <w:lang w:val="en-US"/>
              </w:rPr>
            </w:pPr>
            <w:r w:rsidRPr="005A7496">
              <w:rPr>
                <w:rFonts w:asciiTheme="minorHAnsi" w:hAnsiTheme="minorHAnsi" w:cs="Calibri"/>
                <w:sz w:val="18"/>
                <w:szCs w:val="18"/>
                <w:lang w:val="en-US"/>
              </w:rPr>
              <w:t>Until decomposition is complete (see subsection 3.2.2).</w:t>
            </w:r>
          </w:p>
        </w:tc>
      </w:tr>
      <w:tr w:rsidR="003A1319" w:rsidRPr="0089097C" w14:paraId="1A8531A6" w14:textId="77777777" w:rsidTr="005A7496">
        <w:tc>
          <w:tcPr>
            <w:tcW w:w="2362" w:type="dxa"/>
            <w:tcBorders>
              <w:top w:val="single" w:sz="4" w:space="0" w:color="auto"/>
              <w:left w:val="single" w:sz="4" w:space="0" w:color="auto"/>
              <w:bottom w:val="single" w:sz="4" w:space="0" w:color="auto"/>
              <w:right w:val="single" w:sz="4" w:space="0" w:color="auto"/>
            </w:tcBorders>
            <w:hideMark/>
          </w:tcPr>
          <w:p w14:paraId="1DC51224" w14:textId="5B77DCED" w:rsidR="003A1319" w:rsidRPr="005A7496" w:rsidRDefault="003A1319" w:rsidP="005A7496">
            <w:pPr>
              <w:jc w:val="both"/>
              <w:rPr>
                <w:rFonts w:asciiTheme="minorHAnsi" w:hAnsiTheme="minorHAnsi" w:cs="Calibri"/>
                <w:sz w:val="18"/>
                <w:szCs w:val="18"/>
                <w:lang w:val="en-US"/>
              </w:rPr>
            </w:pPr>
            <w:r w:rsidRPr="005A7496">
              <w:rPr>
                <w:rFonts w:asciiTheme="minorHAnsi" w:hAnsiTheme="minorHAnsi" w:cs="Calibri"/>
                <w:sz w:val="18"/>
                <w:szCs w:val="18"/>
                <w:lang w:val="en-US"/>
              </w:rPr>
              <w:t xml:space="preserve">Confirmed area of </w:t>
            </w:r>
            <w:r w:rsidR="009374B7" w:rsidRPr="005A7496">
              <w:rPr>
                <w:rFonts w:asciiTheme="minorHAnsi" w:hAnsiTheme="minorHAnsi" w:cs="Calibri"/>
                <w:sz w:val="18"/>
                <w:szCs w:val="18"/>
                <w:lang w:val="en-US"/>
              </w:rPr>
              <w:t>IAS</w:t>
            </w:r>
            <w:r w:rsidRPr="005A7496">
              <w:rPr>
                <w:rFonts w:asciiTheme="minorHAnsi" w:hAnsiTheme="minorHAnsi" w:cs="Calibri"/>
                <w:sz w:val="18"/>
                <w:szCs w:val="18"/>
                <w:lang w:val="en-US"/>
              </w:rPr>
              <w:t xml:space="preserve"> occurrence</w:t>
            </w:r>
          </w:p>
        </w:tc>
        <w:tc>
          <w:tcPr>
            <w:tcW w:w="3303" w:type="dxa"/>
            <w:tcBorders>
              <w:top w:val="single" w:sz="4" w:space="0" w:color="auto"/>
              <w:left w:val="single" w:sz="4" w:space="0" w:color="auto"/>
              <w:bottom w:val="single" w:sz="4" w:space="0" w:color="auto"/>
              <w:right w:val="single" w:sz="4" w:space="0" w:color="auto"/>
            </w:tcBorders>
            <w:hideMark/>
          </w:tcPr>
          <w:p w14:paraId="2C55C133" w14:textId="77777777" w:rsidR="003A1319" w:rsidRPr="005A7496" w:rsidRDefault="003A1319" w:rsidP="005A7496">
            <w:pPr>
              <w:jc w:val="both"/>
              <w:rPr>
                <w:rFonts w:asciiTheme="minorHAnsi" w:hAnsiTheme="minorHAnsi" w:cs="Calibri"/>
                <w:sz w:val="18"/>
                <w:szCs w:val="18"/>
                <w:lang w:val="en-US"/>
              </w:rPr>
            </w:pPr>
            <w:r w:rsidRPr="005A7496">
              <w:rPr>
                <w:rFonts w:asciiTheme="minorHAnsi" w:hAnsiTheme="minorHAnsi" w:cs="Calibri"/>
                <w:sz w:val="18"/>
                <w:szCs w:val="18"/>
                <w:lang w:val="en-US"/>
              </w:rPr>
              <w:t>Once a month during the growing season/once a week during or after control measures are carried out.</w:t>
            </w:r>
          </w:p>
        </w:tc>
        <w:tc>
          <w:tcPr>
            <w:tcW w:w="3402" w:type="dxa"/>
            <w:tcBorders>
              <w:top w:val="single" w:sz="4" w:space="0" w:color="auto"/>
              <w:left w:val="single" w:sz="4" w:space="0" w:color="auto"/>
              <w:bottom w:val="single" w:sz="4" w:space="0" w:color="auto"/>
              <w:right w:val="single" w:sz="4" w:space="0" w:color="auto"/>
            </w:tcBorders>
            <w:hideMark/>
          </w:tcPr>
          <w:p w14:paraId="70E19E5C" w14:textId="1D434069" w:rsidR="003A1319" w:rsidRPr="005A7496" w:rsidRDefault="003A1319" w:rsidP="005A7496">
            <w:pPr>
              <w:jc w:val="both"/>
              <w:rPr>
                <w:rFonts w:asciiTheme="minorHAnsi" w:hAnsiTheme="minorHAnsi" w:cs="Calibri"/>
                <w:sz w:val="18"/>
                <w:szCs w:val="18"/>
                <w:lang w:val="en-US"/>
              </w:rPr>
            </w:pPr>
            <w:r w:rsidRPr="005A7496">
              <w:rPr>
                <w:rFonts w:asciiTheme="minorHAnsi" w:hAnsiTheme="minorHAnsi" w:cs="Calibri"/>
                <w:sz w:val="18"/>
                <w:szCs w:val="18"/>
                <w:lang w:val="en-US"/>
              </w:rPr>
              <w:t xml:space="preserve">Until the </w:t>
            </w:r>
            <w:r w:rsidR="009374B7" w:rsidRPr="005A7496">
              <w:rPr>
                <w:rFonts w:asciiTheme="minorHAnsi" w:hAnsiTheme="minorHAnsi" w:cs="Calibri"/>
                <w:sz w:val="18"/>
                <w:szCs w:val="18"/>
                <w:lang w:val="en-US"/>
              </w:rPr>
              <w:t>IAS</w:t>
            </w:r>
            <w:r w:rsidRPr="005A7496">
              <w:rPr>
                <w:rFonts w:asciiTheme="minorHAnsi" w:hAnsiTheme="minorHAnsi" w:cs="Calibri"/>
                <w:sz w:val="18"/>
                <w:szCs w:val="18"/>
                <w:lang w:val="en-US"/>
              </w:rPr>
              <w:t xml:space="preserve"> is deemed to have been eradicated.</w:t>
            </w:r>
          </w:p>
        </w:tc>
      </w:tr>
    </w:tbl>
    <w:p w14:paraId="7A38FE9C" w14:textId="77777777" w:rsidR="003A1319" w:rsidRPr="00D049D4" w:rsidRDefault="003A1319" w:rsidP="003A1319">
      <w:pPr>
        <w:rPr>
          <w:lang w:val="en-US"/>
        </w:rPr>
      </w:pPr>
    </w:p>
    <w:p w14:paraId="46D797F7" w14:textId="2B61E1D9" w:rsidR="003A1319" w:rsidRPr="00595BAA" w:rsidRDefault="003A1319" w:rsidP="00595BAA">
      <w:pPr>
        <w:spacing w:after="120" w:line="276" w:lineRule="auto"/>
        <w:jc w:val="both"/>
        <w:rPr>
          <w:rFonts w:asciiTheme="minorHAnsi" w:hAnsiTheme="minorHAnsi"/>
          <w:lang w:val="en-US"/>
        </w:rPr>
      </w:pPr>
      <w:r w:rsidRPr="00595BAA">
        <w:rPr>
          <w:rFonts w:asciiTheme="minorHAnsi" w:hAnsiTheme="minorHAnsi"/>
          <w:sz w:val="24"/>
          <w:szCs w:val="24"/>
          <w:lang w:val="en-US"/>
        </w:rPr>
        <w:t xml:space="preserve">The results of environmental monitoring are summarized annually after all control measures have been implemented (at the end of the growing season). The effectiveness of the control measures implemented ( ) is assessed by comparing the occurrence of </w:t>
      </w:r>
      <w:r w:rsidR="009374B7" w:rsidRPr="00595BAA">
        <w:rPr>
          <w:rFonts w:asciiTheme="minorHAnsi" w:hAnsiTheme="minorHAnsi"/>
          <w:sz w:val="24"/>
          <w:szCs w:val="24"/>
          <w:lang w:val="en-US"/>
        </w:rPr>
        <w:t>IAS</w:t>
      </w:r>
      <w:r w:rsidRPr="00595BAA">
        <w:rPr>
          <w:rFonts w:asciiTheme="minorHAnsi" w:hAnsiTheme="minorHAnsi"/>
          <w:sz w:val="24"/>
          <w:szCs w:val="24"/>
          <w:lang w:val="en-US"/>
        </w:rPr>
        <w:t xml:space="preserve"> during the baseline monitoring conducted in the first year of the measures (the area occupied by </w:t>
      </w:r>
      <w:r w:rsidR="009374B7" w:rsidRPr="00595BAA">
        <w:rPr>
          <w:rFonts w:asciiTheme="minorHAnsi" w:hAnsiTheme="minorHAnsi"/>
          <w:sz w:val="24"/>
          <w:szCs w:val="24"/>
          <w:lang w:val="en-US"/>
        </w:rPr>
        <w:t>IAS</w:t>
      </w:r>
      <w:r w:rsidRPr="00595BAA">
        <w:rPr>
          <w:rFonts w:asciiTheme="minorHAnsi" w:hAnsiTheme="minorHAnsi"/>
          <w:sz w:val="24"/>
          <w:szCs w:val="24"/>
          <w:lang w:val="en-US"/>
        </w:rPr>
        <w:t xml:space="preserve"> individuals) with the monitoring results in subsequent years. The monitoring results serve as the basis for deciding whether to continue the control measures and for updating the scope and methodology of these measures in the following year. </w:t>
      </w:r>
      <w:r w:rsidRPr="00595BAA">
        <w:rPr>
          <w:rFonts w:asciiTheme="minorHAnsi" w:hAnsiTheme="minorHAnsi"/>
          <w:sz w:val="24"/>
          <w:szCs w:val="24"/>
          <w:lang w:val="en-US"/>
        </w:rPr>
        <w:br/>
        <w:t xml:space="preserve">To assess the overall effectiveness of the implemented mitigation measures following the treatments carried out in the previous year, the area (difference compared to the previous period) occupied by </w:t>
      </w:r>
      <w:r w:rsidR="009374B7" w:rsidRPr="00595BAA">
        <w:rPr>
          <w:rFonts w:asciiTheme="minorHAnsi" w:hAnsiTheme="minorHAnsi"/>
          <w:sz w:val="24"/>
          <w:szCs w:val="24"/>
          <w:lang w:val="en-US"/>
        </w:rPr>
        <w:t>IAS</w:t>
      </w:r>
      <w:r w:rsidRPr="00595BAA">
        <w:rPr>
          <w:rFonts w:asciiTheme="minorHAnsi" w:hAnsiTheme="minorHAnsi"/>
          <w:sz w:val="24"/>
          <w:szCs w:val="24"/>
          <w:lang w:val="en-US"/>
        </w:rPr>
        <w:t xml:space="preserve"> specimens will be used in relation to the area treated. </w:t>
      </w:r>
      <w:r w:rsidRPr="00595BAA">
        <w:rPr>
          <w:rFonts w:asciiTheme="minorHAnsi" w:hAnsiTheme="minorHAnsi"/>
          <w:lang w:val="en-US"/>
        </w:rPr>
        <w:br/>
      </w:r>
    </w:p>
    <w:p w14:paraId="0208B3DD" w14:textId="7B5C447F" w:rsidR="003A1319" w:rsidRPr="00595BAA" w:rsidRDefault="00595BAA" w:rsidP="00595BAA">
      <w:pPr>
        <w:pStyle w:val="Caption"/>
        <w:keepNext/>
        <w:jc w:val="both"/>
        <w:rPr>
          <w:rFonts w:asciiTheme="minorHAnsi" w:hAnsiTheme="minorHAnsi"/>
          <w:b w:val="0"/>
          <w:bCs/>
          <w:sz w:val="24"/>
          <w:szCs w:val="24"/>
          <w:lang w:val="en-US"/>
        </w:rPr>
      </w:pPr>
      <w:bookmarkStart w:id="39" w:name="_Toc239856619"/>
      <w:r w:rsidRPr="00595BAA">
        <w:rPr>
          <w:rFonts w:asciiTheme="minorHAnsi" w:hAnsiTheme="minorHAnsi"/>
          <w:b w:val="0"/>
          <w:bCs/>
          <w:sz w:val="24"/>
          <w:szCs w:val="24"/>
          <w:lang w:val="en-US"/>
        </w:rPr>
        <w:t xml:space="preserve">Table </w:t>
      </w:r>
      <w:r w:rsidR="003A1319" w:rsidRPr="00595BAA">
        <w:rPr>
          <w:rFonts w:asciiTheme="minorHAnsi" w:hAnsiTheme="minorHAnsi"/>
          <w:b w:val="0"/>
          <w:bCs/>
          <w:sz w:val="24"/>
          <w:szCs w:val="24"/>
        </w:rPr>
        <w:fldChar w:fldCharType="begin"/>
      </w:r>
      <w:r w:rsidR="003A1319" w:rsidRPr="00595BAA">
        <w:rPr>
          <w:rFonts w:asciiTheme="minorHAnsi" w:hAnsiTheme="minorHAnsi"/>
          <w:b w:val="0"/>
          <w:bCs/>
          <w:sz w:val="24"/>
          <w:szCs w:val="24"/>
          <w:lang w:val="en-US"/>
        </w:rPr>
        <w:instrText>SEQ Tabela \* ARABIC</w:instrText>
      </w:r>
      <w:r w:rsidR="003A1319" w:rsidRPr="00595BAA">
        <w:rPr>
          <w:rFonts w:asciiTheme="minorHAnsi" w:hAnsiTheme="minorHAnsi"/>
          <w:b w:val="0"/>
          <w:bCs/>
          <w:sz w:val="24"/>
          <w:szCs w:val="24"/>
        </w:rPr>
        <w:fldChar w:fldCharType="separate"/>
      </w:r>
      <w:r w:rsidR="003A1319" w:rsidRPr="00595BAA">
        <w:rPr>
          <w:rFonts w:asciiTheme="minorHAnsi" w:hAnsiTheme="minorHAnsi"/>
          <w:b w:val="0"/>
          <w:bCs/>
          <w:sz w:val="24"/>
          <w:szCs w:val="24"/>
          <w:lang w:val="en-US"/>
        </w:rPr>
        <w:t>6</w:t>
      </w:r>
      <w:r w:rsidR="003A1319" w:rsidRPr="00595BAA">
        <w:rPr>
          <w:rFonts w:asciiTheme="minorHAnsi" w:hAnsiTheme="minorHAnsi"/>
          <w:b w:val="0"/>
          <w:bCs/>
          <w:sz w:val="24"/>
          <w:szCs w:val="24"/>
        </w:rPr>
        <w:fldChar w:fldCharType="end"/>
      </w:r>
      <w:r w:rsidR="003A1319" w:rsidRPr="00595BAA">
        <w:rPr>
          <w:rFonts w:asciiTheme="minorHAnsi" w:hAnsiTheme="minorHAnsi"/>
          <w:b w:val="0"/>
          <w:bCs/>
          <w:sz w:val="24"/>
          <w:szCs w:val="24"/>
          <w:lang w:val="en-US"/>
        </w:rPr>
        <w:t xml:space="preserve"> Assessment of the effectiveness of control measures for invasive alien species and follow-up actions based on the assigned rating (this assessment should take place at the end of the growing season after all control measures have been implemented)</w:t>
      </w:r>
      <w:bookmarkEnd w:id="39"/>
    </w:p>
    <w:tbl>
      <w:tblPr>
        <w:tblW w:w="0" w:type="auto"/>
        <w:tblLook w:val="04A0" w:firstRow="1" w:lastRow="0" w:firstColumn="1" w:lastColumn="0" w:noHBand="0" w:noVBand="1"/>
      </w:tblPr>
      <w:tblGrid>
        <w:gridCol w:w="1098"/>
        <w:gridCol w:w="2660"/>
        <w:gridCol w:w="5304"/>
      </w:tblGrid>
      <w:tr w:rsidR="003A1319" w:rsidRPr="00595BAA" w14:paraId="1416412C" w14:textId="77777777" w:rsidTr="00595BAA">
        <w:trPr>
          <w:tblHeader/>
        </w:trPr>
        <w:tc>
          <w:tcPr>
            <w:tcW w:w="0" w:type="auto"/>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2AD8865D" w14:textId="77777777" w:rsidR="003A1319" w:rsidRPr="00595BAA" w:rsidRDefault="003A1319" w:rsidP="00595BAA">
            <w:pPr>
              <w:spacing w:line="276" w:lineRule="auto"/>
              <w:jc w:val="center"/>
              <w:rPr>
                <w:rFonts w:asciiTheme="minorHAnsi" w:hAnsiTheme="minorHAnsi" w:cs="Calibri"/>
                <w:b/>
                <w:sz w:val="18"/>
                <w:szCs w:val="18"/>
              </w:rPr>
            </w:pPr>
            <w:r w:rsidRPr="00595BAA">
              <w:rPr>
                <w:rFonts w:asciiTheme="minorHAnsi" w:hAnsiTheme="minorHAnsi" w:cs="Calibri"/>
                <w:b/>
                <w:sz w:val="18"/>
                <w:szCs w:val="18"/>
              </w:rPr>
              <w:t>Assessment</w:t>
            </w:r>
          </w:p>
        </w:tc>
        <w:tc>
          <w:tcPr>
            <w:tcW w:w="0" w:type="auto"/>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4FA756F4" w14:textId="77777777" w:rsidR="003A1319" w:rsidRPr="00595BAA" w:rsidRDefault="003A1319" w:rsidP="00595BAA">
            <w:pPr>
              <w:spacing w:line="276" w:lineRule="auto"/>
              <w:jc w:val="center"/>
              <w:rPr>
                <w:rFonts w:asciiTheme="minorHAnsi" w:hAnsiTheme="minorHAnsi" w:cs="Calibri"/>
                <w:b/>
                <w:sz w:val="18"/>
                <w:szCs w:val="18"/>
              </w:rPr>
            </w:pPr>
            <w:r w:rsidRPr="00595BAA">
              <w:rPr>
                <w:rFonts w:asciiTheme="minorHAnsi" w:hAnsiTheme="minorHAnsi" w:cs="Calibri"/>
                <w:b/>
                <w:sz w:val="18"/>
                <w:szCs w:val="18"/>
              </w:rPr>
              <w:t>After assignment</w:t>
            </w:r>
          </w:p>
        </w:tc>
        <w:tc>
          <w:tcPr>
            <w:tcW w:w="0" w:type="auto"/>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61BFBF2E" w14:textId="77777777" w:rsidR="003A1319" w:rsidRPr="00595BAA" w:rsidRDefault="003A1319" w:rsidP="00595BAA">
            <w:pPr>
              <w:spacing w:line="276" w:lineRule="auto"/>
              <w:jc w:val="center"/>
              <w:rPr>
                <w:rFonts w:asciiTheme="minorHAnsi" w:hAnsiTheme="minorHAnsi" w:cs="Calibri"/>
                <w:b/>
                <w:sz w:val="18"/>
                <w:szCs w:val="18"/>
              </w:rPr>
            </w:pPr>
            <w:r w:rsidRPr="00595BAA">
              <w:rPr>
                <w:rFonts w:asciiTheme="minorHAnsi" w:hAnsiTheme="minorHAnsi" w:cs="Calibri"/>
                <w:b/>
                <w:sz w:val="18"/>
                <w:szCs w:val="18"/>
              </w:rPr>
              <w:t>Follow-up</w:t>
            </w:r>
          </w:p>
        </w:tc>
      </w:tr>
      <w:tr w:rsidR="003A1319" w:rsidRPr="0089097C" w14:paraId="0B287388" w14:textId="77777777" w:rsidTr="00595BAA">
        <w:tc>
          <w:tcPr>
            <w:tcW w:w="0" w:type="auto"/>
            <w:tcBorders>
              <w:top w:val="single" w:sz="4" w:space="0" w:color="auto"/>
              <w:left w:val="single" w:sz="4" w:space="0" w:color="auto"/>
              <w:bottom w:val="single" w:sz="4" w:space="0" w:color="auto"/>
              <w:right w:val="single" w:sz="4" w:space="0" w:color="auto"/>
            </w:tcBorders>
            <w:shd w:val="clear" w:color="auto" w:fill="FF0000"/>
            <w:vAlign w:val="center"/>
            <w:hideMark/>
          </w:tcPr>
          <w:p w14:paraId="34CEF952" w14:textId="77777777" w:rsidR="003A1319" w:rsidRPr="00595BAA" w:rsidRDefault="003A1319" w:rsidP="00595BAA">
            <w:pPr>
              <w:spacing w:line="276" w:lineRule="auto"/>
              <w:rPr>
                <w:rFonts w:asciiTheme="minorHAnsi" w:hAnsiTheme="minorHAnsi" w:cs="Calibri"/>
                <w:sz w:val="18"/>
                <w:szCs w:val="18"/>
              </w:rPr>
            </w:pPr>
            <w:r w:rsidRPr="00595BAA">
              <w:rPr>
                <w:rFonts w:asciiTheme="minorHAnsi" w:hAnsiTheme="minorHAnsi" w:cs="Calibri"/>
                <w:sz w:val="18"/>
                <w:szCs w:val="18"/>
              </w:rPr>
              <w:t>0</w:t>
            </w:r>
          </w:p>
        </w:tc>
        <w:tc>
          <w:tcPr>
            <w:tcW w:w="0" w:type="auto"/>
            <w:tcBorders>
              <w:top w:val="single" w:sz="4" w:space="0" w:color="auto"/>
              <w:left w:val="single" w:sz="4" w:space="0" w:color="auto"/>
              <w:bottom w:val="single" w:sz="4" w:space="0" w:color="auto"/>
              <w:right w:val="single" w:sz="4" w:space="0" w:color="auto"/>
            </w:tcBorders>
            <w:vAlign w:val="center"/>
            <w:hideMark/>
          </w:tcPr>
          <w:p w14:paraId="033F8B72" w14:textId="6789B2CB" w:rsidR="003A1319" w:rsidRPr="00595BAA" w:rsidRDefault="003A1319" w:rsidP="00595BAA">
            <w:pPr>
              <w:spacing w:line="276" w:lineRule="auto"/>
              <w:rPr>
                <w:rFonts w:asciiTheme="minorHAnsi" w:hAnsiTheme="minorHAnsi" w:cs="Calibri"/>
                <w:sz w:val="18"/>
                <w:szCs w:val="18"/>
                <w:lang w:val="en-US"/>
              </w:rPr>
            </w:pPr>
            <w:r w:rsidRPr="00595BAA">
              <w:rPr>
                <w:rFonts w:asciiTheme="minorHAnsi" w:hAnsiTheme="minorHAnsi" w:cs="Calibri"/>
                <w:sz w:val="18"/>
                <w:szCs w:val="18"/>
                <w:lang w:val="en-US"/>
              </w:rPr>
              <w:t xml:space="preserve">The change in the proportion of area occupied by </w:t>
            </w:r>
            <w:r w:rsidR="009374B7" w:rsidRPr="00595BAA">
              <w:rPr>
                <w:rFonts w:asciiTheme="minorHAnsi" w:hAnsiTheme="minorHAnsi" w:cs="Calibri"/>
                <w:sz w:val="18"/>
                <w:szCs w:val="18"/>
                <w:lang w:val="en-US"/>
              </w:rPr>
              <w:t>IAS</w:t>
            </w:r>
            <w:r w:rsidRPr="00595BAA">
              <w:rPr>
                <w:rFonts w:asciiTheme="minorHAnsi" w:hAnsiTheme="minorHAnsi" w:cs="Calibri"/>
                <w:sz w:val="18"/>
                <w:szCs w:val="18"/>
                <w:lang w:val="en-US"/>
              </w:rPr>
              <w:t xml:space="preserve"> has increased or decreased by 10%</w:t>
            </w:r>
          </w:p>
        </w:tc>
        <w:tc>
          <w:tcPr>
            <w:tcW w:w="0" w:type="auto"/>
            <w:tcBorders>
              <w:top w:val="single" w:sz="4" w:space="0" w:color="auto"/>
              <w:left w:val="single" w:sz="4" w:space="0" w:color="auto"/>
              <w:bottom w:val="single" w:sz="4" w:space="0" w:color="auto"/>
              <w:right w:val="single" w:sz="4" w:space="0" w:color="auto"/>
            </w:tcBorders>
            <w:vAlign w:val="center"/>
            <w:hideMark/>
          </w:tcPr>
          <w:p w14:paraId="37D540EC" w14:textId="77777777" w:rsidR="003A1319" w:rsidRPr="00595BAA" w:rsidRDefault="003A1319" w:rsidP="00595BAA">
            <w:pPr>
              <w:spacing w:line="276" w:lineRule="auto"/>
              <w:rPr>
                <w:rFonts w:asciiTheme="minorHAnsi" w:hAnsiTheme="minorHAnsi" w:cs="Calibri"/>
                <w:sz w:val="18"/>
                <w:szCs w:val="18"/>
                <w:lang w:val="en-US"/>
              </w:rPr>
            </w:pPr>
            <w:r w:rsidRPr="00595BAA">
              <w:rPr>
                <w:rFonts w:asciiTheme="minorHAnsi" w:hAnsiTheme="minorHAnsi" w:cs="Calibri"/>
                <w:sz w:val="18"/>
                <w:szCs w:val="18"/>
                <w:lang w:val="en-US"/>
              </w:rPr>
              <w:t>Re-evaluate the control methods and select the one with higher effectiveness.</w:t>
            </w:r>
          </w:p>
        </w:tc>
      </w:tr>
      <w:tr w:rsidR="003A1319" w:rsidRPr="0089097C" w14:paraId="16F0D309" w14:textId="77777777" w:rsidTr="00595BAA">
        <w:tc>
          <w:tcPr>
            <w:tcW w:w="0" w:type="auto"/>
            <w:tcBorders>
              <w:top w:val="single" w:sz="4" w:space="0" w:color="auto"/>
              <w:left w:val="single" w:sz="4" w:space="0" w:color="auto"/>
              <w:bottom w:val="single" w:sz="4" w:space="0" w:color="auto"/>
              <w:right w:val="single" w:sz="4" w:space="0" w:color="auto"/>
            </w:tcBorders>
            <w:shd w:val="clear" w:color="auto" w:fill="FFC000"/>
            <w:vAlign w:val="center"/>
            <w:hideMark/>
          </w:tcPr>
          <w:p w14:paraId="29E4F210" w14:textId="77777777" w:rsidR="003A1319" w:rsidRPr="00595BAA" w:rsidRDefault="003A1319" w:rsidP="00595BAA">
            <w:pPr>
              <w:spacing w:line="276" w:lineRule="auto"/>
              <w:rPr>
                <w:rFonts w:asciiTheme="minorHAnsi" w:hAnsiTheme="minorHAnsi" w:cs="Calibri"/>
                <w:sz w:val="18"/>
                <w:szCs w:val="18"/>
              </w:rPr>
            </w:pPr>
            <w:r w:rsidRPr="00595BAA">
              <w:rPr>
                <w:rFonts w:asciiTheme="minorHAnsi" w:hAnsiTheme="minorHAnsi" w:cs="Calibri"/>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F27187E" w14:textId="2B65F3B6" w:rsidR="003A1319" w:rsidRPr="00595BAA" w:rsidRDefault="003A1319" w:rsidP="00595BAA">
            <w:pPr>
              <w:spacing w:line="276" w:lineRule="auto"/>
              <w:rPr>
                <w:rFonts w:asciiTheme="minorHAnsi" w:hAnsiTheme="minorHAnsi" w:cs="Calibri"/>
                <w:sz w:val="18"/>
                <w:szCs w:val="18"/>
                <w:lang w:val="en-US"/>
              </w:rPr>
            </w:pPr>
            <w:r w:rsidRPr="00595BAA">
              <w:rPr>
                <w:rFonts w:asciiTheme="minorHAnsi" w:hAnsiTheme="minorHAnsi" w:cs="Calibri"/>
                <w:sz w:val="18"/>
                <w:szCs w:val="18"/>
                <w:lang w:val="en-US"/>
              </w:rPr>
              <w:t xml:space="preserve">The change in the proportion of area occupied by </w:t>
            </w:r>
            <w:r w:rsidR="009374B7" w:rsidRPr="00595BAA">
              <w:rPr>
                <w:rFonts w:asciiTheme="minorHAnsi" w:hAnsiTheme="minorHAnsi" w:cs="Calibri"/>
                <w:sz w:val="18"/>
                <w:szCs w:val="18"/>
                <w:lang w:val="en-US"/>
              </w:rPr>
              <w:t>IAS</w:t>
            </w:r>
            <w:r w:rsidRPr="00595BAA">
              <w:rPr>
                <w:rFonts w:asciiTheme="minorHAnsi" w:hAnsiTheme="minorHAnsi" w:cs="Calibri"/>
                <w:sz w:val="18"/>
                <w:szCs w:val="18"/>
                <w:lang w:val="en-US"/>
              </w:rPr>
              <w:t xml:space="preserve"> decreased from 11% to 25%.</w:t>
            </w:r>
          </w:p>
        </w:tc>
        <w:tc>
          <w:tcPr>
            <w:tcW w:w="0" w:type="auto"/>
            <w:tcBorders>
              <w:top w:val="single" w:sz="4" w:space="0" w:color="auto"/>
              <w:left w:val="single" w:sz="4" w:space="0" w:color="auto"/>
              <w:bottom w:val="single" w:sz="4" w:space="0" w:color="auto"/>
              <w:right w:val="single" w:sz="4" w:space="0" w:color="auto"/>
            </w:tcBorders>
            <w:vAlign w:val="center"/>
            <w:hideMark/>
          </w:tcPr>
          <w:p w14:paraId="29E37AF5" w14:textId="77777777" w:rsidR="003A1319" w:rsidRPr="00595BAA" w:rsidRDefault="003A1319" w:rsidP="00595BAA">
            <w:pPr>
              <w:spacing w:line="276" w:lineRule="auto"/>
              <w:rPr>
                <w:rFonts w:asciiTheme="minorHAnsi" w:hAnsiTheme="minorHAnsi" w:cs="Calibri"/>
                <w:sz w:val="18"/>
                <w:szCs w:val="18"/>
                <w:lang w:val="en-US"/>
              </w:rPr>
            </w:pPr>
            <w:r w:rsidRPr="00595BAA">
              <w:rPr>
                <w:rFonts w:asciiTheme="minorHAnsi" w:hAnsiTheme="minorHAnsi" w:cs="Calibri"/>
                <w:sz w:val="18"/>
                <w:szCs w:val="18"/>
                <w:lang w:val="en-US"/>
              </w:rPr>
              <w:t>Increase efforts in natural monitoring and, depending on the cause, recommend stricter implementation of corrective actions or change the method.</w:t>
            </w:r>
          </w:p>
        </w:tc>
      </w:tr>
      <w:tr w:rsidR="003A1319" w:rsidRPr="00595BAA" w14:paraId="56B0E62F" w14:textId="77777777" w:rsidTr="00595BAA">
        <w:tc>
          <w:tcPr>
            <w:tcW w:w="0" w:type="auto"/>
            <w:tcBorders>
              <w:top w:val="single" w:sz="4" w:space="0" w:color="auto"/>
              <w:left w:val="single" w:sz="4" w:space="0" w:color="auto"/>
              <w:bottom w:val="single" w:sz="4" w:space="0" w:color="auto"/>
              <w:right w:val="single" w:sz="4" w:space="0" w:color="auto"/>
            </w:tcBorders>
            <w:shd w:val="clear" w:color="auto" w:fill="FFFF00"/>
            <w:vAlign w:val="center"/>
            <w:hideMark/>
          </w:tcPr>
          <w:p w14:paraId="2FDCC56E" w14:textId="77777777" w:rsidR="003A1319" w:rsidRPr="00595BAA" w:rsidRDefault="003A1319" w:rsidP="00595BAA">
            <w:pPr>
              <w:spacing w:line="276" w:lineRule="auto"/>
              <w:rPr>
                <w:rFonts w:asciiTheme="minorHAnsi" w:hAnsiTheme="minorHAnsi" w:cs="Calibri"/>
                <w:sz w:val="18"/>
                <w:szCs w:val="18"/>
              </w:rPr>
            </w:pPr>
            <w:r w:rsidRPr="00595BAA">
              <w:rPr>
                <w:rFonts w:asciiTheme="minorHAnsi" w:hAnsiTheme="minorHAnsi" w:cs="Calibri"/>
                <w:sz w:val="18"/>
                <w:szCs w:val="18"/>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438ED98A" w14:textId="11365DAA" w:rsidR="003A1319" w:rsidRPr="00595BAA" w:rsidRDefault="003A1319" w:rsidP="00595BAA">
            <w:pPr>
              <w:spacing w:line="276" w:lineRule="auto"/>
              <w:rPr>
                <w:rFonts w:asciiTheme="minorHAnsi" w:hAnsiTheme="minorHAnsi" w:cs="Calibri"/>
                <w:sz w:val="18"/>
                <w:szCs w:val="18"/>
                <w:lang w:val="en-US"/>
              </w:rPr>
            </w:pPr>
            <w:r w:rsidRPr="00595BAA">
              <w:rPr>
                <w:rFonts w:asciiTheme="minorHAnsi" w:hAnsiTheme="minorHAnsi" w:cs="Calibri"/>
                <w:sz w:val="18"/>
                <w:szCs w:val="18"/>
                <w:lang w:val="en-US"/>
              </w:rPr>
              <w:t xml:space="preserve">The change in the proportion of area occupied by </w:t>
            </w:r>
            <w:r w:rsidR="009374B7" w:rsidRPr="00595BAA">
              <w:rPr>
                <w:rFonts w:asciiTheme="minorHAnsi" w:hAnsiTheme="minorHAnsi" w:cs="Calibri"/>
                <w:sz w:val="18"/>
                <w:szCs w:val="18"/>
                <w:lang w:val="en-US"/>
              </w:rPr>
              <w:t>IAS</w:t>
            </w:r>
            <w:r w:rsidRPr="00595BAA">
              <w:rPr>
                <w:rFonts w:asciiTheme="minorHAnsi" w:hAnsiTheme="minorHAnsi" w:cs="Calibri"/>
                <w:sz w:val="18"/>
                <w:szCs w:val="18"/>
                <w:lang w:val="en-US"/>
              </w:rPr>
              <w:t xml:space="preserve"> decreased from 26 to 60%.</w:t>
            </w:r>
          </w:p>
        </w:tc>
        <w:tc>
          <w:tcPr>
            <w:tcW w:w="0" w:type="auto"/>
            <w:tcBorders>
              <w:top w:val="single" w:sz="4" w:space="0" w:color="auto"/>
              <w:left w:val="single" w:sz="4" w:space="0" w:color="auto"/>
              <w:bottom w:val="single" w:sz="4" w:space="0" w:color="auto"/>
              <w:right w:val="single" w:sz="4" w:space="0" w:color="auto"/>
            </w:tcBorders>
            <w:vAlign w:val="center"/>
            <w:hideMark/>
          </w:tcPr>
          <w:p w14:paraId="5A3C4F09" w14:textId="77777777" w:rsidR="003A1319" w:rsidRPr="00595BAA" w:rsidRDefault="003A1319" w:rsidP="00595BAA">
            <w:pPr>
              <w:spacing w:line="276" w:lineRule="auto"/>
              <w:rPr>
                <w:rFonts w:asciiTheme="minorHAnsi" w:hAnsiTheme="minorHAnsi" w:cs="Calibri"/>
                <w:sz w:val="18"/>
                <w:szCs w:val="18"/>
              </w:rPr>
            </w:pPr>
            <w:r w:rsidRPr="00595BAA">
              <w:rPr>
                <w:rFonts w:asciiTheme="minorHAnsi" w:hAnsiTheme="minorHAnsi" w:cs="Calibri"/>
                <w:sz w:val="18"/>
                <w:szCs w:val="18"/>
              </w:rPr>
              <w:t>Continue remedial measures.</w:t>
            </w:r>
          </w:p>
        </w:tc>
      </w:tr>
      <w:tr w:rsidR="003A1319" w:rsidRPr="00595BAA" w14:paraId="0B7646EE" w14:textId="77777777" w:rsidTr="00595BAA">
        <w:tc>
          <w:tcPr>
            <w:tcW w:w="0" w:type="auto"/>
            <w:tcBorders>
              <w:top w:val="single" w:sz="4" w:space="0" w:color="auto"/>
              <w:left w:val="single" w:sz="4" w:space="0" w:color="auto"/>
              <w:bottom w:val="single" w:sz="4" w:space="0" w:color="auto"/>
              <w:right w:val="single" w:sz="4" w:space="0" w:color="auto"/>
            </w:tcBorders>
            <w:shd w:val="clear" w:color="auto" w:fill="FFFF00"/>
            <w:vAlign w:val="center"/>
            <w:hideMark/>
          </w:tcPr>
          <w:p w14:paraId="5B7B71B7" w14:textId="77777777" w:rsidR="003A1319" w:rsidRPr="00595BAA" w:rsidRDefault="003A1319" w:rsidP="00595BAA">
            <w:pPr>
              <w:spacing w:line="276" w:lineRule="auto"/>
              <w:rPr>
                <w:rFonts w:asciiTheme="minorHAnsi" w:hAnsiTheme="minorHAnsi" w:cs="Calibri"/>
                <w:sz w:val="18"/>
                <w:szCs w:val="18"/>
              </w:rPr>
            </w:pPr>
            <w:r w:rsidRPr="00595BAA">
              <w:rPr>
                <w:rFonts w:asciiTheme="minorHAnsi" w:hAnsiTheme="minorHAnsi" w:cs="Calibri"/>
                <w:sz w:val="18"/>
                <w:szCs w:val="18"/>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29C64EC0" w14:textId="2AC3C6F0" w:rsidR="003A1319" w:rsidRPr="00595BAA" w:rsidRDefault="003A1319" w:rsidP="00595BAA">
            <w:pPr>
              <w:spacing w:line="276" w:lineRule="auto"/>
              <w:rPr>
                <w:rFonts w:asciiTheme="minorHAnsi" w:hAnsiTheme="minorHAnsi" w:cs="Calibri"/>
                <w:sz w:val="18"/>
                <w:szCs w:val="18"/>
                <w:lang w:val="en-US"/>
              </w:rPr>
            </w:pPr>
            <w:r w:rsidRPr="00595BAA">
              <w:rPr>
                <w:rFonts w:asciiTheme="minorHAnsi" w:hAnsiTheme="minorHAnsi" w:cs="Calibri"/>
                <w:sz w:val="18"/>
                <w:szCs w:val="18"/>
                <w:lang w:val="en-US"/>
              </w:rPr>
              <w:t xml:space="preserve">The change in the proportion of area occupied by </w:t>
            </w:r>
            <w:r w:rsidR="009374B7" w:rsidRPr="00595BAA">
              <w:rPr>
                <w:rFonts w:asciiTheme="minorHAnsi" w:hAnsiTheme="minorHAnsi" w:cs="Calibri"/>
                <w:sz w:val="18"/>
                <w:szCs w:val="18"/>
                <w:lang w:val="en-US"/>
              </w:rPr>
              <w:t>IAS</w:t>
            </w:r>
            <w:r w:rsidRPr="00595BAA">
              <w:rPr>
                <w:rFonts w:asciiTheme="minorHAnsi" w:hAnsiTheme="minorHAnsi" w:cs="Calibri"/>
                <w:sz w:val="18"/>
                <w:szCs w:val="18"/>
                <w:lang w:val="en-US"/>
              </w:rPr>
              <w:t xml:space="preserve"> decreased from 61 to 95%.</w:t>
            </w:r>
          </w:p>
        </w:tc>
        <w:tc>
          <w:tcPr>
            <w:tcW w:w="0" w:type="auto"/>
            <w:tcBorders>
              <w:top w:val="single" w:sz="4" w:space="0" w:color="auto"/>
              <w:left w:val="single" w:sz="4" w:space="0" w:color="auto"/>
              <w:bottom w:val="single" w:sz="4" w:space="0" w:color="auto"/>
              <w:right w:val="single" w:sz="4" w:space="0" w:color="auto"/>
            </w:tcBorders>
            <w:vAlign w:val="center"/>
            <w:hideMark/>
          </w:tcPr>
          <w:p w14:paraId="37C7EA5A" w14:textId="77777777" w:rsidR="003A1319" w:rsidRPr="00595BAA" w:rsidRDefault="003A1319" w:rsidP="00595BAA">
            <w:pPr>
              <w:spacing w:line="276" w:lineRule="auto"/>
              <w:rPr>
                <w:rFonts w:asciiTheme="minorHAnsi" w:hAnsiTheme="minorHAnsi" w:cs="Calibri"/>
                <w:sz w:val="18"/>
                <w:szCs w:val="18"/>
              </w:rPr>
            </w:pPr>
            <w:r w:rsidRPr="00595BAA">
              <w:rPr>
                <w:rFonts w:asciiTheme="minorHAnsi" w:hAnsiTheme="minorHAnsi" w:cs="Calibri"/>
                <w:sz w:val="18"/>
                <w:szCs w:val="18"/>
              </w:rPr>
              <w:t>Continue remedial measures.</w:t>
            </w:r>
          </w:p>
        </w:tc>
      </w:tr>
      <w:tr w:rsidR="003A1319" w:rsidRPr="0089097C" w14:paraId="318C01D5" w14:textId="77777777" w:rsidTr="00595BAA">
        <w:tc>
          <w:tcPr>
            <w:tcW w:w="0" w:type="auto"/>
            <w:tcBorders>
              <w:top w:val="single" w:sz="4" w:space="0" w:color="auto"/>
              <w:left w:val="single" w:sz="4" w:space="0" w:color="auto"/>
              <w:bottom w:val="single" w:sz="4" w:space="0" w:color="auto"/>
              <w:right w:val="single" w:sz="4" w:space="0" w:color="auto"/>
            </w:tcBorders>
            <w:shd w:val="clear" w:color="auto" w:fill="00B050"/>
            <w:vAlign w:val="center"/>
            <w:hideMark/>
          </w:tcPr>
          <w:p w14:paraId="538BCFD5" w14:textId="77777777" w:rsidR="003A1319" w:rsidRPr="00595BAA" w:rsidRDefault="003A1319" w:rsidP="00595BAA">
            <w:pPr>
              <w:spacing w:line="276" w:lineRule="auto"/>
              <w:rPr>
                <w:rFonts w:asciiTheme="minorHAnsi" w:hAnsiTheme="minorHAnsi" w:cs="Calibri"/>
                <w:sz w:val="18"/>
                <w:szCs w:val="18"/>
              </w:rPr>
            </w:pPr>
            <w:r w:rsidRPr="00595BAA">
              <w:rPr>
                <w:rFonts w:asciiTheme="minorHAnsi" w:hAnsiTheme="minorHAnsi" w:cs="Calibri"/>
                <w:sz w:val="18"/>
                <w:szCs w:val="18"/>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35B10123" w14:textId="118C0307" w:rsidR="003A1319" w:rsidRPr="00595BAA" w:rsidRDefault="003A1319" w:rsidP="00595BAA">
            <w:pPr>
              <w:spacing w:line="276" w:lineRule="auto"/>
              <w:rPr>
                <w:rFonts w:asciiTheme="minorHAnsi" w:hAnsiTheme="minorHAnsi" w:cs="Calibri"/>
                <w:sz w:val="18"/>
                <w:szCs w:val="18"/>
                <w:lang w:val="en-US"/>
              </w:rPr>
            </w:pPr>
            <w:r w:rsidRPr="00595BAA">
              <w:rPr>
                <w:rFonts w:asciiTheme="minorHAnsi" w:hAnsiTheme="minorHAnsi" w:cs="Calibri"/>
                <w:sz w:val="18"/>
                <w:szCs w:val="18"/>
                <w:lang w:val="en-US"/>
              </w:rPr>
              <w:t xml:space="preserve">The percentage of area occupied by </w:t>
            </w:r>
            <w:r w:rsidR="009374B7" w:rsidRPr="00595BAA">
              <w:rPr>
                <w:rFonts w:asciiTheme="minorHAnsi" w:hAnsiTheme="minorHAnsi" w:cs="Calibri"/>
                <w:sz w:val="18"/>
                <w:szCs w:val="18"/>
                <w:lang w:val="en-US"/>
              </w:rPr>
              <w:t>IAS</w:t>
            </w:r>
            <w:r w:rsidRPr="00595BAA">
              <w:rPr>
                <w:rFonts w:asciiTheme="minorHAnsi" w:hAnsiTheme="minorHAnsi" w:cs="Calibri"/>
                <w:sz w:val="18"/>
                <w:szCs w:val="18"/>
                <w:lang w:val="en-US"/>
              </w:rPr>
              <w:t xml:space="preserve"> decreased from 96 to 100%.</w:t>
            </w:r>
          </w:p>
        </w:tc>
        <w:tc>
          <w:tcPr>
            <w:tcW w:w="0" w:type="auto"/>
            <w:tcBorders>
              <w:top w:val="single" w:sz="4" w:space="0" w:color="auto"/>
              <w:left w:val="single" w:sz="4" w:space="0" w:color="auto"/>
              <w:bottom w:val="single" w:sz="4" w:space="0" w:color="auto"/>
              <w:right w:val="single" w:sz="4" w:space="0" w:color="auto"/>
            </w:tcBorders>
            <w:vAlign w:val="center"/>
            <w:hideMark/>
          </w:tcPr>
          <w:p w14:paraId="62855EA0" w14:textId="5E860BE6" w:rsidR="003A1319" w:rsidRPr="00595BAA" w:rsidRDefault="003A1319" w:rsidP="00595BAA">
            <w:pPr>
              <w:spacing w:line="276" w:lineRule="auto"/>
              <w:rPr>
                <w:rFonts w:asciiTheme="minorHAnsi" w:hAnsiTheme="minorHAnsi" w:cs="Calibri"/>
                <w:sz w:val="18"/>
                <w:szCs w:val="18"/>
                <w:lang w:val="en-US"/>
              </w:rPr>
            </w:pPr>
            <w:r w:rsidRPr="00595BAA">
              <w:rPr>
                <w:rFonts w:asciiTheme="minorHAnsi" w:hAnsiTheme="minorHAnsi" w:cs="Calibri"/>
                <w:sz w:val="18"/>
                <w:szCs w:val="18"/>
                <w:lang w:val="en-US"/>
              </w:rPr>
              <w:t xml:space="preserve">Refrain from taking corrective actions in the following year. Repeat monitoring at the end of the growing season. If a score of 4 is obtained again, the </w:t>
            </w:r>
            <w:r w:rsidR="009374B7" w:rsidRPr="00595BAA">
              <w:rPr>
                <w:rFonts w:asciiTheme="minorHAnsi" w:hAnsiTheme="minorHAnsi" w:cs="Calibri"/>
                <w:sz w:val="18"/>
                <w:szCs w:val="18"/>
                <w:lang w:val="en-US"/>
              </w:rPr>
              <w:t>IAS</w:t>
            </w:r>
            <w:r w:rsidRPr="00595BAA">
              <w:rPr>
                <w:rFonts w:asciiTheme="minorHAnsi" w:hAnsiTheme="minorHAnsi" w:cs="Calibri"/>
                <w:sz w:val="18"/>
                <w:szCs w:val="18"/>
                <w:lang w:val="en-US"/>
              </w:rPr>
              <w:t xml:space="preserve"> site should be considered eradicated at that location.</w:t>
            </w:r>
          </w:p>
        </w:tc>
      </w:tr>
    </w:tbl>
    <w:p w14:paraId="73EF78FC" w14:textId="77777777" w:rsidR="003A1319" w:rsidRPr="00D049D4" w:rsidRDefault="003A1319" w:rsidP="003A1319">
      <w:pPr>
        <w:jc w:val="both"/>
        <w:rPr>
          <w:lang w:val="en-US"/>
        </w:rPr>
      </w:pPr>
    </w:p>
    <w:p w14:paraId="61A0EDAC" w14:textId="77777777" w:rsidR="003A1319" w:rsidRPr="00595BAA" w:rsidRDefault="003A1319" w:rsidP="00595BAA">
      <w:pPr>
        <w:spacing w:after="120" w:line="276" w:lineRule="auto"/>
        <w:jc w:val="both"/>
        <w:rPr>
          <w:rFonts w:asciiTheme="minorHAnsi" w:hAnsiTheme="minorHAnsi"/>
          <w:sz w:val="24"/>
          <w:szCs w:val="24"/>
          <w:lang w:val="en-US"/>
        </w:rPr>
      </w:pPr>
      <w:r w:rsidRPr="00595BAA">
        <w:rPr>
          <w:rFonts w:asciiTheme="minorHAnsi" w:hAnsiTheme="minorHAnsi"/>
          <w:sz w:val="24"/>
          <w:szCs w:val="24"/>
          <w:lang w:val="en-US"/>
        </w:rPr>
        <w:t>If other invasive plant species are detected in an area where control measures are being carried out to eradicate a specific invasive species, it is necessary to extend the scope of these measures to include the newly detected species as well. If the methods used to control the primary target species are also effective against other invasive plant species, they should be applied. On the other hand, if additional, more specific control methods are required, they should be taken into account as early as the planning stage, and subsequently during implementation, as well as during subsequent monitoring and ecological surveillance. If species other than those listed in this annex are recorded, the list of species, as well as the control/eradication methods and biomass management measures, will be updated as soon as possible.</w:t>
      </w:r>
    </w:p>
    <w:p w14:paraId="75CAC203" w14:textId="77777777" w:rsidR="003A1319" w:rsidRPr="00595BAA" w:rsidRDefault="003A1319" w:rsidP="00595BAA">
      <w:pPr>
        <w:spacing w:after="120" w:line="276" w:lineRule="auto"/>
        <w:jc w:val="both"/>
        <w:rPr>
          <w:rFonts w:asciiTheme="minorHAnsi" w:hAnsiTheme="minorHAnsi"/>
          <w:sz w:val="24"/>
          <w:szCs w:val="24"/>
          <w:lang w:val="en-US"/>
        </w:rPr>
      </w:pPr>
      <w:r w:rsidRPr="00595BAA">
        <w:rPr>
          <w:rFonts w:asciiTheme="minorHAnsi" w:hAnsiTheme="minorHAnsi"/>
          <w:sz w:val="24"/>
          <w:szCs w:val="24"/>
          <w:lang w:val="en-US"/>
        </w:rPr>
        <w:t>Environmental monitoring, aimed at verifying the proper conduct of activities carried out by the contractor with regard to the specifics of the method used, may be entrusted to a specialist or may be conducted in-house by the entity undertaking the remedial actions. If necessary, the person(s) conducting environmental supervision shall indicate the need to adjust the manner in which the activities are carried out—for example, regarding the timeline for their completion, the equipment used, taking into account the presence of protected species, or the handling of biomass.</w:t>
      </w:r>
    </w:p>
    <w:p w14:paraId="7E81E7D2" w14:textId="77777777" w:rsidR="003A1319" w:rsidRPr="00595BAA" w:rsidRDefault="003A1319" w:rsidP="00595BAA">
      <w:pPr>
        <w:spacing w:after="120" w:line="276" w:lineRule="auto"/>
        <w:jc w:val="both"/>
        <w:rPr>
          <w:rFonts w:asciiTheme="minorHAnsi" w:hAnsiTheme="minorHAnsi"/>
          <w:sz w:val="24"/>
          <w:szCs w:val="24"/>
          <w:lang w:val="en-US"/>
        </w:rPr>
      </w:pPr>
      <w:r w:rsidRPr="00595BAA">
        <w:rPr>
          <w:rFonts w:asciiTheme="minorHAnsi" w:hAnsiTheme="minorHAnsi"/>
          <w:sz w:val="24"/>
          <w:szCs w:val="24"/>
          <w:lang w:val="en-US"/>
        </w:rPr>
        <w:t>The assessment of the impact of remedial measures on local vegetation (the degree of its regeneration)—that is, the impact on so-called “non-target” species—is conducted for:</w:t>
      </w:r>
    </w:p>
    <w:p w14:paraId="58A75182" w14:textId="77777777" w:rsidR="003A1319" w:rsidRPr="00595BAA" w:rsidRDefault="003A1319" w:rsidP="00595BAA">
      <w:pPr>
        <w:numPr>
          <w:ilvl w:val="0"/>
          <w:numId w:val="24"/>
        </w:numPr>
        <w:spacing w:after="120" w:line="276" w:lineRule="auto"/>
        <w:jc w:val="both"/>
        <w:rPr>
          <w:rFonts w:asciiTheme="minorHAnsi" w:hAnsiTheme="minorHAnsi"/>
          <w:sz w:val="24"/>
          <w:szCs w:val="24"/>
          <w:lang w:val="en-US"/>
        </w:rPr>
      </w:pPr>
      <w:r w:rsidRPr="00595BAA">
        <w:rPr>
          <w:rFonts w:asciiTheme="minorHAnsi" w:hAnsiTheme="minorHAnsi"/>
          <w:sz w:val="24"/>
          <w:szCs w:val="24"/>
          <w:lang w:val="en-US"/>
        </w:rPr>
        <w:t>The entire area—if the vegetation in the area is uniform,</w:t>
      </w:r>
    </w:p>
    <w:p w14:paraId="25EEC98F" w14:textId="77777777" w:rsidR="003A1319" w:rsidRPr="00595BAA" w:rsidRDefault="003A1319" w:rsidP="00595BAA">
      <w:pPr>
        <w:numPr>
          <w:ilvl w:val="0"/>
          <w:numId w:val="24"/>
        </w:numPr>
        <w:spacing w:after="120" w:line="276" w:lineRule="auto"/>
        <w:jc w:val="both"/>
        <w:rPr>
          <w:rFonts w:asciiTheme="minorHAnsi" w:hAnsiTheme="minorHAnsi"/>
          <w:sz w:val="24"/>
          <w:szCs w:val="24"/>
          <w:lang w:val="en-US"/>
        </w:rPr>
      </w:pPr>
      <w:r w:rsidRPr="00595BAA">
        <w:rPr>
          <w:rFonts w:asciiTheme="minorHAnsi" w:hAnsiTheme="minorHAnsi"/>
          <w:sz w:val="24"/>
          <w:szCs w:val="24"/>
          <w:lang w:val="en-US"/>
        </w:rPr>
        <w:t>divided into distinct patches with uniform vegetation or with the same mosaic character; the distinct patches should not be smaller than 500 m².</w:t>
      </w:r>
    </w:p>
    <w:p w14:paraId="54B74AEA" w14:textId="6872B16B" w:rsidR="003A1319" w:rsidRPr="00595BAA" w:rsidRDefault="003A1319" w:rsidP="00595BAA">
      <w:pPr>
        <w:spacing w:after="120" w:line="276" w:lineRule="auto"/>
        <w:jc w:val="both"/>
        <w:rPr>
          <w:rFonts w:asciiTheme="minorHAnsi" w:hAnsiTheme="minorHAnsi"/>
          <w:sz w:val="24"/>
          <w:szCs w:val="24"/>
          <w:lang w:val="en-US"/>
        </w:rPr>
      </w:pPr>
      <w:r w:rsidRPr="00595BAA">
        <w:rPr>
          <w:rFonts w:asciiTheme="minorHAnsi" w:hAnsiTheme="minorHAnsi"/>
          <w:sz w:val="24"/>
          <w:szCs w:val="24"/>
          <w:lang w:val="en-US"/>
        </w:rPr>
        <w:t>Based on the observed changes in the percentage coverage of the area or its designated parts by “non-target” species (shrubs, herbaceous vascular plants, and bryophytes), the impact of the implemented remedial measures on “non-target” species was assessed.</w:t>
      </w:r>
    </w:p>
    <w:p w14:paraId="4BC9E63A" w14:textId="6AB25D05" w:rsidR="003A1319" w:rsidRPr="00595BAA" w:rsidRDefault="003A1319" w:rsidP="00595BAA">
      <w:pPr>
        <w:pStyle w:val="Caption"/>
        <w:keepNext/>
        <w:jc w:val="both"/>
        <w:rPr>
          <w:rFonts w:asciiTheme="minorHAnsi" w:hAnsiTheme="minorHAnsi"/>
          <w:b w:val="0"/>
          <w:bCs/>
          <w:color w:val="000000" w:themeColor="text1"/>
          <w:sz w:val="24"/>
          <w:szCs w:val="24"/>
          <w:lang w:val="en-US"/>
        </w:rPr>
      </w:pPr>
      <w:bookmarkStart w:id="40" w:name="_Toc239856620"/>
      <w:r w:rsidRPr="00595BAA">
        <w:rPr>
          <w:rFonts w:asciiTheme="minorHAnsi" w:hAnsiTheme="minorHAnsi"/>
          <w:b w:val="0"/>
          <w:bCs/>
          <w:color w:val="000000" w:themeColor="text1"/>
          <w:sz w:val="24"/>
          <w:szCs w:val="24"/>
          <w:lang w:val="en-US"/>
        </w:rPr>
        <w:t>Table</w:t>
      </w:r>
      <w:r w:rsidR="00595BAA">
        <w:rPr>
          <w:rFonts w:asciiTheme="minorHAnsi" w:hAnsiTheme="minorHAnsi"/>
          <w:b w:val="0"/>
          <w:bCs/>
          <w:color w:val="000000" w:themeColor="text1"/>
          <w:sz w:val="24"/>
          <w:szCs w:val="24"/>
          <w:lang w:val="en-US"/>
        </w:rPr>
        <w:t xml:space="preserve"> </w:t>
      </w:r>
      <w:r w:rsidRPr="00595BAA">
        <w:rPr>
          <w:rFonts w:asciiTheme="minorHAnsi" w:hAnsiTheme="minorHAnsi"/>
          <w:b w:val="0"/>
          <w:bCs/>
          <w:color w:val="000000" w:themeColor="text1"/>
          <w:sz w:val="24"/>
          <w:szCs w:val="24"/>
        </w:rPr>
        <w:fldChar w:fldCharType="begin"/>
      </w:r>
      <w:r w:rsidRPr="00595BAA">
        <w:rPr>
          <w:rFonts w:asciiTheme="minorHAnsi" w:hAnsiTheme="minorHAnsi"/>
          <w:b w:val="0"/>
          <w:bCs/>
          <w:color w:val="000000" w:themeColor="text1"/>
          <w:sz w:val="24"/>
          <w:szCs w:val="24"/>
          <w:lang w:val="en-US"/>
        </w:rPr>
        <w:instrText>SEQ Tabela \* ARABIC</w:instrText>
      </w:r>
      <w:r w:rsidRPr="00595BAA">
        <w:rPr>
          <w:rFonts w:asciiTheme="minorHAnsi" w:hAnsiTheme="minorHAnsi"/>
          <w:b w:val="0"/>
          <w:bCs/>
          <w:color w:val="000000" w:themeColor="text1"/>
          <w:sz w:val="24"/>
          <w:szCs w:val="24"/>
        </w:rPr>
        <w:fldChar w:fldCharType="separate"/>
      </w:r>
      <w:r w:rsidRPr="00595BAA">
        <w:rPr>
          <w:rFonts w:asciiTheme="minorHAnsi" w:hAnsiTheme="minorHAnsi"/>
          <w:b w:val="0"/>
          <w:bCs/>
          <w:color w:val="000000" w:themeColor="text1"/>
          <w:sz w:val="24"/>
          <w:szCs w:val="24"/>
          <w:lang w:val="en-US"/>
        </w:rPr>
        <w:t>7</w:t>
      </w:r>
      <w:r w:rsidRPr="00595BAA">
        <w:rPr>
          <w:rFonts w:asciiTheme="minorHAnsi" w:hAnsiTheme="minorHAnsi"/>
          <w:b w:val="0"/>
          <w:bCs/>
          <w:color w:val="000000" w:themeColor="text1"/>
          <w:sz w:val="24"/>
          <w:szCs w:val="24"/>
        </w:rPr>
        <w:fldChar w:fldCharType="end"/>
      </w:r>
      <w:r w:rsidRPr="00595BAA">
        <w:rPr>
          <w:rFonts w:asciiTheme="minorHAnsi" w:hAnsiTheme="minorHAnsi"/>
          <w:b w:val="0"/>
          <w:bCs/>
          <w:color w:val="000000" w:themeColor="text1"/>
          <w:sz w:val="24"/>
          <w:szCs w:val="24"/>
          <w:lang w:val="en-US"/>
        </w:rPr>
        <w:t xml:space="preserve"> Assessment of the effectiveness of remedial measures on non-target species and follow-up actions based on the assigned rating (this assessment should take place at the end of the growing season after all remedial measures have been implemented)</w:t>
      </w:r>
      <w:bookmarkEnd w:id="40"/>
    </w:p>
    <w:tbl>
      <w:tblPr>
        <w:tblW w:w="0" w:type="auto"/>
        <w:tblLook w:val="04A0" w:firstRow="1" w:lastRow="0" w:firstColumn="1" w:lastColumn="0" w:noHBand="0" w:noVBand="1"/>
      </w:tblPr>
      <w:tblGrid>
        <w:gridCol w:w="1388"/>
        <w:gridCol w:w="2816"/>
        <w:gridCol w:w="4858"/>
      </w:tblGrid>
      <w:tr w:rsidR="003A1319" w:rsidRPr="00595BAA" w14:paraId="6483A375" w14:textId="77777777" w:rsidTr="00595BAA">
        <w:trPr>
          <w:tblHeader/>
        </w:trPr>
        <w:tc>
          <w:tcPr>
            <w:tcW w:w="0" w:type="auto"/>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2E37C59F" w14:textId="77777777" w:rsidR="003A1319" w:rsidRPr="00595BAA" w:rsidRDefault="003A1319" w:rsidP="00595BAA">
            <w:pPr>
              <w:jc w:val="center"/>
              <w:rPr>
                <w:rFonts w:asciiTheme="minorHAnsi" w:hAnsiTheme="minorHAnsi" w:cs="Calibri"/>
                <w:b/>
                <w:bCs/>
                <w:sz w:val="18"/>
                <w:szCs w:val="18"/>
              </w:rPr>
            </w:pPr>
            <w:r w:rsidRPr="00595BAA">
              <w:rPr>
                <w:rFonts w:asciiTheme="minorHAnsi" w:hAnsiTheme="minorHAnsi" w:cs="Calibri"/>
                <w:b/>
                <w:bCs/>
                <w:sz w:val="18"/>
                <w:szCs w:val="18"/>
              </w:rPr>
              <w:t>Assessment</w:t>
            </w:r>
          </w:p>
        </w:tc>
        <w:tc>
          <w:tcPr>
            <w:tcW w:w="0" w:type="auto"/>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2CA53ED4" w14:textId="77777777" w:rsidR="003A1319" w:rsidRPr="00595BAA" w:rsidRDefault="003A1319" w:rsidP="00595BAA">
            <w:pPr>
              <w:jc w:val="center"/>
              <w:rPr>
                <w:rFonts w:asciiTheme="minorHAnsi" w:hAnsiTheme="minorHAnsi" w:cs="Calibri"/>
                <w:b/>
                <w:bCs/>
                <w:sz w:val="18"/>
                <w:szCs w:val="18"/>
              </w:rPr>
            </w:pPr>
            <w:r w:rsidRPr="00595BAA">
              <w:rPr>
                <w:rFonts w:asciiTheme="minorHAnsi" w:hAnsiTheme="minorHAnsi" w:cs="Calibri"/>
                <w:b/>
                <w:bCs/>
                <w:sz w:val="18"/>
                <w:szCs w:val="18"/>
              </w:rPr>
              <w:t>After assignment</w:t>
            </w:r>
          </w:p>
        </w:tc>
        <w:tc>
          <w:tcPr>
            <w:tcW w:w="0" w:type="auto"/>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5A680B3A" w14:textId="77777777" w:rsidR="003A1319" w:rsidRPr="00595BAA" w:rsidRDefault="003A1319" w:rsidP="00595BAA">
            <w:pPr>
              <w:jc w:val="center"/>
              <w:rPr>
                <w:rFonts w:asciiTheme="minorHAnsi" w:hAnsiTheme="minorHAnsi" w:cs="Calibri"/>
                <w:b/>
                <w:bCs/>
                <w:sz w:val="18"/>
                <w:szCs w:val="18"/>
              </w:rPr>
            </w:pPr>
            <w:r w:rsidRPr="00595BAA">
              <w:rPr>
                <w:rFonts w:asciiTheme="minorHAnsi" w:hAnsiTheme="minorHAnsi" w:cs="Calibri"/>
                <w:b/>
                <w:bCs/>
                <w:sz w:val="18"/>
                <w:szCs w:val="18"/>
              </w:rPr>
              <w:t>Continuation</w:t>
            </w:r>
          </w:p>
        </w:tc>
      </w:tr>
      <w:tr w:rsidR="003A1319" w:rsidRPr="00595BAA" w14:paraId="7A1385BF"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00B050"/>
            <w:vAlign w:val="center"/>
            <w:hideMark/>
          </w:tcPr>
          <w:p w14:paraId="2922B538" w14:textId="77777777" w:rsidR="003A1319" w:rsidRPr="00595BAA" w:rsidRDefault="003A1319" w:rsidP="00595BAA">
            <w:pPr>
              <w:jc w:val="both"/>
              <w:rPr>
                <w:rFonts w:asciiTheme="minorHAnsi" w:hAnsiTheme="minorHAnsi" w:cs="Calibri"/>
                <w:sz w:val="18"/>
                <w:szCs w:val="18"/>
              </w:rPr>
            </w:pPr>
            <w:r w:rsidRPr="00595BAA">
              <w:rPr>
                <w:rFonts w:asciiTheme="minorHAnsi" w:hAnsiTheme="minorHAnsi" w:cs="Calibri"/>
                <w:sz w:val="18"/>
                <w:szCs w:val="18"/>
              </w:rPr>
              <w:t>+3 very significant positive impact</w:t>
            </w:r>
          </w:p>
        </w:tc>
        <w:tc>
          <w:tcPr>
            <w:tcW w:w="0" w:type="auto"/>
            <w:tcBorders>
              <w:top w:val="single" w:sz="4" w:space="0" w:color="auto"/>
              <w:left w:val="single" w:sz="4" w:space="0" w:color="auto"/>
              <w:bottom w:val="single" w:sz="4" w:space="0" w:color="auto"/>
              <w:right w:val="single" w:sz="4" w:space="0" w:color="auto"/>
            </w:tcBorders>
            <w:vAlign w:val="center"/>
            <w:hideMark/>
          </w:tcPr>
          <w:p w14:paraId="338EE688" w14:textId="77777777" w:rsidR="003A1319" w:rsidRPr="00595BAA" w:rsidRDefault="003A1319" w:rsidP="00595BAA">
            <w:pPr>
              <w:jc w:val="both"/>
              <w:rPr>
                <w:rFonts w:asciiTheme="minorHAnsi" w:hAnsiTheme="minorHAnsi" w:cs="Calibri"/>
                <w:sz w:val="18"/>
                <w:szCs w:val="18"/>
                <w:lang w:val="en-US"/>
              </w:rPr>
            </w:pPr>
            <w:r w:rsidRPr="00595BAA">
              <w:rPr>
                <w:rFonts w:asciiTheme="minorHAnsi" w:hAnsiTheme="minorHAnsi" w:cs="Calibri"/>
                <w:sz w:val="18"/>
                <w:szCs w:val="18"/>
                <w:lang w:val="en-US"/>
              </w:rPr>
              <w:t>Change in the vegetation cover of non-target species in the control area or in its designated parts exceeding +50%.</w:t>
            </w:r>
          </w:p>
        </w:tc>
        <w:tc>
          <w:tcPr>
            <w:tcW w:w="0" w:type="auto"/>
            <w:tcBorders>
              <w:top w:val="single" w:sz="4" w:space="0" w:color="auto"/>
              <w:left w:val="single" w:sz="4" w:space="0" w:color="auto"/>
              <w:bottom w:val="single" w:sz="4" w:space="0" w:color="auto"/>
              <w:right w:val="single" w:sz="4" w:space="0" w:color="auto"/>
            </w:tcBorders>
            <w:vAlign w:val="center"/>
            <w:hideMark/>
          </w:tcPr>
          <w:p w14:paraId="0C2ECA4C" w14:textId="77777777" w:rsidR="003A1319" w:rsidRPr="00595BAA" w:rsidRDefault="003A1319" w:rsidP="00595BAA">
            <w:pPr>
              <w:jc w:val="both"/>
              <w:rPr>
                <w:rFonts w:asciiTheme="minorHAnsi" w:hAnsiTheme="minorHAnsi" w:cs="Calibri"/>
                <w:sz w:val="18"/>
                <w:szCs w:val="18"/>
              </w:rPr>
            </w:pPr>
            <w:r w:rsidRPr="00595BAA">
              <w:rPr>
                <w:rFonts w:asciiTheme="minorHAnsi" w:hAnsiTheme="minorHAnsi" w:cs="Calibri"/>
                <w:sz w:val="18"/>
                <w:szCs w:val="18"/>
              </w:rPr>
              <w:t>Continuation of mitigation measures</w:t>
            </w:r>
          </w:p>
        </w:tc>
      </w:tr>
      <w:tr w:rsidR="003A1319" w:rsidRPr="00595BAA" w14:paraId="2C269AE9"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92D050"/>
            <w:vAlign w:val="center"/>
            <w:hideMark/>
          </w:tcPr>
          <w:p w14:paraId="59FEDCCF" w14:textId="77777777" w:rsidR="003A1319" w:rsidRPr="00595BAA" w:rsidRDefault="003A1319" w:rsidP="00595BAA">
            <w:pPr>
              <w:jc w:val="both"/>
              <w:rPr>
                <w:rFonts w:asciiTheme="minorHAnsi" w:hAnsiTheme="minorHAnsi" w:cs="Calibri"/>
                <w:sz w:val="18"/>
                <w:szCs w:val="18"/>
              </w:rPr>
            </w:pPr>
            <w:r w:rsidRPr="00595BAA">
              <w:rPr>
                <w:rFonts w:asciiTheme="minorHAnsi" w:hAnsiTheme="minorHAnsi" w:cs="Calibri"/>
                <w:sz w:val="18"/>
                <w:szCs w:val="18"/>
              </w:rPr>
              <w:t>+2 high positive impact</w:t>
            </w:r>
          </w:p>
        </w:tc>
        <w:tc>
          <w:tcPr>
            <w:tcW w:w="0" w:type="auto"/>
            <w:tcBorders>
              <w:top w:val="single" w:sz="4" w:space="0" w:color="auto"/>
              <w:left w:val="single" w:sz="4" w:space="0" w:color="auto"/>
              <w:bottom w:val="single" w:sz="4" w:space="0" w:color="auto"/>
              <w:right w:val="single" w:sz="4" w:space="0" w:color="auto"/>
            </w:tcBorders>
            <w:vAlign w:val="center"/>
            <w:hideMark/>
          </w:tcPr>
          <w:p w14:paraId="2169C4BF" w14:textId="77777777" w:rsidR="003A1319" w:rsidRPr="00595BAA" w:rsidRDefault="003A1319" w:rsidP="00595BAA">
            <w:pPr>
              <w:jc w:val="both"/>
              <w:rPr>
                <w:rFonts w:asciiTheme="minorHAnsi" w:hAnsiTheme="minorHAnsi" w:cs="Calibri"/>
                <w:sz w:val="18"/>
                <w:szCs w:val="18"/>
                <w:lang w:val="en-US"/>
              </w:rPr>
            </w:pPr>
            <w:r w:rsidRPr="00595BAA">
              <w:rPr>
                <w:rFonts w:asciiTheme="minorHAnsi" w:hAnsiTheme="minorHAnsi" w:cs="Calibri"/>
                <w:sz w:val="18"/>
                <w:szCs w:val="18"/>
                <w:lang w:val="en-US"/>
              </w:rPr>
              <w:t>Change in the vegetation cover of “non-target” species in the mitigation area or in its designated parts ranging from +26 to +50%.</w:t>
            </w:r>
          </w:p>
        </w:tc>
        <w:tc>
          <w:tcPr>
            <w:tcW w:w="0" w:type="auto"/>
            <w:tcBorders>
              <w:top w:val="single" w:sz="4" w:space="0" w:color="auto"/>
              <w:left w:val="single" w:sz="4" w:space="0" w:color="auto"/>
              <w:bottom w:val="single" w:sz="4" w:space="0" w:color="auto"/>
              <w:right w:val="single" w:sz="4" w:space="0" w:color="auto"/>
            </w:tcBorders>
            <w:vAlign w:val="center"/>
            <w:hideMark/>
          </w:tcPr>
          <w:p w14:paraId="71AD9B2A" w14:textId="77777777" w:rsidR="003A1319" w:rsidRPr="00595BAA" w:rsidRDefault="003A1319" w:rsidP="00595BAA">
            <w:pPr>
              <w:jc w:val="both"/>
              <w:rPr>
                <w:rFonts w:asciiTheme="minorHAnsi" w:hAnsiTheme="minorHAnsi" w:cs="Calibri"/>
                <w:sz w:val="18"/>
                <w:szCs w:val="18"/>
              </w:rPr>
            </w:pPr>
            <w:r w:rsidRPr="00595BAA">
              <w:rPr>
                <w:rFonts w:asciiTheme="minorHAnsi" w:hAnsiTheme="minorHAnsi" w:cs="Calibri"/>
                <w:sz w:val="18"/>
                <w:szCs w:val="18"/>
              </w:rPr>
              <w:t>Continuation of mitigation measures</w:t>
            </w:r>
          </w:p>
        </w:tc>
      </w:tr>
      <w:tr w:rsidR="003A1319" w:rsidRPr="00595BAA" w14:paraId="78CF3F73"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84E290" w:themeFill="accent3" w:themeFillTint="66"/>
            <w:vAlign w:val="center"/>
            <w:hideMark/>
          </w:tcPr>
          <w:p w14:paraId="6011B1D6" w14:textId="77777777" w:rsidR="003A1319" w:rsidRPr="00595BAA" w:rsidRDefault="003A1319" w:rsidP="00595BAA">
            <w:pPr>
              <w:jc w:val="both"/>
              <w:rPr>
                <w:rFonts w:asciiTheme="minorHAnsi" w:hAnsiTheme="minorHAnsi" w:cs="Calibri"/>
                <w:sz w:val="18"/>
                <w:szCs w:val="18"/>
              </w:rPr>
            </w:pPr>
            <w:r w:rsidRPr="00595BAA">
              <w:rPr>
                <w:rFonts w:asciiTheme="minorHAnsi" w:hAnsiTheme="minorHAnsi" w:cs="Calibri"/>
                <w:sz w:val="18"/>
                <w:szCs w:val="18"/>
              </w:rPr>
              <w:t>+1 slight positive impact</w:t>
            </w:r>
          </w:p>
        </w:tc>
        <w:tc>
          <w:tcPr>
            <w:tcW w:w="0" w:type="auto"/>
            <w:tcBorders>
              <w:top w:val="single" w:sz="4" w:space="0" w:color="auto"/>
              <w:left w:val="single" w:sz="4" w:space="0" w:color="auto"/>
              <w:bottom w:val="single" w:sz="4" w:space="0" w:color="auto"/>
              <w:right w:val="single" w:sz="4" w:space="0" w:color="auto"/>
            </w:tcBorders>
            <w:vAlign w:val="center"/>
            <w:hideMark/>
          </w:tcPr>
          <w:p w14:paraId="21E04CBD" w14:textId="77777777" w:rsidR="003A1319" w:rsidRPr="00595BAA" w:rsidRDefault="003A1319" w:rsidP="00595BAA">
            <w:pPr>
              <w:jc w:val="both"/>
              <w:rPr>
                <w:rFonts w:asciiTheme="minorHAnsi" w:hAnsiTheme="minorHAnsi" w:cs="Calibri"/>
                <w:sz w:val="18"/>
                <w:szCs w:val="18"/>
                <w:lang w:val="en-US"/>
              </w:rPr>
            </w:pPr>
            <w:r w:rsidRPr="00595BAA">
              <w:rPr>
                <w:rFonts w:asciiTheme="minorHAnsi" w:hAnsiTheme="minorHAnsi" w:cs="Calibri"/>
                <w:sz w:val="18"/>
                <w:szCs w:val="18"/>
                <w:lang w:val="en-US"/>
              </w:rPr>
              <w:t>Change in the vegetation cover of “non-target” species in the mitigation area or in its designated parts from +6 to +25%.</w:t>
            </w:r>
          </w:p>
        </w:tc>
        <w:tc>
          <w:tcPr>
            <w:tcW w:w="0" w:type="auto"/>
            <w:tcBorders>
              <w:top w:val="single" w:sz="4" w:space="0" w:color="auto"/>
              <w:left w:val="single" w:sz="4" w:space="0" w:color="auto"/>
              <w:bottom w:val="single" w:sz="4" w:space="0" w:color="auto"/>
              <w:right w:val="single" w:sz="4" w:space="0" w:color="auto"/>
            </w:tcBorders>
            <w:vAlign w:val="center"/>
            <w:hideMark/>
          </w:tcPr>
          <w:p w14:paraId="34ECBB03" w14:textId="77777777" w:rsidR="003A1319" w:rsidRPr="00595BAA" w:rsidRDefault="003A1319" w:rsidP="00595BAA">
            <w:pPr>
              <w:jc w:val="both"/>
              <w:rPr>
                <w:rFonts w:asciiTheme="minorHAnsi" w:hAnsiTheme="minorHAnsi" w:cs="Calibri"/>
                <w:sz w:val="18"/>
                <w:szCs w:val="18"/>
              </w:rPr>
            </w:pPr>
            <w:r w:rsidRPr="00595BAA">
              <w:rPr>
                <w:rFonts w:asciiTheme="minorHAnsi" w:hAnsiTheme="minorHAnsi" w:cs="Calibri"/>
                <w:sz w:val="18"/>
                <w:szCs w:val="18"/>
              </w:rPr>
              <w:t>Continuation of mitigation measures</w:t>
            </w:r>
          </w:p>
        </w:tc>
      </w:tr>
      <w:tr w:rsidR="003A1319" w:rsidRPr="00595BAA" w14:paraId="0D2EF23D"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FFFF00"/>
            <w:vAlign w:val="center"/>
            <w:hideMark/>
          </w:tcPr>
          <w:p w14:paraId="41C2050E" w14:textId="77777777" w:rsidR="003A1319" w:rsidRPr="00595BAA" w:rsidRDefault="003A1319" w:rsidP="00595BAA">
            <w:pPr>
              <w:jc w:val="both"/>
              <w:rPr>
                <w:rFonts w:asciiTheme="minorHAnsi" w:hAnsiTheme="minorHAnsi" w:cs="Calibri"/>
                <w:sz w:val="18"/>
                <w:szCs w:val="18"/>
              </w:rPr>
            </w:pPr>
            <w:r w:rsidRPr="00595BAA">
              <w:rPr>
                <w:rFonts w:asciiTheme="minorHAnsi" w:hAnsiTheme="minorHAnsi" w:cs="Calibri"/>
                <w:sz w:val="18"/>
                <w:szCs w:val="18"/>
              </w:rPr>
              <w:t>0 no impact</w:t>
            </w:r>
          </w:p>
        </w:tc>
        <w:tc>
          <w:tcPr>
            <w:tcW w:w="0" w:type="auto"/>
            <w:tcBorders>
              <w:top w:val="single" w:sz="4" w:space="0" w:color="auto"/>
              <w:left w:val="single" w:sz="4" w:space="0" w:color="auto"/>
              <w:bottom w:val="single" w:sz="4" w:space="0" w:color="auto"/>
              <w:right w:val="single" w:sz="4" w:space="0" w:color="auto"/>
            </w:tcBorders>
            <w:vAlign w:val="center"/>
            <w:hideMark/>
          </w:tcPr>
          <w:p w14:paraId="4B48C1AD" w14:textId="77777777" w:rsidR="003A1319" w:rsidRPr="00595BAA" w:rsidRDefault="003A1319" w:rsidP="00595BAA">
            <w:pPr>
              <w:jc w:val="both"/>
              <w:rPr>
                <w:rFonts w:asciiTheme="minorHAnsi" w:hAnsiTheme="minorHAnsi" w:cs="Calibri"/>
                <w:sz w:val="18"/>
                <w:szCs w:val="18"/>
                <w:lang w:val="en-US"/>
              </w:rPr>
            </w:pPr>
            <w:r w:rsidRPr="00595BAA">
              <w:rPr>
                <w:rFonts w:asciiTheme="minorHAnsi" w:hAnsiTheme="minorHAnsi" w:cs="Calibri"/>
                <w:sz w:val="18"/>
                <w:szCs w:val="18"/>
                <w:lang w:val="en-US"/>
              </w:rPr>
              <w:t xml:space="preserve">Change in the vegetation cover of “non-target” species in the mitigation area or in its designated parts ranging from +5 to </w:t>
            </w:r>
            <w:r w:rsidRPr="00595BAA">
              <w:rPr>
                <w:rFonts w:asciiTheme="minorHAnsi" w:hAnsiTheme="minorHAnsi" w:cs="Calibri"/>
                <w:sz w:val="18"/>
                <w:szCs w:val="18"/>
                <w:lang w:val="en-US"/>
              </w:rPr>
              <w:b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413AF0A6" w14:textId="77777777" w:rsidR="003A1319" w:rsidRPr="00595BAA" w:rsidRDefault="003A1319" w:rsidP="00595BAA">
            <w:pPr>
              <w:jc w:val="both"/>
              <w:rPr>
                <w:rFonts w:asciiTheme="minorHAnsi" w:hAnsiTheme="minorHAnsi" w:cs="Calibri"/>
                <w:sz w:val="18"/>
                <w:szCs w:val="18"/>
              </w:rPr>
            </w:pPr>
            <w:r w:rsidRPr="00595BAA">
              <w:rPr>
                <w:rFonts w:asciiTheme="minorHAnsi" w:hAnsiTheme="minorHAnsi" w:cs="Calibri"/>
                <w:sz w:val="18"/>
                <w:szCs w:val="18"/>
              </w:rPr>
              <w:t>Continuation of mitigation measures</w:t>
            </w:r>
          </w:p>
        </w:tc>
      </w:tr>
      <w:tr w:rsidR="003A1319" w:rsidRPr="00595BAA" w14:paraId="1B081F28"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FFC000"/>
            <w:vAlign w:val="center"/>
            <w:hideMark/>
          </w:tcPr>
          <w:p w14:paraId="5D0FD125" w14:textId="77777777" w:rsidR="003A1319" w:rsidRPr="00595BAA" w:rsidRDefault="003A1319" w:rsidP="00595BAA">
            <w:pPr>
              <w:jc w:val="both"/>
              <w:rPr>
                <w:rFonts w:asciiTheme="minorHAnsi" w:hAnsiTheme="minorHAnsi" w:cs="Calibri"/>
                <w:sz w:val="18"/>
                <w:szCs w:val="18"/>
              </w:rPr>
            </w:pPr>
            <w:r w:rsidRPr="00595BAA">
              <w:rPr>
                <w:rFonts w:asciiTheme="minorHAnsi" w:hAnsiTheme="minorHAnsi" w:cs="Calibri"/>
                <w:sz w:val="18"/>
                <w:szCs w:val="18"/>
              </w:rPr>
              <w:t>-1 low negative impact</w:t>
            </w:r>
          </w:p>
        </w:tc>
        <w:tc>
          <w:tcPr>
            <w:tcW w:w="0" w:type="auto"/>
            <w:tcBorders>
              <w:top w:val="single" w:sz="4" w:space="0" w:color="auto"/>
              <w:left w:val="single" w:sz="4" w:space="0" w:color="auto"/>
              <w:bottom w:val="single" w:sz="4" w:space="0" w:color="auto"/>
              <w:right w:val="single" w:sz="4" w:space="0" w:color="auto"/>
            </w:tcBorders>
            <w:vAlign w:val="center"/>
            <w:hideMark/>
          </w:tcPr>
          <w:p w14:paraId="42D7611E" w14:textId="77777777" w:rsidR="003A1319" w:rsidRPr="00595BAA" w:rsidRDefault="003A1319" w:rsidP="00595BAA">
            <w:pPr>
              <w:jc w:val="both"/>
              <w:rPr>
                <w:rFonts w:asciiTheme="minorHAnsi" w:hAnsiTheme="minorHAnsi" w:cs="Calibri"/>
                <w:sz w:val="18"/>
                <w:szCs w:val="18"/>
                <w:lang w:val="en-US"/>
              </w:rPr>
            </w:pPr>
            <w:r w:rsidRPr="00595BAA">
              <w:rPr>
                <w:rFonts w:asciiTheme="minorHAnsi" w:hAnsiTheme="minorHAnsi" w:cs="Calibri"/>
                <w:sz w:val="18"/>
                <w:szCs w:val="18"/>
                <w:lang w:val="en-US"/>
              </w:rPr>
              <w:t xml:space="preserve">Change in the vegetation cover of “non-target” species in the mitigation area or in its designated parts ranging from -5 to </w:t>
            </w:r>
          </w:p>
          <w:p w14:paraId="5BB58C38" w14:textId="77777777" w:rsidR="003A1319" w:rsidRPr="00595BAA" w:rsidRDefault="003A1319" w:rsidP="00595BAA">
            <w:pPr>
              <w:jc w:val="both"/>
              <w:rPr>
                <w:rFonts w:asciiTheme="minorHAnsi" w:hAnsiTheme="minorHAnsi" w:cs="Calibri"/>
                <w:sz w:val="18"/>
                <w:szCs w:val="18"/>
              </w:rPr>
            </w:pPr>
            <w:r w:rsidRPr="00595BAA">
              <w:rPr>
                <w:rFonts w:asciiTheme="minorHAnsi" w:hAnsiTheme="minorHAnsi" w:cs="Calibri"/>
                <w:sz w:val="18"/>
                <w:szCs w:val="18"/>
              </w:rPr>
              <w:t>-25%</w:t>
            </w:r>
          </w:p>
        </w:tc>
        <w:tc>
          <w:tcPr>
            <w:tcW w:w="0" w:type="auto"/>
            <w:tcBorders>
              <w:top w:val="single" w:sz="4" w:space="0" w:color="auto"/>
              <w:left w:val="single" w:sz="4" w:space="0" w:color="auto"/>
              <w:bottom w:val="single" w:sz="4" w:space="0" w:color="auto"/>
              <w:right w:val="single" w:sz="4" w:space="0" w:color="auto"/>
            </w:tcBorders>
            <w:vAlign w:val="center"/>
            <w:hideMark/>
          </w:tcPr>
          <w:p w14:paraId="5ED135C1" w14:textId="77777777" w:rsidR="003A1319" w:rsidRPr="00595BAA" w:rsidRDefault="003A1319" w:rsidP="00595BAA">
            <w:pPr>
              <w:jc w:val="both"/>
              <w:rPr>
                <w:rFonts w:asciiTheme="minorHAnsi" w:hAnsiTheme="minorHAnsi" w:cs="Calibri"/>
                <w:sz w:val="18"/>
                <w:szCs w:val="18"/>
              </w:rPr>
            </w:pPr>
            <w:r w:rsidRPr="00595BAA">
              <w:rPr>
                <w:rFonts w:asciiTheme="minorHAnsi" w:hAnsiTheme="minorHAnsi" w:cs="Calibri"/>
                <w:sz w:val="18"/>
                <w:szCs w:val="18"/>
              </w:rPr>
              <w:t>Continuation of mitigation measures.</w:t>
            </w:r>
          </w:p>
        </w:tc>
      </w:tr>
      <w:tr w:rsidR="003A1319" w:rsidRPr="0089097C" w14:paraId="021DE417"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FF0000"/>
            <w:vAlign w:val="center"/>
            <w:hideMark/>
          </w:tcPr>
          <w:p w14:paraId="21A0068B" w14:textId="77777777" w:rsidR="003A1319" w:rsidRPr="00595BAA" w:rsidRDefault="003A1319" w:rsidP="00595BAA">
            <w:pPr>
              <w:jc w:val="both"/>
              <w:rPr>
                <w:rFonts w:asciiTheme="minorHAnsi" w:hAnsiTheme="minorHAnsi" w:cs="Calibri"/>
                <w:sz w:val="18"/>
                <w:szCs w:val="18"/>
              </w:rPr>
            </w:pPr>
            <w:r w:rsidRPr="00595BAA">
              <w:rPr>
                <w:rFonts w:asciiTheme="minorHAnsi" w:hAnsiTheme="minorHAnsi" w:cs="Calibri"/>
                <w:sz w:val="18"/>
                <w:szCs w:val="18"/>
              </w:rPr>
              <w:t>-2 major negative impact</w:t>
            </w:r>
          </w:p>
        </w:tc>
        <w:tc>
          <w:tcPr>
            <w:tcW w:w="0" w:type="auto"/>
            <w:tcBorders>
              <w:top w:val="single" w:sz="4" w:space="0" w:color="auto"/>
              <w:left w:val="single" w:sz="4" w:space="0" w:color="auto"/>
              <w:bottom w:val="single" w:sz="4" w:space="0" w:color="auto"/>
              <w:right w:val="single" w:sz="4" w:space="0" w:color="auto"/>
            </w:tcBorders>
            <w:vAlign w:val="center"/>
            <w:hideMark/>
          </w:tcPr>
          <w:p w14:paraId="1327C124" w14:textId="77777777" w:rsidR="003A1319" w:rsidRPr="00595BAA" w:rsidRDefault="003A1319" w:rsidP="00595BAA">
            <w:pPr>
              <w:jc w:val="both"/>
              <w:rPr>
                <w:rFonts w:asciiTheme="minorHAnsi" w:hAnsiTheme="minorHAnsi" w:cs="Calibri"/>
                <w:sz w:val="18"/>
                <w:szCs w:val="18"/>
                <w:lang w:val="en-US"/>
              </w:rPr>
            </w:pPr>
            <w:r w:rsidRPr="00595BAA">
              <w:rPr>
                <w:rFonts w:asciiTheme="minorHAnsi" w:hAnsiTheme="minorHAnsi" w:cs="Calibri"/>
                <w:sz w:val="18"/>
                <w:szCs w:val="18"/>
                <w:lang w:val="en-US"/>
              </w:rPr>
              <w:t xml:space="preserve">Change in the vegetation cover of “non-target” species in the area subject to mitigation measures or in its designated parts, ranging from -26 to </w:t>
            </w:r>
            <w:r w:rsidRPr="00595BAA">
              <w:rPr>
                <w:rFonts w:asciiTheme="minorHAnsi" w:hAnsiTheme="minorHAnsi" w:cs="Calibri"/>
                <w:sz w:val="18"/>
                <w:szCs w:val="18"/>
                <w:lang w:val="en-US"/>
              </w:rPr>
              <w:br/>
              <w:t>-50%</w:t>
            </w:r>
          </w:p>
        </w:tc>
        <w:tc>
          <w:tcPr>
            <w:tcW w:w="0" w:type="auto"/>
            <w:tcBorders>
              <w:top w:val="single" w:sz="4" w:space="0" w:color="auto"/>
              <w:left w:val="single" w:sz="4" w:space="0" w:color="auto"/>
              <w:bottom w:val="single" w:sz="4" w:space="0" w:color="auto"/>
              <w:right w:val="single" w:sz="4" w:space="0" w:color="auto"/>
            </w:tcBorders>
            <w:vAlign w:val="center"/>
            <w:hideMark/>
          </w:tcPr>
          <w:p w14:paraId="77292FDB" w14:textId="77777777" w:rsidR="003A1319" w:rsidRPr="00595BAA" w:rsidRDefault="003A1319" w:rsidP="00595BAA">
            <w:pPr>
              <w:jc w:val="both"/>
              <w:rPr>
                <w:rFonts w:asciiTheme="minorHAnsi" w:hAnsiTheme="minorHAnsi" w:cs="Calibri"/>
                <w:sz w:val="18"/>
                <w:szCs w:val="18"/>
                <w:lang w:val="en-US"/>
              </w:rPr>
            </w:pPr>
            <w:r w:rsidRPr="00595BAA">
              <w:rPr>
                <w:rFonts w:asciiTheme="minorHAnsi" w:hAnsiTheme="minorHAnsi" w:cs="Calibri"/>
                <w:sz w:val="18"/>
                <w:szCs w:val="18"/>
                <w:lang w:val="en-US"/>
              </w:rPr>
              <w:t>Consider changing the control method next year or exercise particular diligence in environmental monitoring; if this is not possible, develop and implement (while exercising particular diligence in environmental monitoring) measures to minimize adverse impacts on non-target species.</w:t>
            </w:r>
          </w:p>
        </w:tc>
      </w:tr>
      <w:tr w:rsidR="003A1319" w:rsidRPr="0089097C" w14:paraId="720A0D47" w14:textId="77777777" w:rsidTr="003A1319">
        <w:tc>
          <w:tcPr>
            <w:tcW w:w="0" w:type="auto"/>
            <w:tcBorders>
              <w:top w:val="single" w:sz="4" w:space="0" w:color="auto"/>
              <w:left w:val="single" w:sz="4" w:space="0" w:color="auto"/>
              <w:bottom w:val="single" w:sz="4" w:space="0" w:color="auto"/>
              <w:right w:val="single" w:sz="4" w:space="0" w:color="auto"/>
            </w:tcBorders>
            <w:shd w:val="clear" w:color="auto" w:fill="C00000"/>
            <w:vAlign w:val="center"/>
            <w:hideMark/>
          </w:tcPr>
          <w:p w14:paraId="4FC3FFD3" w14:textId="77777777" w:rsidR="003A1319" w:rsidRPr="00595BAA" w:rsidRDefault="003A1319" w:rsidP="00595BAA">
            <w:pPr>
              <w:jc w:val="both"/>
              <w:rPr>
                <w:rFonts w:asciiTheme="minorHAnsi" w:hAnsiTheme="minorHAnsi" w:cs="Calibri"/>
                <w:sz w:val="18"/>
                <w:szCs w:val="18"/>
              </w:rPr>
            </w:pPr>
            <w:r w:rsidRPr="00595BAA">
              <w:rPr>
                <w:rFonts w:asciiTheme="minorHAnsi" w:hAnsiTheme="minorHAnsi" w:cs="Calibri"/>
                <w:sz w:val="18"/>
                <w:szCs w:val="18"/>
              </w:rPr>
              <w:t>-3 very high negative impact</w:t>
            </w:r>
          </w:p>
        </w:tc>
        <w:tc>
          <w:tcPr>
            <w:tcW w:w="0" w:type="auto"/>
            <w:tcBorders>
              <w:top w:val="single" w:sz="4" w:space="0" w:color="auto"/>
              <w:left w:val="single" w:sz="4" w:space="0" w:color="auto"/>
              <w:bottom w:val="single" w:sz="4" w:space="0" w:color="auto"/>
              <w:right w:val="single" w:sz="4" w:space="0" w:color="auto"/>
            </w:tcBorders>
            <w:vAlign w:val="center"/>
            <w:hideMark/>
          </w:tcPr>
          <w:p w14:paraId="2D3A27B5" w14:textId="77777777" w:rsidR="003A1319" w:rsidRPr="00595BAA" w:rsidRDefault="003A1319" w:rsidP="00595BAA">
            <w:pPr>
              <w:jc w:val="both"/>
              <w:rPr>
                <w:rFonts w:asciiTheme="minorHAnsi" w:hAnsiTheme="minorHAnsi" w:cs="Calibri"/>
                <w:sz w:val="18"/>
                <w:szCs w:val="18"/>
                <w:lang w:val="en-US"/>
              </w:rPr>
            </w:pPr>
            <w:r w:rsidRPr="00595BAA">
              <w:rPr>
                <w:rFonts w:asciiTheme="minorHAnsi" w:hAnsiTheme="minorHAnsi" w:cs="Calibri"/>
                <w:sz w:val="18"/>
                <w:szCs w:val="18"/>
                <w:lang w:val="en-US"/>
              </w:rPr>
              <w:t>A change in the vegetation cover of non-target species in the control area or in designated parts thereof exceeding -50%.</w:t>
            </w:r>
          </w:p>
        </w:tc>
        <w:tc>
          <w:tcPr>
            <w:tcW w:w="0" w:type="auto"/>
            <w:tcBorders>
              <w:top w:val="single" w:sz="4" w:space="0" w:color="auto"/>
              <w:left w:val="single" w:sz="4" w:space="0" w:color="auto"/>
              <w:bottom w:val="single" w:sz="4" w:space="0" w:color="auto"/>
              <w:right w:val="single" w:sz="4" w:space="0" w:color="auto"/>
            </w:tcBorders>
            <w:vAlign w:val="center"/>
            <w:hideMark/>
          </w:tcPr>
          <w:p w14:paraId="2B12245F" w14:textId="77777777" w:rsidR="003A1319" w:rsidRPr="00595BAA" w:rsidRDefault="003A1319" w:rsidP="00595BAA">
            <w:pPr>
              <w:jc w:val="both"/>
              <w:rPr>
                <w:rFonts w:asciiTheme="minorHAnsi" w:hAnsiTheme="minorHAnsi" w:cs="Calibri"/>
                <w:sz w:val="18"/>
                <w:szCs w:val="18"/>
                <w:lang w:val="en-US"/>
              </w:rPr>
            </w:pPr>
            <w:r w:rsidRPr="00595BAA">
              <w:rPr>
                <w:rFonts w:asciiTheme="minorHAnsi" w:hAnsiTheme="minorHAnsi" w:cs="Calibri"/>
                <w:sz w:val="18"/>
                <w:szCs w:val="18"/>
                <w:lang w:val="en-US"/>
              </w:rPr>
              <w:t>In the following year, the selection of control methods or method variants should be re-evaluated, and alternatives with a lesser impact on non-target species should be chosen.</w:t>
            </w:r>
          </w:p>
        </w:tc>
      </w:tr>
    </w:tbl>
    <w:p w14:paraId="7F93BC04" w14:textId="77777777" w:rsidR="003A1319" w:rsidRPr="00D049D4" w:rsidRDefault="003A1319" w:rsidP="003A1319">
      <w:pPr>
        <w:jc w:val="both"/>
        <w:rPr>
          <w:lang w:val="en-US"/>
        </w:rPr>
      </w:pPr>
    </w:p>
    <w:p w14:paraId="4C3AF28D" w14:textId="1920DEAF" w:rsidR="003A1319" w:rsidRPr="00595BAA" w:rsidRDefault="003A1319" w:rsidP="00595BAA">
      <w:pPr>
        <w:pStyle w:val="Caption"/>
        <w:keepNext/>
        <w:jc w:val="both"/>
        <w:rPr>
          <w:rFonts w:asciiTheme="minorHAnsi" w:hAnsiTheme="minorHAnsi"/>
          <w:b w:val="0"/>
          <w:bCs/>
          <w:sz w:val="24"/>
          <w:szCs w:val="24"/>
          <w:lang w:val="en-US"/>
        </w:rPr>
      </w:pPr>
      <w:bookmarkStart w:id="41" w:name="_Toc239856621"/>
      <w:r w:rsidRPr="00595BAA">
        <w:rPr>
          <w:rFonts w:asciiTheme="minorHAnsi" w:hAnsiTheme="minorHAnsi"/>
          <w:b w:val="0"/>
          <w:bCs/>
          <w:sz w:val="24"/>
          <w:szCs w:val="24"/>
          <w:lang w:val="en-US"/>
        </w:rPr>
        <w:t>Table</w:t>
      </w:r>
      <w:r w:rsidR="00673A19">
        <w:rPr>
          <w:rFonts w:asciiTheme="minorHAnsi" w:hAnsiTheme="minorHAnsi"/>
          <w:b w:val="0"/>
          <w:bCs/>
          <w:sz w:val="24"/>
          <w:szCs w:val="24"/>
          <w:lang w:val="en-US"/>
        </w:rPr>
        <w:t xml:space="preserve"> </w:t>
      </w:r>
      <w:r w:rsidRPr="00595BAA">
        <w:rPr>
          <w:rFonts w:asciiTheme="minorHAnsi" w:hAnsiTheme="minorHAnsi"/>
          <w:b w:val="0"/>
          <w:bCs/>
          <w:sz w:val="24"/>
          <w:szCs w:val="24"/>
        </w:rPr>
        <w:fldChar w:fldCharType="begin"/>
      </w:r>
      <w:r w:rsidRPr="00595BAA">
        <w:rPr>
          <w:rFonts w:asciiTheme="minorHAnsi" w:hAnsiTheme="minorHAnsi"/>
          <w:b w:val="0"/>
          <w:bCs/>
          <w:sz w:val="24"/>
          <w:szCs w:val="24"/>
          <w:lang w:val="en-US"/>
        </w:rPr>
        <w:instrText>SEQ Tabela \* ARABIC</w:instrText>
      </w:r>
      <w:r w:rsidRPr="00595BAA">
        <w:rPr>
          <w:rFonts w:asciiTheme="minorHAnsi" w:hAnsiTheme="minorHAnsi"/>
          <w:b w:val="0"/>
          <w:bCs/>
          <w:sz w:val="24"/>
          <w:szCs w:val="24"/>
        </w:rPr>
        <w:fldChar w:fldCharType="separate"/>
      </w:r>
      <w:r w:rsidRPr="00595BAA">
        <w:rPr>
          <w:rFonts w:asciiTheme="minorHAnsi" w:hAnsiTheme="minorHAnsi"/>
          <w:b w:val="0"/>
          <w:bCs/>
          <w:sz w:val="24"/>
          <w:szCs w:val="24"/>
          <w:lang w:val="en-US"/>
        </w:rPr>
        <w:t>8</w:t>
      </w:r>
      <w:r w:rsidRPr="00595BAA">
        <w:rPr>
          <w:rFonts w:asciiTheme="minorHAnsi" w:hAnsiTheme="minorHAnsi"/>
          <w:b w:val="0"/>
          <w:bCs/>
          <w:sz w:val="24"/>
          <w:szCs w:val="24"/>
        </w:rPr>
        <w:fldChar w:fldCharType="end"/>
      </w:r>
      <w:r w:rsidRPr="00595BAA">
        <w:rPr>
          <w:rFonts w:asciiTheme="minorHAnsi" w:hAnsiTheme="minorHAnsi"/>
          <w:b w:val="0"/>
          <w:bCs/>
          <w:sz w:val="24"/>
          <w:szCs w:val="24"/>
          <w:lang w:val="en-US"/>
        </w:rPr>
        <w:t xml:space="preserve"> List of questions for verifying control measures and identifying the need for mitigation measures.</w:t>
      </w:r>
      <w:bookmarkEnd w:id="41"/>
    </w:p>
    <w:tbl>
      <w:tblPr>
        <w:tblW w:w="9067" w:type="dxa"/>
        <w:tblLook w:val="04A0" w:firstRow="1" w:lastRow="0" w:firstColumn="1" w:lastColumn="0" w:noHBand="0" w:noVBand="1"/>
      </w:tblPr>
      <w:tblGrid>
        <w:gridCol w:w="3537"/>
        <w:gridCol w:w="5530"/>
      </w:tblGrid>
      <w:tr w:rsidR="003A1319" w:rsidRPr="00673A19" w14:paraId="25FDFD96" w14:textId="77777777" w:rsidTr="00673A19">
        <w:trPr>
          <w:tblHeader/>
        </w:trPr>
        <w:tc>
          <w:tcPr>
            <w:tcW w:w="3537"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0F16E736" w14:textId="77777777" w:rsidR="003A1319" w:rsidRPr="00673A19" w:rsidRDefault="003A1319" w:rsidP="00673A19">
            <w:pPr>
              <w:jc w:val="center"/>
              <w:rPr>
                <w:rFonts w:asciiTheme="minorHAnsi" w:hAnsiTheme="minorHAnsi" w:cs="Calibri"/>
                <w:b/>
                <w:bCs/>
                <w:sz w:val="18"/>
                <w:szCs w:val="18"/>
              </w:rPr>
            </w:pPr>
            <w:r w:rsidRPr="00673A19">
              <w:rPr>
                <w:rFonts w:asciiTheme="minorHAnsi" w:hAnsiTheme="minorHAnsi" w:cs="Calibri"/>
                <w:b/>
                <w:bCs/>
                <w:sz w:val="18"/>
                <w:szCs w:val="18"/>
              </w:rPr>
              <w:t>Code</w:t>
            </w:r>
          </w:p>
        </w:tc>
        <w:tc>
          <w:tcPr>
            <w:tcW w:w="5530" w:type="dxa"/>
            <w:tcBorders>
              <w:top w:val="single" w:sz="4" w:space="0" w:color="auto"/>
              <w:left w:val="single" w:sz="4" w:space="0" w:color="auto"/>
              <w:bottom w:val="single" w:sz="4" w:space="0" w:color="auto"/>
              <w:right w:val="single" w:sz="4" w:space="0" w:color="auto"/>
            </w:tcBorders>
            <w:shd w:val="clear" w:color="auto" w:fill="A5C9EB" w:themeFill="text2" w:themeFillTint="40"/>
            <w:hideMark/>
          </w:tcPr>
          <w:p w14:paraId="7CB0CEE4" w14:textId="77777777" w:rsidR="003A1319" w:rsidRPr="00673A19" w:rsidRDefault="003A1319" w:rsidP="00673A19">
            <w:pPr>
              <w:jc w:val="center"/>
              <w:rPr>
                <w:rFonts w:asciiTheme="minorHAnsi" w:hAnsiTheme="minorHAnsi" w:cs="Calibri"/>
                <w:b/>
                <w:bCs/>
                <w:sz w:val="18"/>
                <w:szCs w:val="18"/>
              </w:rPr>
            </w:pPr>
            <w:r w:rsidRPr="00673A19">
              <w:rPr>
                <w:rFonts w:asciiTheme="minorHAnsi" w:hAnsiTheme="minorHAnsi" w:cs="Calibri"/>
                <w:b/>
                <w:bCs/>
                <w:sz w:val="18"/>
                <w:szCs w:val="18"/>
              </w:rPr>
              <w:t>Content</w:t>
            </w:r>
          </w:p>
        </w:tc>
      </w:tr>
      <w:tr w:rsidR="003A1319" w:rsidRPr="00673A19" w14:paraId="51F59B15" w14:textId="77777777" w:rsidTr="00673A19">
        <w:tc>
          <w:tcPr>
            <w:tcW w:w="3537" w:type="dxa"/>
            <w:tcBorders>
              <w:top w:val="single" w:sz="4" w:space="0" w:color="auto"/>
              <w:left w:val="single" w:sz="4" w:space="0" w:color="auto"/>
              <w:bottom w:val="single" w:sz="4" w:space="0" w:color="auto"/>
              <w:right w:val="single" w:sz="4" w:space="0" w:color="auto"/>
            </w:tcBorders>
            <w:hideMark/>
          </w:tcPr>
          <w:p w14:paraId="1BF6279B" w14:textId="77777777" w:rsidR="003A1319" w:rsidRPr="00673A19" w:rsidRDefault="003A1319" w:rsidP="003A1319">
            <w:pPr>
              <w:rPr>
                <w:rFonts w:asciiTheme="minorHAnsi" w:hAnsiTheme="minorHAnsi" w:cs="Calibri"/>
                <w:sz w:val="18"/>
                <w:szCs w:val="18"/>
              </w:rPr>
            </w:pPr>
            <w:r w:rsidRPr="00673A19">
              <w:rPr>
                <w:rFonts w:asciiTheme="minorHAnsi" w:hAnsiTheme="minorHAnsi" w:cs="Calibri"/>
                <w:sz w:val="18"/>
                <w:szCs w:val="18"/>
              </w:rPr>
              <w:t>K1</w:t>
            </w:r>
          </w:p>
        </w:tc>
        <w:tc>
          <w:tcPr>
            <w:tcW w:w="5530" w:type="dxa"/>
            <w:tcBorders>
              <w:top w:val="single" w:sz="4" w:space="0" w:color="auto"/>
              <w:left w:val="single" w:sz="4" w:space="0" w:color="auto"/>
              <w:bottom w:val="single" w:sz="4" w:space="0" w:color="auto"/>
              <w:right w:val="single" w:sz="4" w:space="0" w:color="auto"/>
            </w:tcBorders>
            <w:hideMark/>
          </w:tcPr>
          <w:p w14:paraId="4D5A1D0E" w14:textId="77777777" w:rsidR="003A1319" w:rsidRPr="00673A19" w:rsidRDefault="003A1319" w:rsidP="003A1319">
            <w:pPr>
              <w:rPr>
                <w:rFonts w:asciiTheme="minorHAnsi" w:hAnsiTheme="minorHAnsi" w:cs="Calibri"/>
                <w:sz w:val="18"/>
                <w:szCs w:val="18"/>
                <w:lang w:val="en-US"/>
              </w:rPr>
            </w:pPr>
            <w:r w:rsidRPr="00673A19">
              <w:rPr>
                <w:rFonts w:asciiTheme="minorHAnsi" w:hAnsiTheme="minorHAnsi" w:cs="Calibri"/>
                <w:sz w:val="18"/>
                <w:szCs w:val="18"/>
                <w:lang w:val="en-US"/>
              </w:rPr>
              <w:t>Will the work be carried out during the birds’ breeding season, and if so, does it pose a threat to the nests?</w:t>
            </w:r>
          </w:p>
          <w:p w14:paraId="15198153" w14:textId="633749CB" w:rsidR="003A1319" w:rsidRPr="00673A19" w:rsidRDefault="003A1319" w:rsidP="003A1319">
            <w:pPr>
              <w:numPr>
                <w:ilvl w:val="0"/>
                <w:numId w:val="25"/>
              </w:numPr>
              <w:spacing w:after="130" w:line="240" w:lineRule="atLeast"/>
              <w:jc w:val="both"/>
              <w:rPr>
                <w:rFonts w:asciiTheme="minorHAnsi" w:hAnsiTheme="minorHAnsi" w:cs="Calibri"/>
                <w:sz w:val="18"/>
                <w:szCs w:val="18"/>
              </w:rPr>
            </w:pPr>
            <w:r w:rsidRPr="00673A19">
              <w:rPr>
                <w:rFonts w:asciiTheme="minorHAnsi" w:hAnsiTheme="minorHAnsi" w:cs="Calibri"/>
                <w:sz w:val="18"/>
                <w:szCs w:val="18"/>
              </w:rPr>
              <w:t xml:space="preserve">directly within </w:t>
            </w:r>
            <w:r w:rsidR="009374B7" w:rsidRPr="00673A19">
              <w:rPr>
                <w:rFonts w:asciiTheme="minorHAnsi" w:hAnsiTheme="minorHAnsi" w:cs="Calibri"/>
                <w:sz w:val="18"/>
                <w:szCs w:val="18"/>
              </w:rPr>
              <w:t>IAS</w:t>
            </w:r>
            <w:r w:rsidRPr="00673A19">
              <w:rPr>
                <w:rFonts w:asciiTheme="minorHAnsi" w:hAnsiTheme="minorHAnsi" w:cs="Calibri"/>
                <w:sz w:val="18"/>
                <w:szCs w:val="18"/>
              </w:rPr>
              <w:t xml:space="preserve"> occurrence patches</w:t>
            </w:r>
          </w:p>
          <w:p w14:paraId="0E82FB76" w14:textId="17468D0F" w:rsidR="003A1319" w:rsidRPr="00673A19" w:rsidRDefault="003A1319" w:rsidP="003A1319">
            <w:pPr>
              <w:numPr>
                <w:ilvl w:val="0"/>
                <w:numId w:val="26"/>
              </w:numPr>
              <w:spacing w:after="130" w:line="240" w:lineRule="atLeast"/>
              <w:jc w:val="both"/>
              <w:rPr>
                <w:rFonts w:asciiTheme="minorHAnsi" w:hAnsiTheme="minorHAnsi" w:cs="Calibri"/>
                <w:sz w:val="18"/>
                <w:szCs w:val="18"/>
              </w:rPr>
            </w:pPr>
            <w:r w:rsidRPr="00673A19">
              <w:rPr>
                <w:rFonts w:asciiTheme="minorHAnsi" w:hAnsiTheme="minorHAnsi" w:cs="Calibri"/>
                <w:sz w:val="18"/>
                <w:szCs w:val="18"/>
              </w:rPr>
              <w:t xml:space="preserve">near </w:t>
            </w:r>
            <w:r w:rsidR="009374B7" w:rsidRPr="00673A19">
              <w:rPr>
                <w:rFonts w:asciiTheme="minorHAnsi" w:hAnsiTheme="minorHAnsi" w:cs="Calibri"/>
                <w:sz w:val="18"/>
                <w:szCs w:val="18"/>
              </w:rPr>
              <w:t>IAS</w:t>
            </w:r>
          </w:p>
        </w:tc>
      </w:tr>
      <w:tr w:rsidR="003A1319" w:rsidRPr="0089097C" w14:paraId="61CE8CAD" w14:textId="77777777" w:rsidTr="00673A19">
        <w:tc>
          <w:tcPr>
            <w:tcW w:w="3537" w:type="dxa"/>
            <w:tcBorders>
              <w:top w:val="single" w:sz="4" w:space="0" w:color="auto"/>
              <w:left w:val="single" w:sz="4" w:space="0" w:color="auto"/>
              <w:bottom w:val="single" w:sz="4" w:space="0" w:color="auto"/>
              <w:right w:val="single" w:sz="4" w:space="0" w:color="auto"/>
            </w:tcBorders>
            <w:hideMark/>
          </w:tcPr>
          <w:p w14:paraId="564B5DD4" w14:textId="77777777" w:rsidR="003A1319" w:rsidRPr="00673A19" w:rsidRDefault="003A1319" w:rsidP="003A1319">
            <w:pPr>
              <w:rPr>
                <w:rFonts w:asciiTheme="minorHAnsi" w:hAnsiTheme="minorHAnsi" w:cs="Calibri"/>
                <w:sz w:val="18"/>
                <w:szCs w:val="18"/>
              </w:rPr>
            </w:pPr>
            <w:r w:rsidRPr="00673A19">
              <w:rPr>
                <w:rFonts w:asciiTheme="minorHAnsi" w:hAnsiTheme="minorHAnsi" w:cs="Calibri"/>
                <w:sz w:val="18"/>
                <w:szCs w:val="18"/>
              </w:rPr>
              <w:t>K2</w:t>
            </w:r>
          </w:p>
        </w:tc>
        <w:tc>
          <w:tcPr>
            <w:tcW w:w="5530" w:type="dxa"/>
            <w:tcBorders>
              <w:top w:val="single" w:sz="4" w:space="0" w:color="auto"/>
              <w:left w:val="single" w:sz="4" w:space="0" w:color="auto"/>
              <w:bottom w:val="single" w:sz="4" w:space="0" w:color="auto"/>
              <w:right w:val="single" w:sz="4" w:space="0" w:color="auto"/>
            </w:tcBorders>
            <w:hideMark/>
          </w:tcPr>
          <w:p w14:paraId="245B68C1" w14:textId="77777777" w:rsidR="003A1319" w:rsidRPr="00673A19" w:rsidRDefault="003A1319" w:rsidP="003A1319">
            <w:pPr>
              <w:rPr>
                <w:rFonts w:asciiTheme="minorHAnsi" w:hAnsiTheme="minorHAnsi" w:cs="Calibri"/>
                <w:sz w:val="18"/>
                <w:szCs w:val="18"/>
                <w:lang w:val="en-US"/>
              </w:rPr>
            </w:pPr>
            <w:r w:rsidRPr="00673A19">
              <w:rPr>
                <w:rFonts w:asciiTheme="minorHAnsi" w:hAnsiTheme="minorHAnsi" w:cs="Calibri"/>
                <w:sz w:val="18"/>
                <w:szCs w:val="18"/>
                <w:lang w:val="en-US"/>
              </w:rPr>
              <w:t>If so, are there any possible ways to prevent hatching?</w:t>
            </w:r>
          </w:p>
        </w:tc>
      </w:tr>
      <w:tr w:rsidR="003A1319" w:rsidRPr="0089097C" w14:paraId="56274DEB" w14:textId="77777777" w:rsidTr="00673A19">
        <w:tc>
          <w:tcPr>
            <w:tcW w:w="3537" w:type="dxa"/>
            <w:tcBorders>
              <w:top w:val="single" w:sz="4" w:space="0" w:color="auto"/>
              <w:left w:val="single" w:sz="4" w:space="0" w:color="auto"/>
              <w:bottom w:val="single" w:sz="4" w:space="0" w:color="auto"/>
              <w:right w:val="single" w:sz="4" w:space="0" w:color="auto"/>
            </w:tcBorders>
            <w:hideMark/>
          </w:tcPr>
          <w:p w14:paraId="4BF7BD83" w14:textId="77777777" w:rsidR="003A1319" w:rsidRPr="00673A19" w:rsidRDefault="003A1319" w:rsidP="003A1319">
            <w:pPr>
              <w:rPr>
                <w:rFonts w:asciiTheme="minorHAnsi" w:hAnsiTheme="minorHAnsi" w:cs="Calibri"/>
                <w:sz w:val="18"/>
                <w:szCs w:val="18"/>
              </w:rPr>
            </w:pPr>
            <w:r w:rsidRPr="00673A19">
              <w:rPr>
                <w:rFonts w:asciiTheme="minorHAnsi" w:hAnsiTheme="minorHAnsi" w:cs="Calibri"/>
                <w:sz w:val="18"/>
                <w:szCs w:val="18"/>
              </w:rPr>
              <w:t>K3</w:t>
            </w:r>
          </w:p>
        </w:tc>
        <w:tc>
          <w:tcPr>
            <w:tcW w:w="5530" w:type="dxa"/>
            <w:tcBorders>
              <w:top w:val="single" w:sz="4" w:space="0" w:color="auto"/>
              <w:left w:val="single" w:sz="4" w:space="0" w:color="auto"/>
              <w:bottom w:val="single" w:sz="4" w:space="0" w:color="auto"/>
              <w:right w:val="single" w:sz="4" w:space="0" w:color="auto"/>
            </w:tcBorders>
            <w:hideMark/>
          </w:tcPr>
          <w:p w14:paraId="7A2E1D4F" w14:textId="77777777" w:rsidR="003A1319" w:rsidRPr="00673A19" w:rsidRDefault="003A1319" w:rsidP="003A1319">
            <w:pPr>
              <w:rPr>
                <w:rFonts w:asciiTheme="minorHAnsi" w:hAnsiTheme="minorHAnsi" w:cs="Calibri"/>
                <w:sz w:val="18"/>
                <w:szCs w:val="18"/>
                <w:lang w:val="en-US"/>
              </w:rPr>
            </w:pPr>
            <w:r w:rsidRPr="00673A19">
              <w:rPr>
                <w:rFonts w:asciiTheme="minorHAnsi" w:hAnsiTheme="minorHAnsi" w:cs="Calibri"/>
                <w:sz w:val="18"/>
                <w:szCs w:val="18"/>
                <w:lang w:val="en-US"/>
              </w:rPr>
              <w:t>Have the measures listed in section K2 been implemented?</w:t>
            </w:r>
          </w:p>
        </w:tc>
      </w:tr>
      <w:tr w:rsidR="003A1319" w:rsidRPr="0089097C" w14:paraId="7DFECC56" w14:textId="77777777" w:rsidTr="00673A19">
        <w:tc>
          <w:tcPr>
            <w:tcW w:w="3537" w:type="dxa"/>
            <w:tcBorders>
              <w:top w:val="single" w:sz="4" w:space="0" w:color="auto"/>
              <w:left w:val="single" w:sz="4" w:space="0" w:color="auto"/>
              <w:bottom w:val="single" w:sz="4" w:space="0" w:color="auto"/>
              <w:right w:val="single" w:sz="4" w:space="0" w:color="auto"/>
            </w:tcBorders>
            <w:hideMark/>
          </w:tcPr>
          <w:p w14:paraId="3CE511B4" w14:textId="77777777" w:rsidR="003A1319" w:rsidRPr="00673A19" w:rsidRDefault="003A1319" w:rsidP="003A1319">
            <w:pPr>
              <w:rPr>
                <w:rFonts w:asciiTheme="minorHAnsi" w:hAnsiTheme="minorHAnsi" w:cs="Calibri"/>
                <w:sz w:val="18"/>
                <w:szCs w:val="18"/>
              </w:rPr>
            </w:pPr>
            <w:r w:rsidRPr="00673A19">
              <w:rPr>
                <w:rFonts w:asciiTheme="minorHAnsi" w:hAnsiTheme="minorHAnsi" w:cs="Calibri"/>
                <w:sz w:val="18"/>
                <w:szCs w:val="18"/>
              </w:rPr>
              <w:t>K4</w:t>
            </w:r>
          </w:p>
        </w:tc>
        <w:tc>
          <w:tcPr>
            <w:tcW w:w="5530" w:type="dxa"/>
            <w:tcBorders>
              <w:top w:val="single" w:sz="4" w:space="0" w:color="auto"/>
              <w:left w:val="single" w:sz="4" w:space="0" w:color="auto"/>
              <w:bottom w:val="single" w:sz="4" w:space="0" w:color="auto"/>
              <w:right w:val="single" w:sz="4" w:space="0" w:color="auto"/>
            </w:tcBorders>
            <w:hideMark/>
          </w:tcPr>
          <w:p w14:paraId="3AE4FE5B" w14:textId="77777777" w:rsidR="003A1319" w:rsidRPr="00673A19" w:rsidRDefault="003A1319" w:rsidP="003A1319">
            <w:pPr>
              <w:rPr>
                <w:rFonts w:asciiTheme="minorHAnsi" w:hAnsiTheme="minorHAnsi" w:cs="Calibri"/>
                <w:sz w:val="18"/>
                <w:szCs w:val="18"/>
                <w:lang w:val="en-US"/>
              </w:rPr>
            </w:pPr>
            <w:r w:rsidRPr="00673A19">
              <w:rPr>
                <w:rFonts w:asciiTheme="minorHAnsi" w:hAnsiTheme="minorHAnsi" w:cs="Calibri"/>
                <w:sz w:val="18"/>
                <w:szCs w:val="18"/>
                <w:lang w:val="en-US"/>
              </w:rPr>
              <w:t>Have other protected animals—amphibians, reptiles, mammals, or insects—been identified in the area where work is planned or underway (either directly or indirectly, based on signs of their presence, such as burrows, hiding places, droppings, etc.)?</w:t>
            </w:r>
          </w:p>
        </w:tc>
      </w:tr>
      <w:tr w:rsidR="003A1319" w:rsidRPr="0089097C" w14:paraId="5F8C33A4" w14:textId="77777777" w:rsidTr="00673A19">
        <w:tc>
          <w:tcPr>
            <w:tcW w:w="3537" w:type="dxa"/>
            <w:tcBorders>
              <w:top w:val="single" w:sz="4" w:space="0" w:color="auto"/>
              <w:left w:val="single" w:sz="4" w:space="0" w:color="auto"/>
              <w:bottom w:val="single" w:sz="4" w:space="0" w:color="auto"/>
              <w:right w:val="single" w:sz="4" w:space="0" w:color="auto"/>
            </w:tcBorders>
            <w:hideMark/>
          </w:tcPr>
          <w:p w14:paraId="32F1F2EF" w14:textId="77777777" w:rsidR="003A1319" w:rsidRPr="00673A19" w:rsidRDefault="003A1319" w:rsidP="003A1319">
            <w:pPr>
              <w:rPr>
                <w:rFonts w:asciiTheme="minorHAnsi" w:hAnsiTheme="minorHAnsi" w:cs="Calibri"/>
                <w:sz w:val="18"/>
                <w:szCs w:val="18"/>
              </w:rPr>
            </w:pPr>
            <w:r w:rsidRPr="00673A19">
              <w:rPr>
                <w:rFonts w:asciiTheme="minorHAnsi" w:hAnsiTheme="minorHAnsi" w:cs="Calibri"/>
                <w:sz w:val="18"/>
                <w:szCs w:val="18"/>
              </w:rPr>
              <w:t>K5</w:t>
            </w:r>
          </w:p>
        </w:tc>
        <w:tc>
          <w:tcPr>
            <w:tcW w:w="5530" w:type="dxa"/>
            <w:tcBorders>
              <w:top w:val="single" w:sz="4" w:space="0" w:color="auto"/>
              <w:left w:val="single" w:sz="4" w:space="0" w:color="auto"/>
              <w:bottom w:val="single" w:sz="4" w:space="0" w:color="auto"/>
              <w:right w:val="single" w:sz="4" w:space="0" w:color="auto"/>
            </w:tcBorders>
            <w:hideMark/>
          </w:tcPr>
          <w:p w14:paraId="07017FB0" w14:textId="77777777" w:rsidR="003A1319" w:rsidRPr="00673A19" w:rsidRDefault="003A1319" w:rsidP="003A1319">
            <w:pPr>
              <w:rPr>
                <w:rFonts w:asciiTheme="minorHAnsi" w:hAnsiTheme="minorHAnsi" w:cs="Calibri"/>
                <w:sz w:val="18"/>
                <w:szCs w:val="18"/>
                <w:lang w:val="en-US"/>
              </w:rPr>
            </w:pPr>
            <w:r w:rsidRPr="00673A19">
              <w:rPr>
                <w:rFonts w:asciiTheme="minorHAnsi" w:hAnsiTheme="minorHAnsi" w:cs="Calibri"/>
                <w:sz w:val="18"/>
                <w:szCs w:val="18"/>
                <w:lang w:val="en-US"/>
              </w:rPr>
              <w:t>If so, is it possible to reduce the impact of the work, and if so, how?</w:t>
            </w:r>
          </w:p>
        </w:tc>
      </w:tr>
      <w:tr w:rsidR="003A1319" w:rsidRPr="0089097C" w14:paraId="15C3842C" w14:textId="77777777" w:rsidTr="00673A19">
        <w:tc>
          <w:tcPr>
            <w:tcW w:w="3537" w:type="dxa"/>
            <w:tcBorders>
              <w:top w:val="single" w:sz="4" w:space="0" w:color="auto"/>
              <w:left w:val="single" w:sz="4" w:space="0" w:color="auto"/>
              <w:bottom w:val="single" w:sz="4" w:space="0" w:color="auto"/>
              <w:right w:val="single" w:sz="4" w:space="0" w:color="auto"/>
            </w:tcBorders>
            <w:hideMark/>
          </w:tcPr>
          <w:p w14:paraId="20A5F6F8" w14:textId="77777777" w:rsidR="003A1319" w:rsidRPr="00673A19" w:rsidRDefault="003A1319" w:rsidP="003A1319">
            <w:pPr>
              <w:rPr>
                <w:rFonts w:asciiTheme="minorHAnsi" w:hAnsiTheme="minorHAnsi" w:cs="Calibri"/>
                <w:sz w:val="18"/>
                <w:szCs w:val="18"/>
              </w:rPr>
            </w:pPr>
            <w:r w:rsidRPr="00673A19">
              <w:rPr>
                <w:rFonts w:asciiTheme="minorHAnsi" w:hAnsiTheme="minorHAnsi" w:cs="Calibri"/>
                <w:sz w:val="18"/>
                <w:szCs w:val="18"/>
              </w:rPr>
              <w:t>K6</w:t>
            </w:r>
          </w:p>
        </w:tc>
        <w:tc>
          <w:tcPr>
            <w:tcW w:w="5530" w:type="dxa"/>
            <w:tcBorders>
              <w:top w:val="single" w:sz="4" w:space="0" w:color="auto"/>
              <w:left w:val="single" w:sz="4" w:space="0" w:color="auto"/>
              <w:bottom w:val="single" w:sz="4" w:space="0" w:color="auto"/>
              <w:right w:val="single" w:sz="4" w:space="0" w:color="auto"/>
            </w:tcBorders>
            <w:hideMark/>
          </w:tcPr>
          <w:p w14:paraId="1A003A26" w14:textId="77777777" w:rsidR="003A1319" w:rsidRPr="00673A19" w:rsidRDefault="003A1319" w:rsidP="003A1319">
            <w:pPr>
              <w:rPr>
                <w:rFonts w:asciiTheme="minorHAnsi" w:hAnsiTheme="minorHAnsi" w:cs="Calibri"/>
                <w:sz w:val="18"/>
                <w:szCs w:val="18"/>
                <w:lang w:val="en-US"/>
              </w:rPr>
            </w:pPr>
            <w:r w:rsidRPr="00673A19">
              <w:rPr>
                <w:rFonts w:asciiTheme="minorHAnsi" w:hAnsiTheme="minorHAnsi" w:cs="Calibri"/>
                <w:sz w:val="18"/>
                <w:szCs w:val="18"/>
                <w:lang w:val="en-US"/>
              </w:rPr>
              <w:t>Have the measures listed in section K5 been implemented?</w:t>
            </w:r>
          </w:p>
        </w:tc>
      </w:tr>
    </w:tbl>
    <w:p w14:paraId="3FCF468E" w14:textId="77777777" w:rsidR="003A1319" w:rsidRPr="00D049D4" w:rsidRDefault="003A1319" w:rsidP="003A1319">
      <w:pPr>
        <w:jc w:val="both"/>
        <w:rPr>
          <w:lang w:val="en-US"/>
        </w:rPr>
      </w:pPr>
    </w:p>
    <w:p w14:paraId="6580C999" w14:textId="32928607" w:rsidR="003A1319" w:rsidRPr="00673A19" w:rsidRDefault="003A1319" w:rsidP="00673A19">
      <w:pPr>
        <w:spacing w:after="120" w:line="276" w:lineRule="auto"/>
        <w:jc w:val="both"/>
        <w:rPr>
          <w:rFonts w:asciiTheme="minorHAnsi" w:hAnsiTheme="minorHAnsi"/>
          <w:sz w:val="24"/>
          <w:szCs w:val="24"/>
          <w:lang w:val="en-US"/>
        </w:rPr>
      </w:pPr>
      <w:r w:rsidRPr="00673A19">
        <w:rPr>
          <w:rFonts w:asciiTheme="minorHAnsi" w:hAnsiTheme="minorHAnsi"/>
          <w:sz w:val="24"/>
          <w:szCs w:val="24"/>
          <w:lang w:val="en-US"/>
        </w:rPr>
        <w:t>The answers to the verification questions (Table 8) should serve as the basis for assessing the effectiveness of the measures taken and identifying the need for further interventions to mitigate negative impacts on “non-target” species. The detection, during routine nature observations, of plants or animals that are protected species or threatened with extinction in Poland requires the conduct of detailed ecological studies in the same year and their continuation in subsequent years of corrective action implementation. Templates for monitoring forms can be found in the thematic guides published by the Chief Inspectorate for Environmental Protection (e.g., Bzdęga et al., 2022).</w:t>
      </w:r>
    </w:p>
    <w:p w14:paraId="18C2EF91" w14:textId="39D69470" w:rsidR="003A1319" w:rsidRPr="00673A19" w:rsidRDefault="003A1319" w:rsidP="00673A19">
      <w:pPr>
        <w:spacing w:after="120" w:line="276" w:lineRule="auto"/>
        <w:jc w:val="both"/>
        <w:rPr>
          <w:rFonts w:asciiTheme="minorHAnsi" w:hAnsiTheme="minorHAnsi"/>
          <w:sz w:val="24"/>
          <w:szCs w:val="24"/>
          <w:lang w:val="en-US"/>
        </w:rPr>
      </w:pPr>
      <w:r w:rsidRPr="00673A19">
        <w:rPr>
          <w:rFonts w:asciiTheme="minorHAnsi" w:hAnsiTheme="minorHAnsi"/>
          <w:sz w:val="24"/>
          <w:szCs w:val="24"/>
          <w:lang w:val="en-US"/>
        </w:rPr>
        <w:t xml:space="preserve">To summarize and simplify the information provided, the following diagram outlines the procedure for managing </w:t>
      </w:r>
      <w:r w:rsidR="009374B7" w:rsidRPr="00673A19">
        <w:rPr>
          <w:rFonts w:asciiTheme="minorHAnsi" w:hAnsiTheme="minorHAnsi"/>
          <w:sz w:val="24"/>
          <w:szCs w:val="24"/>
          <w:lang w:val="en-US"/>
        </w:rPr>
        <w:t>IAS</w:t>
      </w:r>
      <w:r w:rsidRPr="00673A19">
        <w:rPr>
          <w:rFonts w:asciiTheme="minorHAnsi" w:hAnsiTheme="minorHAnsi"/>
          <w:sz w:val="24"/>
          <w:szCs w:val="24"/>
          <w:lang w:val="en-US"/>
        </w:rPr>
        <w:t xml:space="preserve"> plant biomass within the planned project area during a single growing season.</w:t>
      </w:r>
    </w:p>
    <w:p w14:paraId="5B22EA3B" w14:textId="64EDC36C" w:rsidR="003A1319" w:rsidRPr="00D049D4" w:rsidRDefault="003A1319">
      <w:pPr>
        <w:rPr>
          <w:lang w:val="en-US"/>
        </w:rPr>
      </w:pPr>
      <w:r w:rsidRPr="00D049D4">
        <w:rPr>
          <w:lang w:val="en-US"/>
        </w:rPr>
        <w:br w:type="page"/>
      </w:r>
    </w:p>
    <w:p w14:paraId="0B175E4C" w14:textId="34B8A55E" w:rsidR="003A1319" w:rsidRPr="00D049D4" w:rsidRDefault="003A1319" w:rsidP="003A1319">
      <w:pPr>
        <w:jc w:val="both"/>
        <w:rPr>
          <w:lang w:val="en-US"/>
        </w:rPr>
      </w:pPr>
      <w:r w:rsidRPr="00626277">
        <w:rPr>
          <w:rFonts w:eastAsia="Arial" w:cs="Times New Roman"/>
          <w:kern w:val="0"/>
          <w:sz w:val="20"/>
          <w:szCs w:val="20"/>
          <w14:ligatures w14:val="none"/>
        </w:rPr>
        <mc:AlternateContent>
          <mc:Choice Requires="wpg">
            <w:drawing>
              <wp:anchor distT="0" distB="0" distL="114300" distR="114300" simplePos="0" relativeHeight="251658240" behindDoc="0" locked="0" layoutInCell="1" allowOverlap="1" wp14:anchorId="2AACC950" wp14:editId="32B8A22C">
                <wp:simplePos x="0" y="0"/>
                <wp:positionH relativeFrom="column">
                  <wp:posOffset>-219075</wp:posOffset>
                </wp:positionH>
                <wp:positionV relativeFrom="paragraph">
                  <wp:posOffset>0</wp:posOffset>
                </wp:positionV>
                <wp:extent cx="6442075" cy="9010650"/>
                <wp:effectExtent l="0" t="0" r="15875" b="19050"/>
                <wp:wrapNone/>
                <wp:docPr id="2001955543" name="Grupa 4"/>
                <wp:cNvGraphicFramePr/>
                <a:graphic xmlns:a="http://schemas.openxmlformats.org/drawingml/2006/main">
                  <a:graphicData uri="http://schemas.microsoft.com/office/word/2010/wordprocessingGroup">
                    <wpg:wgp>
                      <wpg:cNvGrpSpPr/>
                      <wpg:grpSpPr>
                        <a:xfrm>
                          <a:off x="0" y="0"/>
                          <a:ext cx="6442075" cy="9010650"/>
                          <a:chOff x="0" y="0"/>
                          <a:chExt cx="6442075" cy="7506365"/>
                        </a:xfrm>
                      </wpg:grpSpPr>
                      <wpg:grpSp>
                        <wpg:cNvPr id="989274608" name="Grupa 989274608"/>
                        <wpg:cNvGrpSpPr/>
                        <wpg:grpSpPr>
                          <a:xfrm>
                            <a:off x="0" y="0"/>
                            <a:ext cx="6172200" cy="6521036"/>
                            <a:chOff x="0" y="0"/>
                            <a:chExt cx="6172200" cy="6284638"/>
                          </a:xfrm>
                        </wpg:grpSpPr>
                        <wps:wsp>
                          <wps:cNvPr id="1722874754" name="Schemat blokowy: proces 1722874754"/>
                          <wps:cNvSpPr/>
                          <wps:spPr>
                            <a:xfrm>
                              <a:off x="2422083" y="0"/>
                              <a:ext cx="2316894" cy="1009650"/>
                            </a:xfrm>
                            <a:prstGeom prst="flowChartProcess">
                              <a:avLst/>
                            </a:prstGeom>
                            <a:solidFill>
                              <a:srgbClr val="C0D4FD"/>
                            </a:solidFill>
                            <a:ln w="12700" cap="flat" cmpd="sng" algn="ctr">
                              <a:solidFill>
                                <a:srgbClr val="4472C4">
                                  <a:shade val="15000"/>
                                </a:srgbClr>
                              </a:solidFill>
                              <a:prstDash val="solid"/>
                              <a:miter lim="800000"/>
                            </a:ln>
                            <a:effectLst/>
                          </wps:spPr>
                          <wps:txbx>
                            <w:txbxContent>
                              <w:p w14:paraId="2E1F57A7" w14:textId="77777777" w:rsidR="003A1319" w:rsidRPr="00D049D4" w:rsidRDefault="003A1319" w:rsidP="003A1319">
                                <w:pPr>
                                  <w:jc w:val="center"/>
                                  <w:rPr>
                                    <w:sz w:val="20"/>
                                    <w:szCs w:val="20"/>
                                    <w:lang w:val="en-US"/>
                                  </w:rPr>
                                </w:pPr>
                                <w:r w:rsidRPr="00D049D4">
                                  <w:rPr>
                                    <w:b/>
                                    <w:bCs/>
                                    <w:sz w:val="20"/>
                                    <w:szCs w:val="20"/>
                                    <w:lang w:val="en-US"/>
                                  </w:rPr>
                                  <w:t>Implementing remedial measures based on the characteristics of invasive alien plant species (starting with baseline monitoring if this is the first year of remedial measures).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44304775" name="Schemat blokowy: decyzja 1144304775"/>
                          <wps:cNvSpPr/>
                          <wps:spPr>
                            <a:xfrm>
                              <a:off x="1952625" y="1417363"/>
                              <a:ext cx="3181350" cy="1533525"/>
                            </a:xfrm>
                            <a:prstGeom prst="flowChartDecision">
                              <a:avLst/>
                            </a:prstGeom>
                            <a:solidFill>
                              <a:srgbClr val="C0D4FD"/>
                            </a:solidFill>
                            <a:ln w="12700" cap="flat" cmpd="sng" algn="ctr">
                              <a:solidFill>
                                <a:srgbClr val="4472C4">
                                  <a:shade val="15000"/>
                                </a:srgbClr>
                              </a:solidFill>
                              <a:prstDash val="solid"/>
                              <a:miter lim="800000"/>
                            </a:ln>
                            <a:effectLst/>
                          </wps:spPr>
                          <wps:txbx>
                            <w:txbxContent>
                              <w:p w14:paraId="56F3BEB0" w14:textId="77777777" w:rsidR="003A1319" w:rsidRPr="00D049D4" w:rsidRDefault="003A1319" w:rsidP="003A1319">
                                <w:pPr>
                                  <w:jc w:val="center"/>
                                  <w:rPr>
                                    <w:lang w:val="en-US"/>
                                  </w:rPr>
                                </w:pPr>
                                <w:r w:rsidRPr="00D049D4">
                                  <w:rPr>
                                    <w:lang w:val="en-US"/>
                                  </w:rPr>
                                  <w:t xml:space="preserve">Is biomass management possible in the area where control measures are being implemented?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1555633354" name="Grupa 1555633354"/>
                          <wpg:cNvGrpSpPr/>
                          <wpg:grpSpPr>
                            <a:xfrm>
                              <a:off x="2238375" y="2674663"/>
                              <a:ext cx="590550" cy="655427"/>
                              <a:chOff x="2238375" y="2674663"/>
                              <a:chExt cx="914400" cy="1092379"/>
                            </a:xfrm>
                          </wpg:grpSpPr>
                          <wps:wsp>
                            <wps:cNvPr id="556306245" name="Pole tekstowe 2"/>
                            <wps:cNvSpPr txBox="1">
                              <a:spLocks noChangeArrowheads="1"/>
                            </wps:cNvSpPr>
                            <wps:spPr bwMode="auto">
                              <a:xfrm rot="7794833" flipV="1">
                                <a:off x="2248075" y="2817722"/>
                                <a:ext cx="765757" cy="479639"/>
                              </a:xfrm>
                              <a:prstGeom prst="rect">
                                <a:avLst/>
                              </a:prstGeom>
                              <a:solidFill>
                                <a:srgbClr val="FFFFFF"/>
                              </a:solidFill>
                              <a:ln w="9525">
                                <a:noFill/>
                                <a:miter lim="800000"/>
                                <a:headEnd/>
                                <a:tailEnd/>
                              </a:ln>
                            </wps:spPr>
                            <wps:txbx>
                              <w:txbxContent>
                                <w:p w14:paraId="44DCEE98" w14:textId="77777777" w:rsidR="003A1319" w:rsidRPr="00626277" w:rsidRDefault="003A1319" w:rsidP="003A1319">
                                  <w:pPr>
                                    <w:rPr>
                                      <w:b/>
                                      <w:bCs/>
                                    </w:rPr>
                                  </w:pPr>
                                  <w:r w:rsidRPr="00626277">
                                    <w:rPr>
                                      <w:b/>
                                      <w:bCs/>
                                    </w:rPr>
                                    <w:t>YES</w:t>
                                  </w:r>
                                </w:p>
                              </w:txbxContent>
                            </wps:txbx>
                            <wps:bodyPr rot="0" vert="horz" wrap="square" lIns="91440" tIns="45720" rIns="91440" bIns="45720" anchor="t" anchorCtr="0">
                              <a:noAutofit/>
                            </wps:bodyPr>
                          </wps:wsp>
                          <wps:wsp>
                            <wps:cNvPr id="513295092" name="Łącznik prosty ze strzałką 513295092"/>
                            <wps:cNvCnPr/>
                            <wps:spPr>
                              <a:xfrm flipH="1">
                                <a:off x="2238375" y="2719292"/>
                                <a:ext cx="914400" cy="1047750"/>
                              </a:xfrm>
                              <a:prstGeom prst="straightConnector1">
                                <a:avLst/>
                              </a:prstGeom>
                              <a:noFill/>
                              <a:ln w="57150" cap="flat" cmpd="sng" algn="ctr">
                                <a:solidFill>
                                  <a:srgbClr val="4472C4"/>
                                </a:solidFill>
                                <a:prstDash val="solid"/>
                                <a:miter lim="800000"/>
                                <a:tailEnd type="triangle"/>
                              </a:ln>
                              <a:effectLst/>
                            </wps:spPr>
                            <wps:bodyPr/>
                          </wps:wsp>
                        </wpg:grpSp>
                        <wpg:grpSp>
                          <wpg:cNvPr id="2039923985" name="Grupa 2039923985"/>
                          <wpg:cNvGrpSpPr/>
                          <wpg:grpSpPr>
                            <a:xfrm>
                              <a:off x="4286250" y="2665138"/>
                              <a:ext cx="609600" cy="762000"/>
                              <a:chOff x="4286250" y="2665138"/>
                              <a:chExt cx="840743" cy="1078867"/>
                            </a:xfrm>
                          </wpg:grpSpPr>
                          <wps:wsp>
                            <wps:cNvPr id="1682152188" name="Pole tekstowe 2"/>
                            <wps:cNvSpPr txBox="1">
                              <a:spLocks noChangeArrowheads="1"/>
                            </wps:cNvSpPr>
                            <wps:spPr bwMode="auto">
                              <a:xfrm rot="14111767" flipV="1">
                                <a:off x="4498983" y="2844085"/>
                                <a:ext cx="692930" cy="348904"/>
                              </a:xfrm>
                              <a:prstGeom prst="rect">
                                <a:avLst/>
                              </a:prstGeom>
                              <a:solidFill>
                                <a:srgbClr val="FFFFFF"/>
                              </a:solidFill>
                              <a:ln w="9525">
                                <a:noFill/>
                                <a:miter lim="800000"/>
                                <a:headEnd/>
                                <a:tailEnd/>
                              </a:ln>
                            </wps:spPr>
                            <wps:txbx>
                              <w:txbxContent>
                                <w:p w14:paraId="01F37687" w14:textId="77777777" w:rsidR="003A1319" w:rsidRPr="00626277" w:rsidRDefault="003A1319" w:rsidP="003A1319">
                                  <w:pPr>
                                    <w:rPr>
                                      <w:b/>
                                      <w:bCs/>
                                    </w:rPr>
                                  </w:pPr>
                                  <w:r w:rsidRPr="00626277">
                                    <w:rPr>
                                      <w:b/>
                                      <w:bCs/>
                                    </w:rPr>
                                    <w:t>NO</w:t>
                                  </w:r>
                                </w:p>
                              </w:txbxContent>
                            </wps:txbx>
                            <wps:bodyPr rot="0" vert="horz" wrap="square" lIns="91440" tIns="45720" rIns="91440" bIns="45720" anchor="t" anchorCtr="0">
                              <a:noAutofit/>
                            </wps:bodyPr>
                          </wps:wsp>
                          <wps:wsp>
                            <wps:cNvPr id="721970048" name="Łącznik prosty ze strzałką 721970048"/>
                            <wps:cNvCnPr/>
                            <wps:spPr>
                              <a:xfrm rot="16200000" flipH="1">
                                <a:off x="4167188" y="2784200"/>
                                <a:ext cx="1078867" cy="840743"/>
                              </a:xfrm>
                              <a:prstGeom prst="straightConnector1">
                                <a:avLst/>
                              </a:prstGeom>
                              <a:noFill/>
                              <a:ln w="57150" cap="flat" cmpd="sng" algn="ctr">
                                <a:solidFill>
                                  <a:srgbClr val="4472C4"/>
                                </a:solidFill>
                                <a:prstDash val="solid"/>
                                <a:miter lim="800000"/>
                                <a:tailEnd type="triangle"/>
                              </a:ln>
                              <a:effectLst/>
                            </wps:spPr>
                            <wps:bodyPr/>
                          </wps:wsp>
                        </wpg:grpSp>
                        <wps:wsp>
                          <wps:cNvPr id="726114315" name="Łącznik prosty ze strzałką 726114315"/>
                          <wps:cNvCnPr/>
                          <wps:spPr>
                            <a:xfrm flipH="1">
                              <a:off x="3543300" y="1093513"/>
                              <a:ext cx="4763" cy="266383"/>
                            </a:xfrm>
                            <a:prstGeom prst="straightConnector1">
                              <a:avLst/>
                            </a:prstGeom>
                            <a:noFill/>
                            <a:ln w="57150" cap="flat" cmpd="sng" algn="ctr">
                              <a:solidFill>
                                <a:srgbClr val="4472C4"/>
                              </a:solidFill>
                              <a:prstDash val="solid"/>
                              <a:miter lim="800000"/>
                              <a:tailEnd type="triangle"/>
                            </a:ln>
                            <a:effectLst/>
                          </wps:spPr>
                          <wps:bodyPr/>
                        </wps:wsp>
                        <wps:wsp>
                          <wps:cNvPr id="1398537645" name="Schemat blokowy: decyzja 1398537645"/>
                          <wps:cNvSpPr/>
                          <wps:spPr>
                            <a:xfrm>
                              <a:off x="514350" y="3217588"/>
                              <a:ext cx="2619375" cy="1066800"/>
                            </a:xfrm>
                            <a:prstGeom prst="flowChartDecision">
                              <a:avLst/>
                            </a:prstGeom>
                            <a:solidFill>
                              <a:srgbClr val="C0D4FD"/>
                            </a:solidFill>
                            <a:ln w="12700" cap="flat" cmpd="sng" algn="ctr">
                              <a:solidFill>
                                <a:srgbClr val="4472C4">
                                  <a:shade val="15000"/>
                                </a:srgbClr>
                              </a:solidFill>
                              <a:prstDash val="solid"/>
                              <a:miter lim="800000"/>
                            </a:ln>
                            <a:effectLst/>
                          </wps:spPr>
                          <wps:txbx>
                            <w:txbxContent>
                              <w:p w14:paraId="29F8B8C2" w14:textId="77777777" w:rsidR="003A1319" w:rsidRPr="00D049D4" w:rsidRDefault="003A1319" w:rsidP="003A1319">
                                <w:pPr>
                                  <w:jc w:val="center"/>
                                  <w:rPr>
                                    <w:sz w:val="18"/>
                                    <w:szCs w:val="18"/>
                                    <w:lang w:val="en-US"/>
                                  </w:rPr>
                                </w:pPr>
                                <w:r w:rsidRPr="00D049D4">
                                  <w:rPr>
                                    <w:sz w:val="18"/>
                                    <w:szCs w:val="18"/>
                                    <w:lang w:val="en-US"/>
                                  </w:rPr>
                                  <w:t>Does the biomass contain flowers/fruits/seeds?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678429381" name="Grupa 678429381"/>
                          <wpg:cNvGrpSpPr/>
                          <wpg:grpSpPr>
                            <a:xfrm rot="20207858">
                              <a:off x="550086" y="3983735"/>
                              <a:ext cx="757385" cy="1042767"/>
                              <a:chOff x="550086" y="3983735"/>
                              <a:chExt cx="914400" cy="1384736"/>
                            </a:xfrm>
                          </wpg:grpSpPr>
                          <wps:wsp>
                            <wps:cNvPr id="432160841" name="Pole tekstowe 2"/>
                            <wps:cNvSpPr txBox="1">
                              <a:spLocks noChangeArrowheads="1"/>
                            </wps:cNvSpPr>
                            <wps:spPr bwMode="auto">
                              <a:xfrm rot="18630529">
                                <a:off x="554468" y="4335266"/>
                                <a:ext cx="1017388" cy="314325"/>
                              </a:xfrm>
                              <a:prstGeom prst="rect">
                                <a:avLst/>
                              </a:prstGeom>
                              <a:solidFill>
                                <a:srgbClr val="FFFFFF"/>
                              </a:solidFill>
                              <a:ln w="9525">
                                <a:noFill/>
                                <a:miter lim="800000"/>
                                <a:headEnd/>
                                <a:tailEnd/>
                              </a:ln>
                            </wps:spPr>
                            <wps:txbx>
                              <w:txbxContent>
                                <w:p w14:paraId="0DEC6F91" w14:textId="77777777" w:rsidR="003A1319" w:rsidRPr="00626277" w:rsidRDefault="003A1319" w:rsidP="003A1319">
                                  <w:pPr>
                                    <w:rPr>
                                      <w:b/>
                                      <w:bCs/>
                                    </w:rPr>
                                  </w:pPr>
                                  <w:r w:rsidRPr="00626277">
                                    <w:rPr>
                                      <w:b/>
                                      <w:bCs/>
                                    </w:rPr>
                                    <w:t>YES</w:t>
                                  </w:r>
                                </w:p>
                              </w:txbxContent>
                            </wps:txbx>
                            <wps:bodyPr rot="0" vert="horz" wrap="square" lIns="91440" tIns="45720" rIns="91440" bIns="45720" anchor="t" anchorCtr="0">
                              <a:noAutofit/>
                            </wps:bodyPr>
                          </wps:wsp>
                          <wps:wsp>
                            <wps:cNvPr id="1958830319" name="Łącznik prosty ze strzałką 1958830319"/>
                            <wps:cNvCnPr/>
                            <wps:spPr>
                              <a:xfrm flipH="1">
                                <a:off x="550086" y="4320721"/>
                                <a:ext cx="914400" cy="1047750"/>
                              </a:xfrm>
                              <a:prstGeom prst="straightConnector1">
                                <a:avLst/>
                              </a:prstGeom>
                              <a:noFill/>
                              <a:ln w="57150" cap="flat" cmpd="sng" algn="ctr">
                                <a:solidFill>
                                  <a:srgbClr val="4472C4"/>
                                </a:solidFill>
                                <a:prstDash val="solid"/>
                                <a:miter lim="800000"/>
                                <a:tailEnd type="triangle"/>
                              </a:ln>
                              <a:effectLst/>
                            </wps:spPr>
                            <wps:bodyPr/>
                          </wps:wsp>
                        </wpg:grpSp>
                        <wpg:grpSp>
                          <wpg:cNvPr id="1130434092" name="Grupa 1130434092"/>
                          <wpg:cNvGrpSpPr/>
                          <wpg:grpSpPr>
                            <a:xfrm rot="1460585">
                              <a:off x="2516732" y="4087569"/>
                              <a:ext cx="419091" cy="941673"/>
                              <a:chOff x="2516731" y="4087571"/>
                              <a:chExt cx="638952" cy="1757523"/>
                            </a:xfrm>
                          </wpg:grpSpPr>
                          <wps:wsp>
                            <wps:cNvPr id="1806081846" name="Pole tekstowe 2"/>
                            <wps:cNvSpPr txBox="1">
                              <a:spLocks noChangeArrowheads="1"/>
                            </wps:cNvSpPr>
                            <wps:spPr bwMode="auto">
                              <a:xfrm rot="13541075" flipV="1">
                                <a:off x="2402004" y="4623854"/>
                                <a:ext cx="1105604" cy="401754"/>
                              </a:xfrm>
                              <a:prstGeom prst="rect">
                                <a:avLst/>
                              </a:prstGeom>
                              <a:solidFill>
                                <a:srgbClr val="FFFFFF"/>
                              </a:solidFill>
                              <a:ln w="9525">
                                <a:noFill/>
                                <a:miter lim="800000"/>
                                <a:headEnd/>
                                <a:tailEnd/>
                              </a:ln>
                            </wps:spPr>
                            <wps:txbx>
                              <w:txbxContent>
                                <w:p w14:paraId="628FAF0B" w14:textId="77777777" w:rsidR="003A1319" w:rsidRPr="00626277" w:rsidRDefault="003A1319" w:rsidP="003A1319">
                                  <w:pPr>
                                    <w:rPr>
                                      <w:b/>
                                      <w:bCs/>
                                    </w:rPr>
                                  </w:pPr>
                                  <w:r w:rsidRPr="00626277">
                                    <w:rPr>
                                      <w:b/>
                                      <w:bCs/>
                                    </w:rPr>
                                    <w:t>NO</w:t>
                                  </w:r>
                                </w:p>
                              </w:txbxContent>
                            </wps:txbx>
                            <wps:bodyPr rot="0" vert="horz" wrap="square" lIns="91440" tIns="45720" rIns="91440" bIns="45720" anchor="t" anchorCtr="0">
                              <a:noAutofit/>
                            </wps:bodyPr>
                          </wps:wsp>
                          <wps:wsp>
                            <wps:cNvPr id="1002248128" name="Łącznik prosty ze strzałką 1002248128"/>
                            <wps:cNvCnPr/>
                            <wps:spPr>
                              <a:xfrm rot="20139415">
                                <a:off x="2516731" y="4087571"/>
                                <a:ext cx="449456" cy="1757523"/>
                              </a:xfrm>
                              <a:prstGeom prst="straightConnector1">
                                <a:avLst/>
                              </a:prstGeom>
                              <a:noFill/>
                              <a:ln w="57150" cap="flat" cmpd="sng" algn="ctr">
                                <a:solidFill>
                                  <a:srgbClr val="4472C4"/>
                                </a:solidFill>
                                <a:prstDash val="solid"/>
                                <a:miter lim="800000"/>
                                <a:tailEnd type="triangle"/>
                              </a:ln>
                              <a:effectLst/>
                            </wps:spPr>
                            <wps:bodyPr/>
                          </wps:wsp>
                        </wpg:grpSp>
                        <wps:wsp>
                          <wps:cNvPr id="710097526" name="Prostokąt 710097526"/>
                          <wps:cNvSpPr/>
                          <wps:spPr>
                            <a:xfrm>
                              <a:off x="0" y="5189263"/>
                              <a:ext cx="1400175" cy="1095375"/>
                            </a:xfrm>
                            <a:prstGeom prst="rect">
                              <a:avLst/>
                            </a:prstGeom>
                            <a:solidFill>
                              <a:srgbClr val="C0D4FD"/>
                            </a:solidFill>
                            <a:ln w="12700" cap="flat" cmpd="sng" algn="ctr">
                              <a:solidFill>
                                <a:srgbClr val="4472C4">
                                  <a:shade val="15000"/>
                                </a:srgbClr>
                              </a:solidFill>
                              <a:prstDash val="solid"/>
                              <a:miter lim="800000"/>
                            </a:ln>
                            <a:effectLst/>
                          </wps:spPr>
                          <wps:txbx>
                            <w:txbxContent>
                              <w:p w14:paraId="1F961EAC" w14:textId="77777777" w:rsidR="003A1319" w:rsidRPr="00D049D4" w:rsidRDefault="003A1319" w:rsidP="003A1319">
                                <w:pPr>
                                  <w:jc w:val="center"/>
                                  <w:rPr>
                                    <w:b/>
                                    <w:bCs/>
                                    <w:lang w:val="en-US"/>
                                  </w:rPr>
                                </w:pPr>
                                <w:r w:rsidRPr="00D049D4">
                                  <w:rPr>
                                    <w:b/>
                                    <w:bCs/>
                                    <w:lang w:val="en-US"/>
                                  </w:rPr>
                                  <w:t>Biomass management by burial, as shown in Table 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89291045" name="Prostokąt 489291045"/>
                          <wps:cNvSpPr/>
                          <wps:spPr>
                            <a:xfrm>
                              <a:off x="2220172" y="5142019"/>
                              <a:ext cx="1400175" cy="1142342"/>
                            </a:xfrm>
                            <a:prstGeom prst="rect">
                              <a:avLst/>
                            </a:prstGeom>
                            <a:solidFill>
                              <a:srgbClr val="C0D4FD"/>
                            </a:solidFill>
                            <a:ln w="12700" cap="flat" cmpd="sng" algn="ctr">
                              <a:solidFill>
                                <a:srgbClr val="4472C4">
                                  <a:shade val="15000"/>
                                </a:srgbClr>
                              </a:solidFill>
                              <a:prstDash val="solid"/>
                              <a:miter lim="800000"/>
                            </a:ln>
                            <a:effectLst/>
                          </wps:spPr>
                          <wps:txbx>
                            <w:txbxContent>
                              <w:p w14:paraId="356980E5" w14:textId="77777777" w:rsidR="003A1319" w:rsidRPr="00D049D4" w:rsidRDefault="003A1319" w:rsidP="003A1319">
                                <w:pPr>
                                  <w:jc w:val="center"/>
                                  <w:rPr>
                                    <w:b/>
                                    <w:bCs/>
                                    <w:lang w:val="en-US"/>
                                  </w:rPr>
                                </w:pPr>
                                <w:r w:rsidRPr="00D049D4">
                                  <w:rPr>
                                    <w:b/>
                                    <w:bCs/>
                                    <w:lang w:val="en-US"/>
                                  </w:rPr>
                                  <w:t>Biomass management by piling it in windrows and allowing it to decompose naturally.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14918382" name="Prostokąt 1314918382"/>
                          <wps:cNvSpPr/>
                          <wps:spPr>
                            <a:xfrm>
                              <a:off x="3981450" y="3522388"/>
                              <a:ext cx="2190750" cy="1257300"/>
                            </a:xfrm>
                            <a:prstGeom prst="rect">
                              <a:avLst/>
                            </a:prstGeom>
                            <a:solidFill>
                              <a:srgbClr val="C0D4FD"/>
                            </a:solidFill>
                            <a:ln w="12700" cap="flat" cmpd="sng" algn="ctr">
                              <a:solidFill>
                                <a:srgbClr val="4472C4">
                                  <a:shade val="15000"/>
                                </a:srgbClr>
                              </a:solidFill>
                              <a:prstDash val="solid"/>
                              <a:miter lim="800000"/>
                            </a:ln>
                            <a:effectLst/>
                          </wps:spPr>
                          <wps:txbx>
                            <w:txbxContent>
                              <w:p w14:paraId="4FDF5875" w14:textId="1DE529C6" w:rsidR="003A1319" w:rsidRPr="00D049D4" w:rsidRDefault="003A1319" w:rsidP="003A1319">
                                <w:pPr>
                                  <w:jc w:val="center"/>
                                  <w:rPr>
                                    <w:b/>
                                    <w:bCs/>
                                    <w:lang w:val="en-US"/>
                                  </w:rPr>
                                </w:pPr>
                                <w:r w:rsidRPr="00D049D4">
                                  <w:rPr>
                                    <w:b/>
                                    <w:bCs/>
                                    <w:lang w:val="en-US"/>
                                  </w:rPr>
                                  <w:t xml:space="preserve">Transferring </w:t>
                                </w:r>
                                <w:r w:rsidR="009374B7" w:rsidRPr="00D049D4">
                                  <w:rPr>
                                    <w:b/>
                                    <w:bCs/>
                                    <w:lang w:val="en-US"/>
                                  </w:rPr>
                                  <w:t>IAS</w:t>
                                </w:r>
                                <w:r w:rsidRPr="00D049D4">
                                  <w:rPr>
                                    <w:b/>
                                    <w:bCs/>
                                    <w:lang w:val="en-US"/>
                                  </w:rPr>
                                  <w:t xml:space="preserve"> biomass outside its site of occurrence as biowaste to designated facilities in accordance with the hierarchy described in Section 3.2.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1848856033" name="Schemat blokowy: proces 1848856033"/>
                        <wps:cNvSpPr/>
                        <wps:spPr>
                          <a:xfrm>
                            <a:off x="4794250" y="6015051"/>
                            <a:ext cx="1647825" cy="1491314"/>
                          </a:xfrm>
                          <a:prstGeom prst="flowChartProcess">
                            <a:avLst/>
                          </a:prstGeom>
                          <a:solidFill>
                            <a:srgbClr val="C0D4FD"/>
                          </a:solidFill>
                          <a:ln w="12700" cap="flat" cmpd="sng" algn="ctr">
                            <a:solidFill>
                              <a:srgbClr val="A4A4A6">
                                <a:shade val="15000"/>
                              </a:srgbClr>
                            </a:solidFill>
                            <a:prstDash val="solid"/>
                            <a:miter lim="800000"/>
                          </a:ln>
                          <a:effectLst/>
                        </wps:spPr>
                        <wps:txbx>
                          <w:txbxContent>
                            <w:p w14:paraId="3893C432" w14:textId="77777777" w:rsidR="003A1319" w:rsidRPr="00D049D4" w:rsidRDefault="003A1319" w:rsidP="003A1319">
                              <w:pPr>
                                <w:jc w:val="center"/>
                                <w:rPr>
                                  <w:b/>
                                  <w:bCs/>
                                  <w:color w:val="000000"/>
                                  <w:sz w:val="20"/>
                                  <w:szCs w:val="20"/>
                                  <w:lang w:val="en-US"/>
                                </w:rPr>
                              </w:pPr>
                              <w:r w:rsidRPr="00D049D4">
                                <w:rPr>
                                  <w:b/>
                                  <w:bCs/>
                                  <w:color w:val="000000"/>
                                  <w:sz w:val="20"/>
                                  <w:szCs w:val="20"/>
                                  <w:lang w:val="en-US"/>
                                </w:rPr>
                                <w:t>Decision to continue or terminate remediation measures based on the results of monitoring conducted at the end of the growing season (Table 6, Table 7)</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31713095" name="Łącznik prosty ze strzałką 1131713095"/>
                        <wps:cNvCnPr/>
                        <wps:spPr>
                          <a:xfrm rot="17660585" flipH="1">
                            <a:off x="5112702" y="5158119"/>
                            <a:ext cx="607607" cy="610641"/>
                          </a:xfrm>
                          <a:prstGeom prst="straightConnector1">
                            <a:avLst/>
                          </a:prstGeom>
                          <a:noFill/>
                          <a:ln w="57150" cap="flat" cmpd="sng" algn="ctr">
                            <a:solidFill>
                              <a:srgbClr val="4472C4"/>
                            </a:solidFill>
                            <a:prstDash val="solid"/>
                            <a:miter lim="800000"/>
                            <a:tailEnd type="triangle"/>
                          </a:ln>
                          <a:effectLst/>
                        </wps:spPr>
                        <wps:bodyPr/>
                      </wps:wsp>
                    </wpg:wgp>
                  </a:graphicData>
                </a:graphic>
                <wp14:sizeRelH relativeFrom="page">
                  <wp14:pctWidth>0</wp14:pctWidth>
                </wp14:sizeRelH>
                <wp14:sizeRelV relativeFrom="margin">
                  <wp14:pctHeight>0</wp14:pctHeight>
                </wp14:sizeRelV>
              </wp:anchor>
            </w:drawing>
          </mc:Choice>
          <mc:Fallback>
            <w:pict>
              <v:group w14:anchorId="2AACC950" id="Grupa 4" o:spid="_x0000_s1026" style="position:absolute;left:0;text-align:left;margin-left:-17.25pt;margin-top:0;width:507.25pt;height:709.5pt;z-index:251658240;mso-height-relative:margin" coordsize="64420,75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">
                <v:group id="Grupa 989274608" o:spid="_x0000_s1027" style="position:absolute;width:61722;height:65210" coordsize="61722,62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">
                  <v:shapetype id="_x0000_t109" coordsize="21600,21600" o:spt="109" path="m,l,21600r21600,l21600,xe">
                    <v:stroke joinstyle="miter"/>
                    <v:path gradientshapeok="t" o:connecttype="rect"/>
                  </v:shapetype>
                  <v:shape id="Schemat blokowy: proces 1722874754" o:spid="_x0000_s1028" type="#_x0000_t109" style="position:absolute;left:24220;width:23169;height:10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" fillcolor="#c0d4fd" strokecolor="#172c51" strokeweight="1pt">
                    <v:textbox>
                      <w:txbxContent>
                        <w:p w14:paraId="2E1F57A7" w14:textId="77777777" w:rsidR="003A1319" w:rsidRPr="00D049D4" w:rsidRDefault="003A1319" w:rsidP="003A1319">
                          <w:pPr>
                            <w:jc w:val="center"/>
                            <w:rPr>
                              <w:sz w:val="20"/>
                              <w:szCs w:val="20"/>
                              <w:lang w:val="en-US"/>
                            </w:rPr>
                          </w:pPr>
                          <w:r w:rsidRPr="00D049D4">
                            <w:rPr>
                              <w:b/>
                              <w:bCs/>
                              <w:sz w:val="20"/>
                              <w:szCs w:val="20"/>
                              <w:lang w:val="en-US"/>
                            </w:rPr>
                            <w:t>Implementing remedial measures based on the characteristics of invasive alien plant species (starting with baseline monitoring if this is the first year of remedial measures).</w:t>
                          </w:r>
                        </w:p>
                      </w:txbxContent>
                    </v:textbox>
                  </v:shape>
                  <v:shapetype id="_x0000_t110" coordsize="21600,21600" o:spt="110" path="m10800,l,10800,10800,21600,21600,10800xe">
                    <v:stroke joinstyle="miter"/>
                    <v:path gradientshapeok="t" o:connecttype="rect" textboxrect="5400,5400,16200,16200"/>
                  </v:shapetype>
                  <v:shape id="Schemat blokowy: decyzja 1144304775" o:spid="_x0000_s1029" type="#_x0000_t110" style="position:absolute;left:19526;top:14173;width:31813;height:15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" fillcolor="#c0d4fd" strokecolor="#172c51" strokeweight="1pt">
                    <v:textbox>
                      <w:txbxContent>
                        <w:p w14:paraId="56F3BEB0" w14:textId="77777777" w:rsidR="003A1319" w:rsidRPr="00D049D4" w:rsidRDefault="003A1319" w:rsidP="003A1319">
                          <w:pPr>
                            <w:jc w:val="center"/>
                            <w:rPr>
                              <w:lang w:val="en-US"/>
                            </w:rPr>
                          </w:pPr>
                          <w:r w:rsidRPr="00D049D4">
                            <w:rPr>
                              <w:lang w:val="en-US"/>
                            </w:rPr>
                            <w:t xml:space="preserve">Is biomass management possible in the area where control measures are being implemented? </w:t>
                          </w:r>
                        </w:p>
                      </w:txbxContent>
                    </v:textbox>
                  </v:shape>
                  <v:group id="Grupa 1555633354" o:spid="_x0000_s1030" style="position:absolute;left:22383;top:26746;width:5906;height:6554" coordorigin="22383,26746" coordsize="9144,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">
                    <v:shapetype id="_x0000_t202" coordsize="21600,21600" o:spt="202" path="m,l,21600r21600,l21600,xe">
                      <v:stroke joinstyle="miter"/>
                      <v:path gradientshapeok="t" o:connecttype="rect"/>
                    </v:shapetype>
                    <v:shape id="Pole tekstowe 2" o:spid="_x0000_s1031" type="#_x0000_t202" style="position:absolute;left:22480;top:28177;width:7658;height:4796;rotation:-8514036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" stroked="f">
                      <v:textbox>
                        <w:txbxContent>
                          <w:p w14:paraId="44DCEE98" w14:textId="77777777" w:rsidR="003A1319" w:rsidRPr="00626277" w:rsidRDefault="003A1319" w:rsidP="003A1319">
                            <w:pPr>
                              <w:rPr>
                                <w:b/>
                                <w:bCs/>
                              </w:rPr>
                            </w:pPr>
                            <w:r w:rsidRPr="00626277">
                              <w:rPr>
                                <w:b/>
                                <w:bCs/>
                              </w:rPr>
                              <w:t>YES</w:t>
                            </w:r>
                          </w:p>
                        </w:txbxContent>
                      </v:textbox>
                    </v:shape>
                    <v:shapetype id="_x0000_t32" coordsize="21600,21600" o:spt="32" o:oned="t" path="m,l21600,21600e" filled="f">
                      <v:path arrowok="t" fillok="f" o:connecttype="none"/>
                      <o:lock v:ext="edit" shapetype="t"/>
                    </v:shapetype>
                    <v:shape id="Łącznik prosty ze strzałką 513295092" o:spid="_x0000_s1032" type="#_x0000_t32" style="position:absolute;left:22383;top:27192;width:9144;height:104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" strokecolor="#4472c4" strokeweight="4.5pt">
                      <v:stroke endarrow="block" joinstyle="miter"/>
                    </v:shape>
                  </v:group>
                  <v:group id="Grupa 2039923985" o:spid="_x0000_s1033" style="position:absolute;left:42862;top:26651;width:6096;height:7620" coordorigin="42862,26651" coordsize="8407,10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">
                    <v:shape id="Pole tekstowe 2" o:spid="_x0000_s1034" type="#_x0000_t202" style="position:absolute;left:44989;top:28440;width:6930;height:3490;rotation:8179147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" stroked="f">
                      <v:textbox>
                        <w:txbxContent>
                          <w:p w14:paraId="01F37687" w14:textId="77777777" w:rsidR="003A1319" w:rsidRPr="00626277" w:rsidRDefault="003A1319" w:rsidP="003A1319">
                            <w:pPr>
                              <w:rPr>
                                <w:b/>
                                <w:bCs/>
                              </w:rPr>
                            </w:pPr>
                            <w:r w:rsidRPr="00626277">
                              <w:rPr>
                                <w:b/>
                                <w:bCs/>
                              </w:rPr>
                              <w:t>NO</w:t>
                            </w:r>
                          </w:p>
                        </w:txbxContent>
                      </v:textbox>
                    </v:shape>
                    <v:shape id="Łącznik prosty ze strzałką 721970048" o:spid="_x0000_s1035" type="#_x0000_t32" style="position:absolute;left:41671;top:27842;width:10789;height:8407;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" strokecolor="#4472c4" strokeweight="4.5pt">
                      <v:stroke endarrow="block" joinstyle="miter"/>
                    </v:shape>
                  </v:group>
                  <v:shape id="Łącznik prosty ze strzałką 726114315" o:spid="_x0000_s1036" type="#_x0000_t32" style="position:absolute;left:35433;top:10935;width:47;height:26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" strokecolor="#4472c4" strokeweight="4.5pt">
                    <v:stroke endarrow="block" joinstyle="miter"/>
                  </v:shape>
                  <v:shape id="Schemat blokowy: decyzja 1398537645" o:spid="_x0000_s1037" type="#_x0000_t110" style="position:absolute;left:5143;top:32175;width:26194;height:10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" fillcolor="#c0d4fd" strokecolor="#172c51" strokeweight="1pt">
                    <v:textbox>
                      <w:txbxContent>
                        <w:p w14:paraId="29F8B8C2" w14:textId="77777777" w:rsidR="003A1319" w:rsidRPr="00D049D4" w:rsidRDefault="003A1319" w:rsidP="003A1319">
                          <w:pPr>
                            <w:jc w:val="center"/>
                            <w:rPr>
                              <w:sz w:val="18"/>
                              <w:szCs w:val="18"/>
                              <w:lang w:val="en-US"/>
                            </w:rPr>
                          </w:pPr>
                          <w:r w:rsidRPr="00D049D4">
                            <w:rPr>
                              <w:sz w:val="18"/>
                              <w:szCs w:val="18"/>
                              <w:lang w:val="en-US"/>
                            </w:rPr>
                            <w:t>Does the biomass contain flowers/fruits/seeds?</w:t>
                          </w:r>
                        </w:p>
                      </w:txbxContent>
                    </v:textbox>
                  </v:shape>
                  <v:group id="Grupa 678429381" o:spid="_x0000_s1038" style="position:absolute;left:5500;top:39837;width:7574;height:10428;rotation:-1520590fd" coordorigin="5500,39837" coordsize="9144,13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">
                    <v:shape id="Pole tekstowe 2" o:spid="_x0000_s1039" type="#_x0000_t202" style="position:absolute;left:5544;top:43352;width:10174;height:3144;rotation:-324345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" stroked="f">
                      <v:textbox>
                        <w:txbxContent>
                          <w:p w14:paraId="0DEC6F91" w14:textId="77777777" w:rsidR="003A1319" w:rsidRPr="00626277" w:rsidRDefault="003A1319" w:rsidP="003A1319">
                            <w:pPr>
                              <w:rPr>
                                <w:b/>
                                <w:bCs/>
                              </w:rPr>
                            </w:pPr>
                            <w:r w:rsidRPr="00626277">
                              <w:rPr>
                                <w:b/>
                                <w:bCs/>
                              </w:rPr>
                              <w:t>YES</w:t>
                            </w:r>
                          </w:p>
                        </w:txbxContent>
                      </v:textbox>
                    </v:shape>
                    <v:shape id="Łącznik prosty ze strzałką 1958830319" o:spid="_x0000_s1040" type="#_x0000_t32" style="position:absolute;left:5500;top:43207;width:9144;height:10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" strokecolor="#4472c4" strokeweight="4.5pt">
                      <v:stroke endarrow="block" joinstyle="miter"/>
                    </v:shape>
                  </v:group>
                  <v:group id="Grupa 1130434092" o:spid="_x0000_s1041" style="position:absolute;left:25167;top:40875;width:4191;height:9417;rotation:1595348fd" coordorigin="25167,40875" coordsize="6389,1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">
                    <v:shape id="Pole tekstowe 2" o:spid="_x0000_s1042" type="#_x0000_t202" style="position:absolute;left:24020;top:46238;width:11056;height:4017;rotation:8802495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" stroked="f">
                      <v:textbox>
                        <w:txbxContent>
                          <w:p w14:paraId="628FAF0B" w14:textId="77777777" w:rsidR="003A1319" w:rsidRPr="00626277" w:rsidRDefault="003A1319" w:rsidP="003A1319">
                            <w:pPr>
                              <w:rPr>
                                <w:b/>
                                <w:bCs/>
                              </w:rPr>
                            </w:pPr>
                            <w:r w:rsidRPr="00626277">
                              <w:rPr>
                                <w:b/>
                                <w:bCs/>
                              </w:rPr>
                              <w:t>NO</w:t>
                            </w:r>
                          </w:p>
                        </w:txbxContent>
                      </v:textbox>
                    </v:shape>
                    <v:shape id="Łącznik prosty ze strzałką 1002248128" o:spid="_x0000_s1043" type="#_x0000_t32" style="position:absolute;left:25167;top:40875;width:4494;height:17575;rotation:-1595348fd;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" strokecolor="#4472c4" strokeweight="4.5pt">
                      <v:stroke endarrow="block" joinstyle="miter"/>
                    </v:shape>
                  </v:group>
                  <v:rect id="Prostokąt 710097526" o:spid="_x0000_s1044" style="position:absolute;top:51892;width:14001;height:10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" fillcolor="#c0d4fd" strokecolor="#172c51" strokeweight="1pt">
                    <v:textbox>
                      <w:txbxContent>
                        <w:p w14:paraId="1F961EAC" w14:textId="77777777" w:rsidR="003A1319" w:rsidRPr="00D049D4" w:rsidRDefault="003A1319" w:rsidP="003A1319">
                          <w:pPr>
                            <w:jc w:val="center"/>
                            <w:rPr>
                              <w:b/>
                              <w:bCs/>
                              <w:lang w:val="en-US"/>
                            </w:rPr>
                          </w:pPr>
                          <w:r w:rsidRPr="00D049D4">
                            <w:rPr>
                              <w:b/>
                              <w:bCs/>
                              <w:lang w:val="en-US"/>
                            </w:rPr>
                            <w:t>Biomass management by burial, as shown in Table 3</w:t>
                          </w:r>
                        </w:p>
                      </w:txbxContent>
                    </v:textbox>
                  </v:rect>
                  <v:rect id="Prostokąt 489291045" o:spid="_x0000_s1045" style="position:absolute;left:22201;top:51420;width:14002;height:11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" fillcolor="#c0d4fd" strokecolor="#172c51" strokeweight="1pt">
                    <v:textbox>
                      <w:txbxContent>
                        <w:p w14:paraId="356980E5" w14:textId="77777777" w:rsidR="003A1319" w:rsidRPr="00D049D4" w:rsidRDefault="003A1319" w:rsidP="003A1319">
                          <w:pPr>
                            <w:jc w:val="center"/>
                            <w:rPr>
                              <w:b/>
                              <w:bCs/>
                              <w:lang w:val="en-US"/>
                            </w:rPr>
                          </w:pPr>
                          <w:r w:rsidRPr="00D049D4">
                            <w:rPr>
                              <w:b/>
                              <w:bCs/>
                              <w:lang w:val="en-US"/>
                            </w:rPr>
                            <w:t>Biomass management by piling it in windrows and allowing it to decompose naturally.</w:t>
                          </w:r>
                        </w:p>
                      </w:txbxContent>
                    </v:textbox>
                  </v:rect>
                  <v:rect id="Prostokąt 1314918382" o:spid="_x0000_s1046" style="position:absolute;left:39814;top:35223;width:21908;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" fillcolor="#c0d4fd" strokecolor="#172c51" strokeweight="1pt">
                    <v:textbox>
                      <w:txbxContent>
                        <w:p w14:paraId="4FDF5875" w14:textId="1DE529C6" w:rsidR="003A1319" w:rsidRPr="00D049D4" w:rsidRDefault="003A1319" w:rsidP="003A1319">
                          <w:pPr>
                            <w:jc w:val="center"/>
                            <w:rPr>
                              <w:b/>
                              <w:bCs/>
                              <w:lang w:val="en-US"/>
                            </w:rPr>
                          </w:pPr>
                          <w:r w:rsidRPr="00D049D4">
                            <w:rPr>
                              <w:b/>
                              <w:bCs/>
                              <w:lang w:val="en-US"/>
                            </w:rPr>
                            <w:t xml:space="preserve">Transferring </w:t>
                          </w:r>
                          <w:r w:rsidR="009374B7" w:rsidRPr="00D049D4">
                            <w:rPr>
                              <w:b/>
                              <w:bCs/>
                              <w:lang w:val="en-US"/>
                            </w:rPr>
                            <w:t>IAS</w:t>
                          </w:r>
                          <w:r w:rsidRPr="00D049D4">
                            <w:rPr>
                              <w:b/>
                              <w:bCs/>
                              <w:lang w:val="en-US"/>
                            </w:rPr>
                            <w:t xml:space="preserve"> biomass outside its site of occurrence as biowaste to designated facilities in accordance with the hierarchy described in Section 3.2.</w:t>
                          </w:r>
                        </w:p>
                      </w:txbxContent>
                    </v:textbox>
                  </v:rect>
                </v:group>
                <v:shape id="Schemat blokowy: proces 1848856033" o:spid="_x0000_s1047" type="#_x0000_t109" style="position:absolute;left:47942;top:60150;width:16478;height:149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" fillcolor="#c0d4fd" strokecolor="#434344" strokeweight="1pt">
                  <v:textbox>
                    <w:txbxContent>
                      <w:p w14:paraId="3893C432" w14:textId="77777777" w:rsidR="003A1319" w:rsidRPr="00D049D4" w:rsidRDefault="003A1319" w:rsidP="003A1319">
                        <w:pPr>
                          <w:jc w:val="center"/>
                          <w:rPr>
                            <w:b/>
                            <w:bCs/>
                            <w:color w:val="000000"/>
                            <w:sz w:val="20"/>
                            <w:szCs w:val="20"/>
                            <w:lang w:val="en-US"/>
                          </w:rPr>
                        </w:pPr>
                        <w:r w:rsidRPr="00D049D4">
                          <w:rPr>
                            <w:b/>
                            <w:bCs/>
                            <w:color w:val="000000"/>
                            <w:sz w:val="20"/>
                            <w:szCs w:val="20"/>
                            <w:lang w:val="en-US"/>
                          </w:rPr>
                          <w:t>Decision to continue or terminate remediation measures based on the results of monitoring conducted at the end of the growing season (Table 6, Table 7)</w:t>
                        </w:r>
                      </w:p>
                    </w:txbxContent>
                  </v:textbox>
                </v:shape>
                <v:shape id="Łącznik prosty ze strzałką 1131713095" o:spid="_x0000_s1048" type="#_x0000_t32" style="position:absolute;left:51127;top:51580;width:6076;height:6107;rotation:4302892fd;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" strokecolor="#4472c4" strokeweight="4.5pt">
                  <v:stroke endarrow="block" joinstyle="miter"/>
                </v:shape>
              </v:group>
            </w:pict>
          </mc:Fallback>
        </mc:AlternateContent>
      </w:r>
    </w:p>
    <w:p w14:paraId="1F3B382F" w14:textId="77777777" w:rsidR="003A1319" w:rsidRPr="00D049D4" w:rsidRDefault="003A1319">
      <w:pPr>
        <w:rPr>
          <w:lang w:val="en-US"/>
        </w:rPr>
      </w:pPr>
      <w:r w:rsidRPr="00D049D4">
        <w:rPr>
          <w:lang w:val="en-US"/>
        </w:rPr>
        <w:br w:type="page"/>
      </w:r>
    </w:p>
    <w:p w14:paraId="106F0325" w14:textId="6F1C62C1" w:rsidR="003A1319" w:rsidRDefault="006B4AF0" w:rsidP="006B4AF0">
      <w:pPr>
        <w:pStyle w:val="Heading1"/>
        <w:rPr>
          <w:rFonts w:asciiTheme="minorHAnsi" w:hAnsiTheme="minorHAnsi"/>
          <w:sz w:val="36"/>
          <w:szCs w:val="36"/>
          <w:lang w:val="en-US"/>
        </w:rPr>
      </w:pPr>
      <w:bookmarkStart w:id="42" w:name="_Toc239856715"/>
      <w:r w:rsidRPr="006B4AF0">
        <w:rPr>
          <w:rFonts w:asciiTheme="minorHAnsi" w:hAnsiTheme="minorHAnsi"/>
          <w:sz w:val="36"/>
          <w:szCs w:val="36"/>
          <w:lang w:val="en-US"/>
        </w:rPr>
        <w:t>List of Tables</w:t>
      </w:r>
      <w:bookmarkEnd w:id="42"/>
    </w:p>
    <w:p w14:paraId="6ED164A8" w14:textId="179FDDF6" w:rsidR="006B4AF0" w:rsidRPr="006B4AF0" w:rsidRDefault="006B4AF0" w:rsidP="006B4AF0">
      <w:pPr>
        <w:pStyle w:val="TableofFigures"/>
        <w:tabs>
          <w:tab w:val="right" w:leader="dot" w:pos="9062"/>
        </w:tabs>
        <w:spacing w:after="100" w:line="276" w:lineRule="auto"/>
        <w:jc w:val="both"/>
        <w:rPr>
          <w:rFonts w:asciiTheme="minorHAnsi" w:hAnsiTheme="minorHAnsi"/>
          <w:sz w:val="24"/>
          <w:szCs w:val="24"/>
        </w:rPr>
      </w:pPr>
      <w:r>
        <w:rPr>
          <w:lang w:val="en-US"/>
        </w:rPr>
        <w:fldChar w:fldCharType="begin"/>
      </w:r>
      <w:r>
        <w:rPr>
          <w:lang w:val="en-US"/>
        </w:rPr>
        <w:instrText xml:space="preserve"> TOC \h \z \c "Tabela" </w:instrText>
      </w:r>
      <w:r>
        <w:rPr>
          <w:lang w:val="en-US"/>
        </w:rPr>
        <w:fldChar w:fldCharType="separate"/>
      </w:r>
      <w:hyperlink w:anchor="_Toc239856614" w:history="1">
        <w:r w:rsidRPr="006B4AF0">
          <w:rPr>
            <w:rStyle w:val="Hyperlink"/>
            <w:rFonts w:asciiTheme="minorHAnsi" w:hAnsiTheme="minorHAnsi"/>
            <w:bCs/>
            <w:sz w:val="24"/>
            <w:szCs w:val="24"/>
            <w:lang w:val="en-US"/>
          </w:rPr>
          <w:t xml:space="preserve">Table1 List of alien species classified by degree of domestication and invasiveness in Poland (Tokarska-Guzik et al., 2012). Plant species posing a threat to Poland are marked in bold (Journal of Laws 2022, item 2649), while those posing a threat to the UE are underlined </w:t>
        </w:r>
        <w:r w:rsidRPr="006B4AF0">
          <w:rPr>
            <w:rStyle w:val="Hyperlink"/>
            <w:rFonts w:asciiTheme="minorHAnsi" w:hAnsiTheme="minorHAnsi"/>
            <w:bCs/>
            <w:i/>
            <w:sz w:val="24"/>
            <w:szCs w:val="24"/>
            <w:lang w:val="en-US"/>
          </w:rPr>
          <w:t>(UE 2022/1203).</w:t>
        </w:r>
        <w:r w:rsidRPr="006B4AF0">
          <w:rPr>
            <w:rFonts w:asciiTheme="minorHAnsi" w:hAnsiTheme="minorHAnsi"/>
            <w:webHidden/>
            <w:sz w:val="24"/>
            <w:szCs w:val="24"/>
          </w:rPr>
          <w:tab/>
        </w:r>
        <w:r w:rsidRPr="006B4AF0">
          <w:rPr>
            <w:rFonts w:asciiTheme="minorHAnsi" w:hAnsiTheme="minorHAnsi"/>
            <w:webHidden/>
            <w:sz w:val="24"/>
            <w:szCs w:val="24"/>
          </w:rPr>
          <w:fldChar w:fldCharType="begin"/>
        </w:r>
        <w:r w:rsidRPr="006B4AF0">
          <w:rPr>
            <w:rFonts w:asciiTheme="minorHAnsi" w:hAnsiTheme="minorHAnsi"/>
            <w:webHidden/>
            <w:sz w:val="24"/>
            <w:szCs w:val="24"/>
          </w:rPr>
          <w:instrText xml:space="preserve"> PAGEREF _Toc239856614 \h </w:instrText>
        </w:r>
        <w:r w:rsidRPr="006B4AF0">
          <w:rPr>
            <w:rFonts w:asciiTheme="minorHAnsi" w:hAnsiTheme="minorHAnsi"/>
            <w:webHidden/>
            <w:sz w:val="24"/>
            <w:szCs w:val="24"/>
          </w:rPr>
        </w:r>
        <w:r w:rsidRPr="006B4AF0">
          <w:rPr>
            <w:rFonts w:asciiTheme="minorHAnsi" w:hAnsiTheme="minorHAnsi"/>
            <w:webHidden/>
            <w:sz w:val="24"/>
            <w:szCs w:val="24"/>
          </w:rPr>
          <w:fldChar w:fldCharType="separate"/>
        </w:r>
        <w:r w:rsidRPr="006B4AF0">
          <w:rPr>
            <w:rFonts w:asciiTheme="minorHAnsi" w:hAnsiTheme="minorHAnsi"/>
            <w:webHidden/>
            <w:sz w:val="24"/>
            <w:szCs w:val="24"/>
          </w:rPr>
          <w:t>48</w:t>
        </w:r>
        <w:r w:rsidRPr="006B4AF0">
          <w:rPr>
            <w:rFonts w:asciiTheme="minorHAnsi" w:hAnsiTheme="minorHAnsi"/>
            <w:webHidden/>
            <w:sz w:val="24"/>
            <w:szCs w:val="24"/>
          </w:rPr>
          <w:fldChar w:fldCharType="end"/>
        </w:r>
      </w:hyperlink>
    </w:p>
    <w:p w14:paraId="720F8294" w14:textId="50A5DDD3" w:rsidR="006B4AF0" w:rsidRPr="006B4AF0" w:rsidRDefault="006B4AF0" w:rsidP="006B4AF0">
      <w:pPr>
        <w:pStyle w:val="TableofFigures"/>
        <w:tabs>
          <w:tab w:val="right" w:leader="dot" w:pos="9062"/>
        </w:tabs>
        <w:spacing w:after="100" w:line="276" w:lineRule="auto"/>
        <w:jc w:val="both"/>
        <w:rPr>
          <w:rFonts w:asciiTheme="minorHAnsi" w:hAnsiTheme="minorHAnsi"/>
          <w:sz w:val="24"/>
          <w:szCs w:val="24"/>
        </w:rPr>
      </w:pPr>
      <w:hyperlink w:anchor="_Toc239856615" w:history="1">
        <w:r w:rsidRPr="006B4AF0">
          <w:rPr>
            <w:rStyle w:val="Hyperlink"/>
            <w:rFonts w:asciiTheme="minorHAnsi" w:hAnsiTheme="minorHAnsi"/>
            <w:bCs/>
            <w:sz w:val="24"/>
            <w:szCs w:val="24"/>
            <w:lang w:val="en-US"/>
          </w:rPr>
          <w:t>Table 2 Methods for managing biomass generated as a result of measures against invasive species</w:t>
        </w:r>
        <w:r w:rsidRPr="006B4AF0">
          <w:rPr>
            <w:rFonts w:asciiTheme="minorHAnsi" w:hAnsiTheme="minorHAnsi"/>
            <w:webHidden/>
            <w:sz w:val="24"/>
            <w:szCs w:val="24"/>
          </w:rPr>
          <w:tab/>
        </w:r>
        <w:r w:rsidRPr="006B4AF0">
          <w:rPr>
            <w:rFonts w:asciiTheme="minorHAnsi" w:hAnsiTheme="minorHAnsi"/>
            <w:webHidden/>
            <w:sz w:val="24"/>
            <w:szCs w:val="24"/>
          </w:rPr>
          <w:fldChar w:fldCharType="begin"/>
        </w:r>
        <w:r w:rsidRPr="006B4AF0">
          <w:rPr>
            <w:rFonts w:asciiTheme="minorHAnsi" w:hAnsiTheme="minorHAnsi"/>
            <w:webHidden/>
            <w:sz w:val="24"/>
            <w:szCs w:val="24"/>
          </w:rPr>
          <w:instrText xml:space="preserve"> PAGEREF _Toc239856615 \h </w:instrText>
        </w:r>
        <w:r w:rsidRPr="006B4AF0">
          <w:rPr>
            <w:rFonts w:asciiTheme="minorHAnsi" w:hAnsiTheme="minorHAnsi"/>
            <w:webHidden/>
            <w:sz w:val="24"/>
            <w:szCs w:val="24"/>
          </w:rPr>
        </w:r>
        <w:r w:rsidRPr="006B4AF0">
          <w:rPr>
            <w:rFonts w:asciiTheme="minorHAnsi" w:hAnsiTheme="minorHAnsi"/>
            <w:webHidden/>
            <w:sz w:val="24"/>
            <w:szCs w:val="24"/>
          </w:rPr>
          <w:fldChar w:fldCharType="separate"/>
        </w:r>
        <w:r w:rsidRPr="006B4AF0">
          <w:rPr>
            <w:rFonts w:asciiTheme="minorHAnsi" w:hAnsiTheme="minorHAnsi"/>
            <w:webHidden/>
            <w:sz w:val="24"/>
            <w:szCs w:val="24"/>
          </w:rPr>
          <w:t>53</w:t>
        </w:r>
        <w:r w:rsidRPr="006B4AF0">
          <w:rPr>
            <w:rFonts w:asciiTheme="minorHAnsi" w:hAnsiTheme="minorHAnsi"/>
            <w:webHidden/>
            <w:sz w:val="24"/>
            <w:szCs w:val="24"/>
          </w:rPr>
          <w:fldChar w:fldCharType="end"/>
        </w:r>
      </w:hyperlink>
    </w:p>
    <w:p w14:paraId="58116A37" w14:textId="3F693A34" w:rsidR="006B4AF0" w:rsidRPr="006B4AF0" w:rsidRDefault="006B4AF0" w:rsidP="006B4AF0">
      <w:pPr>
        <w:pStyle w:val="TableofFigures"/>
        <w:tabs>
          <w:tab w:val="right" w:leader="dot" w:pos="9062"/>
        </w:tabs>
        <w:spacing w:after="100" w:line="276" w:lineRule="auto"/>
        <w:jc w:val="both"/>
        <w:rPr>
          <w:rFonts w:asciiTheme="minorHAnsi" w:hAnsiTheme="minorHAnsi"/>
          <w:sz w:val="24"/>
          <w:szCs w:val="24"/>
        </w:rPr>
      </w:pPr>
      <w:hyperlink w:anchor="_Toc239856616" w:history="1">
        <w:r w:rsidRPr="006B4AF0">
          <w:rPr>
            <w:rStyle w:val="Hyperlink"/>
            <w:rFonts w:asciiTheme="minorHAnsi" w:hAnsiTheme="minorHAnsi"/>
            <w:bCs/>
            <w:sz w:val="24"/>
            <w:szCs w:val="24"/>
            <w:lang w:val="en-US"/>
          </w:rPr>
          <w:t>Table3 Minimum depth required for the proper implementation of remedial measures through burial. Plant species that can reproduce vegetatively and that must be protected with geotextile are highlighted in bold.</w:t>
        </w:r>
        <w:r w:rsidRPr="006B4AF0">
          <w:rPr>
            <w:rFonts w:asciiTheme="minorHAnsi" w:hAnsiTheme="minorHAnsi"/>
            <w:webHidden/>
            <w:sz w:val="24"/>
            <w:szCs w:val="24"/>
          </w:rPr>
          <w:tab/>
        </w:r>
        <w:r w:rsidRPr="006B4AF0">
          <w:rPr>
            <w:rFonts w:asciiTheme="minorHAnsi" w:hAnsiTheme="minorHAnsi"/>
            <w:webHidden/>
            <w:sz w:val="24"/>
            <w:szCs w:val="24"/>
          </w:rPr>
          <w:fldChar w:fldCharType="begin"/>
        </w:r>
        <w:r w:rsidRPr="006B4AF0">
          <w:rPr>
            <w:rFonts w:asciiTheme="minorHAnsi" w:hAnsiTheme="minorHAnsi"/>
            <w:webHidden/>
            <w:sz w:val="24"/>
            <w:szCs w:val="24"/>
          </w:rPr>
          <w:instrText xml:space="preserve"> PAGEREF _Toc239856616 \h </w:instrText>
        </w:r>
        <w:r w:rsidRPr="006B4AF0">
          <w:rPr>
            <w:rFonts w:asciiTheme="minorHAnsi" w:hAnsiTheme="minorHAnsi"/>
            <w:webHidden/>
            <w:sz w:val="24"/>
            <w:szCs w:val="24"/>
          </w:rPr>
        </w:r>
        <w:r w:rsidRPr="006B4AF0">
          <w:rPr>
            <w:rFonts w:asciiTheme="minorHAnsi" w:hAnsiTheme="minorHAnsi"/>
            <w:webHidden/>
            <w:sz w:val="24"/>
            <w:szCs w:val="24"/>
          </w:rPr>
          <w:fldChar w:fldCharType="separate"/>
        </w:r>
        <w:r w:rsidRPr="006B4AF0">
          <w:rPr>
            <w:rFonts w:asciiTheme="minorHAnsi" w:hAnsiTheme="minorHAnsi"/>
            <w:webHidden/>
            <w:sz w:val="24"/>
            <w:szCs w:val="24"/>
          </w:rPr>
          <w:t>54</w:t>
        </w:r>
        <w:r w:rsidRPr="006B4AF0">
          <w:rPr>
            <w:rFonts w:asciiTheme="minorHAnsi" w:hAnsiTheme="minorHAnsi"/>
            <w:webHidden/>
            <w:sz w:val="24"/>
            <w:szCs w:val="24"/>
          </w:rPr>
          <w:fldChar w:fldCharType="end"/>
        </w:r>
      </w:hyperlink>
    </w:p>
    <w:p w14:paraId="2F24A2F6" w14:textId="3EA255F0" w:rsidR="006B4AF0" w:rsidRPr="006B4AF0" w:rsidRDefault="006B4AF0" w:rsidP="006B4AF0">
      <w:pPr>
        <w:pStyle w:val="TableofFigures"/>
        <w:tabs>
          <w:tab w:val="right" w:leader="dot" w:pos="9062"/>
        </w:tabs>
        <w:spacing w:after="100" w:line="276" w:lineRule="auto"/>
        <w:jc w:val="both"/>
        <w:rPr>
          <w:rFonts w:asciiTheme="minorHAnsi" w:hAnsiTheme="minorHAnsi"/>
          <w:sz w:val="24"/>
          <w:szCs w:val="24"/>
        </w:rPr>
      </w:pPr>
      <w:hyperlink w:anchor="_Toc239856617" w:history="1">
        <w:r w:rsidRPr="006B4AF0">
          <w:rPr>
            <w:rStyle w:val="Hyperlink"/>
            <w:rFonts w:asciiTheme="minorHAnsi" w:hAnsiTheme="minorHAnsi"/>
            <w:bCs/>
            <w:sz w:val="24"/>
            <w:szCs w:val="24"/>
            <w:lang w:val="en-US"/>
          </w:rPr>
          <w:t>Table 4 List of plants that may be stored and transported for burning in black bags. Plant species that pose a threat to Poland are marked in bold* (Journal of Laws of 2022, item 2649).</w:t>
        </w:r>
        <w:r w:rsidRPr="006B4AF0">
          <w:rPr>
            <w:rFonts w:asciiTheme="minorHAnsi" w:hAnsiTheme="minorHAnsi"/>
            <w:webHidden/>
            <w:sz w:val="24"/>
            <w:szCs w:val="24"/>
          </w:rPr>
          <w:tab/>
        </w:r>
        <w:r w:rsidRPr="006B4AF0">
          <w:rPr>
            <w:rFonts w:asciiTheme="minorHAnsi" w:hAnsiTheme="minorHAnsi"/>
            <w:webHidden/>
            <w:sz w:val="24"/>
            <w:szCs w:val="24"/>
          </w:rPr>
          <w:fldChar w:fldCharType="begin"/>
        </w:r>
        <w:r w:rsidRPr="006B4AF0">
          <w:rPr>
            <w:rFonts w:asciiTheme="minorHAnsi" w:hAnsiTheme="minorHAnsi"/>
            <w:webHidden/>
            <w:sz w:val="24"/>
            <w:szCs w:val="24"/>
          </w:rPr>
          <w:instrText xml:space="preserve"> PAGEREF _Toc239856617 \h </w:instrText>
        </w:r>
        <w:r w:rsidRPr="006B4AF0">
          <w:rPr>
            <w:rFonts w:asciiTheme="minorHAnsi" w:hAnsiTheme="minorHAnsi"/>
            <w:webHidden/>
            <w:sz w:val="24"/>
            <w:szCs w:val="24"/>
          </w:rPr>
        </w:r>
        <w:r w:rsidRPr="006B4AF0">
          <w:rPr>
            <w:rFonts w:asciiTheme="minorHAnsi" w:hAnsiTheme="minorHAnsi"/>
            <w:webHidden/>
            <w:sz w:val="24"/>
            <w:szCs w:val="24"/>
          </w:rPr>
          <w:fldChar w:fldCharType="separate"/>
        </w:r>
        <w:r w:rsidRPr="006B4AF0">
          <w:rPr>
            <w:rFonts w:asciiTheme="minorHAnsi" w:hAnsiTheme="minorHAnsi"/>
            <w:webHidden/>
            <w:sz w:val="24"/>
            <w:szCs w:val="24"/>
          </w:rPr>
          <w:t>58</w:t>
        </w:r>
        <w:r w:rsidRPr="006B4AF0">
          <w:rPr>
            <w:rFonts w:asciiTheme="minorHAnsi" w:hAnsiTheme="minorHAnsi"/>
            <w:webHidden/>
            <w:sz w:val="24"/>
            <w:szCs w:val="24"/>
          </w:rPr>
          <w:fldChar w:fldCharType="end"/>
        </w:r>
      </w:hyperlink>
    </w:p>
    <w:p w14:paraId="2B8C8F2F" w14:textId="2B1F9290" w:rsidR="006B4AF0" w:rsidRPr="006B4AF0" w:rsidRDefault="006B4AF0" w:rsidP="006B4AF0">
      <w:pPr>
        <w:pStyle w:val="TableofFigures"/>
        <w:tabs>
          <w:tab w:val="right" w:leader="dot" w:pos="9062"/>
        </w:tabs>
        <w:spacing w:after="100" w:line="276" w:lineRule="auto"/>
        <w:jc w:val="both"/>
        <w:rPr>
          <w:rFonts w:asciiTheme="minorHAnsi" w:hAnsiTheme="minorHAnsi"/>
          <w:sz w:val="24"/>
          <w:szCs w:val="24"/>
        </w:rPr>
      </w:pPr>
      <w:hyperlink w:anchor="_Toc239856618" w:history="1">
        <w:r w:rsidRPr="006B4AF0">
          <w:rPr>
            <w:rStyle w:val="Hyperlink"/>
            <w:rFonts w:asciiTheme="minorHAnsi" w:hAnsiTheme="minorHAnsi"/>
            <w:bCs/>
            <w:sz w:val="24"/>
            <w:szCs w:val="24"/>
            <w:lang w:val="en-US"/>
          </w:rPr>
          <w:t>Table 5 Elements of invasive species monitoring</w:t>
        </w:r>
        <w:r w:rsidRPr="006B4AF0">
          <w:rPr>
            <w:rFonts w:asciiTheme="minorHAnsi" w:hAnsiTheme="minorHAnsi"/>
            <w:webHidden/>
            <w:sz w:val="24"/>
            <w:szCs w:val="24"/>
          </w:rPr>
          <w:tab/>
        </w:r>
        <w:r w:rsidRPr="006B4AF0">
          <w:rPr>
            <w:rFonts w:asciiTheme="minorHAnsi" w:hAnsiTheme="minorHAnsi"/>
            <w:webHidden/>
            <w:sz w:val="24"/>
            <w:szCs w:val="24"/>
          </w:rPr>
          <w:fldChar w:fldCharType="begin"/>
        </w:r>
        <w:r w:rsidRPr="006B4AF0">
          <w:rPr>
            <w:rFonts w:asciiTheme="minorHAnsi" w:hAnsiTheme="minorHAnsi"/>
            <w:webHidden/>
            <w:sz w:val="24"/>
            <w:szCs w:val="24"/>
          </w:rPr>
          <w:instrText xml:space="preserve"> PAGEREF _Toc239856618 \h </w:instrText>
        </w:r>
        <w:r w:rsidRPr="006B4AF0">
          <w:rPr>
            <w:rFonts w:asciiTheme="minorHAnsi" w:hAnsiTheme="minorHAnsi"/>
            <w:webHidden/>
            <w:sz w:val="24"/>
            <w:szCs w:val="24"/>
          </w:rPr>
        </w:r>
        <w:r w:rsidRPr="006B4AF0">
          <w:rPr>
            <w:rFonts w:asciiTheme="minorHAnsi" w:hAnsiTheme="minorHAnsi"/>
            <w:webHidden/>
            <w:sz w:val="24"/>
            <w:szCs w:val="24"/>
          </w:rPr>
          <w:fldChar w:fldCharType="separate"/>
        </w:r>
        <w:r w:rsidRPr="006B4AF0">
          <w:rPr>
            <w:rFonts w:asciiTheme="minorHAnsi" w:hAnsiTheme="minorHAnsi"/>
            <w:webHidden/>
            <w:sz w:val="24"/>
            <w:szCs w:val="24"/>
          </w:rPr>
          <w:t>59</w:t>
        </w:r>
        <w:r w:rsidRPr="006B4AF0">
          <w:rPr>
            <w:rFonts w:asciiTheme="minorHAnsi" w:hAnsiTheme="minorHAnsi"/>
            <w:webHidden/>
            <w:sz w:val="24"/>
            <w:szCs w:val="24"/>
          </w:rPr>
          <w:fldChar w:fldCharType="end"/>
        </w:r>
      </w:hyperlink>
    </w:p>
    <w:p w14:paraId="4A5DD36B" w14:textId="291ADD42" w:rsidR="006B4AF0" w:rsidRPr="006B4AF0" w:rsidRDefault="006B4AF0" w:rsidP="006B4AF0">
      <w:pPr>
        <w:pStyle w:val="TableofFigures"/>
        <w:tabs>
          <w:tab w:val="right" w:leader="dot" w:pos="9062"/>
        </w:tabs>
        <w:spacing w:after="100" w:line="276" w:lineRule="auto"/>
        <w:jc w:val="both"/>
        <w:rPr>
          <w:rFonts w:asciiTheme="minorHAnsi" w:hAnsiTheme="minorHAnsi"/>
          <w:sz w:val="24"/>
          <w:szCs w:val="24"/>
        </w:rPr>
      </w:pPr>
      <w:hyperlink w:anchor="_Toc239856619" w:history="1">
        <w:r w:rsidRPr="006B4AF0">
          <w:rPr>
            <w:rStyle w:val="Hyperlink"/>
            <w:rFonts w:asciiTheme="minorHAnsi" w:hAnsiTheme="minorHAnsi"/>
            <w:bCs/>
            <w:sz w:val="24"/>
            <w:szCs w:val="24"/>
            <w:lang w:val="en-US"/>
          </w:rPr>
          <w:t>Table 6 Assessment of the effectiveness of control measures for invasive alien species and follow-up actions based on the assigned rating (this assessment should take place at the end of the growing season after all control measures have been implemented)</w:t>
        </w:r>
        <w:r w:rsidRPr="006B4AF0">
          <w:rPr>
            <w:rFonts w:asciiTheme="minorHAnsi" w:hAnsiTheme="minorHAnsi"/>
            <w:webHidden/>
            <w:sz w:val="24"/>
            <w:szCs w:val="24"/>
          </w:rPr>
          <w:tab/>
        </w:r>
        <w:r w:rsidRPr="006B4AF0">
          <w:rPr>
            <w:rFonts w:asciiTheme="minorHAnsi" w:hAnsiTheme="minorHAnsi"/>
            <w:webHidden/>
            <w:sz w:val="24"/>
            <w:szCs w:val="24"/>
          </w:rPr>
          <w:fldChar w:fldCharType="begin"/>
        </w:r>
        <w:r w:rsidRPr="006B4AF0">
          <w:rPr>
            <w:rFonts w:asciiTheme="minorHAnsi" w:hAnsiTheme="minorHAnsi"/>
            <w:webHidden/>
            <w:sz w:val="24"/>
            <w:szCs w:val="24"/>
          </w:rPr>
          <w:instrText xml:space="preserve"> PAGEREF _Toc239856619 \h </w:instrText>
        </w:r>
        <w:r w:rsidRPr="006B4AF0">
          <w:rPr>
            <w:rFonts w:asciiTheme="minorHAnsi" w:hAnsiTheme="minorHAnsi"/>
            <w:webHidden/>
            <w:sz w:val="24"/>
            <w:szCs w:val="24"/>
          </w:rPr>
        </w:r>
        <w:r w:rsidRPr="006B4AF0">
          <w:rPr>
            <w:rFonts w:asciiTheme="minorHAnsi" w:hAnsiTheme="minorHAnsi"/>
            <w:webHidden/>
            <w:sz w:val="24"/>
            <w:szCs w:val="24"/>
          </w:rPr>
          <w:fldChar w:fldCharType="separate"/>
        </w:r>
        <w:r w:rsidRPr="006B4AF0">
          <w:rPr>
            <w:rFonts w:asciiTheme="minorHAnsi" w:hAnsiTheme="minorHAnsi"/>
            <w:webHidden/>
            <w:sz w:val="24"/>
            <w:szCs w:val="24"/>
          </w:rPr>
          <w:t>60</w:t>
        </w:r>
        <w:r w:rsidRPr="006B4AF0">
          <w:rPr>
            <w:rFonts w:asciiTheme="minorHAnsi" w:hAnsiTheme="minorHAnsi"/>
            <w:webHidden/>
            <w:sz w:val="24"/>
            <w:szCs w:val="24"/>
          </w:rPr>
          <w:fldChar w:fldCharType="end"/>
        </w:r>
      </w:hyperlink>
    </w:p>
    <w:p w14:paraId="0C848571" w14:textId="4F64611E" w:rsidR="006B4AF0" w:rsidRPr="006B4AF0" w:rsidRDefault="006B4AF0" w:rsidP="006B4AF0">
      <w:pPr>
        <w:pStyle w:val="TableofFigures"/>
        <w:tabs>
          <w:tab w:val="right" w:leader="dot" w:pos="9062"/>
        </w:tabs>
        <w:spacing w:after="100" w:line="276" w:lineRule="auto"/>
        <w:jc w:val="both"/>
        <w:rPr>
          <w:rFonts w:asciiTheme="minorHAnsi" w:hAnsiTheme="minorHAnsi"/>
          <w:sz w:val="24"/>
          <w:szCs w:val="24"/>
        </w:rPr>
      </w:pPr>
      <w:hyperlink w:anchor="_Toc239856620" w:history="1">
        <w:r w:rsidRPr="006B4AF0">
          <w:rPr>
            <w:rStyle w:val="Hyperlink"/>
            <w:rFonts w:asciiTheme="minorHAnsi" w:hAnsiTheme="minorHAnsi"/>
            <w:bCs/>
            <w:sz w:val="24"/>
            <w:szCs w:val="24"/>
            <w:lang w:val="en-US"/>
          </w:rPr>
          <w:t>Table 7 Assessment of the effectiveness of remedial measures on non-target species and follow-up actions based on the assigned rating (this assessment should take place at the end of the growing season after all remedial measures have been implemented)</w:t>
        </w:r>
        <w:r w:rsidRPr="006B4AF0">
          <w:rPr>
            <w:rFonts w:asciiTheme="minorHAnsi" w:hAnsiTheme="minorHAnsi"/>
            <w:webHidden/>
            <w:sz w:val="24"/>
            <w:szCs w:val="24"/>
          </w:rPr>
          <w:tab/>
        </w:r>
        <w:r w:rsidRPr="006B4AF0">
          <w:rPr>
            <w:rFonts w:asciiTheme="minorHAnsi" w:hAnsiTheme="minorHAnsi"/>
            <w:webHidden/>
            <w:sz w:val="24"/>
            <w:szCs w:val="24"/>
          </w:rPr>
          <w:fldChar w:fldCharType="begin"/>
        </w:r>
        <w:r w:rsidRPr="006B4AF0">
          <w:rPr>
            <w:rFonts w:asciiTheme="minorHAnsi" w:hAnsiTheme="minorHAnsi"/>
            <w:webHidden/>
            <w:sz w:val="24"/>
            <w:szCs w:val="24"/>
          </w:rPr>
          <w:instrText xml:space="preserve"> PAGEREF _Toc239856620 \h </w:instrText>
        </w:r>
        <w:r w:rsidRPr="006B4AF0">
          <w:rPr>
            <w:rFonts w:asciiTheme="minorHAnsi" w:hAnsiTheme="minorHAnsi"/>
            <w:webHidden/>
            <w:sz w:val="24"/>
            <w:szCs w:val="24"/>
          </w:rPr>
        </w:r>
        <w:r w:rsidRPr="006B4AF0">
          <w:rPr>
            <w:rFonts w:asciiTheme="minorHAnsi" w:hAnsiTheme="minorHAnsi"/>
            <w:webHidden/>
            <w:sz w:val="24"/>
            <w:szCs w:val="24"/>
          </w:rPr>
          <w:fldChar w:fldCharType="separate"/>
        </w:r>
        <w:r w:rsidRPr="006B4AF0">
          <w:rPr>
            <w:rFonts w:asciiTheme="minorHAnsi" w:hAnsiTheme="minorHAnsi"/>
            <w:webHidden/>
            <w:sz w:val="24"/>
            <w:szCs w:val="24"/>
          </w:rPr>
          <w:t>61</w:t>
        </w:r>
        <w:r w:rsidRPr="006B4AF0">
          <w:rPr>
            <w:rFonts w:asciiTheme="minorHAnsi" w:hAnsiTheme="minorHAnsi"/>
            <w:webHidden/>
            <w:sz w:val="24"/>
            <w:szCs w:val="24"/>
          </w:rPr>
          <w:fldChar w:fldCharType="end"/>
        </w:r>
      </w:hyperlink>
    </w:p>
    <w:p w14:paraId="53000429" w14:textId="53410D59" w:rsidR="006B4AF0" w:rsidRPr="006B4AF0" w:rsidRDefault="006B4AF0" w:rsidP="006B4AF0">
      <w:pPr>
        <w:pStyle w:val="TableofFigures"/>
        <w:tabs>
          <w:tab w:val="right" w:leader="dot" w:pos="9062"/>
        </w:tabs>
        <w:spacing w:after="100" w:line="276" w:lineRule="auto"/>
        <w:jc w:val="both"/>
        <w:rPr>
          <w:rFonts w:asciiTheme="minorHAnsi" w:hAnsiTheme="minorHAnsi"/>
          <w:sz w:val="24"/>
          <w:szCs w:val="24"/>
        </w:rPr>
      </w:pPr>
      <w:hyperlink w:anchor="_Toc239856621" w:history="1">
        <w:r w:rsidRPr="006B4AF0">
          <w:rPr>
            <w:rStyle w:val="Hyperlink"/>
            <w:rFonts w:asciiTheme="minorHAnsi" w:hAnsiTheme="minorHAnsi"/>
            <w:bCs/>
            <w:sz w:val="24"/>
            <w:szCs w:val="24"/>
            <w:lang w:val="en-US"/>
          </w:rPr>
          <w:t>Table 8 List of questions for verifying control measures and identifying the need for mitigation measures.</w:t>
        </w:r>
        <w:r w:rsidRPr="006B4AF0">
          <w:rPr>
            <w:rFonts w:asciiTheme="minorHAnsi" w:hAnsiTheme="minorHAnsi"/>
            <w:webHidden/>
            <w:sz w:val="24"/>
            <w:szCs w:val="24"/>
          </w:rPr>
          <w:tab/>
        </w:r>
        <w:r w:rsidRPr="006B4AF0">
          <w:rPr>
            <w:rFonts w:asciiTheme="minorHAnsi" w:hAnsiTheme="minorHAnsi"/>
            <w:webHidden/>
            <w:sz w:val="24"/>
            <w:szCs w:val="24"/>
          </w:rPr>
          <w:fldChar w:fldCharType="begin"/>
        </w:r>
        <w:r w:rsidRPr="006B4AF0">
          <w:rPr>
            <w:rFonts w:asciiTheme="minorHAnsi" w:hAnsiTheme="minorHAnsi"/>
            <w:webHidden/>
            <w:sz w:val="24"/>
            <w:szCs w:val="24"/>
          </w:rPr>
          <w:instrText xml:space="preserve"> PAGEREF _Toc239856621 \h </w:instrText>
        </w:r>
        <w:r w:rsidRPr="006B4AF0">
          <w:rPr>
            <w:rFonts w:asciiTheme="minorHAnsi" w:hAnsiTheme="minorHAnsi"/>
            <w:webHidden/>
            <w:sz w:val="24"/>
            <w:szCs w:val="24"/>
          </w:rPr>
        </w:r>
        <w:r w:rsidRPr="006B4AF0">
          <w:rPr>
            <w:rFonts w:asciiTheme="minorHAnsi" w:hAnsiTheme="minorHAnsi"/>
            <w:webHidden/>
            <w:sz w:val="24"/>
            <w:szCs w:val="24"/>
          </w:rPr>
          <w:fldChar w:fldCharType="separate"/>
        </w:r>
        <w:r w:rsidRPr="006B4AF0">
          <w:rPr>
            <w:rFonts w:asciiTheme="minorHAnsi" w:hAnsiTheme="minorHAnsi"/>
            <w:webHidden/>
            <w:sz w:val="24"/>
            <w:szCs w:val="24"/>
          </w:rPr>
          <w:t>62</w:t>
        </w:r>
        <w:r w:rsidRPr="006B4AF0">
          <w:rPr>
            <w:rFonts w:asciiTheme="minorHAnsi" w:hAnsiTheme="minorHAnsi"/>
            <w:webHidden/>
            <w:sz w:val="24"/>
            <w:szCs w:val="24"/>
          </w:rPr>
          <w:fldChar w:fldCharType="end"/>
        </w:r>
      </w:hyperlink>
    </w:p>
    <w:p w14:paraId="43FD99DA" w14:textId="42AC7701" w:rsidR="006B4AF0" w:rsidRPr="006B4AF0" w:rsidRDefault="006B4AF0" w:rsidP="006B4AF0">
      <w:pPr>
        <w:rPr>
          <w:lang w:val="en-US"/>
        </w:rPr>
      </w:pPr>
      <w:r>
        <w:rPr>
          <w:lang w:val="en-US"/>
        </w:rPr>
        <w:fldChar w:fldCharType="end"/>
      </w:r>
    </w:p>
    <w:sectPr w:rsidR="006B4AF0" w:rsidRPr="006B4AF0">
      <w:headerReference w:type="first" r:id="rId56"/>
      <w:footerReference w:type="first" r:id="rId5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0A011" w14:textId="77777777" w:rsidR="00697602" w:rsidRPr="00626277" w:rsidRDefault="00697602" w:rsidP="002F0704">
      <w:pPr>
        <w:spacing w:after="0" w:line="240" w:lineRule="auto"/>
      </w:pPr>
      <w:r w:rsidRPr="00626277">
        <w:separator/>
      </w:r>
    </w:p>
  </w:endnote>
  <w:endnote w:type="continuationSeparator" w:id="0">
    <w:p w14:paraId="7D5A350E" w14:textId="77777777" w:rsidR="00697602" w:rsidRPr="00626277" w:rsidRDefault="00697602" w:rsidP="002F0704">
      <w:pPr>
        <w:spacing w:after="0" w:line="240" w:lineRule="auto"/>
      </w:pPr>
      <w:r w:rsidRPr="006262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9DD04" w14:textId="386C488F" w:rsidR="00462AC5" w:rsidRDefault="00462AC5">
    <w:pPr>
      <w:pStyle w:val="Footer"/>
    </w:pPr>
    <w:r>
      <mc:AlternateContent>
        <mc:Choice Requires="wps">
          <w:drawing>
            <wp:anchor distT="0" distB="0" distL="0" distR="0" simplePos="0" relativeHeight="251658240" behindDoc="0" locked="0" layoutInCell="1" allowOverlap="1" wp14:anchorId="2D2875DC" wp14:editId="0B8AF670">
              <wp:simplePos x="635" y="635"/>
              <wp:positionH relativeFrom="page">
                <wp:align>right</wp:align>
              </wp:positionH>
              <wp:positionV relativeFrom="page">
                <wp:align>bottom</wp:align>
              </wp:positionV>
              <wp:extent cx="1158875" cy="352425"/>
              <wp:effectExtent l="0" t="0" r="0" b="0"/>
              <wp:wrapNone/>
              <wp:docPr id="707827026"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75F09AF7" w14:textId="2A75FD81" w:rsidR="00462AC5" w:rsidRPr="00462AC5" w:rsidRDefault="00462AC5" w:rsidP="00462AC5">
                          <w:pPr>
                            <w:spacing w:after="0"/>
                            <w:rPr>
                              <w:rFonts w:ascii="Aptos" w:eastAsia="Aptos" w:hAnsi="Aptos" w:cs="Aptos"/>
                              <w:color w:val="000000"/>
                              <w:sz w:val="20"/>
                              <w:szCs w:val="20"/>
                            </w:rPr>
                          </w:pPr>
                          <w:r w:rsidRPr="00462AC5">
                            <w:rPr>
                              <w:rFonts w:ascii="Aptos" w:eastAsia="Aptos" w:hAnsi="Aptos" w:cs="Aptos"/>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D2875DC" id="_x0000_t202" coordsize="21600,21600" o:spt="202" path="m,l,21600r21600,l21600,xe">
              <v:stroke joinstyle="miter"/>
              <v:path gradientshapeok="t" o:connecttype="rect"/>
            </v:shapetype>
            <v:shape id="Text Box 2" o:spid="_x0000_s1049" type="#_x0000_t202" alt="Official Use Only" style="position:absolute;margin-left:40.05pt;margin-top:0;width:91.25pt;height:27.7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" filled="f" stroked="f">
              <v:textbox style="mso-fit-shape-to-text:t" inset="0,0,20pt,15pt">
                <w:txbxContent>
                  <w:p w14:paraId="75F09AF7" w14:textId="2A75FD81" w:rsidR="00462AC5" w:rsidRPr="00462AC5" w:rsidRDefault="00462AC5" w:rsidP="00462AC5">
                    <w:pPr>
                      <w:spacing w:after="0"/>
                      <w:rPr>
                        <w:rFonts w:ascii="Aptos" w:eastAsia="Aptos" w:hAnsi="Aptos" w:cs="Aptos"/>
                        <w:color w:val="000000"/>
                        <w:sz w:val="20"/>
                        <w:szCs w:val="20"/>
                      </w:rPr>
                    </w:pPr>
                    <w:r w:rsidRPr="00462AC5">
                      <w:rPr>
                        <w:rFonts w:ascii="Aptos" w:eastAsia="Aptos" w:hAnsi="Aptos" w:cs="Aptos"/>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0155E" w14:textId="100527C1" w:rsidR="00D512F1" w:rsidRDefault="00D512F1">
    <w:pPr>
      <w:pStyle w:val="Footer"/>
      <w:jc w:val="right"/>
    </w:pPr>
  </w:p>
  <w:sdt>
    <w:sdtPr>
      <w:id w:val="1421224231"/>
      <w:docPartObj>
        <w:docPartGallery w:val="Page Numbers (Bottom of Page)"/>
        <w:docPartUnique/>
      </w:docPartObj>
    </w:sdtPr>
    <w:sdtContent>
      <w:p w14:paraId="0EB546F9" w14:textId="07B665C0" w:rsidR="00D512F1" w:rsidRDefault="00D512F1">
        <w:pPr>
          <w:pStyle w:val="Footer"/>
          <w:jc w:val="right"/>
        </w:pPr>
        <w:r>
          <w:fldChar w:fldCharType="begin"/>
        </w:r>
        <w:r>
          <w:instrText>PAGE   \* MERGEFORMAT</w:instrText>
        </w:r>
        <w:r>
          <w:fldChar w:fldCharType="separate"/>
        </w:r>
        <w:r>
          <w:t>2</w:t>
        </w:r>
        <w:r>
          <w:fldChar w:fldCharType="end"/>
        </w:r>
      </w:p>
    </w:sdtContent>
  </w:sdt>
  <w:p w14:paraId="041E2D0B" w14:textId="77777777" w:rsidR="00D512F1" w:rsidRDefault="00D512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69462897" w14:paraId="59EC61CF" w14:textId="77777777" w:rsidTr="69462897">
      <w:trPr>
        <w:trHeight w:val="300"/>
      </w:trPr>
      <w:tc>
        <w:tcPr>
          <w:tcW w:w="3020" w:type="dxa"/>
        </w:tcPr>
        <w:p w14:paraId="4BC30161" w14:textId="4237E722" w:rsidR="69462897" w:rsidRDefault="69462897" w:rsidP="69462897">
          <w:pPr>
            <w:pStyle w:val="Header"/>
            <w:ind w:left="-115"/>
          </w:pPr>
        </w:p>
      </w:tc>
      <w:tc>
        <w:tcPr>
          <w:tcW w:w="3020" w:type="dxa"/>
        </w:tcPr>
        <w:p w14:paraId="46CD85A4" w14:textId="3BBB26FE" w:rsidR="69462897" w:rsidRDefault="69462897" w:rsidP="69462897">
          <w:pPr>
            <w:pStyle w:val="Header"/>
            <w:jc w:val="center"/>
          </w:pPr>
        </w:p>
      </w:tc>
      <w:tc>
        <w:tcPr>
          <w:tcW w:w="3020" w:type="dxa"/>
        </w:tcPr>
        <w:p w14:paraId="6A961861" w14:textId="142E94F6" w:rsidR="69462897" w:rsidRDefault="69462897" w:rsidP="69462897">
          <w:pPr>
            <w:pStyle w:val="Header"/>
            <w:ind w:right="-115"/>
            <w:jc w:val="right"/>
          </w:pPr>
        </w:p>
      </w:tc>
    </w:tr>
  </w:tbl>
  <w:p w14:paraId="08156984" w14:textId="7EF53B6A" w:rsidR="69462897" w:rsidRDefault="69462897" w:rsidP="6946289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65"/>
      <w:gridCol w:w="4665"/>
      <w:gridCol w:w="4665"/>
    </w:tblGrid>
    <w:tr w:rsidR="69462897" w14:paraId="41DF04A6" w14:textId="77777777" w:rsidTr="69462897">
      <w:trPr>
        <w:trHeight w:val="300"/>
      </w:trPr>
      <w:tc>
        <w:tcPr>
          <w:tcW w:w="4665" w:type="dxa"/>
        </w:tcPr>
        <w:p w14:paraId="2B952CDB" w14:textId="2D112DDD" w:rsidR="69462897" w:rsidRDefault="00462AC5" w:rsidP="69462897">
          <w:pPr>
            <w:pStyle w:val="Header"/>
            <w:ind w:left="-115"/>
          </w:pPr>
          <w:r>
            <mc:AlternateContent>
              <mc:Choice Requires="wps">
                <w:drawing>
                  <wp:anchor distT="0" distB="0" distL="0" distR="0" simplePos="0" relativeHeight="251658241" behindDoc="0" locked="0" layoutInCell="1" allowOverlap="1" wp14:anchorId="0719394D" wp14:editId="4A5EDD46">
                    <wp:simplePos x="635" y="635"/>
                    <wp:positionH relativeFrom="page">
                      <wp:align>right</wp:align>
                    </wp:positionH>
                    <wp:positionV relativeFrom="page">
                      <wp:align>bottom</wp:align>
                    </wp:positionV>
                    <wp:extent cx="1158875" cy="352425"/>
                    <wp:effectExtent l="0" t="0" r="0" b="0"/>
                    <wp:wrapNone/>
                    <wp:docPr id="2068976500" name="Text Box 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05A130D3" w14:textId="13DAC25B" w:rsidR="00462AC5" w:rsidRPr="00462AC5" w:rsidRDefault="00462AC5" w:rsidP="00462AC5">
                                <w:pPr>
                                  <w:spacing w:after="0"/>
                                  <w:rPr>
                                    <w:rFonts w:ascii="Aptos" w:eastAsia="Aptos" w:hAnsi="Aptos" w:cs="Aptos"/>
                                    <w:color w:val="000000"/>
                                    <w:sz w:val="20"/>
                                    <w:szCs w:val="20"/>
                                  </w:rPr>
                                </w:pPr>
                                <w:r w:rsidRPr="00462AC5">
                                  <w:rPr>
                                    <w:rFonts w:ascii="Aptos" w:eastAsia="Aptos" w:hAnsi="Aptos" w:cs="Aptos"/>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719394D" id="_x0000_t202" coordsize="21600,21600" o:spt="202" path="m,l,21600r21600,l21600,xe">
                    <v:stroke joinstyle="miter"/>
                    <v:path gradientshapeok="t" o:connecttype="rect"/>
                  </v:shapetype>
                  <v:shape id="Text Box 4" o:spid="_x0000_s1050" type="#_x0000_t202" alt="Official Use Only" style="position:absolute;left:0;text-align:left;margin-left:40.05pt;margin-top:0;width:91.25pt;height:27.7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" filled="f" stroked="f">
                    <v:textbox style="mso-fit-shape-to-text:t" inset="0,0,20pt,15pt">
                      <w:txbxContent>
                        <w:p w14:paraId="05A130D3" w14:textId="13DAC25B" w:rsidR="00462AC5" w:rsidRPr="00462AC5" w:rsidRDefault="00462AC5" w:rsidP="00462AC5">
                          <w:pPr>
                            <w:spacing w:after="0"/>
                            <w:rPr>
                              <w:rFonts w:ascii="Aptos" w:eastAsia="Aptos" w:hAnsi="Aptos" w:cs="Aptos"/>
                              <w:color w:val="000000"/>
                              <w:sz w:val="20"/>
                              <w:szCs w:val="20"/>
                            </w:rPr>
                          </w:pPr>
                          <w:r w:rsidRPr="00462AC5">
                            <w:rPr>
                              <w:rFonts w:ascii="Aptos" w:eastAsia="Aptos" w:hAnsi="Aptos" w:cs="Aptos"/>
                              <w:color w:val="000000"/>
                              <w:sz w:val="20"/>
                              <w:szCs w:val="20"/>
                            </w:rPr>
                            <w:t>Official Use Only</w:t>
                          </w:r>
                        </w:p>
                      </w:txbxContent>
                    </v:textbox>
                    <w10:wrap anchorx="page" anchory="page"/>
                  </v:shape>
                </w:pict>
              </mc:Fallback>
            </mc:AlternateContent>
          </w:r>
        </w:p>
      </w:tc>
      <w:tc>
        <w:tcPr>
          <w:tcW w:w="4665" w:type="dxa"/>
        </w:tcPr>
        <w:p w14:paraId="340301A5" w14:textId="25F8F495" w:rsidR="69462897" w:rsidRDefault="69462897" w:rsidP="69462897">
          <w:pPr>
            <w:pStyle w:val="Header"/>
            <w:jc w:val="center"/>
          </w:pPr>
        </w:p>
      </w:tc>
      <w:tc>
        <w:tcPr>
          <w:tcW w:w="4665" w:type="dxa"/>
        </w:tcPr>
        <w:p w14:paraId="33356D62" w14:textId="62D08266" w:rsidR="69462897" w:rsidRDefault="69462897" w:rsidP="69462897">
          <w:pPr>
            <w:pStyle w:val="Header"/>
            <w:ind w:right="-115"/>
            <w:jc w:val="right"/>
          </w:pPr>
        </w:p>
      </w:tc>
    </w:tr>
  </w:tbl>
  <w:p w14:paraId="66D933A9" w14:textId="546F5046" w:rsidR="69462897" w:rsidRDefault="69462897" w:rsidP="6946289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69462897" w14:paraId="686C17AB" w14:textId="77777777" w:rsidTr="69462897">
      <w:trPr>
        <w:trHeight w:val="300"/>
      </w:trPr>
      <w:tc>
        <w:tcPr>
          <w:tcW w:w="3020" w:type="dxa"/>
        </w:tcPr>
        <w:p w14:paraId="5BC59CD3" w14:textId="3834BEDB" w:rsidR="69462897" w:rsidRDefault="00462AC5" w:rsidP="69462897">
          <w:pPr>
            <w:pStyle w:val="Header"/>
            <w:ind w:left="-115"/>
          </w:pPr>
          <w:r>
            <mc:AlternateContent>
              <mc:Choice Requires="wps">
                <w:drawing>
                  <wp:anchor distT="0" distB="0" distL="0" distR="0" simplePos="0" relativeHeight="251658242" behindDoc="0" locked="0" layoutInCell="1" allowOverlap="1" wp14:anchorId="5A8A98BF" wp14:editId="77F3FC15">
                    <wp:simplePos x="635" y="635"/>
                    <wp:positionH relativeFrom="page">
                      <wp:align>right</wp:align>
                    </wp:positionH>
                    <wp:positionV relativeFrom="page">
                      <wp:align>bottom</wp:align>
                    </wp:positionV>
                    <wp:extent cx="1158875" cy="352425"/>
                    <wp:effectExtent l="0" t="0" r="0" b="0"/>
                    <wp:wrapNone/>
                    <wp:docPr id="440329697" name="Text Box 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52425"/>
                            </a:xfrm>
                            <a:prstGeom prst="rect">
                              <a:avLst/>
                            </a:prstGeom>
                            <a:noFill/>
                            <a:ln>
                              <a:noFill/>
                            </a:ln>
                          </wps:spPr>
                          <wps:txbx>
                            <w:txbxContent>
                              <w:p w14:paraId="37794FE2" w14:textId="43FA64A6" w:rsidR="00462AC5" w:rsidRPr="00462AC5" w:rsidRDefault="00462AC5" w:rsidP="00462AC5">
                                <w:pPr>
                                  <w:spacing w:after="0"/>
                                  <w:rPr>
                                    <w:rFonts w:ascii="Aptos" w:eastAsia="Aptos" w:hAnsi="Aptos" w:cs="Aptos"/>
                                    <w:color w:val="000000"/>
                                    <w:sz w:val="20"/>
                                    <w:szCs w:val="20"/>
                                  </w:rPr>
                                </w:pPr>
                                <w:r w:rsidRPr="00462AC5">
                                  <w:rPr>
                                    <w:rFonts w:ascii="Aptos" w:eastAsia="Aptos" w:hAnsi="Aptos" w:cs="Aptos"/>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A8A98BF" id="_x0000_t202" coordsize="21600,21600" o:spt="202" path="m,l,21600r21600,l21600,xe">
                    <v:stroke joinstyle="miter"/>
                    <v:path gradientshapeok="t" o:connecttype="rect"/>
                  </v:shapetype>
                  <v:shape id="Text Box 5" o:spid="_x0000_s1051" type="#_x0000_t202" alt="Official Use Only" style="position:absolute;left:0;text-align:left;margin-left:40.05pt;margin-top:0;width:91.25pt;height:27.75pt;z-index:25165824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" filled="f" stroked="f">
                    <v:textbox style="mso-fit-shape-to-text:t" inset="0,0,20pt,15pt">
                      <w:txbxContent>
                        <w:p w14:paraId="37794FE2" w14:textId="43FA64A6" w:rsidR="00462AC5" w:rsidRPr="00462AC5" w:rsidRDefault="00462AC5" w:rsidP="00462AC5">
                          <w:pPr>
                            <w:spacing w:after="0"/>
                            <w:rPr>
                              <w:rFonts w:ascii="Aptos" w:eastAsia="Aptos" w:hAnsi="Aptos" w:cs="Aptos"/>
                              <w:color w:val="000000"/>
                              <w:sz w:val="20"/>
                              <w:szCs w:val="20"/>
                            </w:rPr>
                          </w:pPr>
                          <w:r w:rsidRPr="00462AC5">
                            <w:rPr>
                              <w:rFonts w:ascii="Aptos" w:eastAsia="Aptos" w:hAnsi="Aptos" w:cs="Aptos"/>
                              <w:color w:val="000000"/>
                              <w:sz w:val="20"/>
                              <w:szCs w:val="20"/>
                            </w:rPr>
                            <w:t>Official Use Only</w:t>
                          </w:r>
                        </w:p>
                      </w:txbxContent>
                    </v:textbox>
                    <w10:wrap anchorx="page" anchory="page"/>
                  </v:shape>
                </w:pict>
              </mc:Fallback>
            </mc:AlternateContent>
          </w:r>
        </w:p>
      </w:tc>
      <w:tc>
        <w:tcPr>
          <w:tcW w:w="3020" w:type="dxa"/>
        </w:tcPr>
        <w:p w14:paraId="65CF7263" w14:textId="3FF54E90" w:rsidR="69462897" w:rsidRDefault="69462897" w:rsidP="69462897">
          <w:pPr>
            <w:pStyle w:val="Header"/>
            <w:jc w:val="center"/>
          </w:pPr>
        </w:p>
      </w:tc>
      <w:tc>
        <w:tcPr>
          <w:tcW w:w="3020" w:type="dxa"/>
        </w:tcPr>
        <w:p w14:paraId="3083FAF0" w14:textId="2B70AD82" w:rsidR="69462897" w:rsidRDefault="69462897" w:rsidP="69462897">
          <w:pPr>
            <w:pStyle w:val="Header"/>
            <w:ind w:right="-115"/>
            <w:jc w:val="right"/>
          </w:pPr>
        </w:p>
      </w:tc>
    </w:tr>
  </w:tbl>
  <w:p w14:paraId="786C64B9" w14:textId="3F34894C" w:rsidR="69462897" w:rsidRDefault="69462897" w:rsidP="69462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49D94" w14:textId="77777777" w:rsidR="00697602" w:rsidRPr="00626277" w:rsidRDefault="00697602" w:rsidP="002F0704">
      <w:pPr>
        <w:spacing w:after="0" w:line="240" w:lineRule="auto"/>
      </w:pPr>
      <w:r w:rsidRPr="00626277">
        <w:separator/>
      </w:r>
    </w:p>
  </w:footnote>
  <w:footnote w:type="continuationSeparator" w:id="0">
    <w:p w14:paraId="2D2788FD" w14:textId="77777777" w:rsidR="00697602" w:rsidRPr="00626277" w:rsidRDefault="00697602" w:rsidP="002F0704">
      <w:pPr>
        <w:spacing w:after="0" w:line="240" w:lineRule="auto"/>
      </w:pPr>
      <w:r w:rsidRPr="00626277">
        <w:continuationSeparator/>
      </w:r>
    </w:p>
  </w:footnote>
  <w:footnote w:id="1">
    <w:p w14:paraId="20501E39" w14:textId="77777777" w:rsidR="006B496F" w:rsidRPr="00D049D4" w:rsidRDefault="006B496F" w:rsidP="006B496F">
      <w:pPr>
        <w:pStyle w:val="FootnoteText"/>
        <w:rPr>
          <w:lang w:val="en-US"/>
        </w:rPr>
      </w:pPr>
      <w:r w:rsidRPr="00626277">
        <w:rPr>
          <w:rStyle w:val="FootnoteReference"/>
        </w:rPr>
        <w:footnoteRef/>
      </w:r>
      <w:r w:rsidRPr="00D049D4">
        <w:rPr>
          <w:lang w:val="en-US"/>
        </w:rPr>
        <w:t xml:space="preserve"> “Guidelines for Combating Knotweed in Poland,” GDOŚ, 2015</w:t>
      </w:r>
    </w:p>
  </w:footnote>
  <w:footnote w:id="2">
    <w:p w14:paraId="3CA42FDF" w14:textId="77777777" w:rsidR="006B496F" w:rsidRPr="00D049D4" w:rsidRDefault="006B496F" w:rsidP="006B496F">
      <w:pPr>
        <w:pStyle w:val="FootnoteText"/>
        <w:rPr>
          <w:lang w:val="en-US"/>
        </w:rPr>
      </w:pPr>
      <w:r w:rsidRPr="00626277">
        <w:rPr>
          <w:rStyle w:val="FootnoteReference"/>
        </w:rPr>
        <w:footnoteRef/>
      </w:r>
      <w:r w:rsidRPr="00D049D4">
        <w:rPr>
          <w:lang w:val="en-US"/>
        </w:rPr>
        <w:t xml:space="preserve"> https://www.ogrod.uw.edu.pl/</w:t>
      </w:r>
    </w:p>
  </w:footnote>
  <w:footnote w:id="3">
    <w:p w14:paraId="01CD5C93" w14:textId="77777777" w:rsidR="006B496F" w:rsidRPr="00D049D4" w:rsidRDefault="006B496F" w:rsidP="006B496F">
      <w:pPr>
        <w:pStyle w:val="FootnoteText"/>
        <w:rPr>
          <w:lang w:val="en-US"/>
        </w:rPr>
      </w:pPr>
      <w:r w:rsidRPr="00626277">
        <w:rPr>
          <w:rStyle w:val="FootnoteReference"/>
        </w:rPr>
        <w:footnoteRef/>
      </w:r>
      <w:r w:rsidRPr="00D049D4">
        <w:rPr>
          <w:lang w:val="en-US"/>
        </w:rPr>
        <w:t xml:space="preserve"> “Guidelines for Controlling Japanese Knotweed in Poland,” GDOŚ, 2015</w:t>
      </w:r>
    </w:p>
  </w:footnote>
  <w:footnote w:id="4">
    <w:p w14:paraId="3E652FB8" w14:textId="77777777" w:rsidR="006B496F" w:rsidRPr="00D049D4" w:rsidRDefault="006B496F" w:rsidP="006B496F">
      <w:pPr>
        <w:pStyle w:val="FootnoteText"/>
        <w:rPr>
          <w:lang w:val="en-US"/>
        </w:rPr>
      </w:pPr>
      <w:r w:rsidRPr="00626277">
        <w:rPr>
          <w:rStyle w:val="FootnoteReference"/>
        </w:rPr>
        <w:footnoteRef/>
      </w:r>
      <w:r w:rsidRPr="00D049D4">
        <w:rPr>
          <w:lang w:val="en-US"/>
        </w:rPr>
        <w:t xml:space="preserve"> INNSA Code of Practice: Managing Japanese Knotweed, 2017</w:t>
      </w:r>
    </w:p>
  </w:footnote>
  <w:footnote w:id="5">
    <w:p w14:paraId="6516DFE9" w14:textId="77777777" w:rsidR="006B496F" w:rsidRPr="00D049D4" w:rsidRDefault="006B496F" w:rsidP="006B496F">
      <w:pPr>
        <w:pStyle w:val="FootnoteText"/>
        <w:rPr>
          <w:lang w:val="en-US"/>
        </w:rPr>
      </w:pPr>
      <w:r w:rsidRPr="00626277">
        <w:rPr>
          <w:rStyle w:val="FootnoteReference"/>
        </w:rPr>
        <w:footnoteRef/>
      </w:r>
      <w:r w:rsidRPr="00D049D4">
        <w:rPr>
          <w:lang w:val="en-US"/>
        </w:rPr>
        <w:t xml:space="preserve"> Code of Good Practice: Horticulture and Invasive Alien Plants (GDOŚ Guidelines 2016)</w:t>
      </w:r>
    </w:p>
  </w:footnote>
  <w:footnote w:id="6">
    <w:p w14:paraId="3998CED4" w14:textId="77777777" w:rsidR="006B496F" w:rsidRPr="00D049D4" w:rsidRDefault="006B496F" w:rsidP="006B496F">
      <w:pPr>
        <w:pStyle w:val="FootnoteText"/>
        <w:rPr>
          <w:lang w:val="en-US"/>
        </w:rPr>
      </w:pPr>
      <w:r w:rsidRPr="00626277">
        <w:rPr>
          <w:rStyle w:val="FootnoteReference"/>
        </w:rPr>
        <w:footnoteRef/>
      </w:r>
      <w:r w:rsidRPr="00D049D4">
        <w:rPr>
          <w:lang w:val="en-US"/>
        </w:rPr>
        <w:t xml:space="preserve"> GDOŚ Guidelines 2016 / https://www.ogrod.uw.edu.pl/</w:t>
      </w:r>
    </w:p>
  </w:footnote>
  <w:footnote w:id="7">
    <w:p w14:paraId="3643650C" w14:textId="77777777" w:rsidR="006B496F" w:rsidRPr="00D049D4" w:rsidRDefault="006B496F" w:rsidP="006B496F">
      <w:pPr>
        <w:pStyle w:val="FootnoteText"/>
        <w:rPr>
          <w:lang w:val="en-US"/>
        </w:rPr>
      </w:pPr>
      <w:r w:rsidRPr="00626277">
        <w:rPr>
          <w:rStyle w:val="FootnoteReference"/>
        </w:rPr>
        <w:footnoteRef/>
      </w:r>
      <w:r w:rsidRPr="00D049D4">
        <w:rPr>
          <w:lang w:val="en-US"/>
        </w:rPr>
        <w:t xml:space="preserve"> CABI Compendium (https://www.cabidigitallibrary.org/doi/full/10.1079/cabicompendium.47835)</w:t>
      </w:r>
    </w:p>
  </w:footnote>
  <w:footnote w:id="8">
    <w:p w14:paraId="1F814DCE" w14:textId="77777777" w:rsidR="00651F3F" w:rsidRPr="00D049D4" w:rsidRDefault="00651F3F" w:rsidP="00651F3F">
      <w:pPr>
        <w:pStyle w:val="FootnoteText"/>
        <w:rPr>
          <w:lang w:val="en-US"/>
        </w:rPr>
      </w:pPr>
      <w:r w:rsidRPr="00626277">
        <w:rPr>
          <w:rStyle w:val="FootnoteReference"/>
        </w:rPr>
        <w:footnoteRef/>
      </w:r>
      <w:r w:rsidRPr="00D049D4">
        <w:rPr>
          <w:lang w:val="en-US"/>
        </w:rPr>
        <w:t xml:space="preserve"> https://www.ogrod.uw.edu.pl/</w:t>
      </w:r>
    </w:p>
  </w:footnote>
  <w:footnote w:id="9">
    <w:p w14:paraId="3E929FD8" w14:textId="77777777" w:rsidR="00651F3F" w:rsidRPr="00D049D4" w:rsidRDefault="00651F3F" w:rsidP="00651F3F">
      <w:pPr>
        <w:pStyle w:val="FootnoteText"/>
        <w:rPr>
          <w:lang w:val="en-US"/>
        </w:rPr>
      </w:pPr>
      <w:r w:rsidRPr="00626277">
        <w:rPr>
          <w:rStyle w:val="FootnoteReference"/>
        </w:rPr>
        <w:footnoteRef/>
      </w:r>
      <w:r w:rsidRPr="00D049D4">
        <w:rPr>
          <w:lang w:val="en-US"/>
        </w:rPr>
        <w:t xml:space="preserve"> Compendium. Methods for Controlling Orange Touch-Me-Not and Purple Jewelweed, GDOŚ, Warsaw 2022 (https://www.gov.pl/web/gdos/kompendia-zwalczania-wybranych-igo)</w:t>
      </w:r>
    </w:p>
  </w:footnote>
  <w:footnote w:id="10">
    <w:p w14:paraId="1A0AEA4D" w14:textId="77777777" w:rsidR="00651F3F" w:rsidRPr="00D049D4" w:rsidRDefault="00651F3F" w:rsidP="00651F3F">
      <w:pPr>
        <w:pStyle w:val="FootnoteText"/>
        <w:rPr>
          <w:lang w:val="en-US"/>
        </w:rPr>
      </w:pPr>
      <w:r w:rsidRPr="00626277">
        <w:rPr>
          <w:rStyle w:val="FootnoteReference"/>
        </w:rPr>
        <w:footnoteRef/>
      </w:r>
      <w:r w:rsidRPr="00D049D4">
        <w:rPr>
          <w:lang w:val="en-US"/>
        </w:rPr>
        <w:t xml:space="preserve"> https://www.ogrod.uw.edu.pl/</w:t>
      </w:r>
    </w:p>
  </w:footnote>
  <w:footnote w:id="11">
    <w:p w14:paraId="2FCB54BB" w14:textId="77777777" w:rsidR="00651F3F" w:rsidRPr="00D049D4" w:rsidRDefault="00651F3F" w:rsidP="00651F3F">
      <w:pPr>
        <w:pStyle w:val="FootnoteText"/>
        <w:rPr>
          <w:lang w:val="en-US"/>
        </w:rPr>
      </w:pPr>
      <w:r w:rsidRPr="00626277">
        <w:rPr>
          <w:rStyle w:val="FootnoteReference"/>
        </w:rPr>
        <w:footnoteRef/>
      </w:r>
      <w:r w:rsidRPr="00D049D4">
        <w:rPr>
          <w:lang w:val="en-US"/>
        </w:rPr>
        <w:t xml:space="preserve"> CABI Compendium (https://www.cabidigitallibrary.org/doi/full/10.1079/cabicompendium.28766)</w:t>
      </w:r>
    </w:p>
  </w:footnote>
  <w:footnote w:id="12">
    <w:p w14:paraId="4D77EF00" w14:textId="595CEBBD" w:rsidR="00651F3F" w:rsidRPr="00D049D4" w:rsidRDefault="00651F3F" w:rsidP="00651F3F">
      <w:pPr>
        <w:pStyle w:val="FootnoteText"/>
        <w:rPr>
          <w:lang w:val="en-US"/>
        </w:rPr>
      </w:pPr>
      <w:r w:rsidRPr="00626277">
        <w:rPr>
          <w:rStyle w:val="FootnoteReference"/>
        </w:rPr>
        <w:footnoteRef/>
      </w:r>
      <w:r w:rsidRPr="00D049D4">
        <w:rPr>
          <w:lang w:val="en-US"/>
        </w:rPr>
        <w:t>https://projekty.gdos.gov.pl/files/artykuly/127094/Solidago-candensis_nawloc-kanadyjska_KG_WWW_icon.pdf /https://projekty.gdos.gov.pl/files/artykuly/127095/Solidago-gigantea_nawloc-pozna_KG_WWW_icon.pdf</w:t>
      </w:r>
    </w:p>
  </w:footnote>
  <w:footnote w:id="13">
    <w:p w14:paraId="0D18C173" w14:textId="77777777" w:rsidR="00651F3F" w:rsidRPr="00D049D4" w:rsidRDefault="00651F3F" w:rsidP="00651F3F">
      <w:pPr>
        <w:pStyle w:val="FootnoteText"/>
        <w:rPr>
          <w:lang w:val="en-US"/>
        </w:rPr>
      </w:pPr>
      <w:r w:rsidRPr="00626277">
        <w:rPr>
          <w:rStyle w:val="FootnoteReference"/>
        </w:rPr>
        <w:footnoteRef/>
      </w:r>
      <w:r w:rsidRPr="00D049D4">
        <w:rPr>
          <w:lang w:val="en-US"/>
        </w:rPr>
        <w:t xml:space="preserve"> Educational materials from the Poznań University of Life Sciences (https://puls.edu.pl/materia-y-prasowe/ogloszenia/admin/naw-o-kanadyjska-adna-cho-bardzo-niebezpieczna)</w:t>
      </w:r>
    </w:p>
  </w:footnote>
  <w:footnote w:id="14">
    <w:p w14:paraId="09C20237" w14:textId="77777777" w:rsidR="00651F3F" w:rsidRPr="00D049D4" w:rsidRDefault="00651F3F" w:rsidP="00651F3F">
      <w:pPr>
        <w:pStyle w:val="FootnoteText"/>
        <w:rPr>
          <w:lang w:val="en-US"/>
        </w:rPr>
      </w:pPr>
      <w:r w:rsidRPr="00626277">
        <w:rPr>
          <w:rStyle w:val="FootnoteReference"/>
        </w:rPr>
        <w:footnoteRef/>
      </w:r>
      <w:r w:rsidRPr="00D049D4">
        <w:rPr>
          <w:lang w:val="en-US"/>
        </w:rPr>
        <w:t xml:space="preserve"> (https://projekty.gdos.gov.pl/files/artykuly/127095/Solidago-gigantea_nawloc-pozna_KG_WWW_icon.pdf)</w:t>
      </w:r>
    </w:p>
  </w:footnote>
  <w:footnote w:id="15">
    <w:p w14:paraId="72DBBC9D" w14:textId="77777777" w:rsidR="00651F3F" w:rsidRPr="00D049D4" w:rsidRDefault="00651F3F" w:rsidP="00651F3F">
      <w:pPr>
        <w:pStyle w:val="FootnoteText"/>
        <w:rPr>
          <w:lang w:val="en-US"/>
        </w:rPr>
      </w:pPr>
      <w:r w:rsidRPr="00626277">
        <w:rPr>
          <w:rStyle w:val="FootnoteReference"/>
        </w:rPr>
        <w:footnoteRef/>
      </w:r>
      <w:r w:rsidRPr="00D049D4">
        <w:rPr>
          <w:lang w:val="en-US"/>
        </w:rPr>
        <w:t xml:space="preserve"> CABI Compendium (https://www.cabidigitallibrary.org/doi/full/10.1079/cabicompendium.50599)</w:t>
      </w:r>
    </w:p>
  </w:footnote>
  <w:footnote w:id="16">
    <w:p w14:paraId="49F95F7A" w14:textId="77777777" w:rsidR="00651F3F" w:rsidRPr="00D049D4" w:rsidRDefault="00651F3F" w:rsidP="00651F3F">
      <w:pPr>
        <w:pStyle w:val="FootnoteText"/>
        <w:rPr>
          <w:lang w:val="en-US"/>
        </w:rPr>
      </w:pPr>
      <w:r w:rsidRPr="00626277">
        <w:rPr>
          <w:rStyle w:val="FootnoteReference"/>
        </w:rPr>
        <w:footnoteRef/>
      </w:r>
      <w:r w:rsidRPr="00D049D4">
        <w:rPr>
          <w:lang w:val="en-US"/>
        </w:rPr>
        <w:t xml:space="preserve"> GDOŚ Guidelines 2016</w:t>
      </w:r>
    </w:p>
  </w:footnote>
  <w:footnote w:id="17">
    <w:p w14:paraId="7ED0AA8D" w14:textId="77777777" w:rsidR="00651F3F" w:rsidRPr="00D049D4" w:rsidRDefault="00651F3F" w:rsidP="00651F3F">
      <w:pPr>
        <w:pStyle w:val="FootnoteText"/>
        <w:rPr>
          <w:lang w:val="en-US"/>
        </w:rPr>
      </w:pPr>
      <w:r w:rsidRPr="00626277">
        <w:rPr>
          <w:rStyle w:val="FootnoteReference"/>
        </w:rPr>
        <w:footnoteRef/>
      </w:r>
      <w:r w:rsidRPr="00D049D4">
        <w:rPr>
          <w:lang w:val="en-US"/>
        </w:rPr>
        <w:t xml:space="preserve"> Ibid</w:t>
      </w:r>
    </w:p>
  </w:footnote>
  <w:footnote w:id="18">
    <w:p w14:paraId="262BDE42" w14:textId="77777777" w:rsidR="00651F3F" w:rsidRPr="00D049D4" w:rsidRDefault="00651F3F" w:rsidP="00651F3F">
      <w:pPr>
        <w:pStyle w:val="FootnoteText"/>
        <w:rPr>
          <w:lang w:val="en-US"/>
        </w:rPr>
      </w:pPr>
      <w:r w:rsidRPr="00626277">
        <w:rPr>
          <w:rStyle w:val="FootnoteReference"/>
        </w:rPr>
        <w:footnoteRef/>
      </w:r>
      <w:r w:rsidRPr="00D049D4">
        <w:rPr>
          <w:lang w:val="en-US"/>
        </w:rPr>
        <w:t xml:space="preserve"> CABI Compendium (https://www.cabidigitallibrary.org/doi/full/10.1079/cabicompendium.31710)</w:t>
      </w:r>
    </w:p>
  </w:footnote>
  <w:footnote w:id="19">
    <w:p w14:paraId="7BFA4757" w14:textId="77777777" w:rsidR="00651F3F" w:rsidRPr="00D049D4" w:rsidRDefault="00651F3F" w:rsidP="00651F3F">
      <w:pPr>
        <w:pStyle w:val="FootnoteText"/>
        <w:rPr>
          <w:lang w:val="en-US"/>
        </w:rPr>
      </w:pPr>
      <w:r w:rsidRPr="00626277">
        <w:rPr>
          <w:rStyle w:val="FootnoteReference"/>
        </w:rPr>
        <w:footnoteRef/>
      </w:r>
      <w:r w:rsidRPr="00D049D4">
        <w:rPr>
          <w:lang w:val="en-US"/>
        </w:rPr>
        <w:t xml:space="preserve"> Ibid</w:t>
      </w:r>
    </w:p>
  </w:footnote>
  <w:footnote w:id="20">
    <w:p w14:paraId="057340EE" w14:textId="77777777" w:rsidR="00651F3F" w:rsidRPr="00D049D4" w:rsidRDefault="00651F3F" w:rsidP="00651F3F">
      <w:pPr>
        <w:pStyle w:val="FootnoteText"/>
        <w:rPr>
          <w:lang w:val="en-US"/>
        </w:rPr>
      </w:pPr>
      <w:r w:rsidRPr="00626277">
        <w:rPr>
          <w:rStyle w:val="FootnoteReference"/>
        </w:rPr>
        <w:footnoteRef/>
      </w:r>
      <w:r w:rsidRPr="00D049D4">
        <w:rPr>
          <w:lang w:val="en-US"/>
        </w:rPr>
        <w:t xml:space="preserve"> https://www.ogrod.uw.edu.pl/</w:t>
      </w:r>
    </w:p>
  </w:footnote>
  <w:footnote w:id="21">
    <w:p w14:paraId="318E9792" w14:textId="77777777" w:rsidR="00651F3F" w:rsidRPr="00D049D4" w:rsidRDefault="00651F3F" w:rsidP="00651F3F">
      <w:pPr>
        <w:pStyle w:val="FootnoteText"/>
        <w:rPr>
          <w:lang w:val="en-US"/>
        </w:rPr>
      </w:pPr>
      <w:r w:rsidRPr="00626277">
        <w:rPr>
          <w:rStyle w:val="FootnoteReference"/>
        </w:rPr>
        <w:footnoteRef/>
      </w:r>
      <w:r w:rsidRPr="00D049D4">
        <w:rPr>
          <w:lang w:val="en-US"/>
        </w:rPr>
        <w:t xml:space="preserve"> https://www.cabidigitallibrary.org/doi/full/10.1079/cabicompendium.113998</w:t>
      </w:r>
    </w:p>
  </w:footnote>
  <w:footnote w:id="22">
    <w:p w14:paraId="46597CDA" w14:textId="77777777" w:rsidR="00651F3F" w:rsidRPr="00D049D4" w:rsidRDefault="00651F3F" w:rsidP="00651F3F">
      <w:pPr>
        <w:pStyle w:val="FootnoteText"/>
        <w:rPr>
          <w:lang w:val="en-US"/>
        </w:rPr>
      </w:pPr>
      <w:r w:rsidRPr="00626277">
        <w:rPr>
          <w:rStyle w:val="FootnoteReference"/>
        </w:rPr>
        <w:footnoteRef/>
      </w:r>
      <w:r w:rsidRPr="00D049D4">
        <w:rPr>
          <w:lang w:val="en-US"/>
        </w:rPr>
        <w:t xml:space="preserve"> https://www.ogrod.uw.edu.pl/</w:t>
      </w:r>
    </w:p>
  </w:footnote>
  <w:footnote w:id="23">
    <w:p w14:paraId="7217959A" w14:textId="77777777" w:rsidR="00651F3F" w:rsidRPr="00D049D4" w:rsidRDefault="00651F3F" w:rsidP="00651F3F">
      <w:pPr>
        <w:pStyle w:val="FootnoteText"/>
        <w:rPr>
          <w:lang w:val="en-US"/>
        </w:rPr>
      </w:pPr>
      <w:r w:rsidRPr="00626277">
        <w:rPr>
          <w:rStyle w:val="FootnoteReference"/>
        </w:rPr>
        <w:footnoteRef/>
      </w:r>
      <w:r w:rsidRPr="00D049D4">
        <w:rPr>
          <w:lang w:val="en-US"/>
        </w:rPr>
        <w:t xml:space="preserve"> Compendium. Methods</w:t>
      </w:r>
      <w:bookmarkStart w:id="15" w:name="_Hlk170895704"/>
      <w:r w:rsidRPr="00D049D4">
        <w:rPr>
          <w:lang w:val="en-US"/>
        </w:rPr>
        <w:t xml:space="preserve"> for controlling the wild cucumber</w:t>
      </w:r>
      <w:bookmarkEnd w:id="15"/>
      <w:r w:rsidRPr="00D049D4">
        <w:rPr>
          <w:lang w:val="en-US"/>
        </w:rPr>
        <w:t xml:space="preserve"> , GDOŚ, Warsaw 2022 (https://www.gov.pl/web/gdos/kompendia-zwalczania-wybranych-igo)</w:t>
      </w:r>
    </w:p>
  </w:footnote>
  <w:footnote w:id="24">
    <w:p w14:paraId="1DD43F6A" w14:textId="77777777" w:rsidR="000D5C18" w:rsidRPr="00D049D4" w:rsidRDefault="000D5C18" w:rsidP="000D5C18">
      <w:pPr>
        <w:pStyle w:val="FootnoteText"/>
        <w:rPr>
          <w:lang w:val="en-US"/>
        </w:rPr>
      </w:pPr>
      <w:r w:rsidRPr="00626277">
        <w:rPr>
          <w:rStyle w:val="FootnoteReference"/>
        </w:rPr>
        <w:footnoteRef/>
      </w:r>
      <w:r w:rsidRPr="00D049D4">
        <w:rPr>
          <w:lang w:val="en-US"/>
        </w:rPr>
        <w:t xml:space="preserve"> Ibid</w:t>
      </w:r>
    </w:p>
  </w:footnote>
  <w:footnote w:id="25">
    <w:p w14:paraId="72918BF0" w14:textId="77777777" w:rsidR="000D5C18" w:rsidRPr="00D049D4" w:rsidRDefault="000D5C18" w:rsidP="000D5C18">
      <w:pPr>
        <w:pStyle w:val="FootnoteText"/>
        <w:rPr>
          <w:lang w:val="en-US"/>
        </w:rPr>
      </w:pPr>
      <w:r w:rsidRPr="00626277">
        <w:rPr>
          <w:rStyle w:val="FootnoteReference"/>
        </w:rPr>
        <w:footnoteRef/>
      </w:r>
      <w:r w:rsidRPr="00D049D4">
        <w:rPr>
          <w:lang w:val="en-US"/>
        </w:rPr>
        <w:t xml:space="preserve"> CABI Compendium (https://www.cabidigitallibrary.org/doi/full/10.1079/cabicompendium.4652)</w:t>
      </w:r>
    </w:p>
  </w:footnote>
  <w:footnote w:id="26">
    <w:p w14:paraId="54B26C80" w14:textId="77777777" w:rsidR="000D5C18" w:rsidRPr="00D049D4" w:rsidRDefault="000D5C18" w:rsidP="000D5C18">
      <w:pPr>
        <w:pStyle w:val="FootnoteText"/>
        <w:rPr>
          <w:lang w:val="en-US"/>
        </w:rPr>
      </w:pPr>
      <w:r w:rsidRPr="00626277">
        <w:rPr>
          <w:rStyle w:val="FootnoteReference"/>
        </w:rPr>
        <w:footnoteRef/>
      </w:r>
      <w:r w:rsidRPr="00D049D4">
        <w:rPr>
          <w:lang w:val="en-US"/>
        </w:rPr>
        <w:t xml:space="preserve"> Ibid</w:t>
      </w:r>
    </w:p>
  </w:footnote>
  <w:footnote w:id="27">
    <w:p w14:paraId="04BC26D1" w14:textId="77777777" w:rsidR="000D5C18" w:rsidRPr="00D049D4" w:rsidRDefault="000D5C18" w:rsidP="000D5C18">
      <w:pPr>
        <w:pStyle w:val="FootnoteText"/>
        <w:rPr>
          <w:lang w:val="en-US"/>
        </w:rPr>
      </w:pPr>
      <w:r w:rsidRPr="00626277">
        <w:rPr>
          <w:rStyle w:val="FootnoteReference"/>
        </w:rPr>
        <w:footnoteRef/>
      </w:r>
      <w:r w:rsidRPr="00D049D4">
        <w:rPr>
          <w:lang w:val="en-US"/>
        </w:rPr>
        <w:t xml:space="preserve"> GDOŚ Guidelines 2016</w:t>
      </w:r>
    </w:p>
  </w:footnote>
  <w:footnote w:id="28">
    <w:p w14:paraId="4129CF35" w14:textId="77777777" w:rsidR="000D5C18" w:rsidRPr="00D049D4" w:rsidRDefault="000D5C18" w:rsidP="000D5C18">
      <w:pPr>
        <w:pStyle w:val="FootnoteText"/>
        <w:rPr>
          <w:lang w:val="en-US"/>
        </w:rPr>
      </w:pPr>
      <w:r w:rsidRPr="00626277">
        <w:rPr>
          <w:rStyle w:val="FootnoteReference"/>
        </w:rPr>
        <w:footnoteRef/>
      </w:r>
      <w:r w:rsidRPr="00D049D4">
        <w:rPr>
          <w:lang w:val="en-US"/>
        </w:rPr>
        <w:t xml:space="preserve"> B. Tokarska-Guzik, Z. Dajdok, M. Zając, A. Zając, A. Urbisz, W. Danielewicz: Plants of Foreign Origin in Poland with Particular Reference to Invasive Species. Warsaw: General Directorate for Environmental Protection, 2012. ISBN 978-83-62940-34-9</w:t>
      </w:r>
    </w:p>
  </w:footnote>
  <w:footnote w:id="29">
    <w:p w14:paraId="7BFEEF54" w14:textId="77777777" w:rsidR="000D5C18" w:rsidRPr="00D049D4" w:rsidRDefault="000D5C18" w:rsidP="000D5C18">
      <w:pPr>
        <w:pStyle w:val="FootnoteText"/>
        <w:rPr>
          <w:lang w:val="en-US"/>
        </w:rPr>
      </w:pPr>
      <w:r w:rsidRPr="00626277">
        <w:rPr>
          <w:rStyle w:val="FootnoteReference"/>
        </w:rPr>
        <w:footnoteRef/>
      </w:r>
      <w:r w:rsidRPr="00D049D4">
        <w:rPr>
          <w:lang w:val="en-US"/>
        </w:rPr>
        <w:t xml:space="preserve"> Appendix 2, “Invasive alien plant species at the national, regional, or local levels, and potentially invasive plants,” to the above publication.</w:t>
      </w:r>
    </w:p>
  </w:footnote>
  <w:footnote w:id="30">
    <w:p w14:paraId="7E3069DD" w14:textId="77777777" w:rsidR="000D5C18" w:rsidRPr="00D049D4" w:rsidRDefault="000D5C18" w:rsidP="000D5C18">
      <w:pPr>
        <w:pStyle w:val="FootnoteText"/>
        <w:rPr>
          <w:lang w:val="en-US"/>
        </w:rPr>
      </w:pPr>
      <w:r w:rsidRPr="00626277">
        <w:rPr>
          <w:rStyle w:val="FootnoteReference"/>
        </w:rPr>
        <w:footnoteRef/>
      </w:r>
      <w:r w:rsidRPr="00D049D4">
        <w:rPr>
          <w:lang w:val="en-US"/>
        </w:rPr>
        <w:t xml:space="preserve"> GDOŚ Guidelines 2016</w:t>
      </w:r>
    </w:p>
  </w:footnote>
  <w:footnote w:id="31">
    <w:p w14:paraId="3ACEAB20" w14:textId="77777777" w:rsidR="000D5C18" w:rsidRPr="00D049D4" w:rsidRDefault="000D5C18" w:rsidP="000D5C18">
      <w:pPr>
        <w:pStyle w:val="FootnoteText"/>
        <w:rPr>
          <w:lang w:val="en-US"/>
        </w:rPr>
      </w:pPr>
      <w:r w:rsidRPr="00626277">
        <w:rPr>
          <w:rStyle w:val="FootnoteReference"/>
        </w:rPr>
        <w:footnoteRef/>
      </w:r>
      <w:r w:rsidRPr="00D049D4">
        <w:rPr>
          <w:lang w:val="en-US"/>
        </w:rPr>
        <w:t xml:space="preserve"> Ibid</w:t>
      </w:r>
    </w:p>
  </w:footnote>
  <w:footnote w:id="32">
    <w:p w14:paraId="2587B15C" w14:textId="77777777" w:rsidR="000D5C18" w:rsidRPr="00D049D4" w:rsidRDefault="000D5C18" w:rsidP="000D5C18">
      <w:pPr>
        <w:pStyle w:val="FootnoteText"/>
        <w:rPr>
          <w:lang w:val="en-US"/>
        </w:rPr>
      </w:pPr>
      <w:r w:rsidRPr="00626277">
        <w:rPr>
          <w:rStyle w:val="FootnoteReference"/>
        </w:rPr>
        <w:footnoteRef/>
      </w:r>
      <w:r w:rsidRPr="00D049D4">
        <w:rPr>
          <w:lang w:val="en-US"/>
        </w:rPr>
        <w:t>GB Non-native Species Secretariat (NNSS) Risk Assessment Summary Sheet (https://www.nonnativespecies.org/assets/Uploads/Amelanchier-spicata-RA-final_topub.pdf)</w:t>
      </w:r>
    </w:p>
  </w:footnote>
  <w:footnote w:id="33">
    <w:p w14:paraId="61ABDBE1" w14:textId="77777777" w:rsidR="000D5C18" w:rsidRPr="00626277" w:rsidRDefault="000D5C18" w:rsidP="000D5C18">
      <w:pPr>
        <w:pStyle w:val="FootnoteText"/>
      </w:pPr>
      <w:r w:rsidRPr="00626277">
        <w:rPr>
          <w:rStyle w:val="FootnoteReference"/>
        </w:rPr>
        <w:footnoteRef/>
      </w:r>
      <w:r w:rsidRPr="00626277">
        <w:t xml:space="preserve"> Ibid</w:t>
      </w:r>
    </w:p>
  </w:footnote>
  <w:footnote w:id="34">
    <w:p w14:paraId="0DA21571" w14:textId="77777777" w:rsidR="008B6E13" w:rsidRPr="00D049D4" w:rsidRDefault="008B6E13" w:rsidP="008B6E13">
      <w:pPr>
        <w:pStyle w:val="FootnoteText"/>
        <w:rPr>
          <w:lang w:val="en-US"/>
        </w:rPr>
      </w:pPr>
      <w:r w:rsidRPr="00626277">
        <w:rPr>
          <w:rStyle w:val="FootnoteReference"/>
        </w:rPr>
        <w:footnoteRef/>
      </w:r>
      <w:r w:rsidRPr="00626277">
        <w:t xml:space="preserve"> Kujawa-Pawlaczyk, J. 2009. Steeplebush (Spiraea tomentosa L.) </w:t>
      </w:r>
      <w:r w:rsidRPr="00D049D4">
        <w:rPr>
          <w:lang w:val="en-US"/>
        </w:rPr>
        <w:t>In: Dajdok, Z. and Pawlaczyk, P. (eds.) Invasive Plant Species of Poland’s Wetland Ecosystems. pp. 105–112. Published by the Naturalists’ Club, Świebodzin</w:t>
      </w:r>
    </w:p>
  </w:footnote>
  <w:footnote w:id="35">
    <w:p w14:paraId="1E1D548A" w14:textId="77777777" w:rsidR="008B6E13" w:rsidRPr="00D049D4" w:rsidRDefault="008B6E13" w:rsidP="008B6E13">
      <w:pPr>
        <w:pStyle w:val="FootnoteText"/>
        <w:rPr>
          <w:lang w:val="en-US"/>
        </w:rPr>
      </w:pPr>
      <w:r w:rsidRPr="00626277">
        <w:rPr>
          <w:rStyle w:val="FootnoteReference"/>
        </w:rPr>
        <w:footnoteRef/>
      </w:r>
      <w:r w:rsidRPr="00626277">
        <w:t xml:space="preserve"> Wiatrowska, B., and Danielewicz, W. 2016. </w:t>
      </w:r>
      <w:r w:rsidRPr="00D049D4">
        <w:rPr>
          <w:lang w:val="en-US"/>
        </w:rPr>
        <w:t>Environmental factors influencing the invasion of Steeplebush (Spiraea tomentosa L.) in the Lower Silesian Forests. Sylwan 160 (8): 696–704</w:t>
      </w:r>
    </w:p>
  </w:footnote>
  <w:footnote w:id="36">
    <w:p w14:paraId="6640E65B" w14:textId="77777777" w:rsidR="008B6E13" w:rsidRPr="00D049D4" w:rsidRDefault="008B6E13" w:rsidP="008B6E13">
      <w:pPr>
        <w:pStyle w:val="FootnoteText"/>
        <w:rPr>
          <w:lang w:val="en-US"/>
        </w:rPr>
      </w:pPr>
      <w:r w:rsidRPr="00626277">
        <w:rPr>
          <w:rStyle w:val="FootnoteReference"/>
        </w:rPr>
        <w:footnoteRef/>
      </w:r>
      <w:r w:rsidRPr="00D049D4">
        <w:rPr>
          <w:lang w:val="en-US"/>
        </w:rPr>
        <w:t xml:space="preserve"> https://projekty.gdos.gov.pl/files/artykuly/127098/Spiraea-tomentosa_tawula-kutnerowata_KG_WWW_V1_icon.pdf</w:t>
      </w:r>
    </w:p>
  </w:footnote>
  <w:footnote w:id="37">
    <w:p w14:paraId="62D2220C" w14:textId="77777777" w:rsidR="008B6E13" w:rsidRPr="00D049D4" w:rsidRDefault="008B6E13" w:rsidP="008B6E13">
      <w:pPr>
        <w:pStyle w:val="FootnoteText"/>
        <w:rPr>
          <w:lang w:val="en-US"/>
        </w:rPr>
      </w:pPr>
      <w:r w:rsidRPr="00626277">
        <w:rPr>
          <w:rStyle w:val="FootnoteReference"/>
        </w:rPr>
        <w:footnoteRef/>
      </w:r>
      <w:r w:rsidRPr="00D049D4">
        <w:rPr>
          <w:lang w:val="en-US"/>
        </w:rPr>
        <w:t xml:space="preserve"> Compendium. Methods for Controlling Steeplebush, GDOŚ, Warsaw 2022 (https://www.gov.pl/web/gdos/kompendia-zwalczania-wybranych-igo)</w:t>
      </w:r>
    </w:p>
  </w:footnote>
  <w:footnote w:id="38">
    <w:p w14:paraId="2920C4F4" w14:textId="77777777" w:rsidR="008B6E13" w:rsidRPr="00D049D4" w:rsidRDefault="008B6E13" w:rsidP="008B6E13">
      <w:pPr>
        <w:pStyle w:val="FootnoteText"/>
        <w:rPr>
          <w:lang w:val="en-US"/>
        </w:rPr>
      </w:pPr>
      <w:r w:rsidRPr="00626277">
        <w:rPr>
          <w:rStyle w:val="FootnoteReference"/>
        </w:rPr>
        <w:footnoteRef/>
      </w:r>
      <w:r w:rsidRPr="00D049D4">
        <w:rPr>
          <w:lang w:val="en-US"/>
        </w:rPr>
        <w:t xml:space="preserve"> GDOŚ Guidelines 2016</w:t>
      </w:r>
    </w:p>
  </w:footnote>
  <w:footnote w:id="39">
    <w:p w14:paraId="693089F2" w14:textId="77777777" w:rsidR="008B6E13" w:rsidRPr="00D049D4" w:rsidRDefault="008B6E13" w:rsidP="008B6E13">
      <w:pPr>
        <w:pStyle w:val="FootnoteText"/>
        <w:rPr>
          <w:lang w:val="en-US"/>
        </w:rPr>
      </w:pPr>
      <w:r w:rsidRPr="00626277">
        <w:rPr>
          <w:rStyle w:val="FootnoteReference"/>
        </w:rPr>
        <w:footnoteRef/>
      </w:r>
      <w:r w:rsidRPr="00D049D4">
        <w:rPr>
          <w:lang w:val="en-US"/>
        </w:rPr>
        <w:t xml:space="preserve"> B. Tokarska-Guzik, Z. Dajdok, M. Zając, A. Zając, A. Urbisz, W. Danielewicz: Plants of Foreign Origin in Poland, with Particular Emphasis on Invasive Species. Warsaw: General Directorate for Environmental Protection, 2012. ISBN 978-83-62940-34-9</w:t>
      </w:r>
    </w:p>
  </w:footnote>
  <w:footnote w:id="40">
    <w:p w14:paraId="062909CB" w14:textId="77777777" w:rsidR="008B6E13" w:rsidRPr="00D049D4" w:rsidRDefault="008B6E13" w:rsidP="008B6E13">
      <w:pPr>
        <w:pStyle w:val="FootnoteText"/>
        <w:rPr>
          <w:lang w:val="en-US"/>
        </w:rPr>
      </w:pPr>
      <w:r w:rsidRPr="00626277">
        <w:rPr>
          <w:rStyle w:val="FootnoteReference"/>
        </w:rPr>
        <w:footnoteRef/>
      </w:r>
      <w:r w:rsidRPr="00D049D4">
        <w:rPr>
          <w:lang w:val="en-US"/>
        </w:rPr>
        <w:t xml:space="preserve"> Appendix 2, “Invasive Alien Plant Species at the National, Regional, or Local Levels, and Potentially Invasive Plants,” to the above publication.</w:t>
      </w:r>
    </w:p>
  </w:footnote>
  <w:footnote w:id="41">
    <w:p w14:paraId="6F697467" w14:textId="77777777" w:rsidR="008B6E13" w:rsidRPr="00D049D4" w:rsidRDefault="008B6E13" w:rsidP="008B6E13">
      <w:pPr>
        <w:pStyle w:val="FootnoteText"/>
        <w:rPr>
          <w:lang w:val="en-US"/>
        </w:rPr>
      </w:pPr>
      <w:r w:rsidRPr="00626277">
        <w:rPr>
          <w:rStyle w:val="FootnoteReference"/>
        </w:rPr>
        <w:footnoteRef/>
      </w:r>
      <w:r w:rsidRPr="00D049D4">
        <w:rPr>
          <w:lang w:val="en-US"/>
        </w:rPr>
        <w:t xml:space="preserve"> GDOŚ Guidelines 2016</w:t>
      </w:r>
    </w:p>
  </w:footnote>
  <w:footnote w:id="42">
    <w:p w14:paraId="3BA39472" w14:textId="77777777" w:rsidR="008B6E13" w:rsidRPr="00D049D4" w:rsidRDefault="008B6E13" w:rsidP="008B6E13">
      <w:pPr>
        <w:pStyle w:val="FootnoteText"/>
        <w:rPr>
          <w:lang w:val="en-US"/>
        </w:rPr>
      </w:pPr>
      <w:r w:rsidRPr="00626277">
        <w:rPr>
          <w:rStyle w:val="FootnoteReference"/>
        </w:rPr>
        <w:footnoteRef/>
      </w:r>
      <w:r w:rsidRPr="00D049D4">
        <w:rPr>
          <w:lang w:val="en-US"/>
        </w:rPr>
        <w:t xml:space="preserve"> Ibid</w:t>
      </w:r>
    </w:p>
  </w:footnote>
  <w:footnote w:id="43">
    <w:p w14:paraId="05B77ADF" w14:textId="77777777" w:rsidR="006F7B36" w:rsidRPr="00D049D4" w:rsidRDefault="006F7B36" w:rsidP="006F7B36">
      <w:pPr>
        <w:pStyle w:val="FootnoteText"/>
        <w:rPr>
          <w:lang w:val="en-US"/>
        </w:rPr>
      </w:pPr>
      <w:r w:rsidRPr="00626277">
        <w:rPr>
          <w:rStyle w:val="FootnoteReference"/>
        </w:rPr>
        <w:footnoteRef/>
      </w:r>
      <w:r w:rsidRPr="00D049D4">
        <w:rPr>
          <w:lang w:val="en-US"/>
        </w:rPr>
        <w:t xml:space="preserve"> GDOŚ Guidelines 2016</w:t>
      </w:r>
    </w:p>
  </w:footnote>
  <w:footnote w:id="44">
    <w:p w14:paraId="7B70BEBE" w14:textId="77777777" w:rsidR="006F7B36" w:rsidRPr="00D049D4" w:rsidRDefault="006F7B36" w:rsidP="006F7B36">
      <w:pPr>
        <w:pStyle w:val="FootnoteText"/>
        <w:rPr>
          <w:lang w:val="en-US"/>
        </w:rPr>
      </w:pPr>
      <w:r w:rsidRPr="00626277">
        <w:rPr>
          <w:rStyle w:val="FootnoteReference"/>
        </w:rPr>
        <w:footnoteRef/>
      </w:r>
      <w:r w:rsidRPr="00D049D4">
        <w:rPr>
          <w:lang w:val="en-US"/>
        </w:rPr>
        <w:t xml:space="preserve"> CABI Compendium (https://www.cabidigitallibrary.org/doi/full/10.1079/cabicompendium.108958)</w:t>
      </w:r>
    </w:p>
  </w:footnote>
  <w:footnote w:id="45">
    <w:p w14:paraId="2F526826" w14:textId="77777777" w:rsidR="006F7B36" w:rsidRPr="00D049D4" w:rsidRDefault="006F7B36" w:rsidP="006F7B36">
      <w:pPr>
        <w:pStyle w:val="FootnoteText"/>
        <w:rPr>
          <w:lang w:val="en-US"/>
        </w:rPr>
      </w:pPr>
      <w:r w:rsidRPr="00626277">
        <w:rPr>
          <w:rStyle w:val="FootnoteReference"/>
        </w:rPr>
        <w:footnoteRef/>
      </w:r>
      <w:r w:rsidRPr="00D049D4">
        <w:rPr>
          <w:lang w:val="en-US"/>
        </w:rPr>
        <w:t xml:space="preserve"> Compendium. Methods for Controlling Caucasian Hogweed, GDOŚ, Warsaw 2022 (</w:t>
      </w:r>
      <w:hyperlink r:id="rId1" w:history="1">
        <w:r w:rsidRPr="00D049D4">
          <w:rPr>
            <w:rStyle w:val="Hyperlink"/>
            <w:lang w:val="en-US"/>
          </w:rPr>
          <w:t>https://www.gov.pl/web/gdos/kompendia-zwalczania-wybranych-igo</w:t>
        </w:r>
      </w:hyperlink>
      <w:r w:rsidRPr="00D049D4">
        <w:rPr>
          <w:lang w:val="en-US"/>
        </w:rPr>
        <w:t>)</w:t>
      </w:r>
    </w:p>
  </w:footnote>
  <w:footnote w:id="46">
    <w:p w14:paraId="07724DA7" w14:textId="77777777" w:rsidR="006F7B36" w:rsidRPr="00D049D4" w:rsidRDefault="006F7B36" w:rsidP="006F7B36">
      <w:pPr>
        <w:pStyle w:val="FootnoteText"/>
        <w:rPr>
          <w:lang w:val="en-US"/>
        </w:rPr>
      </w:pPr>
      <w:r w:rsidRPr="00626277">
        <w:rPr>
          <w:rStyle w:val="FootnoteReference"/>
        </w:rPr>
        <w:footnoteRef/>
      </w:r>
      <w:r w:rsidRPr="00D049D4">
        <w:rPr>
          <w:lang w:val="en-US"/>
        </w:rPr>
        <w:t xml:space="preserve"> CABI Compendium (https://www.cabidigitallibrary.org/doi/full/10.1079/cabicompendium.108958)</w:t>
      </w:r>
    </w:p>
  </w:footnote>
  <w:footnote w:id="47">
    <w:p w14:paraId="4719BCF6" w14:textId="77777777" w:rsidR="006F7B36" w:rsidRPr="00D049D4" w:rsidRDefault="006F7B36" w:rsidP="006F7B36">
      <w:pPr>
        <w:pStyle w:val="FootnoteText"/>
        <w:rPr>
          <w:lang w:val="en-US"/>
        </w:rPr>
      </w:pPr>
      <w:r w:rsidRPr="00626277">
        <w:rPr>
          <w:rStyle w:val="FootnoteReference"/>
        </w:rPr>
        <w:footnoteRef/>
      </w:r>
      <w:r w:rsidRPr="00D049D4">
        <w:rPr>
          <w:lang w:val="en-US"/>
        </w:rPr>
        <w:t xml:space="preserve"> Ibid</w:t>
      </w:r>
    </w:p>
  </w:footnote>
  <w:footnote w:id="48">
    <w:p w14:paraId="4172F32C" w14:textId="77777777" w:rsidR="006F7B36" w:rsidRPr="00D049D4" w:rsidRDefault="006F7B36" w:rsidP="006F7B36">
      <w:pPr>
        <w:pStyle w:val="FootnoteText"/>
        <w:rPr>
          <w:lang w:val="en-US"/>
        </w:rPr>
      </w:pPr>
      <w:r w:rsidRPr="00626277">
        <w:rPr>
          <w:rStyle w:val="FootnoteReference"/>
        </w:rPr>
        <w:footnoteRef/>
      </w:r>
      <w:r w:rsidRPr="00D049D4">
        <w:rPr>
          <w:lang w:val="en-US"/>
        </w:rPr>
        <w:t xml:space="preserve"> Ibid</w:t>
      </w:r>
    </w:p>
  </w:footnote>
  <w:footnote w:id="49">
    <w:p w14:paraId="4EB9DB46" w14:textId="77777777" w:rsidR="006F7B36" w:rsidRPr="00D049D4" w:rsidRDefault="006F7B36" w:rsidP="006F7B36">
      <w:pPr>
        <w:pStyle w:val="FootnoteText"/>
        <w:rPr>
          <w:lang w:val="en-US"/>
        </w:rPr>
      </w:pPr>
      <w:r w:rsidRPr="00626277">
        <w:rPr>
          <w:rStyle w:val="FootnoteReference"/>
        </w:rPr>
        <w:footnoteRef/>
      </w:r>
      <w:r w:rsidRPr="00D049D4">
        <w:rPr>
          <w:lang w:val="en-US"/>
        </w:rPr>
        <w:t xml:space="preserve"> CABI Compendium (https://www.cabidigitallibrary.org/doi/full/10.1079/cabicompendium.26911)</w:t>
      </w:r>
    </w:p>
  </w:footnote>
  <w:footnote w:id="50">
    <w:p w14:paraId="4B1DF375" w14:textId="77777777" w:rsidR="006F7B36" w:rsidRPr="00D049D4" w:rsidRDefault="006F7B36" w:rsidP="006F7B36">
      <w:pPr>
        <w:pStyle w:val="FootnoteText"/>
        <w:rPr>
          <w:lang w:val="en-US"/>
        </w:rPr>
      </w:pPr>
      <w:r w:rsidRPr="00626277">
        <w:rPr>
          <w:rStyle w:val="FootnoteReference"/>
        </w:rPr>
        <w:footnoteRef/>
      </w:r>
      <w:r w:rsidRPr="00D049D4">
        <w:rPr>
          <w:lang w:val="en-US"/>
        </w:rPr>
        <w:t xml:space="preserve"> Compendium. Methods for Controlling Caucasian Hogweed, GDOŚ, Warsaw 2022 (https://www.gov.pl/web/gdos/kompendia-zwalczania-wybranych-igo)</w:t>
      </w:r>
    </w:p>
  </w:footnote>
  <w:footnote w:id="51">
    <w:p w14:paraId="57119FFA" w14:textId="77777777" w:rsidR="006F7B36" w:rsidRPr="00D049D4" w:rsidRDefault="006F7B36" w:rsidP="006F7B36">
      <w:pPr>
        <w:pStyle w:val="FootnoteText"/>
        <w:rPr>
          <w:lang w:val="en-US"/>
        </w:rPr>
      </w:pPr>
      <w:r w:rsidRPr="00626277">
        <w:rPr>
          <w:rStyle w:val="FootnoteReference"/>
        </w:rPr>
        <w:footnoteRef/>
      </w:r>
      <w:r w:rsidRPr="00D049D4">
        <w:rPr>
          <w:lang w:val="en-US"/>
        </w:rPr>
        <w:t xml:space="preserve"> Compendium. Methods for Controlling Caucasian Hogweed, GDOŚ, Warsaw 2022 (</w:t>
      </w:r>
      <w:hyperlink r:id="rId2" w:history="1">
        <w:r w:rsidRPr="00D049D4">
          <w:rPr>
            <w:rStyle w:val="Hyperlink"/>
            <w:lang w:val="en-US"/>
          </w:rPr>
          <w:t>https://www.gov.pl/web/gdos/kompendia-zwalczania-wybranych-igo</w:t>
        </w:r>
      </w:hyperlink>
      <w:r w:rsidRPr="00D049D4">
        <w:rPr>
          <w:lang w:val="en-US"/>
        </w:rPr>
        <w:t>)</w:t>
      </w:r>
    </w:p>
  </w:footnote>
  <w:footnote w:id="52">
    <w:p w14:paraId="5A3316CE" w14:textId="77777777" w:rsidR="006F7B36" w:rsidRPr="00D049D4" w:rsidRDefault="006F7B36" w:rsidP="006F7B36">
      <w:pPr>
        <w:pStyle w:val="FootnoteText"/>
        <w:rPr>
          <w:lang w:val="en-US"/>
        </w:rPr>
      </w:pPr>
      <w:r w:rsidRPr="00626277">
        <w:rPr>
          <w:rStyle w:val="FootnoteReference"/>
        </w:rPr>
        <w:footnoteRef/>
      </w:r>
      <w:r w:rsidRPr="00D049D4">
        <w:rPr>
          <w:lang w:val="en-US"/>
        </w:rPr>
        <w:t xml:space="preserve"> CABI Compendium (https://www.cabidigitallibrary.org/doi/full/10.1079/cabicompendium.26911)</w:t>
      </w:r>
    </w:p>
  </w:footnote>
  <w:footnote w:id="53">
    <w:p w14:paraId="74FEC6A2" w14:textId="77777777" w:rsidR="006F7B36" w:rsidRPr="00D049D4" w:rsidRDefault="006F7B36" w:rsidP="006F7B36">
      <w:pPr>
        <w:pStyle w:val="FootnoteText"/>
        <w:rPr>
          <w:lang w:val="en-US"/>
        </w:rPr>
      </w:pPr>
      <w:r w:rsidRPr="00626277">
        <w:rPr>
          <w:rStyle w:val="FootnoteReference"/>
        </w:rPr>
        <w:footnoteRef/>
      </w:r>
      <w:r w:rsidRPr="00D049D4">
        <w:rPr>
          <w:lang w:val="en-US"/>
        </w:rPr>
        <w:t xml:space="preserve"> Ibid</w:t>
      </w:r>
    </w:p>
  </w:footnote>
  <w:footnote w:id="54">
    <w:p w14:paraId="20E4A752" w14:textId="77777777" w:rsidR="002206CF" w:rsidRPr="00D049D4" w:rsidRDefault="002206CF" w:rsidP="002206CF">
      <w:pPr>
        <w:pStyle w:val="FootnoteText"/>
        <w:rPr>
          <w:lang w:val="en-US"/>
        </w:rPr>
      </w:pPr>
      <w:r w:rsidRPr="00626277">
        <w:rPr>
          <w:rStyle w:val="FootnoteReference"/>
        </w:rPr>
        <w:footnoteRef/>
      </w:r>
      <w:r w:rsidRPr="00D049D4">
        <w:rPr>
          <w:lang w:val="en-US"/>
        </w:rPr>
        <w:t xml:space="preserve"> A general description of procedures for managing invasive species based on GDOŚ manuals for invasive species management (https://www.gov.pl/web/gdos/kompendia-zwalczania-wybranych-igo)</w:t>
      </w:r>
    </w:p>
  </w:footnote>
  <w:footnote w:id="55">
    <w:p w14:paraId="52D6A427" w14:textId="77777777" w:rsidR="00862AC8" w:rsidRPr="00D049D4" w:rsidRDefault="00862AC8" w:rsidP="00862AC8">
      <w:pPr>
        <w:pStyle w:val="FootnoteText"/>
        <w:rPr>
          <w:lang w:val="en-US"/>
        </w:rPr>
      </w:pPr>
      <w:r w:rsidRPr="00626277">
        <w:rPr>
          <w:rStyle w:val="FootnoteReference"/>
        </w:rPr>
        <w:footnoteRef/>
      </w:r>
      <w:r w:rsidRPr="00D049D4">
        <w:rPr>
          <w:lang w:val="en-US"/>
        </w:rPr>
        <w:t xml:space="preserve"> Geotechnical parameters of soils according to Polish Standard PN-B-03020:1981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70ACC" w14:textId="028A1781" w:rsidR="002A4E5B" w:rsidRPr="00563462" w:rsidRDefault="69462897" w:rsidP="69462897">
    <w:pPr>
      <w:pStyle w:val="Header"/>
      <w:tabs>
        <w:tab w:val="center" w:pos="4536"/>
        <w:tab w:val="right" w:pos="9072"/>
      </w:tabs>
      <w:jc w:val="center"/>
      <w:rPr>
        <w:rFonts w:ascii="Aptos" w:eastAsia="Aptos" w:hAnsi="Aptos" w:cs="Aptos"/>
        <w:color w:val="000000" w:themeColor="text1"/>
        <w:sz w:val="18"/>
        <w:szCs w:val="18"/>
        <w:lang w:val="en-US"/>
      </w:rPr>
    </w:pPr>
    <w:r w:rsidRPr="69462897">
      <w:rPr>
        <w:rFonts w:ascii="Aptos" w:eastAsia="Aptos" w:hAnsi="Aptos" w:cs="Aptos"/>
        <w:color w:val="000000" w:themeColor="text1"/>
        <w:sz w:val="18"/>
        <w:szCs w:val="18"/>
        <w:lang w:val="en-US"/>
      </w:rPr>
      <w:t>This document is preliminary in nature and has been prepared based on ongoing working analyses conducted for the purposes of the Environmental Impact Assessment (EIA) report. The information and conclusions contained herein may be subject to change upon completion of the EIA report.</w:t>
    </w:r>
  </w:p>
  <w:p w14:paraId="63B7F325" w14:textId="2F4404E9" w:rsidR="002A4E5B" w:rsidRPr="00563462" w:rsidRDefault="69462897" w:rsidP="69462897">
    <w:pPr>
      <w:pStyle w:val="Header"/>
      <w:tabs>
        <w:tab w:val="center" w:pos="4536"/>
        <w:tab w:val="right" w:pos="9072"/>
      </w:tabs>
      <w:jc w:val="center"/>
      <w:rPr>
        <w:rFonts w:ascii="Aptos" w:eastAsia="Aptos" w:hAnsi="Aptos" w:cs="Aptos"/>
        <w:color w:val="000000" w:themeColor="text1"/>
        <w:sz w:val="18"/>
        <w:szCs w:val="18"/>
        <w:lang w:val="en-US"/>
      </w:rPr>
    </w:pPr>
    <w:r w:rsidRPr="69462897">
      <w:rPr>
        <w:rFonts w:ascii="Aptos" w:eastAsia="Aptos" w:hAnsi="Aptos" w:cs="Aptos"/>
        <w:color w:val="000000" w:themeColor="text1"/>
        <w:sz w:val="18"/>
        <w:szCs w:val="18"/>
        <w:lang w:val="en-US"/>
      </w:rPr>
      <w:t>This document does not constitute an Environmental Impact Assessment report within the meaning of Part V, Chapter 2 of the Act of 3 October 2008 on Access to Information on the Environment and Environmental Protection, Public Participation in Environmental Protection and Environmental Impact Assessments (hereinafter: the “Environmental Information Act”).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69462897" w14:paraId="50AA4582" w14:textId="77777777" w:rsidTr="69462897">
      <w:trPr>
        <w:trHeight w:val="300"/>
      </w:trPr>
      <w:tc>
        <w:tcPr>
          <w:tcW w:w="3020" w:type="dxa"/>
        </w:tcPr>
        <w:p w14:paraId="30B9257D" w14:textId="20A5BB3D" w:rsidR="69462897" w:rsidRDefault="69462897" w:rsidP="69462897">
          <w:pPr>
            <w:pStyle w:val="Header"/>
            <w:ind w:left="-115"/>
          </w:pPr>
        </w:p>
      </w:tc>
      <w:tc>
        <w:tcPr>
          <w:tcW w:w="3020" w:type="dxa"/>
        </w:tcPr>
        <w:p w14:paraId="2FD80926" w14:textId="22774225" w:rsidR="69462897" w:rsidRDefault="69462897" w:rsidP="69462897">
          <w:pPr>
            <w:pStyle w:val="Header"/>
            <w:jc w:val="center"/>
          </w:pPr>
        </w:p>
      </w:tc>
      <w:tc>
        <w:tcPr>
          <w:tcW w:w="3020" w:type="dxa"/>
        </w:tcPr>
        <w:p w14:paraId="30273263" w14:textId="27147A36" w:rsidR="69462897" w:rsidRDefault="69462897" w:rsidP="69462897">
          <w:pPr>
            <w:pStyle w:val="Header"/>
            <w:ind w:right="-115"/>
            <w:jc w:val="right"/>
          </w:pPr>
        </w:p>
      </w:tc>
    </w:tr>
  </w:tbl>
  <w:p w14:paraId="75F283EE" w14:textId="76B8082E" w:rsidR="69462897" w:rsidRDefault="69462897" w:rsidP="694628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65"/>
      <w:gridCol w:w="4665"/>
      <w:gridCol w:w="4665"/>
    </w:tblGrid>
    <w:tr w:rsidR="69462897" w14:paraId="14848FC4" w14:textId="77777777" w:rsidTr="69462897">
      <w:trPr>
        <w:trHeight w:val="300"/>
      </w:trPr>
      <w:tc>
        <w:tcPr>
          <w:tcW w:w="4665" w:type="dxa"/>
        </w:tcPr>
        <w:p w14:paraId="58B8F0D7" w14:textId="26A29638" w:rsidR="69462897" w:rsidRDefault="69462897" w:rsidP="69462897">
          <w:pPr>
            <w:pStyle w:val="Header"/>
            <w:ind w:left="-115"/>
          </w:pPr>
        </w:p>
      </w:tc>
      <w:tc>
        <w:tcPr>
          <w:tcW w:w="4665" w:type="dxa"/>
        </w:tcPr>
        <w:p w14:paraId="1ED68949" w14:textId="67107A31" w:rsidR="69462897" w:rsidRDefault="69462897" w:rsidP="69462897">
          <w:pPr>
            <w:pStyle w:val="Header"/>
            <w:jc w:val="center"/>
          </w:pPr>
        </w:p>
      </w:tc>
      <w:tc>
        <w:tcPr>
          <w:tcW w:w="4665" w:type="dxa"/>
        </w:tcPr>
        <w:p w14:paraId="23C9EE0F" w14:textId="7F788E69" w:rsidR="69462897" w:rsidRDefault="69462897" w:rsidP="69462897">
          <w:pPr>
            <w:pStyle w:val="Header"/>
            <w:ind w:right="-115"/>
            <w:jc w:val="right"/>
          </w:pPr>
        </w:p>
      </w:tc>
    </w:tr>
  </w:tbl>
  <w:p w14:paraId="10992492" w14:textId="4599DCF8" w:rsidR="69462897" w:rsidRDefault="69462897" w:rsidP="694628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69462897" w14:paraId="3900F0EB" w14:textId="77777777" w:rsidTr="69462897">
      <w:trPr>
        <w:trHeight w:val="300"/>
      </w:trPr>
      <w:tc>
        <w:tcPr>
          <w:tcW w:w="3020" w:type="dxa"/>
        </w:tcPr>
        <w:p w14:paraId="66FEC652" w14:textId="34B4E4F4" w:rsidR="69462897" w:rsidRDefault="69462897" w:rsidP="69462897">
          <w:pPr>
            <w:pStyle w:val="Header"/>
            <w:ind w:left="-115"/>
          </w:pPr>
        </w:p>
      </w:tc>
      <w:tc>
        <w:tcPr>
          <w:tcW w:w="3020" w:type="dxa"/>
        </w:tcPr>
        <w:p w14:paraId="5605370F" w14:textId="2515BB02" w:rsidR="69462897" w:rsidRDefault="69462897" w:rsidP="69462897">
          <w:pPr>
            <w:pStyle w:val="Header"/>
            <w:jc w:val="center"/>
          </w:pPr>
        </w:p>
      </w:tc>
      <w:tc>
        <w:tcPr>
          <w:tcW w:w="3020" w:type="dxa"/>
        </w:tcPr>
        <w:p w14:paraId="214BF027" w14:textId="06A9B25C" w:rsidR="69462897" w:rsidRDefault="69462897" w:rsidP="69462897">
          <w:pPr>
            <w:pStyle w:val="Header"/>
            <w:ind w:right="-115"/>
            <w:jc w:val="right"/>
          </w:pPr>
        </w:p>
      </w:tc>
    </w:tr>
  </w:tbl>
  <w:p w14:paraId="7D16256D" w14:textId="1DBCAC45" w:rsidR="69462897" w:rsidRDefault="69462897" w:rsidP="694628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5AE22B2"/>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FF7E444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AD5BF6"/>
    <w:multiLevelType w:val="hybridMultilevel"/>
    <w:tmpl w:val="5260B8E6"/>
    <w:lvl w:ilvl="0" w:tplc="DCD80C3A">
      <w:numFmt w:val="bullet"/>
      <w:lvlText w:val="-"/>
      <w:lvlJc w:val="left"/>
      <w:pPr>
        <w:ind w:left="720" w:hanging="360"/>
      </w:pPr>
      <w:rPr>
        <w:rFonts w:ascii="Cambria" w:eastAsiaTheme="minorHAnsi" w:hAnsi="Cambria"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0873CC3"/>
    <w:multiLevelType w:val="hybridMultilevel"/>
    <w:tmpl w:val="705868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0D326DC"/>
    <w:multiLevelType w:val="hybridMultilevel"/>
    <w:tmpl w:val="0B5E7BBE"/>
    <w:lvl w:ilvl="0" w:tplc="DCD80C3A">
      <w:numFmt w:val="bullet"/>
      <w:lvlText w:val="-"/>
      <w:lvlJc w:val="left"/>
      <w:pPr>
        <w:ind w:left="720" w:hanging="360"/>
      </w:pPr>
      <w:rPr>
        <w:rFonts w:ascii="Cambria" w:eastAsiaTheme="minorHAnsi" w:hAnsi="Cambria"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7804853"/>
    <w:multiLevelType w:val="hybridMultilevel"/>
    <w:tmpl w:val="D980BE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79C0294"/>
    <w:multiLevelType w:val="hybridMultilevel"/>
    <w:tmpl w:val="081C8E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C2B5F90"/>
    <w:multiLevelType w:val="hybridMultilevel"/>
    <w:tmpl w:val="C1A46626"/>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00A64A2"/>
    <w:multiLevelType w:val="hybridMultilevel"/>
    <w:tmpl w:val="ECDE96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1015E4F"/>
    <w:multiLevelType w:val="hybridMultilevel"/>
    <w:tmpl w:val="8FB8F16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 w15:restartNumberingAfterBreak="0">
    <w:nsid w:val="253932B8"/>
    <w:multiLevelType w:val="hybridMultilevel"/>
    <w:tmpl w:val="E7E276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23732B7"/>
    <w:multiLevelType w:val="hybridMultilevel"/>
    <w:tmpl w:val="9A2CF1D0"/>
    <w:lvl w:ilvl="0" w:tplc="DCD80C3A">
      <w:numFmt w:val="bullet"/>
      <w:lvlText w:val="-"/>
      <w:lvlJc w:val="left"/>
      <w:pPr>
        <w:ind w:left="720" w:hanging="360"/>
      </w:pPr>
      <w:rPr>
        <w:rFonts w:ascii="Cambria" w:eastAsiaTheme="minorHAnsi" w:hAnsi="Cambria"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2E37518"/>
    <w:multiLevelType w:val="hybridMultilevel"/>
    <w:tmpl w:val="37145F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C833AB6"/>
    <w:multiLevelType w:val="hybridMultilevel"/>
    <w:tmpl w:val="3CDE756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3D275365"/>
    <w:multiLevelType w:val="hybridMultilevel"/>
    <w:tmpl w:val="103C44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1B176A6"/>
    <w:multiLevelType w:val="hybridMultilevel"/>
    <w:tmpl w:val="149610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5D65536"/>
    <w:multiLevelType w:val="hybridMultilevel"/>
    <w:tmpl w:val="8BEC868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474577D6"/>
    <w:multiLevelType w:val="hybridMultilevel"/>
    <w:tmpl w:val="12CEE3D2"/>
    <w:lvl w:ilvl="0" w:tplc="04150001">
      <w:start w:val="1"/>
      <w:numFmt w:val="bullet"/>
      <w:lvlText w:val=""/>
      <w:lvlJc w:val="left"/>
      <w:pPr>
        <w:ind w:left="720" w:hanging="360"/>
      </w:pPr>
      <w:rPr>
        <w:rFonts w:ascii="Symbol" w:hAnsi="Symbol" w:hint="default"/>
      </w:rPr>
    </w:lvl>
    <w:lvl w:ilvl="1" w:tplc="830245AE">
      <w:numFmt w:val="bullet"/>
      <w:lvlText w:val="-"/>
      <w:lvlJc w:val="left"/>
      <w:pPr>
        <w:ind w:left="1440" w:hanging="360"/>
      </w:pPr>
      <w:rPr>
        <w:rFonts w:ascii="Arial" w:eastAsiaTheme="minorHAnsi"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8372ABB"/>
    <w:multiLevelType w:val="hybridMultilevel"/>
    <w:tmpl w:val="10248A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23203A3"/>
    <w:multiLevelType w:val="hybridMultilevel"/>
    <w:tmpl w:val="4ACA97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6C92C1C"/>
    <w:multiLevelType w:val="hybridMultilevel"/>
    <w:tmpl w:val="FEF803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DB37233"/>
    <w:multiLevelType w:val="hybridMultilevel"/>
    <w:tmpl w:val="B0AA18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44E55DD"/>
    <w:multiLevelType w:val="hybridMultilevel"/>
    <w:tmpl w:val="A470DEF4"/>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23" w15:restartNumberingAfterBreak="0">
    <w:nsid w:val="6D883BF4"/>
    <w:multiLevelType w:val="hybridMultilevel"/>
    <w:tmpl w:val="930EF5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F5E358C"/>
    <w:multiLevelType w:val="hybridMultilevel"/>
    <w:tmpl w:val="09BE27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345718F"/>
    <w:multiLevelType w:val="hybridMultilevel"/>
    <w:tmpl w:val="9B2216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92E23FC"/>
    <w:multiLevelType w:val="hybridMultilevel"/>
    <w:tmpl w:val="81B8D4B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7F216990"/>
    <w:multiLevelType w:val="multilevel"/>
    <w:tmpl w:val="0406001F"/>
    <w:styleLink w:val="111111"/>
    <w:lvl w:ilvl="0">
      <w:start w:val="1"/>
      <w:numFmt w:val="decimal"/>
      <w:lvlText w:val="%1."/>
      <w:lvlJc w:val="left"/>
      <w:pPr>
        <w:ind w:left="360" w:hanging="360"/>
      </w:pPr>
      <w:rPr>
        <w:rFonts w:ascii="Arial"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5120805">
    <w:abstractNumId w:val="10"/>
  </w:num>
  <w:num w:numId="2" w16cid:durableId="1494838596">
    <w:abstractNumId w:val="6"/>
  </w:num>
  <w:num w:numId="3" w16cid:durableId="2121296502">
    <w:abstractNumId w:val="20"/>
  </w:num>
  <w:num w:numId="4" w16cid:durableId="218908890">
    <w:abstractNumId w:val="3"/>
  </w:num>
  <w:num w:numId="5" w16cid:durableId="1028531327">
    <w:abstractNumId w:val="17"/>
  </w:num>
  <w:num w:numId="6" w16cid:durableId="1182478369">
    <w:abstractNumId w:val="8"/>
  </w:num>
  <w:num w:numId="7" w16cid:durableId="1964573353">
    <w:abstractNumId w:val="18"/>
  </w:num>
  <w:num w:numId="8" w16cid:durableId="1150170046">
    <w:abstractNumId w:val="14"/>
  </w:num>
  <w:num w:numId="9" w16cid:durableId="71856386">
    <w:abstractNumId w:val="2"/>
  </w:num>
  <w:num w:numId="10" w16cid:durableId="623736900">
    <w:abstractNumId w:val="11"/>
  </w:num>
  <w:num w:numId="11" w16cid:durableId="104496361">
    <w:abstractNumId w:val="15"/>
  </w:num>
  <w:num w:numId="12" w16cid:durableId="213348129">
    <w:abstractNumId w:val="7"/>
  </w:num>
  <w:num w:numId="13" w16cid:durableId="2033798363">
    <w:abstractNumId w:val="5"/>
  </w:num>
  <w:num w:numId="14" w16cid:durableId="971249632">
    <w:abstractNumId w:val="24"/>
  </w:num>
  <w:num w:numId="15" w16cid:durableId="350881838">
    <w:abstractNumId w:val="25"/>
  </w:num>
  <w:num w:numId="16" w16cid:durableId="704670516">
    <w:abstractNumId w:val="21"/>
  </w:num>
  <w:num w:numId="17" w16cid:durableId="97722195">
    <w:abstractNumId w:val="12"/>
  </w:num>
  <w:num w:numId="18" w16cid:durableId="1022979917">
    <w:abstractNumId w:val="27"/>
  </w:num>
  <w:num w:numId="19" w16cid:durableId="1375690586">
    <w:abstractNumId w:val="19"/>
  </w:num>
  <w:num w:numId="20" w16cid:durableId="1816608250">
    <w:abstractNumId w:val="23"/>
  </w:num>
  <w:num w:numId="21" w16cid:durableId="1388871224">
    <w:abstractNumId w:val="4"/>
  </w:num>
  <w:num w:numId="22" w16cid:durableId="3997123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66857619">
    <w:abstractNumId w:val="22"/>
  </w:num>
  <w:num w:numId="24" w16cid:durableId="1950090289">
    <w:abstractNumId w:val="26"/>
  </w:num>
  <w:num w:numId="25" w16cid:durableId="675886388">
    <w:abstractNumId w:val="9"/>
  </w:num>
  <w:num w:numId="26" w16cid:durableId="897089229">
    <w:abstractNumId w:val="16"/>
  </w:num>
  <w:num w:numId="27" w16cid:durableId="827745619">
    <w:abstractNumId w:val="1"/>
  </w:num>
  <w:num w:numId="28" w16cid:durableId="1820076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640"/>
    <w:rsid w:val="000130D7"/>
    <w:rsid w:val="00016C75"/>
    <w:rsid w:val="0002134E"/>
    <w:rsid w:val="00026041"/>
    <w:rsid w:val="0004511F"/>
    <w:rsid w:val="0005288C"/>
    <w:rsid w:val="000B528C"/>
    <w:rsid w:val="000B64C6"/>
    <w:rsid w:val="000B6702"/>
    <w:rsid w:val="000D1C64"/>
    <w:rsid w:val="000D5C18"/>
    <w:rsid w:val="000F06D8"/>
    <w:rsid w:val="000F4DFE"/>
    <w:rsid w:val="00100226"/>
    <w:rsid w:val="0010687E"/>
    <w:rsid w:val="001241A1"/>
    <w:rsid w:val="001368A3"/>
    <w:rsid w:val="001414A0"/>
    <w:rsid w:val="001921F1"/>
    <w:rsid w:val="0019511F"/>
    <w:rsid w:val="001B0847"/>
    <w:rsid w:val="001B3A55"/>
    <w:rsid w:val="001B40C0"/>
    <w:rsid w:val="001D00CA"/>
    <w:rsid w:val="001E2BC0"/>
    <w:rsid w:val="001F4320"/>
    <w:rsid w:val="001F72D6"/>
    <w:rsid w:val="002206CF"/>
    <w:rsid w:val="002333A9"/>
    <w:rsid w:val="002369FD"/>
    <w:rsid w:val="00236B60"/>
    <w:rsid w:val="0026671B"/>
    <w:rsid w:val="002A31D8"/>
    <w:rsid w:val="002A4E5B"/>
    <w:rsid w:val="002B404D"/>
    <w:rsid w:val="002D76A6"/>
    <w:rsid w:val="002F0704"/>
    <w:rsid w:val="002F2E13"/>
    <w:rsid w:val="00311DFA"/>
    <w:rsid w:val="00324DD6"/>
    <w:rsid w:val="00335906"/>
    <w:rsid w:val="00337304"/>
    <w:rsid w:val="00346640"/>
    <w:rsid w:val="0036593F"/>
    <w:rsid w:val="00373D56"/>
    <w:rsid w:val="0037571B"/>
    <w:rsid w:val="0039222F"/>
    <w:rsid w:val="003A1319"/>
    <w:rsid w:val="003A1574"/>
    <w:rsid w:val="003A1E42"/>
    <w:rsid w:val="003E7F2F"/>
    <w:rsid w:val="00415CC5"/>
    <w:rsid w:val="00424D82"/>
    <w:rsid w:val="00446F7D"/>
    <w:rsid w:val="00457C2E"/>
    <w:rsid w:val="00462AC5"/>
    <w:rsid w:val="0046615F"/>
    <w:rsid w:val="00480A13"/>
    <w:rsid w:val="00492260"/>
    <w:rsid w:val="0049260F"/>
    <w:rsid w:val="00492783"/>
    <w:rsid w:val="0049729C"/>
    <w:rsid w:val="004B437C"/>
    <w:rsid w:val="004C2780"/>
    <w:rsid w:val="004D1D5D"/>
    <w:rsid w:val="0051049C"/>
    <w:rsid w:val="00516701"/>
    <w:rsid w:val="00524258"/>
    <w:rsid w:val="00531F38"/>
    <w:rsid w:val="00534586"/>
    <w:rsid w:val="005517B1"/>
    <w:rsid w:val="00563462"/>
    <w:rsid w:val="005777DD"/>
    <w:rsid w:val="00590F9D"/>
    <w:rsid w:val="0059242E"/>
    <w:rsid w:val="00595BAA"/>
    <w:rsid w:val="005A3992"/>
    <w:rsid w:val="005A7496"/>
    <w:rsid w:val="005B232C"/>
    <w:rsid w:val="005E2C35"/>
    <w:rsid w:val="005E5D30"/>
    <w:rsid w:val="005F5046"/>
    <w:rsid w:val="00615DAE"/>
    <w:rsid w:val="00616BF8"/>
    <w:rsid w:val="00620E46"/>
    <w:rsid w:val="00626277"/>
    <w:rsid w:val="006375EC"/>
    <w:rsid w:val="00651F3F"/>
    <w:rsid w:val="006530AB"/>
    <w:rsid w:val="00655C3F"/>
    <w:rsid w:val="00663D7F"/>
    <w:rsid w:val="00673A19"/>
    <w:rsid w:val="00697602"/>
    <w:rsid w:val="006A019B"/>
    <w:rsid w:val="006A042F"/>
    <w:rsid w:val="006B2DBA"/>
    <w:rsid w:val="006B496F"/>
    <w:rsid w:val="006B4AF0"/>
    <w:rsid w:val="006B7A0D"/>
    <w:rsid w:val="006E6A95"/>
    <w:rsid w:val="006E721E"/>
    <w:rsid w:val="006F7B36"/>
    <w:rsid w:val="00710AE0"/>
    <w:rsid w:val="00720B6D"/>
    <w:rsid w:val="007251EA"/>
    <w:rsid w:val="007333F2"/>
    <w:rsid w:val="00744A2B"/>
    <w:rsid w:val="007471C4"/>
    <w:rsid w:val="00757676"/>
    <w:rsid w:val="007638E5"/>
    <w:rsid w:val="007739BE"/>
    <w:rsid w:val="007805B3"/>
    <w:rsid w:val="00780EE8"/>
    <w:rsid w:val="007E4A7F"/>
    <w:rsid w:val="007E6651"/>
    <w:rsid w:val="007F0B51"/>
    <w:rsid w:val="007F12F3"/>
    <w:rsid w:val="00820767"/>
    <w:rsid w:val="00821501"/>
    <w:rsid w:val="00824EA4"/>
    <w:rsid w:val="008325D6"/>
    <w:rsid w:val="00862AC8"/>
    <w:rsid w:val="00863D43"/>
    <w:rsid w:val="00864836"/>
    <w:rsid w:val="00867683"/>
    <w:rsid w:val="00872EA2"/>
    <w:rsid w:val="00880F0D"/>
    <w:rsid w:val="0089097C"/>
    <w:rsid w:val="008915CD"/>
    <w:rsid w:val="0089563E"/>
    <w:rsid w:val="008A16A1"/>
    <w:rsid w:val="008A538F"/>
    <w:rsid w:val="008B07F3"/>
    <w:rsid w:val="008B6E13"/>
    <w:rsid w:val="008C2E74"/>
    <w:rsid w:val="008E6F1C"/>
    <w:rsid w:val="00901DE4"/>
    <w:rsid w:val="009063EB"/>
    <w:rsid w:val="009116AA"/>
    <w:rsid w:val="009374B7"/>
    <w:rsid w:val="009518F2"/>
    <w:rsid w:val="009556D9"/>
    <w:rsid w:val="00967B0E"/>
    <w:rsid w:val="00972826"/>
    <w:rsid w:val="009852FC"/>
    <w:rsid w:val="009A05DF"/>
    <w:rsid w:val="009B1C06"/>
    <w:rsid w:val="009D7E98"/>
    <w:rsid w:val="00A3502E"/>
    <w:rsid w:val="00A404C7"/>
    <w:rsid w:val="00A410C9"/>
    <w:rsid w:val="00A54F16"/>
    <w:rsid w:val="00A61F64"/>
    <w:rsid w:val="00A76D5F"/>
    <w:rsid w:val="00A82043"/>
    <w:rsid w:val="00A82525"/>
    <w:rsid w:val="00A86505"/>
    <w:rsid w:val="00A928BF"/>
    <w:rsid w:val="00AA646C"/>
    <w:rsid w:val="00AE2500"/>
    <w:rsid w:val="00AF3A86"/>
    <w:rsid w:val="00AF7392"/>
    <w:rsid w:val="00B02F89"/>
    <w:rsid w:val="00B44F6F"/>
    <w:rsid w:val="00B47579"/>
    <w:rsid w:val="00B51B08"/>
    <w:rsid w:val="00B63041"/>
    <w:rsid w:val="00B726A5"/>
    <w:rsid w:val="00B75BB7"/>
    <w:rsid w:val="00B844F7"/>
    <w:rsid w:val="00B84C49"/>
    <w:rsid w:val="00BA071D"/>
    <w:rsid w:val="00BB7F77"/>
    <w:rsid w:val="00BE0618"/>
    <w:rsid w:val="00BF5B82"/>
    <w:rsid w:val="00C130D3"/>
    <w:rsid w:val="00C22385"/>
    <w:rsid w:val="00C31A74"/>
    <w:rsid w:val="00C46787"/>
    <w:rsid w:val="00C66367"/>
    <w:rsid w:val="00C86774"/>
    <w:rsid w:val="00CB4669"/>
    <w:rsid w:val="00CC4A93"/>
    <w:rsid w:val="00D00801"/>
    <w:rsid w:val="00D049D4"/>
    <w:rsid w:val="00D14921"/>
    <w:rsid w:val="00D20723"/>
    <w:rsid w:val="00D32D4F"/>
    <w:rsid w:val="00D35092"/>
    <w:rsid w:val="00D439B9"/>
    <w:rsid w:val="00D448EA"/>
    <w:rsid w:val="00D476F6"/>
    <w:rsid w:val="00D512F1"/>
    <w:rsid w:val="00D521E6"/>
    <w:rsid w:val="00D52217"/>
    <w:rsid w:val="00D6753B"/>
    <w:rsid w:val="00D72194"/>
    <w:rsid w:val="00D823FC"/>
    <w:rsid w:val="00D82824"/>
    <w:rsid w:val="00DA1A70"/>
    <w:rsid w:val="00DA2F25"/>
    <w:rsid w:val="00DB3682"/>
    <w:rsid w:val="00DC2FCB"/>
    <w:rsid w:val="00DF58AA"/>
    <w:rsid w:val="00DF5D12"/>
    <w:rsid w:val="00E075EB"/>
    <w:rsid w:val="00E124A6"/>
    <w:rsid w:val="00E2758E"/>
    <w:rsid w:val="00E46623"/>
    <w:rsid w:val="00E51EA2"/>
    <w:rsid w:val="00E63777"/>
    <w:rsid w:val="00E63A96"/>
    <w:rsid w:val="00E67C23"/>
    <w:rsid w:val="00E70184"/>
    <w:rsid w:val="00E83CBD"/>
    <w:rsid w:val="00EB084C"/>
    <w:rsid w:val="00ED0CBA"/>
    <w:rsid w:val="00F04DA1"/>
    <w:rsid w:val="00F067C5"/>
    <w:rsid w:val="00F101EC"/>
    <w:rsid w:val="00F20AA4"/>
    <w:rsid w:val="00F27B48"/>
    <w:rsid w:val="00F316E5"/>
    <w:rsid w:val="00F6177A"/>
    <w:rsid w:val="00F73EBD"/>
    <w:rsid w:val="00F82503"/>
    <w:rsid w:val="00F9218B"/>
    <w:rsid w:val="00F94028"/>
    <w:rsid w:val="00FB23F5"/>
    <w:rsid w:val="00FB2AE4"/>
    <w:rsid w:val="00FD09E7"/>
    <w:rsid w:val="00FD62EB"/>
    <w:rsid w:val="00FD739A"/>
    <w:rsid w:val="00FF5251"/>
    <w:rsid w:val="00FF72C3"/>
    <w:rsid w:val="15631265"/>
    <w:rsid w:val="1F9B8D5C"/>
    <w:rsid w:val="35183932"/>
    <w:rsid w:val="35410BC2"/>
    <w:rsid w:val="448E4FD5"/>
    <w:rsid w:val="4CCB674C"/>
    <w:rsid w:val="56DBF84D"/>
    <w:rsid w:val="59049AA8"/>
    <w:rsid w:val="69462897"/>
    <w:rsid w:val="7C3BA5F7"/>
    <w:rsid w:val="7EDEA22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3031C"/>
  <w15:chartTrackingRefBased/>
  <w15:docId w15:val="{195AF6E4-9739-41EE-99F2-0A6124605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AF7392"/>
    <w:pPr>
      <w:keepNext/>
      <w:keepLines/>
      <w:spacing w:before="240" w:after="0"/>
      <w:outlineLvl w:val="0"/>
    </w:pPr>
    <w:rPr>
      <w:rFonts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3466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4664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4664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4664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4664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664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664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664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AF7392"/>
    <w:pPr>
      <w:numPr>
        <w:ilvl w:val="1"/>
      </w:numPr>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rsid w:val="00AF7392"/>
    <w:rPr>
      <w:rFonts w:eastAsiaTheme="minorEastAsia" w:cstheme="minorBidi"/>
      <w:color w:val="5A5A5A" w:themeColor="text1" w:themeTint="A5"/>
      <w:spacing w:val="15"/>
    </w:rPr>
  </w:style>
  <w:style w:type="character" w:customStyle="1" w:styleId="Heading1Char">
    <w:name w:val="Heading 1 Char"/>
    <w:basedOn w:val="DefaultParagraphFont"/>
    <w:link w:val="Heading1"/>
    <w:uiPriority w:val="9"/>
    <w:rsid w:val="00AF7392"/>
    <w:rPr>
      <w:rFonts w:eastAsiaTheme="majorEastAsia" w:cstheme="majorBidi"/>
      <w:color w:val="0F4761" w:themeColor="accent1" w:themeShade="BF"/>
      <w:sz w:val="32"/>
      <w:szCs w:val="32"/>
    </w:rPr>
  </w:style>
  <w:style w:type="paragraph" w:styleId="NoSpacing">
    <w:name w:val="No Spacing"/>
    <w:uiPriority w:val="1"/>
    <w:qFormat/>
    <w:rsid w:val="00AF7392"/>
    <w:pPr>
      <w:spacing w:after="0" w:line="240" w:lineRule="auto"/>
    </w:pPr>
  </w:style>
  <w:style w:type="paragraph" w:styleId="Title">
    <w:name w:val="Title"/>
    <w:basedOn w:val="Normal"/>
    <w:next w:val="Normal"/>
    <w:link w:val="TitleChar"/>
    <w:uiPriority w:val="10"/>
    <w:qFormat/>
    <w:rsid w:val="00AF7392"/>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AF7392"/>
    <w:rPr>
      <w:rFonts w:eastAsiaTheme="majorEastAsia" w:cstheme="majorBidi"/>
      <w:spacing w:val="-10"/>
      <w:kern w:val="28"/>
      <w:sz w:val="56"/>
      <w:szCs w:val="56"/>
    </w:rPr>
  </w:style>
  <w:style w:type="character" w:styleId="SubtleEmphasis">
    <w:name w:val="Subtle Emphasis"/>
    <w:basedOn w:val="DefaultParagraphFont"/>
    <w:uiPriority w:val="19"/>
    <w:qFormat/>
    <w:rsid w:val="00AF7392"/>
    <w:rPr>
      <w:rFonts w:ascii="Arial" w:hAnsi="Arial"/>
      <w:i/>
      <w:iCs/>
      <w:color w:val="404040" w:themeColor="text1" w:themeTint="BF"/>
    </w:rPr>
  </w:style>
  <w:style w:type="character" w:styleId="Emphasis">
    <w:name w:val="Emphasis"/>
    <w:basedOn w:val="DefaultParagraphFont"/>
    <w:uiPriority w:val="20"/>
    <w:qFormat/>
    <w:rsid w:val="00AF7392"/>
    <w:rPr>
      <w:rFonts w:ascii="Arial" w:hAnsi="Arial"/>
      <w:i/>
      <w:iCs/>
    </w:rPr>
  </w:style>
  <w:style w:type="paragraph" w:styleId="Quote">
    <w:name w:val="Quote"/>
    <w:basedOn w:val="Normal"/>
    <w:next w:val="Normal"/>
    <w:link w:val="QuoteChar"/>
    <w:uiPriority w:val="29"/>
    <w:qFormat/>
    <w:rsid w:val="00AF739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F7392"/>
    <w:rPr>
      <w:i/>
      <w:iCs/>
      <w:color w:val="404040" w:themeColor="text1" w:themeTint="BF"/>
    </w:rPr>
  </w:style>
  <w:style w:type="character" w:styleId="SubtleReference">
    <w:name w:val="Subtle Reference"/>
    <w:basedOn w:val="DefaultParagraphFont"/>
    <w:uiPriority w:val="31"/>
    <w:qFormat/>
    <w:rsid w:val="00AF7392"/>
    <w:rPr>
      <w:rFonts w:ascii="Arial" w:hAnsi="Arial"/>
      <w:smallCaps/>
      <w:color w:val="5A5A5A" w:themeColor="text1" w:themeTint="A5"/>
    </w:rPr>
  </w:style>
  <w:style w:type="character" w:styleId="IntenseReference">
    <w:name w:val="Intense Reference"/>
    <w:basedOn w:val="DefaultParagraphFont"/>
    <w:uiPriority w:val="32"/>
    <w:qFormat/>
    <w:rsid w:val="00AF7392"/>
    <w:rPr>
      <w:rFonts w:ascii="Arial" w:hAnsi="Arial"/>
      <w:b/>
      <w:bCs/>
      <w:smallCaps/>
      <w:color w:val="156082" w:themeColor="accent1"/>
      <w:spacing w:val="5"/>
    </w:rPr>
  </w:style>
  <w:style w:type="paragraph" w:styleId="Caption">
    <w:name w:val="caption"/>
    <w:basedOn w:val="Normal"/>
    <w:next w:val="Normal"/>
    <w:uiPriority w:val="35"/>
    <w:unhideWhenUsed/>
    <w:qFormat/>
    <w:rsid w:val="00AF7392"/>
    <w:pPr>
      <w:spacing w:after="200" w:line="240" w:lineRule="auto"/>
    </w:pPr>
    <w:rPr>
      <w:b/>
      <w:iCs/>
      <w:color w:val="0E2841" w:themeColor="text2"/>
      <w:sz w:val="18"/>
      <w:szCs w:val="18"/>
    </w:rPr>
  </w:style>
  <w:style w:type="character" w:customStyle="1" w:styleId="Heading2Char">
    <w:name w:val="Heading 2 Char"/>
    <w:basedOn w:val="DefaultParagraphFont"/>
    <w:link w:val="Heading2"/>
    <w:uiPriority w:val="9"/>
    <w:rsid w:val="003466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4664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34664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4664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4664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4664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4664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46640"/>
    <w:rPr>
      <w:rFonts w:asciiTheme="minorHAnsi" w:eastAsiaTheme="majorEastAsia" w:hAnsiTheme="minorHAnsi" w:cstheme="majorBidi"/>
      <w:color w:val="272727" w:themeColor="text1" w:themeTint="D8"/>
    </w:rPr>
  </w:style>
  <w:style w:type="paragraph" w:styleId="ListParagraph">
    <w:name w:val="List Paragraph"/>
    <w:aliases w:val="List_Paragraph,Multilevel para_II,List Paragraph1,Akapit z listą BS,Bullet1,Bullets,List Paragraph 1,References,List Paragraph (numbered (a)),IBL List Paragraph,List Paragraph nowy,Numbered List Paragraph,WYPUNKTOWANIE Akapit z listą"/>
    <w:basedOn w:val="Normal"/>
    <w:link w:val="ListParagraphChar"/>
    <w:uiPriority w:val="34"/>
    <w:qFormat/>
    <w:rsid w:val="00346640"/>
    <w:pPr>
      <w:ind w:left="720"/>
      <w:contextualSpacing/>
    </w:pPr>
  </w:style>
  <w:style w:type="character" w:styleId="IntenseEmphasis">
    <w:name w:val="Intense Emphasis"/>
    <w:basedOn w:val="DefaultParagraphFont"/>
    <w:uiPriority w:val="21"/>
    <w:qFormat/>
    <w:rsid w:val="00346640"/>
    <w:rPr>
      <w:i/>
      <w:iCs/>
      <w:color w:val="0F4761" w:themeColor="accent1" w:themeShade="BF"/>
    </w:rPr>
  </w:style>
  <w:style w:type="paragraph" w:styleId="IntenseQuote">
    <w:name w:val="Intense Quote"/>
    <w:basedOn w:val="Normal"/>
    <w:next w:val="Normal"/>
    <w:link w:val="IntenseQuoteChar"/>
    <w:uiPriority w:val="30"/>
    <w:qFormat/>
    <w:rsid w:val="003466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6640"/>
    <w:rPr>
      <w:i/>
      <w:iCs/>
      <w:color w:val="0F4761" w:themeColor="accent1" w:themeShade="BF"/>
    </w:rPr>
  </w:style>
  <w:style w:type="character" w:styleId="FootnoteReference">
    <w:name w:val="footnote reference"/>
    <w:aliases w:val="Odwołanie przypisu,EN Footnote Reference,Times 10 Point,Exposant 3 Point,Footnote symbol,Footnote reference number,note TESI,stylish,Footnote Reference Number,BVI fnr,SUPERS,(Footnote Reference),Voetnootverwijzing,Footnote,fr"/>
    <w:basedOn w:val="DefaultParagraphFont"/>
    <w:uiPriority w:val="99"/>
    <w:rsid w:val="002F0704"/>
    <w:rPr>
      <w:vertAlign w:val="superscript"/>
      <w:lang w:val="pl-PL"/>
    </w:rPr>
  </w:style>
  <w:style w:type="paragraph" w:styleId="FootnoteText">
    <w:name w:val="footnote text"/>
    <w:aliases w:val="PZRP_przypis,Znak,Tekst przypisu,~FootnoteText,Podrozdział,przypis dolny_R,Podrozdzia3,-E Fuﬂnotentext,Fuﬂnotentext Ursprung,Fußnotentext Ursprung,-E Fußnotentext,Footnote text,Tekst przypisu Znak Znak Znak Znak,Znak1, Znak, Znak1"/>
    <w:basedOn w:val="Normal"/>
    <w:link w:val="FootnoteTextChar"/>
    <w:qFormat/>
    <w:rsid w:val="002F0704"/>
    <w:pPr>
      <w:spacing w:after="0" w:line="200" w:lineRule="atLeast"/>
      <w:ind w:left="113" w:hanging="113"/>
      <w:jc w:val="both"/>
    </w:pPr>
    <w:rPr>
      <w:rFonts w:cstheme="minorBidi"/>
      <w:kern w:val="0"/>
      <w:sz w:val="16"/>
      <w:szCs w:val="20"/>
      <w14:ligatures w14:val="none"/>
    </w:rPr>
  </w:style>
  <w:style w:type="character" w:customStyle="1" w:styleId="FootnoteTextChar">
    <w:name w:val="Footnote Text Char"/>
    <w:aliases w:val="PZRP_przypis Char,Znak Char,Tekst przypisu Char,~FootnoteText Char,Podrozdział Char,przypis dolny_R Char,Podrozdzia3 Char,-E Fuﬂnotentext Char,Fuﬂnotentext Ursprung Char,Fußnotentext Ursprung Char,-E Fußnotentext Char,Znak1 Char"/>
    <w:basedOn w:val="DefaultParagraphFont"/>
    <w:link w:val="FootnoteText"/>
    <w:rsid w:val="002F0704"/>
    <w:rPr>
      <w:rFonts w:cstheme="minorBidi"/>
      <w:kern w:val="0"/>
      <w:sz w:val="16"/>
      <w:szCs w:val="20"/>
      <w14:ligatures w14:val="none"/>
    </w:rPr>
  </w:style>
  <w:style w:type="character" w:styleId="Hyperlink">
    <w:name w:val="Hyperlink"/>
    <w:basedOn w:val="DefaultParagraphFont"/>
    <w:uiPriority w:val="99"/>
    <w:rsid w:val="002F0704"/>
    <w:rPr>
      <w:color w:val="467886" w:themeColor="hyperlink"/>
      <w:u w:val="single"/>
      <w:lang w:val="pl-PL"/>
    </w:rPr>
  </w:style>
  <w:style w:type="character" w:customStyle="1" w:styleId="ListParagraphChar">
    <w:name w:val="List Paragraph Char"/>
    <w:aliases w:val="List_Paragraph Char,Multilevel para_II Char,List Paragraph1 Char,Akapit z listą BS Char,Bullet1 Char,Bullets Char,List Paragraph 1 Char,References Char,List Paragraph (numbered (a)) Char,IBL List Paragraph Char"/>
    <w:link w:val="ListParagraph"/>
    <w:uiPriority w:val="34"/>
    <w:qFormat/>
    <w:locked/>
    <w:rsid w:val="006B496F"/>
  </w:style>
  <w:style w:type="table" w:customStyle="1" w:styleId="Swecotable">
    <w:name w:val="Sweco table"/>
    <w:basedOn w:val="TableNormal"/>
    <w:uiPriority w:val="99"/>
    <w:rsid w:val="006F7B36"/>
    <w:pPr>
      <w:spacing w:before="20" w:after="20" w:line="200" w:lineRule="atLeast"/>
      <w:ind w:left="57" w:right="57"/>
    </w:pPr>
    <w:rPr>
      <w:kern w:val="0"/>
      <w:sz w:val="16"/>
      <w:szCs w:val="20"/>
      <w:lang w:val="da-DK"/>
      <w14:ligatures w14:val="none"/>
    </w:rPr>
    <w:tblPr>
      <w:tblStyleRowBandSize w:val="1"/>
      <w:tblStyleColBandSize w:val="1"/>
      <w:tblInd w:w="0" w:type="nil"/>
      <w:tblBorders>
        <w:top w:val="single" w:sz="4" w:space="0" w:color="auto"/>
        <w:bottom w:val="single" w:sz="4" w:space="0" w:color="auto"/>
        <w:insideH w:val="single" w:sz="4" w:space="0" w:color="auto"/>
      </w:tblBorders>
      <w:tblCellMar>
        <w:left w:w="0" w:type="dxa"/>
        <w:right w:w="0" w:type="dxa"/>
      </w:tblCellMar>
    </w:tblPr>
    <w:tblStylePr w:type="firstRow">
      <w:tblPr/>
      <w:tcPr>
        <w:shd w:val="clear" w:color="auto" w:fill="E8E8E8" w:themeFill="background2"/>
      </w:tcPr>
    </w:tblStylePr>
    <w:tblStylePr w:type="lastRow">
      <w:rPr>
        <w:b/>
      </w:rPr>
    </w:tblStylePr>
  </w:style>
  <w:style w:type="numbering" w:styleId="111111">
    <w:name w:val="Outline List 2"/>
    <w:basedOn w:val="NoList"/>
    <w:uiPriority w:val="99"/>
    <w:semiHidden/>
    <w:rsid w:val="006F7B36"/>
    <w:pPr>
      <w:numPr>
        <w:numId w:val="18"/>
      </w:numPr>
    </w:pPr>
  </w:style>
  <w:style w:type="table" w:customStyle="1" w:styleId="Tabela-Siatka1">
    <w:name w:val="Tabela - Siatka1"/>
    <w:basedOn w:val="TableNormal"/>
    <w:uiPriority w:val="39"/>
    <w:rsid w:val="00862AC8"/>
    <w:pPr>
      <w:spacing w:after="0" w:line="240" w:lineRule="auto"/>
    </w:pPr>
    <w:rPr>
      <w:rFonts w:ascii="Calibri" w:hAnsi="Calibri" w:cstheme="minorBidi"/>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B232C"/>
    <w:rPr>
      <w:color w:val="605E5C"/>
      <w:shd w:val="clear" w:color="auto" w:fill="E1DFDD"/>
    </w:rPr>
  </w:style>
  <w:style w:type="paragraph" w:styleId="Header">
    <w:name w:val="header"/>
    <w:basedOn w:val="Normal"/>
    <w:link w:val="HeaderChar"/>
    <w:uiPriority w:val="99"/>
    <w:unhideWhenUsed/>
    <w:rsid w:val="00F067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7C5"/>
  </w:style>
  <w:style w:type="paragraph" w:styleId="Footer">
    <w:name w:val="footer"/>
    <w:basedOn w:val="Normal"/>
    <w:link w:val="FooterChar"/>
    <w:uiPriority w:val="99"/>
    <w:unhideWhenUsed/>
    <w:rsid w:val="00F067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7C5"/>
  </w:style>
  <w:style w:type="table" w:styleId="TableGrid">
    <w:name w:val="Table Grid"/>
    <w:aliases w:val="Table Grid SW"/>
    <w:basedOn w:val="TableNormal"/>
    <w:uiPriority w:val="39"/>
    <w:rsid w:val="00E83CBD"/>
    <w:pPr>
      <w:spacing w:before="120" w:after="0" w:line="240" w:lineRule="auto"/>
      <w:jc w:val="both"/>
    </w:pPr>
    <w:rPr>
      <w:rFonts w:ascii="Aptos" w:hAnsi="Apto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B02F89"/>
    <w:pPr>
      <w:numPr>
        <w:numId w:val="27"/>
      </w:numPr>
      <w:contextualSpacing/>
    </w:pPr>
  </w:style>
  <w:style w:type="paragraph" w:styleId="ListNumber">
    <w:name w:val="List Number"/>
    <w:basedOn w:val="Normal"/>
    <w:uiPriority w:val="99"/>
    <w:semiHidden/>
    <w:unhideWhenUsed/>
    <w:rsid w:val="00B02F89"/>
    <w:pPr>
      <w:numPr>
        <w:numId w:val="28"/>
      </w:numPr>
      <w:contextualSpacing/>
    </w:pPr>
  </w:style>
  <w:style w:type="paragraph" w:styleId="TableofFigures">
    <w:name w:val="table of figures"/>
    <w:basedOn w:val="Normal"/>
    <w:next w:val="Normal"/>
    <w:uiPriority w:val="99"/>
    <w:unhideWhenUsed/>
    <w:rsid w:val="006B4AF0"/>
    <w:pPr>
      <w:spacing w:after="0"/>
    </w:pPr>
  </w:style>
  <w:style w:type="paragraph" w:styleId="TOC1">
    <w:name w:val="toc 1"/>
    <w:basedOn w:val="Normal"/>
    <w:next w:val="Normal"/>
    <w:autoRedefine/>
    <w:uiPriority w:val="39"/>
    <w:unhideWhenUsed/>
    <w:rsid w:val="009A05DF"/>
    <w:pPr>
      <w:tabs>
        <w:tab w:val="right" w:leader="dot" w:pos="9062"/>
      </w:tabs>
      <w:spacing w:after="100"/>
    </w:pPr>
    <w:rPr>
      <w:rFonts w:asciiTheme="majorHAnsi" w:eastAsia="Aptos" w:hAnsiTheme="majorHAnsi"/>
      <w:noProof w:val="0"/>
      <w:color w:val="0F4761" w:themeColor="accent1" w:themeShade="BF"/>
      <w:kern w:val="0"/>
      <w:sz w:val="36"/>
      <w:szCs w:val="36"/>
      <w14:ligatures w14:val="none"/>
    </w:rPr>
  </w:style>
  <w:style w:type="paragraph" w:styleId="TOC2">
    <w:name w:val="toc 2"/>
    <w:basedOn w:val="Normal"/>
    <w:next w:val="Normal"/>
    <w:autoRedefine/>
    <w:uiPriority w:val="39"/>
    <w:unhideWhenUsed/>
    <w:rsid w:val="002369FD"/>
    <w:pPr>
      <w:spacing w:after="100"/>
      <w:ind w:left="220"/>
    </w:pPr>
  </w:style>
  <w:style w:type="paragraph" w:styleId="TOC3">
    <w:name w:val="toc 3"/>
    <w:basedOn w:val="Normal"/>
    <w:next w:val="Normal"/>
    <w:autoRedefine/>
    <w:uiPriority w:val="39"/>
    <w:unhideWhenUsed/>
    <w:rsid w:val="002369FD"/>
    <w:pPr>
      <w:spacing w:after="100"/>
      <w:ind w:left="440"/>
    </w:pPr>
  </w:style>
  <w:style w:type="paragraph" w:styleId="BalloonText">
    <w:name w:val="Balloon Text"/>
    <w:basedOn w:val="Normal"/>
    <w:link w:val="BalloonTextChar"/>
    <w:unhideWhenUsed/>
    <w:rsid w:val="00D448EA"/>
    <w:pPr>
      <w:spacing w:after="0" w:line="240" w:lineRule="auto"/>
    </w:pPr>
    <w:rPr>
      <w:rFonts w:ascii="Tahoma" w:hAnsi="Tahoma" w:cs="Tahoma"/>
      <w:noProof w:val="0"/>
      <w:kern w:val="0"/>
      <w:sz w:val="16"/>
      <w:szCs w:val="16"/>
      <w14:ligatures w14:val="none"/>
    </w:rPr>
  </w:style>
  <w:style w:type="character" w:customStyle="1" w:styleId="BalloonTextChar">
    <w:name w:val="Balloon Text Char"/>
    <w:basedOn w:val="DefaultParagraphFont"/>
    <w:link w:val="BalloonText"/>
    <w:rsid w:val="00D448EA"/>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image" Target="media/image22.png"/><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2.png"/><Relationship Id="rId55" Type="http://schemas.openxmlformats.org/officeDocument/2006/relationships/hyperlink" Target="https://www.gov.pl/web/gdos/rudbeckia-laciniata---rudbekia-naga"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12.png"/><Relationship Id="rId11" Type="http://schemas.openxmlformats.org/officeDocument/2006/relationships/header" Target="header1.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4.jpeg"/><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image" Target="media/image33.pn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theme" Target="theme/theme1.xml"/><Relationship Id="rId20" Type="http://schemas.openxmlformats.org/officeDocument/2006/relationships/image" Target="media/image3.png"/><Relationship Id="rId41" Type="http://schemas.openxmlformats.org/officeDocument/2006/relationships/image" Target="media/image24.png"/><Relationship Id="rId54" Type="http://schemas.openxmlformats.org/officeDocument/2006/relationships/image" Target="media/image35.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hyperlink" Target="https://www.gov.pl/web/gdos/kompendia-zwalczania-wybranych-igo" TargetMode="External"/><Relationship Id="rId57" Type="http://schemas.openxmlformats.org/officeDocument/2006/relationships/footer" Target="footer5.xml"/><Relationship Id="rId10" Type="http://schemas.openxmlformats.org/officeDocument/2006/relationships/endnotes" Target="endnotes.xm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hyperlink" Target="https://www.gov.pl/web/gdos/kompendia-zwalczania-wybranych-ig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gov.pl/web/gdos/kompendia-zwalczania-wybranych-igo" TargetMode="External"/><Relationship Id="rId1" Type="http://schemas.openxmlformats.org/officeDocument/2006/relationships/hyperlink" Target="https://www.gov.pl/web/gdos/kompendia-zwalczania-wybranych-i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7a6bfe-207f-4858-80fb-37dc1f4a6726">
      <Terms xmlns="http://schemas.microsoft.com/office/infopath/2007/PartnerControls"/>
    </lcf76f155ced4ddcb4097134ff3c332f>
    <TaxCatchAll xmlns="b9ea1f7e-ea6a-40f1-9a68-00e07e15080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9BCCDFA12969845B6E34772D4EB2CA7" ma:contentTypeVersion="13" ma:contentTypeDescription="Create a new document." ma:contentTypeScope="" ma:versionID="fbd4abbc2fad5ec9bcae0b972af5ae4d">
  <xsd:schema xmlns:xsd="http://www.w3.org/2001/XMLSchema" xmlns:xs="http://www.w3.org/2001/XMLSchema" xmlns:p="http://schemas.microsoft.com/office/2006/metadata/properties" xmlns:ns2="237a6bfe-207f-4858-80fb-37dc1f4a6726" xmlns:ns3="b9ea1f7e-ea6a-40f1-9a68-00e07e150805" targetNamespace="http://schemas.microsoft.com/office/2006/metadata/properties" ma:root="true" ma:fieldsID="5fdc9110931b37943a05d44c53e95c99" ns2:_="" ns3:_="">
    <xsd:import namespace="237a6bfe-207f-4858-80fb-37dc1f4a6726"/>
    <xsd:import namespace="b9ea1f7e-ea6a-40f1-9a68-00e07e1508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a6bfe-207f-4858-80fb-37dc1f4a67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ea1f7e-ea6a-40f1-9a68-00e07e1508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b7b173-6624-4834-adc4-ac487b0b590c}" ma:internalName="TaxCatchAll" ma:showField="CatchAllData" ma:web="b9ea1f7e-ea6a-40f1-9a68-00e07e1508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5CF67A-320C-470A-9D68-5E7042BA3EF4}">
  <ds:schemaRefs>
    <ds:schemaRef ds:uri="http://schemas.openxmlformats.org/officeDocument/2006/bibliography"/>
  </ds:schemaRefs>
</ds:datastoreItem>
</file>

<file path=customXml/itemProps2.xml><?xml version="1.0" encoding="utf-8"?>
<ds:datastoreItem xmlns:ds="http://schemas.openxmlformats.org/officeDocument/2006/customXml" ds:itemID="{D0D45C2A-8FC6-469A-A5AF-F39D60C99CAB}">
  <ds:schemaRefs>
    <ds:schemaRef ds:uri="http://schemas.microsoft.com/office/2006/metadata/properties"/>
    <ds:schemaRef ds:uri="http://schemas.microsoft.com/office/infopath/2007/PartnerControls"/>
    <ds:schemaRef ds:uri="237a6bfe-207f-4858-80fb-37dc1f4a6726"/>
    <ds:schemaRef ds:uri="b9ea1f7e-ea6a-40f1-9a68-00e07e150805"/>
  </ds:schemaRefs>
</ds:datastoreItem>
</file>

<file path=customXml/itemProps3.xml><?xml version="1.0" encoding="utf-8"?>
<ds:datastoreItem xmlns:ds="http://schemas.openxmlformats.org/officeDocument/2006/customXml" ds:itemID="{E1CB7841-607B-4C15-B3BA-B6EAEEF70564}">
  <ds:schemaRefs>
    <ds:schemaRef ds:uri="http://schemas.microsoft.com/sharepoint/v3/contenttype/forms"/>
  </ds:schemaRefs>
</ds:datastoreItem>
</file>

<file path=customXml/itemProps4.xml><?xml version="1.0" encoding="utf-8"?>
<ds:datastoreItem xmlns:ds="http://schemas.openxmlformats.org/officeDocument/2006/customXml" ds:itemID="{6E4E63DB-7F4F-4761-AACA-17650E0DB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a6bfe-207f-4858-80fb-37dc1f4a6726"/>
    <ds:schemaRef ds:uri="b9ea1f7e-ea6a-40f1-9a68-00e07e150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15700</Words>
  <Characters>89492</Characters>
  <Application>Microsoft Office Word</Application>
  <DocSecurity>4</DocSecurity>
  <Lines>745</Lines>
  <Paragraphs>209</Paragraphs>
  <ScaleCrop>false</ScaleCrop>
  <Company/>
  <LinksUpToDate>false</LinksUpToDate>
  <CharactersWithSpaces>104983</CharactersWithSpaces>
  <SharedDoc>false</SharedDoc>
  <HLinks>
    <vt:vector size="240" baseType="variant">
      <vt:variant>
        <vt:i4>1572920</vt:i4>
      </vt:variant>
      <vt:variant>
        <vt:i4>251</vt:i4>
      </vt:variant>
      <vt:variant>
        <vt:i4>0</vt:i4>
      </vt:variant>
      <vt:variant>
        <vt:i4>5</vt:i4>
      </vt:variant>
      <vt:variant>
        <vt:lpwstr/>
      </vt:variant>
      <vt:variant>
        <vt:lpwstr>_Toc239856621</vt:lpwstr>
      </vt:variant>
      <vt:variant>
        <vt:i4>1572920</vt:i4>
      </vt:variant>
      <vt:variant>
        <vt:i4>245</vt:i4>
      </vt:variant>
      <vt:variant>
        <vt:i4>0</vt:i4>
      </vt:variant>
      <vt:variant>
        <vt:i4>5</vt:i4>
      </vt:variant>
      <vt:variant>
        <vt:lpwstr/>
      </vt:variant>
      <vt:variant>
        <vt:lpwstr>_Toc239856620</vt:lpwstr>
      </vt:variant>
      <vt:variant>
        <vt:i4>1769528</vt:i4>
      </vt:variant>
      <vt:variant>
        <vt:i4>239</vt:i4>
      </vt:variant>
      <vt:variant>
        <vt:i4>0</vt:i4>
      </vt:variant>
      <vt:variant>
        <vt:i4>5</vt:i4>
      </vt:variant>
      <vt:variant>
        <vt:lpwstr/>
      </vt:variant>
      <vt:variant>
        <vt:lpwstr>_Toc239856619</vt:lpwstr>
      </vt:variant>
      <vt:variant>
        <vt:i4>1769528</vt:i4>
      </vt:variant>
      <vt:variant>
        <vt:i4>233</vt:i4>
      </vt:variant>
      <vt:variant>
        <vt:i4>0</vt:i4>
      </vt:variant>
      <vt:variant>
        <vt:i4>5</vt:i4>
      </vt:variant>
      <vt:variant>
        <vt:lpwstr/>
      </vt:variant>
      <vt:variant>
        <vt:lpwstr>_Toc239856618</vt:lpwstr>
      </vt:variant>
      <vt:variant>
        <vt:i4>1769528</vt:i4>
      </vt:variant>
      <vt:variant>
        <vt:i4>227</vt:i4>
      </vt:variant>
      <vt:variant>
        <vt:i4>0</vt:i4>
      </vt:variant>
      <vt:variant>
        <vt:i4>5</vt:i4>
      </vt:variant>
      <vt:variant>
        <vt:lpwstr/>
      </vt:variant>
      <vt:variant>
        <vt:lpwstr>_Toc239856617</vt:lpwstr>
      </vt:variant>
      <vt:variant>
        <vt:i4>1769528</vt:i4>
      </vt:variant>
      <vt:variant>
        <vt:i4>221</vt:i4>
      </vt:variant>
      <vt:variant>
        <vt:i4>0</vt:i4>
      </vt:variant>
      <vt:variant>
        <vt:i4>5</vt:i4>
      </vt:variant>
      <vt:variant>
        <vt:lpwstr/>
      </vt:variant>
      <vt:variant>
        <vt:lpwstr>_Toc239856616</vt:lpwstr>
      </vt:variant>
      <vt:variant>
        <vt:i4>1769528</vt:i4>
      </vt:variant>
      <vt:variant>
        <vt:i4>215</vt:i4>
      </vt:variant>
      <vt:variant>
        <vt:i4>0</vt:i4>
      </vt:variant>
      <vt:variant>
        <vt:i4>5</vt:i4>
      </vt:variant>
      <vt:variant>
        <vt:lpwstr/>
      </vt:variant>
      <vt:variant>
        <vt:lpwstr>_Toc239856615</vt:lpwstr>
      </vt:variant>
      <vt:variant>
        <vt:i4>1769528</vt:i4>
      </vt:variant>
      <vt:variant>
        <vt:i4>209</vt:i4>
      </vt:variant>
      <vt:variant>
        <vt:i4>0</vt:i4>
      </vt:variant>
      <vt:variant>
        <vt:i4>5</vt:i4>
      </vt:variant>
      <vt:variant>
        <vt:lpwstr/>
      </vt:variant>
      <vt:variant>
        <vt:lpwstr>_Toc239856614</vt:lpwstr>
      </vt:variant>
      <vt:variant>
        <vt:i4>6684720</vt:i4>
      </vt:variant>
      <vt:variant>
        <vt:i4>171</vt:i4>
      </vt:variant>
      <vt:variant>
        <vt:i4>0</vt:i4>
      </vt:variant>
      <vt:variant>
        <vt:i4>5</vt:i4>
      </vt:variant>
      <vt:variant>
        <vt:lpwstr>https://www.gov.pl/web/gdos/rudbeckia-laciniata---rudbekia-naga</vt:lpwstr>
      </vt:variant>
      <vt:variant>
        <vt:lpwstr/>
      </vt:variant>
      <vt:variant>
        <vt:i4>7274532</vt:i4>
      </vt:variant>
      <vt:variant>
        <vt:i4>168</vt:i4>
      </vt:variant>
      <vt:variant>
        <vt:i4>0</vt:i4>
      </vt:variant>
      <vt:variant>
        <vt:i4>5</vt:i4>
      </vt:variant>
      <vt:variant>
        <vt:lpwstr>https://www.gov.pl/web/gdos/kompendia-zwalczania-wybranych-igo</vt:lpwstr>
      </vt:variant>
      <vt:variant>
        <vt:lpwstr/>
      </vt:variant>
      <vt:variant>
        <vt:i4>7274532</vt:i4>
      </vt:variant>
      <vt:variant>
        <vt:i4>165</vt:i4>
      </vt:variant>
      <vt:variant>
        <vt:i4>0</vt:i4>
      </vt:variant>
      <vt:variant>
        <vt:i4>5</vt:i4>
      </vt:variant>
      <vt:variant>
        <vt:lpwstr>https://www.gov.pl/web/gdos/kompendia-zwalczania-wybranych-igo</vt:lpwstr>
      </vt:variant>
      <vt:variant>
        <vt:lpwstr/>
      </vt:variant>
      <vt:variant>
        <vt:i4>1769529</vt:i4>
      </vt:variant>
      <vt:variant>
        <vt:i4>158</vt:i4>
      </vt:variant>
      <vt:variant>
        <vt:i4>0</vt:i4>
      </vt:variant>
      <vt:variant>
        <vt:i4>5</vt:i4>
      </vt:variant>
      <vt:variant>
        <vt:lpwstr/>
      </vt:variant>
      <vt:variant>
        <vt:lpwstr>_Toc239856715</vt:lpwstr>
      </vt:variant>
      <vt:variant>
        <vt:i4>1769529</vt:i4>
      </vt:variant>
      <vt:variant>
        <vt:i4>152</vt:i4>
      </vt:variant>
      <vt:variant>
        <vt:i4>0</vt:i4>
      </vt:variant>
      <vt:variant>
        <vt:i4>5</vt:i4>
      </vt:variant>
      <vt:variant>
        <vt:lpwstr/>
      </vt:variant>
      <vt:variant>
        <vt:lpwstr>_Toc239856714</vt:lpwstr>
      </vt:variant>
      <vt:variant>
        <vt:i4>1769529</vt:i4>
      </vt:variant>
      <vt:variant>
        <vt:i4>146</vt:i4>
      </vt:variant>
      <vt:variant>
        <vt:i4>0</vt:i4>
      </vt:variant>
      <vt:variant>
        <vt:i4>5</vt:i4>
      </vt:variant>
      <vt:variant>
        <vt:lpwstr/>
      </vt:variant>
      <vt:variant>
        <vt:lpwstr>_Toc239856713</vt:lpwstr>
      </vt:variant>
      <vt:variant>
        <vt:i4>1769529</vt:i4>
      </vt:variant>
      <vt:variant>
        <vt:i4>140</vt:i4>
      </vt:variant>
      <vt:variant>
        <vt:i4>0</vt:i4>
      </vt:variant>
      <vt:variant>
        <vt:i4>5</vt:i4>
      </vt:variant>
      <vt:variant>
        <vt:lpwstr/>
      </vt:variant>
      <vt:variant>
        <vt:lpwstr>_Toc239856712</vt:lpwstr>
      </vt:variant>
      <vt:variant>
        <vt:i4>1769529</vt:i4>
      </vt:variant>
      <vt:variant>
        <vt:i4>134</vt:i4>
      </vt:variant>
      <vt:variant>
        <vt:i4>0</vt:i4>
      </vt:variant>
      <vt:variant>
        <vt:i4>5</vt:i4>
      </vt:variant>
      <vt:variant>
        <vt:lpwstr/>
      </vt:variant>
      <vt:variant>
        <vt:lpwstr>_Toc239856711</vt:lpwstr>
      </vt:variant>
      <vt:variant>
        <vt:i4>1769529</vt:i4>
      </vt:variant>
      <vt:variant>
        <vt:i4>128</vt:i4>
      </vt:variant>
      <vt:variant>
        <vt:i4>0</vt:i4>
      </vt:variant>
      <vt:variant>
        <vt:i4>5</vt:i4>
      </vt:variant>
      <vt:variant>
        <vt:lpwstr/>
      </vt:variant>
      <vt:variant>
        <vt:lpwstr>_Toc239856710</vt:lpwstr>
      </vt:variant>
      <vt:variant>
        <vt:i4>1703993</vt:i4>
      </vt:variant>
      <vt:variant>
        <vt:i4>122</vt:i4>
      </vt:variant>
      <vt:variant>
        <vt:i4>0</vt:i4>
      </vt:variant>
      <vt:variant>
        <vt:i4>5</vt:i4>
      </vt:variant>
      <vt:variant>
        <vt:lpwstr/>
      </vt:variant>
      <vt:variant>
        <vt:lpwstr>_Toc239856709</vt:lpwstr>
      </vt:variant>
      <vt:variant>
        <vt:i4>1703993</vt:i4>
      </vt:variant>
      <vt:variant>
        <vt:i4>116</vt:i4>
      </vt:variant>
      <vt:variant>
        <vt:i4>0</vt:i4>
      </vt:variant>
      <vt:variant>
        <vt:i4>5</vt:i4>
      </vt:variant>
      <vt:variant>
        <vt:lpwstr/>
      </vt:variant>
      <vt:variant>
        <vt:lpwstr>_Toc239856708</vt:lpwstr>
      </vt:variant>
      <vt:variant>
        <vt:i4>1703993</vt:i4>
      </vt:variant>
      <vt:variant>
        <vt:i4>110</vt:i4>
      </vt:variant>
      <vt:variant>
        <vt:i4>0</vt:i4>
      </vt:variant>
      <vt:variant>
        <vt:i4>5</vt:i4>
      </vt:variant>
      <vt:variant>
        <vt:lpwstr/>
      </vt:variant>
      <vt:variant>
        <vt:lpwstr>_Toc239856707</vt:lpwstr>
      </vt:variant>
      <vt:variant>
        <vt:i4>1703993</vt:i4>
      </vt:variant>
      <vt:variant>
        <vt:i4>104</vt:i4>
      </vt:variant>
      <vt:variant>
        <vt:i4>0</vt:i4>
      </vt:variant>
      <vt:variant>
        <vt:i4>5</vt:i4>
      </vt:variant>
      <vt:variant>
        <vt:lpwstr/>
      </vt:variant>
      <vt:variant>
        <vt:lpwstr>_Toc239856706</vt:lpwstr>
      </vt:variant>
      <vt:variant>
        <vt:i4>1703993</vt:i4>
      </vt:variant>
      <vt:variant>
        <vt:i4>98</vt:i4>
      </vt:variant>
      <vt:variant>
        <vt:i4>0</vt:i4>
      </vt:variant>
      <vt:variant>
        <vt:i4>5</vt:i4>
      </vt:variant>
      <vt:variant>
        <vt:lpwstr/>
      </vt:variant>
      <vt:variant>
        <vt:lpwstr>_Toc239856705</vt:lpwstr>
      </vt:variant>
      <vt:variant>
        <vt:i4>1703993</vt:i4>
      </vt:variant>
      <vt:variant>
        <vt:i4>92</vt:i4>
      </vt:variant>
      <vt:variant>
        <vt:i4>0</vt:i4>
      </vt:variant>
      <vt:variant>
        <vt:i4>5</vt:i4>
      </vt:variant>
      <vt:variant>
        <vt:lpwstr/>
      </vt:variant>
      <vt:variant>
        <vt:lpwstr>_Toc239856704</vt:lpwstr>
      </vt:variant>
      <vt:variant>
        <vt:i4>1703993</vt:i4>
      </vt:variant>
      <vt:variant>
        <vt:i4>86</vt:i4>
      </vt:variant>
      <vt:variant>
        <vt:i4>0</vt:i4>
      </vt:variant>
      <vt:variant>
        <vt:i4>5</vt:i4>
      </vt:variant>
      <vt:variant>
        <vt:lpwstr/>
      </vt:variant>
      <vt:variant>
        <vt:lpwstr>_Toc239856703</vt:lpwstr>
      </vt:variant>
      <vt:variant>
        <vt:i4>1703993</vt:i4>
      </vt:variant>
      <vt:variant>
        <vt:i4>80</vt:i4>
      </vt:variant>
      <vt:variant>
        <vt:i4>0</vt:i4>
      </vt:variant>
      <vt:variant>
        <vt:i4>5</vt:i4>
      </vt:variant>
      <vt:variant>
        <vt:lpwstr/>
      </vt:variant>
      <vt:variant>
        <vt:lpwstr>_Toc239856702</vt:lpwstr>
      </vt:variant>
      <vt:variant>
        <vt:i4>1703993</vt:i4>
      </vt:variant>
      <vt:variant>
        <vt:i4>74</vt:i4>
      </vt:variant>
      <vt:variant>
        <vt:i4>0</vt:i4>
      </vt:variant>
      <vt:variant>
        <vt:i4>5</vt:i4>
      </vt:variant>
      <vt:variant>
        <vt:lpwstr/>
      </vt:variant>
      <vt:variant>
        <vt:lpwstr>_Toc239856701</vt:lpwstr>
      </vt:variant>
      <vt:variant>
        <vt:i4>1703993</vt:i4>
      </vt:variant>
      <vt:variant>
        <vt:i4>68</vt:i4>
      </vt:variant>
      <vt:variant>
        <vt:i4>0</vt:i4>
      </vt:variant>
      <vt:variant>
        <vt:i4>5</vt:i4>
      </vt:variant>
      <vt:variant>
        <vt:lpwstr/>
      </vt:variant>
      <vt:variant>
        <vt:lpwstr>_Toc239856700</vt:lpwstr>
      </vt:variant>
      <vt:variant>
        <vt:i4>1245240</vt:i4>
      </vt:variant>
      <vt:variant>
        <vt:i4>62</vt:i4>
      </vt:variant>
      <vt:variant>
        <vt:i4>0</vt:i4>
      </vt:variant>
      <vt:variant>
        <vt:i4>5</vt:i4>
      </vt:variant>
      <vt:variant>
        <vt:lpwstr/>
      </vt:variant>
      <vt:variant>
        <vt:lpwstr>_Toc239856699</vt:lpwstr>
      </vt:variant>
      <vt:variant>
        <vt:i4>1245240</vt:i4>
      </vt:variant>
      <vt:variant>
        <vt:i4>56</vt:i4>
      </vt:variant>
      <vt:variant>
        <vt:i4>0</vt:i4>
      </vt:variant>
      <vt:variant>
        <vt:i4>5</vt:i4>
      </vt:variant>
      <vt:variant>
        <vt:lpwstr/>
      </vt:variant>
      <vt:variant>
        <vt:lpwstr>_Toc239856698</vt:lpwstr>
      </vt:variant>
      <vt:variant>
        <vt:i4>1245240</vt:i4>
      </vt:variant>
      <vt:variant>
        <vt:i4>50</vt:i4>
      </vt:variant>
      <vt:variant>
        <vt:i4>0</vt:i4>
      </vt:variant>
      <vt:variant>
        <vt:i4>5</vt:i4>
      </vt:variant>
      <vt:variant>
        <vt:lpwstr/>
      </vt:variant>
      <vt:variant>
        <vt:lpwstr>_Toc239856697</vt:lpwstr>
      </vt:variant>
      <vt:variant>
        <vt:i4>1245240</vt:i4>
      </vt:variant>
      <vt:variant>
        <vt:i4>44</vt:i4>
      </vt:variant>
      <vt:variant>
        <vt:i4>0</vt:i4>
      </vt:variant>
      <vt:variant>
        <vt:i4>5</vt:i4>
      </vt:variant>
      <vt:variant>
        <vt:lpwstr/>
      </vt:variant>
      <vt:variant>
        <vt:lpwstr>_Toc239856696</vt:lpwstr>
      </vt:variant>
      <vt:variant>
        <vt:i4>1245240</vt:i4>
      </vt:variant>
      <vt:variant>
        <vt:i4>38</vt:i4>
      </vt:variant>
      <vt:variant>
        <vt:i4>0</vt:i4>
      </vt:variant>
      <vt:variant>
        <vt:i4>5</vt:i4>
      </vt:variant>
      <vt:variant>
        <vt:lpwstr/>
      </vt:variant>
      <vt:variant>
        <vt:lpwstr>_Toc239856695</vt:lpwstr>
      </vt:variant>
      <vt:variant>
        <vt:i4>1245240</vt:i4>
      </vt:variant>
      <vt:variant>
        <vt:i4>32</vt:i4>
      </vt:variant>
      <vt:variant>
        <vt:i4>0</vt:i4>
      </vt:variant>
      <vt:variant>
        <vt:i4>5</vt:i4>
      </vt:variant>
      <vt:variant>
        <vt:lpwstr/>
      </vt:variant>
      <vt:variant>
        <vt:lpwstr>_Toc239856694</vt:lpwstr>
      </vt:variant>
      <vt:variant>
        <vt:i4>1245240</vt:i4>
      </vt:variant>
      <vt:variant>
        <vt:i4>26</vt:i4>
      </vt:variant>
      <vt:variant>
        <vt:i4>0</vt:i4>
      </vt:variant>
      <vt:variant>
        <vt:i4>5</vt:i4>
      </vt:variant>
      <vt:variant>
        <vt:lpwstr/>
      </vt:variant>
      <vt:variant>
        <vt:lpwstr>_Toc239856693</vt:lpwstr>
      </vt:variant>
      <vt:variant>
        <vt:i4>1245240</vt:i4>
      </vt:variant>
      <vt:variant>
        <vt:i4>20</vt:i4>
      </vt:variant>
      <vt:variant>
        <vt:i4>0</vt:i4>
      </vt:variant>
      <vt:variant>
        <vt:i4>5</vt:i4>
      </vt:variant>
      <vt:variant>
        <vt:lpwstr/>
      </vt:variant>
      <vt:variant>
        <vt:lpwstr>_Toc239856692</vt:lpwstr>
      </vt:variant>
      <vt:variant>
        <vt:i4>1245240</vt:i4>
      </vt:variant>
      <vt:variant>
        <vt:i4>14</vt:i4>
      </vt:variant>
      <vt:variant>
        <vt:i4>0</vt:i4>
      </vt:variant>
      <vt:variant>
        <vt:i4>5</vt:i4>
      </vt:variant>
      <vt:variant>
        <vt:lpwstr/>
      </vt:variant>
      <vt:variant>
        <vt:lpwstr>_Toc239856691</vt:lpwstr>
      </vt:variant>
      <vt:variant>
        <vt:i4>1245240</vt:i4>
      </vt:variant>
      <vt:variant>
        <vt:i4>8</vt:i4>
      </vt:variant>
      <vt:variant>
        <vt:i4>0</vt:i4>
      </vt:variant>
      <vt:variant>
        <vt:i4>5</vt:i4>
      </vt:variant>
      <vt:variant>
        <vt:lpwstr/>
      </vt:variant>
      <vt:variant>
        <vt:lpwstr>_Toc239856690</vt:lpwstr>
      </vt:variant>
      <vt:variant>
        <vt:i4>1179704</vt:i4>
      </vt:variant>
      <vt:variant>
        <vt:i4>2</vt:i4>
      </vt:variant>
      <vt:variant>
        <vt:i4>0</vt:i4>
      </vt:variant>
      <vt:variant>
        <vt:i4>5</vt:i4>
      </vt:variant>
      <vt:variant>
        <vt:lpwstr/>
      </vt:variant>
      <vt:variant>
        <vt:lpwstr>_Toc239856689</vt:lpwstr>
      </vt:variant>
      <vt:variant>
        <vt:i4>7274532</vt:i4>
      </vt:variant>
      <vt:variant>
        <vt:i4>3</vt:i4>
      </vt:variant>
      <vt:variant>
        <vt:i4>0</vt:i4>
      </vt:variant>
      <vt:variant>
        <vt:i4>5</vt:i4>
      </vt:variant>
      <vt:variant>
        <vt:lpwstr>https://www.gov.pl/web/gdos/kompendia-zwalczania-wybranych-igo</vt:lpwstr>
      </vt:variant>
      <vt:variant>
        <vt:lpwstr/>
      </vt:variant>
      <vt:variant>
        <vt:i4>7274532</vt:i4>
      </vt:variant>
      <vt:variant>
        <vt:i4>0</vt:i4>
      </vt:variant>
      <vt:variant>
        <vt:i4>0</vt:i4>
      </vt:variant>
      <vt:variant>
        <vt:i4>5</vt:i4>
      </vt:variant>
      <vt:variant>
        <vt:lpwstr>https://www.gov.pl/web/gdos/kompendia-zwalczania-wybranych-igo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Kędziora, Przemysław</dc:creator>
  <cp:keywords>, docId:F62DD35FFEF38E72DDBEF2E2D3802E30</cp:keywords>
  <dc:description/>
  <cp:lastModifiedBy>Kik, Wiktoria</cp:lastModifiedBy>
  <cp:revision>11</cp:revision>
  <dcterms:created xsi:type="dcterms:W3CDTF">2026-09-30T23:58:00Z</dcterms:created>
  <dcterms:modified xsi:type="dcterms:W3CDTF">2026-10-15T13:49:00Z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f08ec5-d6d9-4227-8387-ccbfcb3632c4_Enabled">
    <vt:lpwstr>true</vt:lpwstr>
  </property>
  <property fmtid="{D5CDD505-2E9C-101B-9397-08002B2CF9AE}" pid="3" name="MSIP_Label_43f08ec5-d6d9-4227-8387-ccbfcb3632c4_SetDate">
    <vt:lpwstr>2026-08-28T09:16:40Z</vt:lpwstr>
  </property>
  <property fmtid="{D5CDD505-2E9C-101B-9397-08002B2CF9AE}" pid="4" name="MSIP_Label_43f08ec5-d6d9-4227-8387-ccbfcb3632c4_Method">
    <vt:lpwstr>Standard</vt:lpwstr>
  </property>
  <property fmtid="{D5CDD505-2E9C-101B-9397-08002B2CF9AE}" pid="5" name="MSIP_Label_43f08ec5-d6d9-4227-8387-ccbfcb3632c4_Name">
    <vt:lpwstr>Sweco Restricted</vt:lpwstr>
  </property>
  <property fmtid="{D5CDD505-2E9C-101B-9397-08002B2CF9AE}" pid="6" name="MSIP_Label_43f08ec5-d6d9-4227-8387-ccbfcb3632c4_SiteId">
    <vt:lpwstr>b7872ef0-9a00-4c18-8a4a-c7d25c778a9e</vt:lpwstr>
  </property>
  <property fmtid="{D5CDD505-2E9C-101B-9397-08002B2CF9AE}" pid="7" name="MSIP_Label_43f08ec5-d6d9-4227-8387-ccbfcb3632c4_ActionId">
    <vt:lpwstr>bc33b7fd-be5e-4c07-98ae-5a1ea44103e4</vt:lpwstr>
  </property>
  <property fmtid="{D5CDD505-2E9C-101B-9397-08002B2CF9AE}" pid="8" name="MSIP_Label_43f08ec5-d6d9-4227-8387-ccbfcb3632c4_ContentBits">
    <vt:lpwstr>0</vt:lpwstr>
  </property>
  <property fmtid="{D5CDD505-2E9C-101B-9397-08002B2CF9AE}" pid="9" name="MSIP_Label_43f08ec5-d6d9-4227-8387-ccbfcb3632c4_Tag">
    <vt:lpwstr>10, 3, 0, 1</vt:lpwstr>
  </property>
  <property fmtid="{D5CDD505-2E9C-101B-9397-08002B2CF9AE}" pid="10" name="ContentTypeId">
    <vt:lpwstr>0x010100D9BCCDFA12969845B6E34772D4EB2CA7</vt:lpwstr>
  </property>
  <property fmtid="{D5CDD505-2E9C-101B-9397-08002B2CF9AE}" pid="11" name="MediaServiceImageTags">
    <vt:lpwstr/>
  </property>
  <property fmtid="{D5CDD505-2E9C-101B-9397-08002B2CF9AE}" pid="12" name="ClassificationContentMarkingFooterShapeIds">
    <vt:lpwstr>69caf424,2a309552,55d12048,7b521374,1a3ee5e1</vt:lpwstr>
  </property>
  <property fmtid="{D5CDD505-2E9C-101B-9397-08002B2CF9AE}" pid="13" name="ClassificationContentMarkingFooterFontProps">
    <vt:lpwstr>#000000,10,Aptos</vt:lpwstr>
  </property>
  <property fmtid="{D5CDD505-2E9C-101B-9397-08002B2CF9AE}" pid="14" name="ClassificationContentMarkingFooterText">
    <vt:lpwstr>Official Use Only</vt:lpwstr>
  </property>
  <property fmtid="{D5CDD505-2E9C-101B-9397-08002B2CF9AE}" pid="15" name="MSIP_Label_f1bf45b6-5649-4236-82a3-f45024cd282e_Enabled">
    <vt:lpwstr>true</vt:lpwstr>
  </property>
  <property fmtid="{D5CDD505-2E9C-101B-9397-08002B2CF9AE}" pid="16" name="MSIP_Label_f1bf45b6-5649-4236-82a3-f45024cd282e_SetDate">
    <vt:lpwstr>2026-09-22T11:53:48Z</vt:lpwstr>
  </property>
  <property fmtid="{D5CDD505-2E9C-101B-9397-08002B2CF9AE}" pid="17" name="MSIP_Label_f1bf45b6-5649-4236-82a3-f45024cd282e_Method">
    <vt:lpwstr>Standard</vt:lpwstr>
  </property>
  <property fmtid="{D5CDD505-2E9C-101B-9397-08002B2CF9AE}" pid="18" name="MSIP_Label_f1bf45b6-5649-4236-82a3-f45024cd282e_Name">
    <vt:lpwstr>Official Use Only</vt:lpwstr>
  </property>
  <property fmtid="{D5CDD505-2E9C-101B-9397-08002B2CF9AE}" pid="19" name="MSIP_Label_f1bf45b6-5649-4236-82a3-f45024cd282e_SiteId">
    <vt:lpwstr>31a2fec0-266b-4c67-b56e-2796d8f59c36</vt:lpwstr>
  </property>
  <property fmtid="{D5CDD505-2E9C-101B-9397-08002B2CF9AE}" pid="20" name="MSIP_Label_f1bf45b6-5649-4236-82a3-f45024cd282e_ActionId">
    <vt:lpwstr>d613f557-580a-433c-a04f-55cfb943cf4d</vt:lpwstr>
  </property>
  <property fmtid="{D5CDD505-2E9C-101B-9397-08002B2CF9AE}" pid="21" name="MSIP_Label_f1bf45b6-5649-4236-82a3-f45024cd282e_ContentBits">
    <vt:lpwstr>2</vt:lpwstr>
  </property>
  <property fmtid="{D5CDD505-2E9C-101B-9397-08002B2CF9AE}" pid="22" name="MSIP_Label_f1bf45b6-5649-4236-82a3-f45024cd282e_Tag">
    <vt:lpwstr>10, 3, 0, 2</vt:lpwstr>
  </property>
  <property fmtid="{D5CDD505-2E9C-101B-9397-08002B2CF9AE}" pid="23" name="Order">
    <vt:lpwstr>3022800.00000000</vt:lpwstr>
  </property>
  <property fmtid="{D5CDD505-2E9C-101B-9397-08002B2CF9AE}" pid="24" name="ComplianceAssetId">
    <vt:lpwstr/>
  </property>
  <property fmtid="{D5CDD505-2E9C-101B-9397-08002B2CF9AE}" pid="25" name="_ExtendedDescription">
    <vt:lpwstr/>
  </property>
  <property fmtid="{D5CDD505-2E9C-101B-9397-08002B2CF9AE}" pid="26" name="TriggerFlowInfo">
    <vt:lpwstr/>
  </property>
</Properties>
</file>