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591"/>
        <w:gridCol w:w="1353"/>
        <w:gridCol w:w="2736"/>
        <w:gridCol w:w="3686"/>
        <w:gridCol w:w="2972"/>
        <w:gridCol w:w="1898"/>
        <w:gridCol w:w="2428"/>
        <w:gridCol w:w="1303"/>
        <w:gridCol w:w="4000"/>
      </w:tblGrid>
      <w:tr w:rsidR="004E508E" w:rsidRPr="00846586" w14:paraId="5EE6DDD6" w14:textId="77777777" w:rsidTr="00B97534">
        <w:trPr>
          <w:trHeight w:val="454"/>
          <w:tblHeader/>
        </w:trPr>
        <w:tc>
          <w:tcPr>
            <w:tcW w:w="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F5A3A2" w14:textId="77777777" w:rsidR="00846586" w:rsidRPr="00846586" w:rsidRDefault="00846586" w:rsidP="00AC5FB1">
            <w:pPr>
              <w:ind w:firstLine="0"/>
              <w:jc w:val="center"/>
              <w:rPr>
                <w:rFonts w:ascii="Calibri" w:eastAsia="Times New Roman" w:hAnsi="Calibri" w:cs="Calibri"/>
                <w:b/>
                <w:bCs/>
                <w:color w:val="000000"/>
                <w:sz w:val="18"/>
                <w:szCs w:val="18"/>
                <w:lang w:eastAsia="pl-PL"/>
              </w:rPr>
            </w:pPr>
            <w:bookmarkStart w:id="0" w:name="_GoBack"/>
            <w:bookmarkEnd w:id="0"/>
            <w:r w:rsidRPr="00846586">
              <w:rPr>
                <w:rFonts w:ascii="Calibri" w:eastAsia="Times New Roman" w:hAnsi="Calibri" w:cs="Calibri"/>
                <w:b/>
                <w:bCs/>
                <w:color w:val="000000"/>
                <w:sz w:val="18"/>
                <w:szCs w:val="18"/>
                <w:lang w:eastAsia="pl-PL"/>
              </w:rPr>
              <w:t>l.p.</w:t>
            </w:r>
          </w:p>
        </w:tc>
        <w:tc>
          <w:tcPr>
            <w:tcW w:w="13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935452" w14:textId="77777777" w:rsidR="00846586" w:rsidRP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Nazwa instytucji/osoba fizyczna</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1698CC" w14:textId="77777777" w:rsidR="00846586" w:rsidRPr="00846586" w:rsidRDefault="00846586" w:rsidP="00AC5FB1">
            <w:pPr>
              <w:ind w:left="52"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Część dokumentu którego dotyczy uwaga</w:t>
            </w:r>
          </w:p>
        </w:tc>
        <w:tc>
          <w:tcPr>
            <w:tcW w:w="39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7F076C5" w14:textId="77777777" w:rsidR="00846586" w:rsidRP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Treść uwagi/wniosku</w:t>
            </w:r>
          </w:p>
        </w:tc>
        <w:tc>
          <w:tcPr>
            <w:tcW w:w="325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0920EF" w14:textId="77777777" w:rsidR="00846586" w:rsidRP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Proponowane zmiany</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41419A" w14:textId="77777777" w:rsidR="00846586" w:rsidRP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Uzasadnienie proponowanych zmian</w:t>
            </w:r>
          </w:p>
        </w:tc>
        <w:tc>
          <w:tcPr>
            <w:tcW w:w="24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7B3898" w14:textId="77777777" w:rsid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Załącznik do uwagi/</w:t>
            </w:r>
          </w:p>
          <w:p w14:paraId="3E7E5D14" w14:textId="18EBE349" w:rsidR="00846586" w:rsidRP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wniosku</w:t>
            </w:r>
          </w:p>
        </w:tc>
        <w:tc>
          <w:tcPr>
            <w:tcW w:w="13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C5A195" w14:textId="77777777" w:rsidR="00846586" w:rsidRP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Sposób rozpatrzenia uwagi</w:t>
            </w:r>
          </w:p>
        </w:tc>
        <w:tc>
          <w:tcPr>
            <w:tcW w:w="44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8D49864" w14:textId="77777777" w:rsidR="00846586" w:rsidRPr="00846586" w:rsidRDefault="00846586" w:rsidP="00AC5FB1">
            <w:pPr>
              <w:ind w:firstLine="0"/>
              <w:jc w:val="center"/>
              <w:rPr>
                <w:rFonts w:ascii="Calibri" w:eastAsia="Times New Roman" w:hAnsi="Calibri" w:cs="Calibri"/>
                <w:b/>
                <w:bCs/>
                <w:color w:val="000000"/>
                <w:sz w:val="18"/>
                <w:szCs w:val="18"/>
                <w:lang w:eastAsia="pl-PL"/>
              </w:rPr>
            </w:pPr>
            <w:r w:rsidRPr="00846586">
              <w:rPr>
                <w:rFonts w:ascii="Calibri" w:eastAsia="Times New Roman" w:hAnsi="Calibri" w:cs="Calibri"/>
                <w:b/>
                <w:bCs/>
                <w:color w:val="000000"/>
                <w:sz w:val="18"/>
                <w:szCs w:val="18"/>
                <w:lang w:eastAsia="pl-PL"/>
              </w:rPr>
              <w:t>Uzasadnienie sposobu rozpatrzenia uwagi</w:t>
            </w:r>
          </w:p>
        </w:tc>
      </w:tr>
      <w:tr w:rsidR="00846586" w:rsidRPr="00846586" w14:paraId="3A447DAA"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59D94CB5"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w:t>
            </w:r>
          </w:p>
        </w:tc>
        <w:tc>
          <w:tcPr>
            <w:tcW w:w="1354" w:type="dxa"/>
            <w:tcBorders>
              <w:top w:val="nil"/>
              <w:left w:val="nil"/>
              <w:bottom w:val="single" w:sz="4" w:space="0" w:color="auto"/>
              <w:right w:val="single" w:sz="4" w:space="0" w:color="auto"/>
            </w:tcBorders>
            <w:shd w:val="clear" w:color="auto" w:fill="auto"/>
            <w:hideMark/>
          </w:tcPr>
          <w:p w14:paraId="0060A029"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7DE5A9C1"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2D4AA697" w14:textId="77777777" w:rsidR="004E508E" w:rsidRDefault="004E508E" w:rsidP="00AC5FB1">
            <w:pPr>
              <w:ind w:left="52" w:firstLine="0"/>
              <w:jc w:val="left"/>
              <w:rPr>
                <w:rFonts w:ascii="Calibri" w:eastAsia="Times New Roman" w:hAnsi="Calibri" w:cs="Calibri"/>
                <w:color w:val="000000"/>
                <w:sz w:val="18"/>
                <w:szCs w:val="18"/>
                <w:lang w:eastAsia="pl-PL"/>
              </w:rPr>
            </w:pPr>
          </w:p>
          <w:p w14:paraId="15ED07A9" w14:textId="4EAD8A3F"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str.10 - Wykaz skrótów stosowanych w planie gospodarowania wodami na obszarze dorzecza Dniestru</w:t>
            </w:r>
          </w:p>
        </w:tc>
        <w:tc>
          <w:tcPr>
            <w:tcW w:w="3965" w:type="dxa"/>
            <w:tcBorders>
              <w:top w:val="nil"/>
              <w:left w:val="nil"/>
              <w:bottom w:val="single" w:sz="4" w:space="0" w:color="auto"/>
              <w:right w:val="single" w:sz="4" w:space="0" w:color="auto"/>
            </w:tcBorders>
            <w:shd w:val="clear" w:color="auto" w:fill="auto"/>
            <w:hideMark/>
          </w:tcPr>
          <w:p w14:paraId="414B8BCE" w14:textId="52AB5EA0"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skrót EPRTR - do ujednolicenia nazwa. W treści dokumentu stosowany jest skrót E-PRTR. Skrót EPRTR powinien zostać rozwinięty jako Europejski Rejestr Uwalniania i Transferu Zanieczyszczeń a nie jako Krajowy Rejestr Uwalniania i Transferu Zanieczyszczeń. Dla Krajowego Rejestru Uwalniania i Transferu Zanieczyszczeń stosowany jest skrót PRTR, który został rozwinięty w dalszej części tabeli (str.13</w:t>
            </w:r>
            <w:r w:rsidR="004E508E">
              <w:rPr>
                <w:rFonts w:ascii="Calibri" w:eastAsia="Times New Roman" w:hAnsi="Calibri" w:cs="Calibri"/>
                <w:color w:val="000000"/>
                <w:sz w:val="18"/>
                <w:szCs w:val="18"/>
                <w:lang w:eastAsia="pl-PL"/>
              </w:rPr>
              <w:t>).</w:t>
            </w:r>
          </w:p>
        </w:tc>
        <w:tc>
          <w:tcPr>
            <w:tcW w:w="3258" w:type="dxa"/>
            <w:tcBorders>
              <w:top w:val="nil"/>
              <w:left w:val="nil"/>
              <w:bottom w:val="single" w:sz="4" w:space="0" w:color="auto"/>
              <w:right w:val="single" w:sz="4" w:space="0" w:color="auto"/>
            </w:tcBorders>
            <w:shd w:val="clear" w:color="auto" w:fill="auto"/>
            <w:hideMark/>
          </w:tcPr>
          <w:p w14:paraId="0A3F2288"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E-PRTR Europejski Rejestr Uwalniania i Transferu Zanieczyszczeń</w:t>
            </w:r>
          </w:p>
        </w:tc>
        <w:tc>
          <w:tcPr>
            <w:tcW w:w="1984" w:type="dxa"/>
            <w:tcBorders>
              <w:top w:val="nil"/>
              <w:left w:val="nil"/>
              <w:bottom w:val="single" w:sz="4" w:space="0" w:color="auto"/>
              <w:right w:val="single" w:sz="4" w:space="0" w:color="auto"/>
            </w:tcBorders>
            <w:shd w:val="clear" w:color="auto" w:fill="auto"/>
            <w:hideMark/>
          </w:tcPr>
          <w:p w14:paraId="331C660B"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poprawka definicyjna</w:t>
            </w:r>
          </w:p>
        </w:tc>
        <w:tc>
          <w:tcPr>
            <w:tcW w:w="2428" w:type="dxa"/>
            <w:tcBorders>
              <w:top w:val="nil"/>
              <w:left w:val="nil"/>
              <w:bottom w:val="single" w:sz="4" w:space="0" w:color="auto"/>
              <w:right w:val="single" w:sz="4" w:space="0" w:color="auto"/>
            </w:tcBorders>
            <w:shd w:val="clear" w:color="auto" w:fill="auto"/>
            <w:hideMark/>
          </w:tcPr>
          <w:p w14:paraId="63837508"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452DA739"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0374FE1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Dokonano korekty zgodnie z uwagą.</w:t>
            </w:r>
          </w:p>
        </w:tc>
      </w:tr>
      <w:tr w:rsidR="00846586" w:rsidRPr="00846586" w14:paraId="3B532096"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7095BD45"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2</w:t>
            </w:r>
          </w:p>
        </w:tc>
        <w:tc>
          <w:tcPr>
            <w:tcW w:w="1354" w:type="dxa"/>
            <w:tcBorders>
              <w:top w:val="nil"/>
              <w:left w:val="nil"/>
              <w:bottom w:val="single" w:sz="4" w:space="0" w:color="auto"/>
              <w:right w:val="single" w:sz="4" w:space="0" w:color="auto"/>
            </w:tcBorders>
            <w:shd w:val="clear" w:color="auto" w:fill="auto"/>
            <w:hideMark/>
          </w:tcPr>
          <w:p w14:paraId="3B8AEA1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31A58C77"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25E8985E" w14:textId="77777777" w:rsidR="004E508E" w:rsidRDefault="004E508E" w:rsidP="00AC5FB1">
            <w:pPr>
              <w:ind w:left="52" w:firstLine="0"/>
              <w:jc w:val="left"/>
              <w:rPr>
                <w:rFonts w:ascii="Calibri" w:eastAsia="Times New Roman" w:hAnsi="Calibri" w:cs="Calibri"/>
                <w:color w:val="000000"/>
                <w:sz w:val="18"/>
                <w:szCs w:val="18"/>
                <w:lang w:eastAsia="pl-PL"/>
              </w:rPr>
            </w:pPr>
          </w:p>
          <w:p w14:paraId="5B434F18" w14:textId="5B43ACDF"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rojekt_IIaPGW_OD_Dniestru</w:t>
            </w:r>
            <w:proofErr w:type="spellEnd"/>
            <w:r w:rsidRPr="004E508E">
              <w:rPr>
                <w:rFonts w:ascii="Calibri" w:eastAsia="Times New Roman" w:hAnsi="Calibri" w:cs="Calibri"/>
                <w:color w:val="000000"/>
                <w:sz w:val="18"/>
                <w:szCs w:val="18"/>
                <w:lang w:eastAsia="pl-PL"/>
              </w:rPr>
              <w:t>, str.11 - Wykaz skrótów stosowanych w planie gospodarowania wodami na obszarze dorzecza Dniestru</w:t>
            </w:r>
          </w:p>
        </w:tc>
        <w:tc>
          <w:tcPr>
            <w:tcW w:w="3965" w:type="dxa"/>
            <w:tcBorders>
              <w:top w:val="nil"/>
              <w:left w:val="nil"/>
              <w:bottom w:val="single" w:sz="4" w:space="0" w:color="auto"/>
              <w:right w:val="single" w:sz="4" w:space="0" w:color="auto"/>
            </w:tcBorders>
            <w:shd w:val="clear" w:color="auto" w:fill="auto"/>
            <w:hideMark/>
          </w:tcPr>
          <w:p w14:paraId="403E2449" w14:textId="4E4BD921"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skrót IFPL - wskaźnik ten nie odnosi się do fitobentosu lecz do fitoplanktonu (Multimetryczny Indeks Fitoplanktonowy (ang. </w:t>
            </w:r>
            <w:proofErr w:type="spellStart"/>
            <w:r w:rsidRPr="00846586">
              <w:rPr>
                <w:rFonts w:ascii="Calibri" w:eastAsia="Times New Roman" w:hAnsi="Calibri" w:cs="Calibri"/>
                <w:color w:val="000000"/>
                <w:sz w:val="18"/>
                <w:szCs w:val="18"/>
                <w:lang w:eastAsia="pl-PL"/>
              </w:rPr>
              <w:t>Phytoplankton</w:t>
            </w:r>
            <w:proofErr w:type="spellEnd"/>
            <w:r w:rsidRPr="00846586">
              <w:rPr>
                <w:rFonts w:ascii="Calibri" w:eastAsia="Times New Roman" w:hAnsi="Calibri" w:cs="Calibri"/>
                <w:color w:val="000000"/>
                <w:sz w:val="18"/>
                <w:szCs w:val="18"/>
                <w:lang w:eastAsia="pl-PL"/>
              </w:rPr>
              <w:t xml:space="preserve"> </w:t>
            </w:r>
            <w:proofErr w:type="spellStart"/>
            <w:r w:rsidRPr="00846586">
              <w:rPr>
                <w:rFonts w:ascii="Calibri" w:eastAsia="Times New Roman" w:hAnsi="Calibri" w:cs="Calibri"/>
                <w:color w:val="000000"/>
                <w:sz w:val="18"/>
                <w:szCs w:val="18"/>
                <w:lang w:eastAsia="pl-PL"/>
              </w:rPr>
              <w:t>Multimetric</w:t>
            </w:r>
            <w:proofErr w:type="spellEnd"/>
            <w:r w:rsidRPr="00846586">
              <w:rPr>
                <w:rFonts w:ascii="Calibri" w:eastAsia="Times New Roman" w:hAnsi="Calibri" w:cs="Calibri"/>
                <w:color w:val="000000"/>
                <w:sz w:val="18"/>
                <w:szCs w:val="18"/>
                <w:lang w:eastAsia="pl-PL"/>
              </w:rPr>
              <w:t xml:space="preserve"> Index IFPL).</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2B02D2D2"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IFPL wskaźnik fitoplanktonowy</w:t>
            </w:r>
          </w:p>
        </w:tc>
        <w:tc>
          <w:tcPr>
            <w:tcW w:w="1984" w:type="dxa"/>
            <w:tcBorders>
              <w:top w:val="nil"/>
              <w:left w:val="nil"/>
              <w:bottom w:val="single" w:sz="4" w:space="0" w:color="auto"/>
              <w:right w:val="single" w:sz="4" w:space="0" w:color="auto"/>
            </w:tcBorders>
            <w:shd w:val="clear" w:color="auto" w:fill="auto"/>
            <w:hideMark/>
          </w:tcPr>
          <w:p w14:paraId="265E950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poprawka definicyjna</w:t>
            </w:r>
          </w:p>
        </w:tc>
        <w:tc>
          <w:tcPr>
            <w:tcW w:w="2428" w:type="dxa"/>
            <w:tcBorders>
              <w:top w:val="nil"/>
              <w:left w:val="nil"/>
              <w:bottom w:val="single" w:sz="4" w:space="0" w:color="auto"/>
              <w:right w:val="single" w:sz="4" w:space="0" w:color="auto"/>
            </w:tcBorders>
            <w:shd w:val="clear" w:color="auto" w:fill="auto"/>
            <w:hideMark/>
          </w:tcPr>
          <w:p w14:paraId="15875BF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04DF342D"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01E14CFC"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Dokonano korekty zgodnie z uwagą.</w:t>
            </w:r>
          </w:p>
        </w:tc>
      </w:tr>
      <w:tr w:rsidR="00846586" w:rsidRPr="00846586" w14:paraId="5C19F944"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7F15E771"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3</w:t>
            </w:r>
          </w:p>
        </w:tc>
        <w:tc>
          <w:tcPr>
            <w:tcW w:w="1354" w:type="dxa"/>
            <w:tcBorders>
              <w:top w:val="nil"/>
              <w:left w:val="nil"/>
              <w:bottom w:val="single" w:sz="4" w:space="0" w:color="auto"/>
              <w:right w:val="single" w:sz="4" w:space="0" w:color="auto"/>
            </w:tcBorders>
            <w:shd w:val="clear" w:color="auto" w:fill="auto"/>
            <w:hideMark/>
          </w:tcPr>
          <w:p w14:paraId="065CDFCD"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0AB64484"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7D81205F" w14:textId="77777777" w:rsidR="004E508E" w:rsidRDefault="004E508E" w:rsidP="00AC5FB1">
            <w:pPr>
              <w:ind w:left="52" w:firstLine="0"/>
              <w:jc w:val="left"/>
              <w:rPr>
                <w:rFonts w:ascii="Calibri" w:eastAsia="Times New Roman" w:hAnsi="Calibri" w:cs="Calibri"/>
                <w:color w:val="000000"/>
                <w:sz w:val="18"/>
                <w:szCs w:val="18"/>
                <w:lang w:eastAsia="pl-PL"/>
              </w:rPr>
            </w:pPr>
          </w:p>
          <w:p w14:paraId="340277CA" w14:textId="25981124"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str.13 - Wykaz skrótów stosowanych w planie gospodarowania wodami na obszarze dorzecza Dniestru</w:t>
            </w:r>
          </w:p>
        </w:tc>
        <w:tc>
          <w:tcPr>
            <w:tcW w:w="3965" w:type="dxa"/>
            <w:tcBorders>
              <w:top w:val="nil"/>
              <w:left w:val="nil"/>
              <w:bottom w:val="single" w:sz="4" w:space="0" w:color="auto"/>
              <w:right w:val="single" w:sz="4" w:space="0" w:color="auto"/>
            </w:tcBorders>
            <w:shd w:val="clear" w:color="auto" w:fill="auto"/>
            <w:hideMark/>
          </w:tcPr>
          <w:p w14:paraId="5DBA62B0" w14:textId="55D64973"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do skrótu r.kl.jcwp  przyporządkowano nieobowiązujące już rozporządzenie Ministra Gospodarki Morskiej i Żeglugi Śródlądowej </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5268DFC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proponuje się dopisać do skrótu nieobowiązującego rozporządzenia "(2019)"  natomiast do kolumny Rozwinięcie dopisać na końcu "Akt uchylony" oraz dodać wiersz ze skrótem "r.kl.jcwp" i w rozwinięciu wpisać obowiązujące rozporządzenie</w:t>
            </w:r>
          </w:p>
        </w:tc>
        <w:tc>
          <w:tcPr>
            <w:tcW w:w="1984" w:type="dxa"/>
            <w:tcBorders>
              <w:top w:val="nil"/>
              <w:left w:val="nil"/>
              <w:bottom w:val="single" w:sz="4" w:space="0" w:color="auto"/>
              <w:right w:val="single" w:sz="4" w:space="0" w:color="auto"/>
            </w:tcBorders>
            <w:shd w:val="clear" w:color="auto" w:fill="auto"/>
            <w:hideMark/>
          </w:tcPr>
          <w:p w14:paraId="1C5D364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Rozporządzenie "klasyfikacyjne"  wydane przez Ministra Gospodarki Morskiej i Żeglugi Śródlądowej zostało uznane za uchylone. Wydano nowe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p>
        </w:tc>
        <w:tc>
          <w:tcPr>
            <w:tcW w:w="2428" w:type="dxa"/>
            <w:tcBorders>
              <w:top w:val="nil"/>
              <w:left w:val="nil"/>
              <w:bottom w:val="single" w:sz="4" w:space="0" w:color="auto"/>
              <w:right w:val="single" w:sz="4" w:space="0" w:color="auto"/>
            </w:tcBorders>
            <w:shd w:val="clear" w:color="auto" w:fill="auto"/>
            <w:hideMark/>
          </w:tcPr>
          <w:p w14:paraId="3EF7EDA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4863F6EE"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3E04E03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 trakcie konsultacji społecznych projektów IIaPGW wskazane w uwadze akty prawne utraciły moc i wprowadzone zostały akty je zastępujące. Zmiany aktualizacyjne w tym zakresie zostały wprowadzone do treści IIaPGW.</w:t>
            </w:r>
          </w:p>
        </w:tc>
      </w:tr>
      <w:tr w:rsidR="00846586" w:rsidRPr="00846586" w14:paraId="64248A98"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6B7C7F64"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4</w:t>
            </w:r>
          </w:p>
        </w:tc>
        <w:tc>
          <w:tcPr>
            <w:tcW w:w="1354" w:type="dxa"/>
            <w:tcBorders>
              <w:top w:val="nil"/>
              <w:left w:val="nil"/>
              <w:bottom w:val="single" w:sz="4" w:space="0" w:color="auto"/>
              <w:right w:val="single" w:sz="4" w:space="0" w:color="auto"/>
            </w:tcBorders>
            <w:shd w:val="clear" w:color="auto" w:fill="auto"/>
            <w:hideMark/>
          </w:tcPr>
          <w:p w14:paraId="2230096E"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3918389A"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4829D40E" w14:textId="77777777" w:rsidR="004E508E" w:rsidRDefault="004E508E" w:rsidP="00AC5FB1">
            <w:pPr>
              <w:ind w:left="52" w:firstLine="0"/>
              <w:jc w:val="left"/>
              <w:rPr>
                <w:rFonts w:ascii="Calibri" w:eastAsia="Times New Roman" w:hAnsi="Calibri" w:cs="Calibri"/>
                <w:color w:val="000000"/>
                <w:sz w:val="18"/>
                <w:szCs w:val="18"/>
                <w:lang w:eastAsia="pl-PL"/>
              </w:rPr>
            </w:pPr>
          </w:p>
          <w:p w14:paraId="27E67C3B" w14:textId="7F0CC710"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rojekt_IIaPGW_OD_Dniestru</w:t>
            </w:r>
            <w:proofErr w:type="spellEnd"/>
            <w:r w:rsidRPr="004E508E">
              <w:rPr>
                <w:rFonts w:ascii="Calibri" w:eastAsia="Times New Roman" w:hAnsi="Calibri" w:cs="Calibri"/>
                <w:color w:val="000000"/>
                <w:sz w:val="18"/>
                <w:szCs w:val="18"/>
                <w:lang w:eastAsia="pl-PL"/>
              </w:rPr>
              <w:t>, str.13 - Wykaz skrótów stosowanych w planie gospodarowania wodami na obszarze dorzecza Dniestru</w:t>
            </w:r>
          </w:p>
        </w:tc>
        <w:tc>
          <w:tcPr>
            <w:tcW w:w="3965" w:type="dxa"/>
            <w:tcBorders>
              <w:top w:val="nil"/>
              <w:left w:val="nil"/>
              <w:bottom w:val="single" w:sz="4" w:space="0" w:color="auto"/>
              <w:right w:val="single" w:sz="4" w:space="0" w:color="auto"/>
            </w:tcBorders>
            <w:shd w:val="clear" w:color="auto" w:fill="auto"/>
            <w:hideMark/>
          </w:tcPr>
          <w:p w14:paraId="5038B0E9" w14:textId="283DAA0C"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do skrótu r.m.jcw przyporządkowano nieobowiązujące już rozporządzenie Ministra Gospodarki Morskiej i Żeglugi Śródlądowej </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29E7AD71"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proponuje się dopisać do skrótu nieobowiązującego rozporządzenia "(2019)"  natomiast do kolumny Rozwinięcie dopisać na końcu "Akt uchylony" oraz dodać wiersz ze skrótem "r.m.jcw" i w rozwinięciu wpisać obowiązujące rozporządzenie</w:t>
            </w:r>
          </w:p>
        </w:tc>
        <w:tc>
          <w:tcPr>
            <w:tcW w:w="1984" w:type="dxa"/>
            <w:tcBorders>
              <w:top w:val="nil"/>
              <w:left w:val="nil"/>
              <w:bottom w:val="single" w:sz="4" w:space="0" w:color="auto"/>
              <w:right w:val="single" w:sz="4" w:space="0" w:color="auto"/>
            </w:tcBorders>
            <w:shd w:val="clear" w:color="auto" w:fill="auto"/>
            <w:hideMark/>
          </w:tcPr>
          <w:p w14:paraId="37F596E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Rozporządzenie "monitoringowe" wydane przez Ministra Gospodarki Morskiej i Żeglugi Śródlądowej zostało uznane za uchylone. Wydano nowe rozporządzenie Ministra Infrastruktury z dnia 13 lipca 2021 r. w sprawie form i sposobu prowadzenia monitoringu jednolitych części wód powierzchniowych i jednolitych części wód </w:t>
            </w:r>
            <w:r w:rsidRPr="00846586">
              <w:rPr>
                <w:rFonts w:ascii="Calibri" w:eastAsia="Times New Roman" w:hAnsi="Calibri" w:cs="Calibri"/>
                <w:color w:val="000000"/>
                <w:sz w:val="18"/>
                <w:szCs w:val="18"/>
                <w:lang w:eastAsia="pl-PL"/>
              </w:rPr>
              <w:lastRenderedPageBreak/>
              <w:t>podziemnych (Dz.U. z dnia 2021 r. poz. 1576).</w:t>
            </w:r>
          </w:p>
        </w:tc>
        <w:tc>
          <w:tcPr>
            <w:tcW w:w="2428" w:type="dxa"/>
            <w:tcBorders>
              <w:top w:val="nil"/>
              <w:left w:val="nil"/>
              <w:bottom w:val="single" w:sz="4" w:space="0" w:color="auto"/>
              <w:right w:val="single" w:sz="4" w:space="0" w:color="auto"/>
            </w:tcBorders>
            <w:shd w:val="clear" w:color="auto" w:fill="auto"/>
            <w:hideMark/>
          </w:tcPr>
          <w:p w14:paraId="63A9EC82"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 xml:space="preserve"> - </w:t>
            </w:r>
          </w:p>
        </w:tc>
        <w:tc>
          <w:tcPr>
            <w:tcW w:w="1337" w:type="dxa"/>
            <w:tcBorders>
              <w:top w:val="nil"/>
              <w:left w:val="nil"/>
              <w:bottom w:val="single" w:sz="4" w:space="0" w:color="auto"/>
              <w:right w:val="single" w:sz="4" w:space="0" w:color="auto"/>
            </w:tcBorders>
            <w:shd w:val="clear" w:color="auto" w:fill="auto"/>
            <w:hideMark/>
          </w:tcPr>
          <w:p w14:paraId="08E32EF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0E8D774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 trakcie konsultacji społecznych projektów IIaPGW wskazane w uwadze akty prawne utraciły moc i wprowadzone zostały akty je zastępujące. Zmiany aktualizacyjne w tym zakresie zostały wprowadzone do treści IIaPGW.</w:t>
            </w:r>
          </w:p>
        </w:tc>
      </w:tr>
      <w:tr w:rsidR="00846586" w:rsidRPr="00846586" w14:paraId="6B074B99"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68E5D9D5"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5</w:t>
            </w:r>
          </w:p>
        </w:tc>
        <w:tc>
          <w:tcPr>
            <w:tcW w:w="1354" w:type="dxa"/>
            <w:tcBorders>
              <w:top w:val="nil"/>
              <w:left w:val="nil"/>
              <w:bottom w:val="single" w:sz="4" w:space="0" w:color="auto"/>
              <w:right w:val="single" w:sz="4" w:space="0" w:color="auto"/>
            </w:tcBorders>
            <w:shd w:val="clear" w:color="auto" w:fill="auto"/>
            <w:hideMark/>
          </w:tcPr>
          <w:p w14:paraId="54E2C0CE"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014B2627"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081A7D12" w14:textId="77777777" w:rsidR="004E508E" w:rsidRDefault="004E508E" w:rsidP="00AC5FB1">
            <w:pPr>
              <w:ind w:left="52" w:firstLine="0"/>
              <w:jc w:val="left"/>
              <w:rPr>
                <w:rFonts w:ascii="Calibri" w:eastAsia="Times New Roman" w:hAnsi="Calibri" w:cs="Calibri"/>
                <w:color w:val="000000"/>
                <w:sz w:val="18"/>
                <w:szCs w:val="18"/>
                <w:lang w:eastAsia="pl-PL"/>
              </w:rPr>
            </w:pPr>
          </w:p>
          <w:p w14:paraId="1A0B856A" w14:textId="79EC1AE5"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rojekt_IIaPGW_OD_Dniestru</w:t>
            </w:r>
            <w:proofErr w:type="spellEnd"/>
            <w:r w:rsidRPr="004E508E">
              <w:rPr>
                <w:rFonts w:ascii="Calibri" w:eastAsia="Times New Roman" w:hAnsi="Calibri" w:cs="Calibri"/>
                <w:color w:val="000000"/>
                <w:sz w:val="18"/>
                <w:szCs w:val="18"/>
                <w:lang w:eastAsia="pl-PL"/>
              </w:rPr>
              <w:t xml:space="preserve">, str.17 - Wykaz kluczowych pojęć (terminologia) stosowanych w planie gospodarowania wodami </w:t>
            </w:r>
            <w:r w:rsidRPr="004E508E">
              <w:rPr>
                <w:rFonts w:ascii="Calibri" w:eastAsia="Times New Roman" w:hAnsi="Calibri" w:cs="Calibri"/>
                <w:color w:val="000000"/>
                <w:sz w:val="18"/>
                <w:szCs w:val="18"/>
                <w:lang w:eastAsia="pl-PL"/>
              </w:rPr>
              <w:br/>
              <w:t>na obszarze dorzecza Dniestru"</w:t>
            </w:r>
          </w:p>
        </w:tc>
        <w:tc>
          <w:tcPr>
            <w:tcW w:w="3965" w:type="dxa"/>
            <w:tcBorders>
              <w:top w:val="nil"/>
              <w:left w:val="nil"/>
              <w:bottom w:val="single" w:sz="4" w:space="0" w:color="auto"/>
              <w:right w:val="single" w:sz="4" w:space="0" w:color="auto"/>
            </w:tcBorders>
            <w:shd w:val="clear" w:color="auto" w:fill="auto"/>
            <w:hideMark/>
          </w:tcPr>
          <w:p w14:paraId="470A0089" w14:textId="2C2901BE"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Terminologia jcwp w nowym układzie planistycznym / jcwp (IIaPGW) rozwinięto jako podział na jednolite części wód powierzchniowych funkcjonujący w układzie planistycznym obowiązującym w IV cyklu planistycznym 2022-2027, zgodnie z IIaPGW 2022. Opracowanie i przyjęci</w:t>
            </w:r>
            <w:r w:rsidR="004E508E">
              <w:rPr>
                <w:rFonts w:ascii="Calibri" w:eastAsia="Times New Roman" w:hAnsi="Calibri" w:cs="Calibri"/>
                <w:color w:val="000000"/>
                <w:sz w:val="18"/>
                <w:szCs w:val="18"/>
                <w:lang w:eastAsia="pl-PL"/>
              </w:rPr>
              <w:t xml:space="preserve">e IIaPGW wskazano na rok 2021. </w:t>
            </w:r>
          </w:p>
        </w:tc>
        <w:tc>
          <w:tcPr>
            <w:tcW w:w="3258" w:type="dxa"/>
            <w:tcBorders>
              <w:top w:val="nil"/>
              <w:left w:val="nil"/>
              <w:bottom w:val="single" w:sz="4" w:space="0" w:color="auto"/>
              <w:right w:val="single" w:sz="4" w:space="0" w:color="auto"/>
            </w:tcBorders>
            <w:shd w:val="clear" w:color="auto" w:fill="auto"/>
            <w:hideMark/>
          </w:tcPr>
          <w:p w14:paraId="65C3571E"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podział na jednolite części wód powierzchniowych funkcjonujący w układzie planistycznym obowiązującym w IV cyklu planistycznym 2022-2027, zgodnie z IIaPGW 2021</w:t>
            </w:r>
          </w:p>
        </w:tc>
        <w:tc>
          <w:tcPr>
            <w:tcW w:w="1984" w:type="dxa"/>
            <w:tcBorders>
              <w:top w:val="nil"/>
              <w:left w:val="nil"/>
              <w:bottom w:val="single" w:sz="4" w:space="0" w:color="auto"/>
              <w:right w:val="single" w:sz="4" w:space="0" w:color="auto"/>
            </w:tcBorders>
            <w:shd w:val="clear" w:color="auto" w:fill="auto"/>
            <w:hideMark/>
          </w:tcPr>
          <w:p w14:paraId="11F2017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0C2E73AB"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6D182742"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52A6FB6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Skorygowano zgodnie z uwagą.</w:t>
            </w:r>
          </w:p>
        </w:tc>
      </w:tr>
      <w:tr w:rsidR="00846586" w:rsidRPr="00846586" w14:paraId="5C3BB7B6"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11EC1ABB"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6</w:t>
            </w:r>
          </w:p>
        </w:tc>
        <w:tc>
          <w:tcPr>
            <w:tcW w:w="1354" w:type="dxa"/>
            <w:tcBorders>
              <w:top w:val="nil"/>
              <w:left w:val="nil"/>
              <w:bottom w:val="single" w:sz="4" w:space="0" w:color="auto"/>
              <w:right w:val="single" w:sz="4" w:space="0" w:color="auto"/>
            </w:tcBorders>
            <w:shd w:val="clear" w:color="auto" w:fill="auto"/>
            <w:hideMark/>
          </w:tcPr>
          <w:p w14:paraId="29CA2C0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7894C8E2"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2E1BBE2F" w14:textId="77777777" w:rsidR="004E508E" w:rsidRDefault="004E508E" w:rsidP="00AC5FB1">
            <w:pPr>
              <w:ind w:left="52" w:firstLine="0"/>
              <w:jc w:val="left"/>
              <w:rPr>
                <w:rFonts w:ascii="Calibri" w:eastAsia="Times New Roman" w:hAnsi="Calibri" w:cs="Calibri"/>
                <w:color w:val="000000"/>
                <w:sz w:val="18"/>
                <w:szCs w:val="18"/>
                <w:lang w:eastAsia="pl-PL"/>
              </w:rPr>
            </w:pPr>
          </w:p>
          <w:p w14:paraId="4C072BC8" w14:textId="6A8E2CB2"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5.1.3.1., str.52</w:t>
            </w:r>
          </w:p>
        </w:tc>
        <w:tc>
          <w:tcPr>
            <w:tcW w:w="3965" w:type="dxa"/>
            <w:tcBorders>
              <w:top w:val="nil"/>
              <w:left w:val="nil"/>
              <w:bottom w:val="single" w:sz="4" w:space="0" w:color="auto"/>
              <w:right w:val="single" w:sz="4" w:space="0" w:color="auto"/>
            </w:tcBorders>
            <w:shd w:val="clear" w:color="auto" w:fill="auto"/>
            <w:hideMark/>
          </w:tcPr>
          <w:p w14:paraId="4A277671" w14:textId="26F5B3F9"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jest "część weszła w życie wraz z ogłoszeniem r.kl.jcwp, n</w:t>
            </w:r>
            <w:r w:rsidR="00FA0863">
              <w:rPr>
                <w:rFonts w:ascii="Calibri" w:eastAsia="Times New Roman" w:hAnsi="Calibri" w:cs="Calibri"/>
                <w:color w:val="000000"/>
                <w:sz w:val="18"/>
                <w:szCs w:val="18"/>
                <w:lang w:eastAsia="pl-PL"/>
              </w:rPr>
              <w:t xml:space="preserve">atomiast kolejne zmiany weszły </w:t>
            </w:r>
            <w:r w:rsidRPr="00846586">
              <w:rPr>
                <w:rFonts w:ascii="Calibri" w:eastAsia="Times New Roman" w:hAnsi="Calibri" w:cs="Calibri"/>
                <w:color w:val="000000"/>
                <w:sz w:val="18"/>
                <w:szCs w:val="18"/>
                <w:lang w:eastAsia="pl-PL"/>
              </w:rPr>
              <w:t>w życie z dniem 1 stycznia 2022 r. i będą obowiązyw</w:t>
            </w:r>
            <w:r w:rsidR="004E508E">
              <w:rPr>
                <w:rFonts w:ascii="Calibri" w:eastAsia="Times New Roman" w:hAnsi="Calibri" w:cs="Calibri"/>
                <w:color w:val="000000"/>
                <w:sz w:val="18"/>
                <w:szCs w:val="18"/>
                <w:lang w:eastAsia="pl-PL"/>
              </w:rPr>
              <w:t xml:space="preserve">ały w IV cyklu planistycznym." </w:t>
            </w:r>
          </w:p>
        </w:tc>
        <w:tc>
          <w:tcPr>
            <w:tcW w:w="3258" w:type="dxa"/>
            <w:tcBorders>
              <w:top w:val="nil"/>
              <w:left w:val="nil"/>
              <w:bottom w:val="single" w:sz="4" w:space="0" w:color="auto"/>
              <w:right w:val="single" w:sz="4" w:space="0" w:color="auto"/>
            </w:tcBorders>
            <w:shd w:val="clear" w:color="auto" w:fill="auto"/>
            <w:hideMark/>
          </w:tcPr>
          <w:p w14:paraId="66F79E45"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powinno być "część weszła w życie wraz z ogłoszeniem r.kl.jcwp, natomiast kolejne zmiany wchodzą w życie z dniem 1 stycznia 2022 r. i będą obowiązywały w IV cyklu planistycznym." </w:t>
            </w:r>
          </w:p>
        </w:tc>
        <w:tc>
          <w:tcPr>
            <w:tcW w:w="1984" w:type="dxa"/>
            <w:tcBorders>
              <w:top w:val="nil"/>
              <w:left w:val="nil"/>
              <w:bottom w:val="single" w:sz="4" w:space="0" w:color="auto"/>
              <w:right w:val="single" w:sz="4" w:space="0" w:color="auto"/>
            </w:tcBorders>
            <w:shd w:val="clear" w:color="auto" w:fill="auto"/>
            <w:hideMark/>
          </w:tcPr>
          <w:p w14:paraId="447FB95F"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proponuje się zapis zgodny z §29 r.kl.jcwp. </w:t>
            </w:r>
          </w:p>
        </w:tc>
        <w:tc>
          <w:tcPr>
            <w:tcW w:w="2428" w:type="dxa"/>
            <w:tcBorders>
              <w:top w:val="nil"/>
              <w:left w:val="nil"/>
              <w:bottom w:val="single" w:sz="4" w:space="0" w:color="auto"/>
              <w:right w:val="single" w:sz="4" w:space="0" w:color="auto"/>
            </w:tcBorders>
            <w:shd w:val="clear" w:color="auto" w:fill="auto"/>
            <w:hideMark/>
          </w:tcPr>
          <w:p w14:paraId="72F7587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160996BD"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wyjaśnienie</w:t>
            </w:r>
          </w:p>
        </w:tc>
        <w:tc>
          <w:tcPr>
            <w:tcW w:w="4455" w:type="dxa"/>
            <w:tcBorders>
              <w:top w:val="nil"/>
              <w:left w:val="nil"/>
              <w:bottom w:val="single" w:sz="4" w:space="0" w:color="auto"/>
              <w:right w:val="single" w:sz="4" w:space="0" w:color="auto"/>
            </w:tcBorders>
            <w:shd w:val="clear" w:color="auto" w:fill="auto"/>
            <w:hideMark/>
          </w:tcPr>
          <w:p w14:paraId="08E88B7C"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Forma treści zapisu IIaPGW odnosi się do momentu obowiązywania IIaPGW a tym samym przywoływane są obowiązujące akty prawne i ich zapisy, jako obowiązujące (czas przeszły w przypadku rozpoczęcia obowiązywania zapisów od dnia 1 stycznia 2022 roku). Przywołanie zapisu zgodnie z rozporządzeniem nie byłoby poprawną formą dla IIaPGW.</w:t>
            </w:r>
          </w:p>
        </w:tc>
      </w:tr>
      <w:tr w:rsidR="00846586" w:rsidRPr="00846586" w14:paraId="764A60C7"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7A03ACA3"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7</w:t>
            </w:r>
          </w:p>
        </w:tc>
        <w:tc>
          <w:tcPr>
            <w:tcW w:w="1354" w:type="dxa"/>
            <w:tcBorders>
              <w:top w:val="nil"/>
              <w:left w:val="nil"/>
              <w:bottom w:val="single" w:sz="4" w:space="0" w:color="auto"/>
              <w:right w:val="single" w:sz="4" w:space="0" w:color="auto"/>
            </w:tcBorders>
            <w:shd w:val="clear" w:color="auto" w:fill="auto"/>
            <w:hideMark/>
          </w:tcPr>
          <w:p w14:paraId="7A02DC2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25DAB2A2"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7444D3D6" w14:textId="77777777" w:rsidR="004E508E" w:rsidRDefault="004E508E" w:rsidP="00AC5FB1">
            <w:pPr>
              <w:ind w:left="52" w:firstLine="0"/>
              <w:jc w:val="left"/>
              <w:rPr>
                <w:rFonts w:ascii="Calibri" w:eastAsia="Times New Roman" w:hAnsi="Calibri" w:cs="Calibri"/>
                <w:color w:val="000000"/>
                <w:sz w:val="18"/>
                <w:szCs w:val="18"/>
                <w:lang w:eastAsia="pl-PL"/>
              </w:rPr>
            </w:pPr>
          </w:p>
          <w:p w14:paraId="5AC4B695" w14:textId="08EBF2D0"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5.1.3.1., str.57</w:t>
            </w:r>
          </w:p>
        </w:tc>
        <w:tc>
          <w:tcPr>
            <w:tcW w:w="3965" w:type="dxa"/>
            <w:tcBorders>
              <w:top w:val="nil"/>
              <w:left w:val="nil"/>
              <w:bottom w:val="single" w:sz="4" w:space="0" w:color="auto"/>
              <w:right w:val="single" w:sz="4" w:space="0" w:color="auto"/>
            </w:tcBorders>
            <w:shd w:val="clear" w:color="auto" w:fill="auto"/>
            <w:hideMark/>
          </w:tcPr>
          <w:p w14:paraId="479D5A0E" w14:textId="5ECEBBB3"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Ocena ogólnego stanu jcwp jest dokonywana na podstawie analizy wyników oceny  stanu lub potencjału ekologicznego oraz stanu chemicznego danej jcwp. </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7A94A273" w14:textId="7508E006"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Zgodnie z </w:t>
            </w:r>
            <w:proofErr w:type="spellStart"/>
            <w:r w:rsidRPr="00846586">
              <w:rPr>
                <w:rFonts w:ascii="Calibri" w:eastAsia="Times New Roman" w:hAnsi="Calibri" w:cs="Calibri"/>
                <w:color w:val="000000"/>
                <w:sz w:val="18"/>
                <w:szCs w:val="18"/>
                <w:lang w:eastAsia="pl-PL"/>
              </w:rPr>
              <w:t>r.kl.jcwp</w:t>
            </w:r>
            <w:proofErr w:type="spellEnd"/>
            <w:r w:rsidRPr="00846586">
              <w:rPr>
                <w:rFonts w:ascii="Calibri" w:eastAsia="Times New Roman" w:hAnsi="Calibri" w:cs="Calibri"/>
                <w:color w:val="000000"/>
                <w:sz w:val="18"/>
                <w:szCs w:val="18"/>
                <w:lang w:eastAsia="pl-PL"/>
              </w:rPr>
              <w:t xml:space="preserve"> wyróżnia się oddzielne procesy, jakimi są klasyfikacja i ocena stanu jednolitych części wód powierzchniowych. Klasyfikacja dotyczy jedynie: elementów fizykochemicznych, biologicznych i hydromorfologicznych; stanu i potencjału ekologicznego jcwp; stanu chemicznego jcwp. Ocena, natomiast, dotyczy jedynie stanu jcwp. Tymczasem w treści projektu, w przypadku stanu/potencjału ekologicznego i stanu chemicznego bardzo często stosuje się określenie ocena zamiast klasyfikacja. </w:t>
            </w:r>
          </w:p>
        </w:tc>
        <w:tc>
          <w:tcPr>
            <w:tcW w:w="1984" w:type="dxa"/>
            <w:tcBorders>
              <w:top w:val="nil"/>
              <w:left w:val="nil"/>
              <w:bottom w:val="single" w:sz="4" w:space="0" w:color="auto"/>
              <w:right w:val="single" w:sz="4" w:space="0" w:color="auto"/>
            </w:tcBorders>
            <w:shd w:val="clear" w:color="auto" w:fill="auto"/>
            <w:hideMark/>
          </w:tcPr>
          <w:p w14:paraId="33290E0A"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490C5DA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7A712568"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61B4F5E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Skorygowano cały tekst IIaPGW pod kątem korekty zapisów zgodnie ze wskazaniem w uwadze.</w:t>
            </w:r>
          </w:p>
        </w:tc>
      </w:tr>
      <w:tr w:rsidR="00846586" w:rsidRPr="00846586" w14:paraId="26D5D23E"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1E6FA589"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8</w:t>
            </w:r>
          </w:p>
        </w:tc>
        <w:tc>
          <w:tcPr>
            <w:tcW w:w="1354" w:type="dxa"/>
            <w:tcBorders>
              <w:top w:val="nil"/>
              <w:left w:val="nil"/>
              <w:bottom w:val="single" w:sz="4" w:space="0" w:color="auto"/>
              <w:right w:val="single" w:sz="4" w:space="0" w:color="auto"/>
            </w:tcBorders>
            <w:shd w:val="clear" w:color="auto" w:fill="auto"/>
            <w:hideMark/>
          </w:tcPr>
          <w:p w14:paraId="3C2E3A55"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419302F5"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58A646F6" w14:textId="77777777" w:rsidR="004E508E" w:rsidRDefault="004E508E" w:rsidP="00AC5FB1">
            <w:pPr>
              <w:ind w:left="52" w:firstLine="0"/>
              <w:jc w:val="left"/>
              <w:rPr>
                <w:rFonts w:ascii="Calibri" w:eastAsia="Times New Roman" w:hAnsi="Calibri" w:cs="Calibri"/>
                <w:color w:val="000000"/>
                <w:sz w:val="18"/>
                <w:szCs w:val="18"/>
                <w:lang w:eastAsia="pl-PL"/>
              </w:rPr>
            </w:pPr>
          </w:p>
          <w:p w14:paraId="5480A63F" w14:textId="29D49AAC"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8.1.2.,  str. 95, zdanie 2.</w:t>
            </w:r>
          </w:p>
        </w:tc>
        <w:tc>
          <w:tcPr>
            <w:tcW w:w="3965" w:type="dxa"/>
            <w:tcBorders>
              <w:top w:val="nil"/>
              <w:left w:val="nil"/>
              <w:bottom w:val="single" w:sz="4" w:space="0" w:color="auto"/>
              <w:right w:val="single" w:sz="4" w:space="0" w:color="auto"/>
            </w:tcBorders>
            <w:shd w:val="clear" w:color="auto" w:fill="auto"/>
            <w:hideMark/>
          </w:tcPr>
          <w:p w14:paraId="667690C8" w14:textId="5C3E85E2"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Wskazano niewłaściwy załącznik (Załącznik nr 8)</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6D9D36F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Właściwy załącznik: Załącznik nr 7. Zdanie nr 2 proponuje się przeredagować zgodnie z ust. 2. Załącznika nr 7, cyt.:. Wartości graniczne dla klas jakości wód powierzchniowych wskaźników jakości wód powierzchniowych, będące podstawą klasyfikacji potencjału ekologicznego jednolitych części wód powierzchniowych, odnoszące się do jednolitych części wód rzecznych wyznaczonych jako sztuczne lub silnie zmienione jednolite części wód powierzchniowych, z wyjątkiem wskaźników jakości wód powierzchniowych wchodzących w skład elementów biologicznych odnoszących się do jednolitych części wód rzecznych wyznaczonych jako silnie zmienione jednolite części wód powierzchniowych, będących zbiornikami zaporowymi, określa się w rozporządzeniu, o którym mowa w art. </w:t>
            </w:r>
            <w:r w:rsidRPr="00846586">
              <w:rPr>
                <w:rFonts w:ascii="Calibri" w:eastAsia="Times New Roman" w:hAnsi="Calibri" w:cs="Calibri"/>
                <w:color w:val="000000"/>
                <w:sz w:val="18"/>
                <w:szCs w:val="18"/>
                <w:lang w:eastAsia="pl-PL"/>
              </w:rPr>
              <w:lastRenderedPageBreak/>
              <w:t>321 ustawy, w ramach planu gospodarowania wodami na obszarze dorzecza lub w ramach jego aktualizacji."</w:t>
            </w:r>
          </w:p>
        </w:tc>
        <w:tc>
          <w:tcPr>
            <w:tcW w:w="1984" w:type="dxa"/>
            <w:tcBorders>
              <w:top w:val="nil"/>
              <w:left w:val="nil"/>
              <w:bottom w:val="single" w:sz="4" w:space="0" w:color="auto"/>
              <w:right w:val="single" w:sz="4" w:space="0" w:color="auto"/>
            </w:tcBorders>
            <w:shd w:val="clear" w:color="auto" w:fill="auto"/>
            <w:hideMark/>
          </w:tcPr>
          <w:p w14:paraId="4351F081"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ust. 2. Załącznika nr 7 do rozporządzenia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p>
        </w:tc>
        <w:tc>
          <w:tcPr>
            <w:tcW w:w="2428" w:type="dxa"/>
            <w:tcBorders>
              <w:top w:val="nil"/>
              <w:left w:val="nil"/>
              <w:bottom w:val="single" w:sz="4" w:space="0" w:color="auto"/>
              <w:right w:val="single" w:sz="4" w:space="0" w:color="auto"/>
            </w:tcBorders>
            <w:shd w:val="clear" w:color="auto" w:fill="auto"/>
            <w:hideMark/>
          </w:tcPr>
          <w:p w14:paraId="398451D1"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2443874F"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4DAAA702"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Dokonano korekty zgodnie z uwagą.</w:t>
            </w:r>
          </w:p>
        </w:tc>
      </w:tr>
      <w:tr w:rsidR="00846586" w:rsidRPr="00846586" w14:paraId="10EA7A44"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73EF582E"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9</w:t>
            </w:r>
          </w:p>
        </w:tc>
        <w:tc>
          <w:tcPr>
            <w:tcW w:w="1354" w:type="dxa"/>
            <w:tcBorders>
              <w:top w:val="nil"/>
              <w:left w:val="nil"/>
              <w:bottom w:val="single" w:sz="4" w:space="0" w:color="auto"/>
              <w:right w:val="single" w:sz="4" w:space="0" w:color="auto"/>
            </w:tcBorders>
            <w:shd w:val="clear" w:color="auto" w:fill="auto"/>
            <w:hideMark/>
          </w:tcPr>
          <w:p w14:paraId="4016DDBD"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4BD8FD60"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028FA9FC" w14:textId="77777777" w:rsidR="004E508E" w:rsidRDefault="004E508E" w:rsidP="00AC5FB1">
            <w:pPr>
              <w:ind w:left="52" w:firstLine="0"/>
              <w:jc w:val="left"/>
              <w:rPr>
                <w:rFonts w:ascii="Calibri" w:eastAsia="Times New Roman" w:hAnsi="Calibri" w:cs="Calibri"/>
                <w:color w:val="000000"/>
                <w:sz w:val="18"/>
                <w:szCs w:val="18"/>
                <w:lang w:eastAsia="pl-PL"/>
              </w:rPr>
            </w:pPr>
          </w:p>
          <w:p w14:paraId="48456D68" w14:textId="61C8E3B9"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8.1.2.,  str. 96</w:t>
            </w:r>
          </w:p>
        </w:tc>
        <w:tc>
          <w:tcPr>
            <w:tcW w:w="3965" w:type="dxa"/>
            <w:tcBorders>
              <w:top w:val="nil"/>
              <w:left w:val="nil"/>
              <w:bottom w:val="single" w:sz="4" w:space="0" w:color="auto"/>
              <w:right w:val="single" w:sz="4" w:space="0" w:color="auto"/>
            </w:tcBorders>
            <w:shd w:val="clear" w:color="auto" w:fill="auto"/>
            <w:hideMark/>
          </w:tcPr>
          <w:p w14:paraId="2A830F24" w14:textId="72D51821"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Błędna nazwa elementu </w:t>
            </w:r>
            <w:proofErr w:type="spellStart"/>
            <w:r w:rsidRPr="00846586">
              <w:rPr>
                <w:rFonts w:ascii="Calibri" w:eastAsia="Times New Roman" w:hAnsi="Calibri" w:cs="Calibri"/>
                <w:color w:val="000000"/>
                <w:sz w:val="18"/>
                <w:szCs w:val="18"/>
                <w:lang w:eastAsia="pl-PL"/>
              </w:rPr>
              <w:t>DSEd</w:t>
            </w:r>
            <w:proofErr w:type="spellEnd"/>
            <w:r w:rsidRPr="00846586">
              <w:rPr>
                <w:rFonts w:ascii="Calibri" w:eastAsia="Times New Roman" w:hAnsi="Calibri" w:cs="Calibri"/>
                <w:color w:val="000000"/>
                <w:sz w:val="18"/>
                <w:szCs w:val="18"/>
                <w:lang w:eastAsia="pl-PL"/>
              </w:rPr>
              <w:t xml:space="preserve"> (jest: dolna granica dolnego stanu ekologicznego)</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00E8A23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Poprawna nazwa elementu </w:t>
            </w:r>
            <w:proofErr w:type="spellStart"/>
            <w:r w:rsidRPr="00846586">
              <w:rPr>
                <w:rFonts w:ascii="Calibri" w:eastAsia="Times New Roman" w:hAnsi="Calibri" w:cs="Calibri"/>
                <w:color w:val="000000"/>
                <w:sz w:val="18"/>
                <w:szCs w:val="18"/>
                <w:lang w:eastAsia="pl-PL"/>
              </w:rPr>
              <w:t>DSEd</w:t>
            </w:r>
            <w:proofErr w:type="spellEnd"/>
            <w:r w:rsidRPr="00846586">
              <w:rPr>
                <w:rFonts w:ascii="Calibri" w:eastAsia="Times New Roman" w:hAnsi="Calibri" w:cs="Calibri"/>
                <w:color w:val="000000"/>
                <w:sz w:val="18"/>
                <w:szCs w:val="18"/>
                <w:lang w:eastAsia="pl-PL"/>
              </w:rPr>
              <w:t>: dolna granica dobrego stanu ekologicznego</w:t>
            </w:r>
          </w:p>
        </w:tc>
        <w:tc>
          <w:tcPr>
            <w:tcW w:w="1984" w:type="dxa"/>
            <w:tcBorders>
              <w:top w:val="nil"/>
              <w:left w:val="nil"/>
              <w:bottom w:val="single" w:sz="4" w:space="0" w:color="auto"/>
              <w:right w:val="single" w:sz="4" w:space="0" w:color="auto"/>
            </w:tcBorders>
            <w:shd w:val="clear" w:color="auto" w:fill="auto"/>
            <w:hideMark/>
          </w:tcPr>
          <w:p w14:paraId="77A2B13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błędy literowe</w:t>
            </w:r>
          </w:p>
        </w:tc>
        <w:tc>
          <w:tcPr>
            <w:tcW w:w="2428" w:type="dxa"/>
            <w:tcBorders>
              <w:top w:val="nil"/>
              <w:left w:val="nil"/>
              <w:bottom w:val="single" w:sz="4" w:space="0" w:color="auto"/>
              <w:right w:val="single" w:sz="4" w:space="0" w:color="auto"/>
            </w:tcBorders>
            <w:shd w:val="clear" w:color="auto" w:fill="auto"/>
            <w:hideMark/>
          </w:tcPr>
          <w:p w14:paraId="3774E059"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19CF8E3A"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4A8FFD05"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Dokonano korekty błędów literowych.</w:t>
            </w:r>
          </w:p>
        </w:tc>
      </w:tr>
      <w:tr w:rsidR="00846586" w:rsidRPr="00846586" w14:paraId="3487ABF6"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0E614731"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10</w:t>
            </w:r>
          </w:p>
        </w:tc>
        <w:tc>
          <w:tcPr>
            <w:tcW w:w="1354" w:type="dxa"/>
            <w:tcBorders>
              <w:top w:val="nil"/>
              <w:left w:val="nil"/>
              <w:bottom w:val="single" w:sz="4" w:space="0" w:color="auto"/>
              <w:right w:val="single" w:sz="4" w:space="0" w:color="auto"/>
            </w:tcBorders>
            <w:shd w:val="clear" w:color="auto" w:fill="auto"/>
            <w:hideMark/>
          </w:tcPr>
          <w:p w14:paraId="44F4D70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201A1EB2"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2FC05F52" w14:textId="77777777" w:rsidR="004E508E" w:rsidRDefault="004E508E" w:rsidP="00AC5FB1">
            <w:pPr>
              <w:ind w:left="52" w:firstLine="0"/>
              <w:jc w:val="left"/>
              <w:rPr>
                <w:rFonts w:ascii="Calibri" w:eastAsia="Times New Roman" w:hAnsi="Calibri" w:cs="Calibri"/>
                <w:color w:val="000000"/>
                <w:sz w:val="18"/>
                <w:szCs w:val="18"/>
                <w:lang w:eastAsia="pl-PL"/>
              </w:rPr>
            </w:pPr>
          </w:p>
          <w:p w14:paraId="7FE9F22B" w14:textId="040B6C6B"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8.1.3., Tabela 8-3, str.98</w:t>
            </w:r>
          </w:p>
        </w:tc>
        <w:tc>
          <w:tcPr>
            <w:tcW w:w="3965" w:type="dxa"/>
            <w:tcBorders>
              <w:top w:val="nil"/>
              <w:left w:val="nil"/>
              <w:bottom w:val="single" w:sz="4" w:space="0" w:color="auto"/>
              <w:right w:val="single" w:sz="4" w:space="0" w:color="auto"/>
            </w:tcBorders>
            <w:shd w:val="clear" w:color="auto" w:fill="auto"/>
            <w:hideMark/>
          </w:tcPr>
          <w:p w14:paraId="4CFC5887" w14:textId="38B1CF0F" w:rsidR="00846586" w:rsidRPr="00846586" w:rsidRDefault="00A7316C" w:rsidP="004E508E">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 kolumnie 5 tabeli, wiersz 2</w:t>
            </w:r>
            <w:r w:rsidR="00846586" w:rsidRPr="00846586">
              <w:rPr>
                <w:rFonts w:ascii="Calibri" w:eastAsia="Times New Roman" w:hAnsi="Calibri" w:cs="Calibri"/>
                <w:color w:val="000000"/>
                <w:sz w:val="18"/>
                <w:szCs w:val="18"/>
                <w:lang w:eastAsia="pl-PL"/>
              </w:rPr>
              <w:t xml:space="preserve"> jest "Stan </w:t>
            </w:r>
            <w:proofErr w:type="spellStart"/>
            <w:r w:rsidR="00846586" w:rsidRPr="00846586">
              <w:rPr>
                <w:rFonts w:ascii="Calibri" w:eastAsia="Times New Roman" w:hAnsi="Calibri" w:cs="Calibri"/>
                <w:color w:val="000000"/>
                <w:sz w:val="18"/>
                <w:szCs w:val="18"/>
                <w:lang w:eastAsia="pl-PL"/>
              </w:rPr>
              <w:t>stan</w:t>
            </w:r>
            <w:proofErr w:type="spellEnd"/>
            <w:r w:rsidR="00846586" w:rsidRPr="00846586">
              <w:rPr>
                <w:rFonts w:ascii="Calibri" w:eastAsia="Times New Roman" w:hAnsi="Calibri" w:cs="Calibri"/>
                <w:color w:val="000000"/>
                <w:sz w:val="18"/>
                <w:szCs w:val="18"/>
                <w:lang w:eastAsia="pl-PL"/>
              </w:rPr>
              <w:t xml:space="preserve"> /potencjał ekologiczny"</w:t>
            </w:r>
            <w:r w:rsidR="00846586"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07DD0518"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powinno być "Stan ekologiczny /potencjał ekologiczny</w:t>
            </w:r>
          </w:p>
        </w:tc>
        <w:tc>
          <w:tcPr>
            <w:tcW w:w="1984" w:type="dxa"/>
            <w:tcBorders>
              <w:top w:val="nil"/>
              <w:left w:val="nil"/>
              <w:bottom w:val="single" w:sz="4" w:space="0" w:color="auto"/>
              <w:right w:val="single" w:sz="4" w:space="0" w:color="auto"/>
            </w:tcBorders>
            <w:shd w:val="clear" w:color="auto" w:fill="auto"/>
            <w:hideMark/>
          </w:tcPr>
          <w:p w14:paraId="45191939"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6EE97FB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0ED476EE"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07E342D5"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Skorygowano zgodnie z uwagą.</w:t>
            </w:r>
          </w:p>
        </w:tc>
      </w:tr>
      <w:tr w:rsidR="00846586" w:rsidRPr="00846586" w14:paraId="7B3E5270"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53DCDA40"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11</w:t>
            </w:r>
          </w:p>
        </w:tc>
        <w:tc>
          <w:tcPr>
            <w:tcW w:w="1354" w:type="dxa"/>
            <w:tcBorders>
              <w:top w:val="nil"/>
              <w:left w:val="nil"/>
              <w:bottom w:val="single" w:sz="4" w:space="0" w:color="auto"/>
              <w:right w:val="single" w:sz="4" w:space="0" w:color="auto"/>
            </w:tcBorders>
            <w:shd w:val="clear" w:color="auto" w:fill="auto"/>
            <w:hideMark/>
          </w:tcPr>
          <w:p w14:paraId="5AADB9F1"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09F2984D"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5D891000" w14:textId="77777777" w:rsidR="004E508E" w:rsidRDefault="004E508E" w:rsidP="00AC5FB1">
            <w:pPr>
              <w:ind w:left="52" w:firstLine="0"/>
              <w:jc w:val="left"/>
              <w:rPr>
                <w:rFonts w:ascii="Calibri" w:eastAsia="Times New Roman" w:hAnsi="Calibri" w:cs="Calibri"/>
                <w:color w:val="000000"/>
                <w:sz w:val="18"/>
                <w:szCs w:val="18"/>
                <w:lang w:eastAsia="pl-PL"/>
              </w:rPr>
            </w:pPr>
          </w:p>
          <w:p w14:paraId="6A139C69" w14:textId="77777777" w:rsidR="004E508E" w:rsidRDefault="004E508E" w:rsidP="00AC5FB1">
            <w:pPr>
              <w:ind w:left="52" w:firstLine="0"/>
              <w:jc w:val="left"/>
              <w:rPr>
                <w:rFonts w:ascii="Calibri" w:eastAsia="Times New Roman" w:hAnsi="Calibri" w:cs="Calibri"/>
                <w:color w:val="000000"/>
                <w:sz w:val="18"/>
                <w:szCs w:val="18"/>
                <w:lang w:eastAsia="pl-PL"/>
              </w:rPr>
            </w:pPr>
          </w:p>
          <w:p w14:paraId="55C33395" w14:textId="22F16E0E"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5.1.2.1.., str.49</w:t>
            </w:r>
            <w:r w:rsidRPr="004E508E">
              <w:rPr>
                <w:rFonts w:ascii="Calibri" w:eastAsia="Times New Roman" w:hAnsi="Calibri" w:cs="Calibri"/>
                <w:color w:val="000000"/>
                <w:sz w:val="18"/>
                <w:szCs w:val="18"/>
                <w:lang w:eastAsia="pl-PL"/>
              </w:rPr>
              <w:br w:type="page"/>
            </w:r>
          </w:p>
        </w:tc>
        <w:tc>
          <w:tcPr>
            <w:tcW w:w="3965" w:type="dxa"/>
            <w:tcBorders>
              <w:top w:val="nil"/>
              <w:left w:val="nil"/>
              <w:bottom w:val="single" w:sz="4" w:space="0" w:color="auto"/>
              <w:right w:val="single" w:sz="4" w:space="0" w:color="auto"/>
            </w:tcBorders>
            <w:shd w:val="clear" w:color="auto" w:fill="auto"/>
            <w:hideMark/>
          </w:tcPr>
          <w:p w14:paraId="4D7178E7" w14:textId="4BA45E2D" w:rsidR="004E508E"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"wskazano niewłaściwą </w:t>
            </w:r>
            <w:r w:rsidR="00A7316C" w:rsidRPr="00846586">
              <w:rPr>
                <w:rFonts w:ascii="Calibri" w:eastAsia="Times New Roman" w:hAnsi="Calibri" w:cs="Calibri"/>
                <w:color w:val="000000"/>
                <w:sz w:val="18"/>
                <w:szCs w:val="18"/>
                <w:lang w:eastAsia="pl-PL"/>
              </w:rPr>
              <w:t>liczbę</w:t>
            </w:r>
            <w:r w:rsidRPr="00846586">
              <w:rPr>
                <w:rFonts w:ascii="Calibri" w:eastAsia="Times New Roman" w:hAnsi="Calibri" w:cs="Calibri"/>
                <w:color w:val="000000"/>
                <w:sz w:val="18"/>
                <w:szCs w:val="18"/>
                <w:lang w:eastAsia="pl-PL"/>
              </w:rPr>
              <w:t xml:space="preserve"> </w:t>
            </w:r>
            <w:proofErr w:type="spellStart"/>
            <w:r w:rsidRPr="00846586">
              <w:rPr>
                <w:rFonts w:ascii="Calibri" w:eastAsia="Times New Roman" w:hAnsi="Calibri" w:cs="Calibri"/>
                <w:color w:val="000000"/>
                <w:sz w:val="18"/>
                <w:szCs w:val="18"/>
                <w:lang w:eastAsia="pl-PL"/>
              </w:rPr>
              <w:t>jcwp</w:t>
            </w:r>
            <w:proofErr w:type="spellEnd"/>
            <w:r w:rsidRPr="00846586">
              <w:rPr>
                <w:rFonts w:ascii="Calibri" w:eastAsia="Times New Roman" w:hAnsi="Calibri" w:cs="Calibri"/>
                <w:color w:val="000000"/>
                <w:sz w:val="18"/>
                <w:szCs w:val="18"/>
                <w:lang w:eastAsia="pl-PL"/>
              </w:rPr>
              <w:t xml:space="preserve"> objętych monitoringiem w latach 2016-2021 - jest ""W ramach sieci na lata 2016-2021 w obszarze dorzecza Dniestru zaplanowano monitoring 1 spośród </w:t>
            </w:r>
            <w:r w:rsidRPr="00846586">
              <w:rPr>
                <w:rFonts w:ascii="Calibri" w:eastAsia="Times New Roman" w:hAnsi="Calibri" w:cs="Calibri"/>
                <w:color w:val="000000"/>
                <w:sz w:val="18"/>
                <w:szCs w:val="18"/>
                <w:lang w:eastAsia="pl-PL"/>
              </w:rPr>
              <w:br w:type="page"/>
              <w:t>3 jcwp RW (ok. 33% jcwp RW), objętej zarówno monitoringiem diagnostycznym, jak i operacyjnym</w:t>
            </w:r>
            <w:r w:rsidR="004E508E">
              <w:rPr>
                <w:rFonts w:ascii="Calibri" w:eastAsia="Times New Roman" w:hAnsi="Calibri" w:cs="Calibri"/>
                <w:color w:val="000000"/>
                <w:sz w:val="18"/>
                <w:szCs w:val="18"/>
                <w:lang w:eastAsia="pl-PL"/>
              </w:rPr>
              <w:t>.</w:t>
            </w:r>
          </w:p>
          <w:p w14:paraId="3C9EBD96" w14:textId="114EFB18" w:rsidR="00846586" w:rsidRPr="00846586" w:rsidRDefault="00846586" w:rsidP="004E508E">
            <w:pPr>
              <w:ind w:firstLine="0"/>
              <w:jc w:val="left"/>
              <w:rPr>
                <w:rFonts w:ascii="Calibri" w:eastAsia="Times New Roman" w:hAnsi="Calibri" w:cs="Calibri"/>
                <w:color w:val="000000"/>
                <w:sz w:val="18"/>
                <w:szCs w:val="18"/>
                <w:lang w:eastAsia="pl-PL"/>
              </w:rPr>
            </w:pPr>
          </w:p>
        </w:tc>
        <w:tc>
          <w:tcPr>
            <w:tcW w:w="3258" w:type="dxa"/>
            <w:tcBorders>
              <w:top w:val="nil"/>
              <w:left w:val="nil"/>
              <w:bottom w:val="single" w:sz="4" w:space="0" w:color="auto"/>
              <w:right w:val="single" w:sz="4" w:space="0" w:color="auto"/>
            </w:tcBorders>
            <w:shd w:val="clear" w:color="auto" w:fill="auto"/>
            <w:hideMark/>
          </w:tcPr>
          <w:p w14:paraId="30DBF0E5"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w latach 2016-2021 badania monitoringowe prowadzono w 2 częściach wód: 1. </w:t>
            </w:r>
            <w:proofErr w:type="spellStart"/>
            <w:r w:rsidRPr="00846586">
              <w:rPr>
                <w:rFonts w:ascii="Calibri" w:eastAsia="Times New Roman" w:hAnsi="Calibri" w:cs="Calibri"/>
                <w:color w:val="000000"/>
                <w:sz w:val="18"/>
                <w:szCs w:val="18"/>
                <w:lang w:eastAsia="pl-PL"/>
              </w:rPr>
              <w:t>Mszaniec</w:t>
            </w:r>
            <w:proofErr w:type="spellEnd"/>
            <w:r w:rsidRPr="00846586">
              <w:rPr>
                <w:rFonts w:ascii="Calibri" w:eastAsia="Times New Roman" w:hAnsi="Calibri" w:cs="Calibri"/>
                <w:color w:val="000000"/>
                <w:sz w:val="18"/>
                <w:szCs w:val="18"/>
                <w:lang w:eastAsia="pl-PL"/>
              </w:rPr>
              <w:t xml:space="preserve"> do </w:t>
            </w:r>
            <w:proofErr w:type="spellStart"/>
            <w:r w:rsidRPr="00846586">
              <w:rPr>
                <w:rFonts w:ascii="Calibri" w:eastAsia="Times New Roman" w:hAnsi="Calibri" w:cs="Calibri"/>
                <w:color w:val="000000"/>
                <w:sz w:val="18"/>
                <w:szCs w:val="18"/>
                <w:lang w:eastAsia="pl-PL"/>
              </w:rPr>
              <w:t>Syhawki</w:t>
            </w:r>
            <w:proofErr w:type="spellEnd"/>
            <w:r w:rsidRPr="00846586">
              <w:rPr>
                <w:rFonts w:ascii="Calibri" w:eastAsia="Times New Roman" w:hAnsi="Calibri" w:cs="Calibri"/>
                <w:color w:val="000000"/>
                <w:sz w:val="18"/>
                <w:szCs w:val="18"/>
                <w:lang w:eastAsia="pl-PL"/>
              </w:rPr>
              <w:t xml:space="preserve"> o kodzie PLRW900012748, w </w:t>
            </w:r>
            <w:proofErr w:type="spellStart"/>
            <w:r w:rsidRPr="00846586">
              <w:rPr>
                <w:rFonts w:ascii="Calibri" w:eastAsia="Times New Roman" w:hAnsi="Calibri" w:cs="Calibri"/>
                <w:color w:val="000000"/>
                <w:sz w:val="18"/>
                <w:szCs w:val="18"/>
                <w:lang w:eastAsia="pl-PL"/>
              </w:rPr>
              <w:t>ppk.Mszaniec</w:t>
            </w:r>
            <w:proofErr w:type="spellEnd"/>
            <w:r w:rsidRPr="00846586">
              <w:rPr>
                <w:rFonts w:ascii="Calibri" w:eastAsia="Times New Roman" w:hAnsi="Calibri" w:cs="Calibri"/>
                <w:color w:val="000000"/>
                <w:sz w:val="18"/>
                <w:szCs w:val="18"/>
                <w:lang w:eastAsia="pl-PL"/>
              </w:rPr>
              <w:t xml:space="preserve"> - Bystre (kod ppk. PL03S1601_0004) </w:t>
            </w:r>
            <w:proofErr w:type="spellStart"/>
            <w:r w:rsidRPr="00846586">
              <w:rPr>
                <w:rFonts w:ascii="Calibri" w:eastAsia="Times New Roman" w:hAnsi="Calibri" w:cs="Calibri"/>
                <w:color w:val="000000"/>
                <w:sz w:val="18"/>
                <w:szCs w:val="18"/>
                <w:lang w:eastAsia="pl-PL"/>
              </w:rPr>
              <w:t>monitorwana</w:t>
            </w:r>
            <w:proofErr w:type="spellEnd"/>
            <w:r w:rsidRPr="00846586">
              <w:rPr>
                <w:rFonts w:ascii="Calibri" w:eastAsia="Times New Roman" w:hAnsi="Calibri" w:cs="Calibri"/>
                <w:color w:val="000000"/>
                <w:sz w:val="18"/>
                <w:szCs w:val="18"/>
                <w:lang w:eastAsia="pl-PL"/>
              </w:rPr>
              <w:t xml:space="preserve">  w 2019 roku w ramach monitoringu operacyjnego; 2. Strwiąż do granicy państwa o kodzie PLRW9000127691, w ppk Strwiąż - Krościenko (kod ppk. PL03S1601_0001) monitorowana w latach 2016-2021 w ramach monitoringu operacyjnego a w 2017 roku  w ramach monitoringu diagnostycznego. Jedynie dla </w:t>
            </w:r>
            <w:proofErr w:type="spellStart"/>
            <w:r w:rsidRPr="00846586">
              <w:rPr>
                <w:rFonts w:ascii="Calibri" w:eastAsia="Times New Roman" w:hAnsi="Calibri" w:cs="Calibri"/>
                <w:color w:val="000000"/>
                <w:sz w:val="18"/>
                <w:szCs w:val="18"/>
                <w:lang w:eastAsia="pl-PL"/>
              </w:rPr>
              <w:t>jcwp</w:t>
            </w:r>
            <w:proofErr w:type="spellEnd"/>
            <w:r w:rsidRPr="00846586">
              <w:rPr>
                <w:rFonts w:ascii="Calibri" w:eastAsia="Times New Roman" w:hAnsi="Calibri" w:cs="Calibri"/>
                <w:color w:val="000000"/>
                <w:sz w:val="18"/>
                <w:szCs w:val="18"/>
                <w:lang w:eastAsia="pl-PL"/>
              </w:rPr>
              <w:t xml:space="preserve"> </w:t>
            </w:r>
            <w:proofErr w:type="spellStart"/>
            <w:r w:rsidRPr="00846586">
              <w:rPr>
                <w:rFonts w:ascii="Calibri" w:eastAsia="Times New Roman" w:hAnsi="Calibri" w:cs="Calibri"/>
                <w:color w:val="000000"/>
                <w:sz w:val="18"/>
                <w:szCs w:val="18"/>
                <w:lang w:eastAsia="pl-PL"/>
              </w:rPr>
              <w:t>Lechnawa</w:t>
            </w:r>
            <w:proofErr w:type="spellEnd"/>
            <w:r w:rsidRPr="00846586">
              <w:rPr>
                <w:rFonts w:ascii="Calibri" w:eastAsia="Times New Roman" w:hAnsi="Calibri" w:cs="Calibri"/>
                <w:color w:val="000000"/>
                <w:sz w:val="18"/>
                <w:szCs w:val="18"/>
                <w:lang w:eastAsia="pl-PL"/>
              </w:rPr>
              <w:t xml:space="preserve"> o kodzie PLRW90001272 dokonano przeniesienia stanu ekologicznego i oceny stanu wód z </w:t>
            </w:r>
            <w:proofErr w:type="spellStart"/>
            <w:r w:rsidRPr="00846586">
              <w:rPr>
                <w:rFonts w:ascii="Calibri" w:eastAsia="Times New Roman" w:hAnsi="Calibri" w:cs="Calibri"/>
                <w:color w:val="000000"/>
                <w:sz w:val="18"/>
                <w:szCs w:val="18"/>
                <w:lang w:eastAsia="pl-PL"/>
              </w:rPr>
              <w:t>jcwp</w:t>
            </w:r>
            <w:proofErr w:type="spellEnd"/>
            <w:r w:rsidRPr="00846586">
              <w:rPr>
                <w:rFonts w:ascii="Calibri" w:eastAsia="Times New Roman" w:hAnsi="Calibri" w:cs="Calibri"/>
                <w:color w:val="000000"/>
                <w:sz w:val="18"/>
                <w:szCs w:val="18"/>
                <w:lang w:eastAsia="pl-PL"/>
              </w:rPr>
              <w:t xml:space="preserve"> </w:t>
            </w:r>
            <w:proofErr w:type="spellStart"/>
            <w:r w:rsidRPr="00846586">
              <w:rPr>
                <w:rFonts w:ascii="Calibri" w:eastAsia="Times New Roman" w:hAnsi="Calibri" w:cs="Calibri"/>
                <w:color w:val="000000"/>
                <w:sz w:val="18"/>
                <w:szCs w:val="18"/>
                <w:lang w:eastAsia="pl-PL"/>
              </w:rPr>
              <w:t>Mszaniec</w:t>
            </w:r>
            <w:proofErr w:type="spellEnd"/>
            <w:r w:rsidRPr="00846586">
              <w:rPr>
                <w:rFonts w:ascii="Calibri" w:eastAsia="Times New Roman" w:hAnsi="Calibri" w:cs="Calibri"/>
                <w:color w:val="000000"/>
                <w:sz w:val="18"/>
                <w:szCs w:val="18"/>
                <w:lang w:eastAsia="pl-PL"/>
              </w:rPr>
              <w:t xml:space="preserve"> do </w:t>
            </w:r>
            <w:proofErr w:type="spellStart"/>
            <w:r w:rsidRPr="00846586">
              <w:rPr>
                <w:rFonts w:ascii="Calibri" w:eastAsia="Times New Roman" w:hAnsi="Calibri" w:cs="Calibri"/>
                <w:color w:val="000000"/>
                <w:sz w:val="18"/>
                <w:szCs w:val="18"/>
                <w:lang w:eastAsia="pl-PL"/>
              </w:rPr>
              <w:t>Syhawki</w:t>
            </w:r>
            <w:proofErr w:type="spellEnd"/>
            <w:r w:rsidRPr="00846586">
              <w:rPr>
                <w:rFonts w:ascii="Calibri" w:eastAsia="Times New Roman" w:hAnsi="Calibri" w:cs="Calibri"/>
                <w:color w:val="000000"/>
                <w:sz w:val="18"/>
                <w:szCs w:val="18"/>
                <w:lang w:eastAsia="pl-PL"/>
              </w:rPr>
              <w:t>.</w:t>
            </w:r>
            <w:r w:rsidRPr="00846586">
              <w:rPr>
                <w:rFonts w:ascii="Calibri" w:eastAsia="Times New Roman" w:hAnsi="Calibri" w:cs="Calibri"/>
                <w:color w:val="000000"/>
                <w:sz w:val="18"/>
                <w:szCs w:val="18"/>
                <w:lang w:eastAsia="pl-PL"/>
              </w:rPr>
              <w:br w:type="page"/>
            </w:r>
          </w:p>
        </w:tc>
        <w:tc>
          <w:tcPr>
            <w:tcW w:w="1984" w:type="dxa"/>
            <w:tcBorders>
              <w:top w:val="nil"/>
              <w:left w:val="nil"/>
              <w:bottom w:val="single" w:sz="4" w:space="0" w:color="auto"/>
              <w:right w:val="single" w:sz="4" w:space="0" w:color="auto"/>
            </w:tcBorders>
            <w:shd w:val="clear" w:color="auto" w:fill="auto"/>
            <w:hideMark/>
          </w:tcPr>
          <w:p w14:paraId="00B54D0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46588BC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4DF6949A"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07AFB84F"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Skorygowano wskazane jcwp monitorowane zgodnie z uwagą.</w:t>
            </w:r>
          </w:p>
        </w:tc>
      </w:tr>
      <w:tr w:rsidR="00846586" w:rsidRPr="00846586" w14:paraId="6E0622DF"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20ED852E"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12</w:t>
            </w:r>
          </w:p>
        </w:tc>
        <w:tc>
          <w:tcPr>
            <w:tcW w:w="1354" w:type="dxa"/>
            <w:tcBorders>
              <w:top w:val="nil"/>
              <w:left w:val="nil"/>
              <w:bottom w:val="single" w:sz="4" w:space="0" w:color="auto"/>
              <w:right w:val="single" w:sz="4" w:space="0" w:color="auto"/>
            </w:tcBorders>
            <w:shd w:val="clear" w:color="auto" w:fill="auto"/>
            <w:hideMark/>
          </w:tcPr>
          <w:p w14:paraId="531AFE2A"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4D9583E6" w14:textId="77777777" w:rsidR="00846586" w:rsidRP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tc>
        <w:tc>
          <w:tcPr>
            <w:tcW w:w="3965" w:type="dxa"/>
            <w:tcBorders>
              <w:top w:val="nil"/>
              <w:left w:val="nil"/>
              <w:bottom w:val="single" w:sz="4" w:space="0" w:color="auto"/>
              <w:right w:val="single" w:sz="4" w:space="0" w:color="auto"/>
            </w:tcBorders>
            <w:shd w:val="clear" w:color="auto" w:fill="auto"/>
            <w:hideMark/>
          </w:tcPr>
          <w:p w14:paraId="7BF1E4F2" w14:textId="67510935"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 tabeli wskazano niewłaściwą liczbę jcwp RW dla których dokonano oceny stanu -</w:t>
            </w:r>
            <w:r w:rsidR="00A7316C">
              <w:rPr>
                <w:rFonts w:ascii="Calibri" w:eastAsia="Times New Roman" w:hAnsi="Calibri" w:cs="Calibri"/>
                <w:color w:val="000000"/>
                <w:sz w:val="18"/>
                <w:szCs w:val="18"/>
                <w:lang w:eastAsia="pl-PL"/>
              </w:rPr>
              <w:t xml:space="preserve"> jest 1 jcwp powinno być 2 </w:t>
            </w:r>
            <w:proofErr w:type="spellStart"/>
            <w:r w:rsidR="00A7316C">
              <w:rPr>
                <w:rFonts w:ascii="Calibri" w:eastAsia="Times New Roman" w:hAnsi="Calibri" w:cs="Calibri"/>
                <w:color w:val="000000"/>
                <w:sz w:val="18"/>
                <w:szCs w:val="18"/>
                <w:lang w:eastAsia="pl-PL"/>
              </w:rPr>
              <w:t>jcwp</w:t>
            </w:r>
            <w:proofErr w:type="spellEnd"/>
            <w:r w:rsidRPr="00846586">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br/>
              <w:t xml:space="preserve">Część projektu planu, do którego zgłaszana jest uwaga (numer rozdziału, strona dokumentu, nr załącznika): </w:t>
            </w:r>
            <w:proofErr w:type="spellStart"/>
            <w:r w:rsidRPr="00846586">
              <w:rPr>
                <w:rFonts w:ascii="Calibri" w:eastAsia="Times New Roman" w:hAnsi="Calibri" w:cs="Calibri"/>
                <w:color w:val="000000"/>
                <w:sz w:val="18"/>
                <w:szCs w:val="18"/>
                <w:lang w:eastAsia="pl-PL"/>
              </w:rPr>
              <w:t>projekt_IIaPGW_OD_Dniestr</w:t>
            </w:r>
            <w:proofErr w:type="spellEnd"/>
            <w:r w:rsidRPr="00846586">
              <w:rPr>
                <w:rFonts w:ascii="Calibri" w:eastAsia="Times New Roman" w:hAnsi="Calibri" w:cs="Calibri"/>
                <w:color w:val="000000"/>
                <w:sz w:val="18"/>
                <w:szCs w:val="18"/>
                <w:lang w:eastAsia="pl-PL"/>
              </w:rPr>
              <w:t>, 5.1.3.2.. Tabela 5-10, str.59</w:t>
            </w:r>
          </w:p>
        </w:tc>
        <w:tc>
          <w:tcPr>
            <w:tcW w:w="3258" w:type="dxa"/>
            <w:tcBorders>
              <w:top w:val="nil"/>
              <w:left w:val="nil"/>
              <w:bottom w:val="single" w:sz="4" w:space="0" w:color="auto"/>
              <w:right w:val="single" w:sz="4" w:space="0" w:color="auto"/>
            </w:tcBorders>
            <w:shd w:val="clear" w:color="auto" w:fill="auto"/>
            <w:hideMark/>
          </w:tcPr>
          <w:p w14:paraId="09E90251"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w latach 2016-2021 badania monitoringowe prowadzono w 2 częściach wód: 1. </w:t>
            </w:r>
            <w:proofErr w:type="spellStart"/>
            <w:r w:rsidRPr="00846586">
              <w:rPr>
                <w:rFonts w:ascii="Calibri" w:eastAsia="Times New Roman" w:hAnsi="Calibri" w:cs="Calibri"/>
                <w:color w:val="000000"/>
                <w:sz w:val="18"/>
                <w:szCs w:val="18"/>
                <w:lang w:eastAsia="pl-PL"/>
              </w:rPr>
              <w:t>Mszaniec</w:t>
            </w:r>
            <w:proofErr w:type="spellEnd"/>
            <w:r w:rsidRPr="00846586">
              <w:rPr>
                <w:rFonts w:ascii="Calibri" w:eastAsia="Times New Roman" w:hAnsi="Calibri" w:cs="Calibri"/>
                <w:color w:val="000000"/>
                <w:sz w:val="18"/>
                <w:szCs w:val="18"/>
                <w:lang w:eastAsia="pl-PL"/>
              </w:rPr>
              <w:t xml:space="preserve"> do </w:t>
            </w:r>
            <w:proofErr w:type="spellStart"/>
            <w:r w:rsidRPr="00846586">
              <w:rPr>
                <w:rFonts w:ascii="Calibri" w:eastAsia="Times New Roman" w:hAnsi="Calibri" w:cs="Calibri"/>
                <w:color w:val="000000"/>
                <w:sz w:val="18"/>
                <w:szCs w:val="18"/>
                <w:lang w:eastAsia="pl-PL"/>
              </w:rPr>
              <w:t>Syhawki</w:t>
            </w:r>
            <w:proofErr w:type="spellEnd"/>
            <w:r w:rsidRPr="00846586">
              <w:rPr>
                <w:rFonts w:ascii="Calibri" w:eastAsia="Times New Roman" w:hAnsi="Calibri" w:cs="Calibri"/>
                <w:color w:val="000000"/>
                <w:sz w:val="18"/>
                <w:szCs w:val="18"/>
                <w:lang w:eastAsia="pl-PL"/>
              </w:rPr>
              <w:t xml:space="preserve"> o kodzie PLRW900012748, w </w:t>
            </w:r>
            <w:proofErr w:type="spellStart"/>
            <w:r w:rsidRPr="00846586">
              <w:rPr>
                <w:rFonts w:ascii="Calibri" w:eastAsia="Times New Roman" w:hAnsi="Calibri" w:cs="Calibri"/>
                <w:color w:val="000000"/>
                <w:sz w:val="18"/>
                <w:szCs w:val="18"/>
                <w:lang w:eastAsia="pl-PL"/>
              </w:rPr>
              <w:t>ppk.Mszaniec</w:t>
            </w:r>
            <w:proofErr w:type="spellEnd"/>
            <w:r w:rsidRPr="00846586">
              <w:rPr>
                <w:rFonts w:ascii="Calibri" w:eastAsia="Times New Roman" w:hAnsi="Calibri" w:cs="Calibri"/>
                <w:color w:val="000000"/>
                <w:sz w:val="18"/>
                <w:szCs w:val="18"/>
                <w:lang w:eastAsia="pl-PL"/>
              </w:rPr>
              <w:t xml:space="preserve"> - Bystre (kod ppk. PL03S1601_0004) </w:t>
            </w:r>
            <w:proofErr w:type="spellStart"/>
            <w:r w:rsidRPr="00846586">
              <w:rPr>
                <w:rFonts w:ascii="Calibri" w:eastAsia="Times New Roman" w:hAnsi="Calibri" w:cs="Calibri"/>
                <w:color w:val="000000"/>
                <w:sz w:val="18"/>
                <w:szCs w:val="18"/>
                <w:lang w:eastAsia="pl-PL"/>
              </w:rPr>
              <w:t>monitorwana</w:t>
            </w:r>
            <w:proofErr w:type="spellEnd"/>
            <w:r w:rsidRPr="00846586">
              <w:rPr>
                <w:rFonts w:ascii="Calibri" w:eastAsia="Times New Roman" w:hAnsi="Calibri" w:cs="Calibri"/>
                <w:color w:val="000000"/>
                <w:sz w:val="18"/>
                <w:szCs w:val="18"/>
                <w:lang w:eastAsia="pl-PL"/>
              </w:rPr>
              <w:t xml:space="preserve">  w 2019 roku w ramach monitoringu operacyjnego - dokonano klasyfikacji stanu ekologicznego i oceny stanu wód; 2. Strwiąż do granicy państwa o kodzie PLRW9000127691, w ppk Strwiąż - Krościenko (kod ppk. PL03S1601_0001) monitorowana w latach 2016-2021 w ramach monitoringu operacyjnego a w 2017 roku  w ramach monitoringu diagnostycznego - dokonano klasyfikacji stanu ekologicznego, klasyfikacji stanu chemicznego i oceny stanu wód</w:t>
            </w:r>
          </w:p>
        </w:tc>
        <w:tc>
          <w:tcPr>
            <w:tcW w:w="1984" w:type="dxa"/>
            <w:tcBorders>
              <w:top w:val="nil"/>
              <w:left w:val="nil"/>
              <w:bottom w:val="single" w:sz="4" w:space="0" w:color="auto"/>
              <w:right w:val="single" w:sz="4" w:space="0" w:color="auto"/>
            </w:tcBorders>
            <w:shd w:val="clear" w:color="auto" w:fill="auto"/>
            <w:hideMark/>
          </w:tcPr>
          <w:p w14:paraId="4B0A8E3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6EFE443E"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2B8CF92F"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5A4040E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Skorygowano wskazane jcwp monitorowane zgodnie z uwagą.</w:t>
            </w:r>
          </w:p>
        </w:tc>
      </w:tr>
      <w:tr w:rsidR="00846586" w:rsidRPr="00846586" w14:paraId="46E28AED"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7C74C01E"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13</w:t>
            </w:r>
          </w:p>
        </w:tc>
        <w:tc>
          <w:tcPr>
            <w:tcW w:w="1354" w:type="dxa"/>
            <w:tcBorders>
              <w:top w:val="nil"/>
              <w:left w:val="nil"/>
              <w:bottom w:val="single" w:sz="4" w:space="0" w:color="auto"/>
              <w:right w:val="single" w:sz="4" w:space="0" w:color="auto"/>
            </w:tcBorders>
            <w:shd w:val="clear" w:color="auto" w:fill="auto"/>
            <w:hideMark/>
          </w:tcPr>
          <w:p w14:paraId="25FB298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4B5299DC"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0C764618" w14:textId="77777777" w:rsidR="004E508E" w:rsidRDefault="004E508E" w:rsidP="00AC5FB1">
            <w:pPr>
              <w:ind w:left="52" w:firstLine="0"/>
              <w:jc w:val="left"/>
              <w:rPr>
                <w:rFonts w:ascii="Calibri" w:eastAsia="Times New Roman" w:hAnsi="Calibri" w:cs="Calibri"/>
                <w:color w:val="000000"/>
                <w:sz w:val="18"/>
                <w:szCs w:val="18"/>
                <w:lang w:eastAsia="pl-PL"/>
              </w:rPr>
            </w:pPr>
          </w:p>
          <w:p w14:paraId="2F74BF70" w14:textId="35C607EB" w:rsidR="004E508E" w:rsidRPr="00846586" w:rsidRDefault="004E508E" w:rsidP="00AC5FB1">
            <w:pPr>
              <w:ind w:left="52" w:firstLine="0"/>
              <w:jc w:val="left"/>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P</w:t>
            </w:r>
            <w:r w:rsidRPr="004E508E">
              <w:rPr>
                <w:rFonts w:ascii="Calibri" w:eastAsia="Times New Roman" w:hAnsi="Calibri" w:cs="Calibri"/>
                <w:color w:val="000000"/>
                <w:sz w:val="18"/>
                <w:szCs w:val="18"/>
                <w:lang w:eastAsia="pl-PL"/>
              </w:rPr>
              <w:t>rojekt_IIaPGW_OD_Dniestr</w:t>
            </w:r>
            <w:proofErr w:type="spellEnd"/>
            <w:r w:rsidRPr="004E508E">
              <w:rPr>
                <w:rFonts w:ascii="Calibri" w:eastAsia="Times New Roman" w:hAnsi="Calibri" w:cs="Calibri"/>
                <w:color w:val="000000"/>
                <w:sz w:val="18"/>
                <w:szCs w:val="18"/>
                <w:lang w:eastAsia="pl-PL"/>
              </w:rPr>
              <w:t>, 5.1.3.2.. Tabela 5-11, str.60</w:t>
            </w:r>
          </w:p>
        </w:tc>
        <w:tc>
          <w:tcPr>
            <w:tcW w:w="3965" w:type="dxa"/>
            <w:tcBorders>
              <w:top w:val="nil"/>
              <w:left w:val="nil"/>
              <w:bottom w:val="single" w:sz="4" w:space="0" w:color="auto"/>
              <w:right w:val="single" w:sz="4" w:space="0" w:color="auto"/>
            </w:tcBorders>
            <w:shd w:val="clear" w:color="auto" w:fill="auto"/>
            <w:hideMark/>
          </w:tcPr>
          <w:p w14:paraId="2CE109A6" w14:textId="092A8B94"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w tabeli wskazano niewłaściwą liczbę jcwp RW dla których dokonano oceny stanu - jest 1 jcwp powinno być 2 jcwp  </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503BF69A"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w latach 2016-2021 badania monitoringowe prowadzono w 2 częściach wód: 1. </w:t>
            </w:r>
            <w:proofErr w:type="spellStart"/>
            <w:r w:rsidRPr="00846586">
              <w:rPr>
                <w:rFonts w:ascii="Calibri" w:eastAsia="Times New Roman" w:hAnsi="Calibri" w:cs="Calibri"/>
                <w:color w:val="000000"/>
                <w:sz w:val="18"/>
                <w:szCs w:val="18"/>
                <w:lang w:eastAsia="pl-PL"/>
              </w:rPr>
              <w:t>Mszaniec</w:t>
            </w:r>
            <w:proofErr w:type="spellEnd"/>
            <w:r w:rsidRPr="00846586">
              <w:rPr>
                <w:rFonts w:ascii="Calibri" w:eastAsia="Times New Roman" w:hAnsi="Calibri" w:cs="Calibri"/>
                <w:color w:val="000000"/>
                <w:sz w:val="18"/>
                <w:szCs w:val="18"/>
                <w:lang w:eastAsia="pl-PL"/>
              </w:rPr>
              <w:t xml:space="preserve"> do </w:t>
            </w:r>
            <w:proofErr w:type="spellStart"/>
            <w:r w:rsidRPr="00846586">
              <w:rPr>
                <w:rFonts w:ascii="Calibri" w:eastAsia="Times New Roman" w:hAnsi="Calibri" w:cs="Calibri"/>
                <w:color w:val="000000"/>
                <w:sz w:val="18"/>
                <w:szCs w:val="18"/>
                <w:lang w:eastAsia="pl-PL"/>
              </w:rPr>
              <w:t>Syhawki</w:t>
            </w:r>
            <w:proofErr w:type="spellEnd"/>
            <w:r w:rsidRPr="00846586">
              <w:rPr>
                <w:rFonts w:ascii="Calibri" w:eastAsia="Times New Roman" w:hAnsi="Calibri" w:cs="Calibri"/>
                <w:color w:val="000000"/>
                <w:sz w:val="18"/>
                <w:szCs w:val="18"/>
                <w:lang w:eastAsia="pl-PL"/>
              </w:rPr>
              <w:t xml:space="preserve"> o kodzie PLRW900012748, w </w:t>
            </w:r>
            <w:proofErr w:type="spellStart"/>
            <w:r w:rsidRPr="00846586">
              <w:rPr>
                <w:rFonts w:ascii="Calibri" w:eastAsia="Times New Roman" w:hAnsi="Calibri" w:cs="Calibri"/>
                <w:color w:val="000000"/>
                <w:sz w:val="18"/>
                <w:szCs w:val="18"/>
                <w:lang w:eastAsia="pl-PL"/>
              </w:rPr>
              <w:t>ppk.Mszaniec</w:t>
            </w:r>
            <w:proofErr w:type="spellEnd"/>
            <w:r w:rsidRPr="00846586">
              <w:rPr>
                <w:rFonts w:ascii="Calibri" w:eastAsia="Times New Roman" w:hAnsi="Calibri" w:cs="Calibri"/>
                <w:color w:val="000000"/>
                <w:sz w:val="18"/>
                <w:szCs w:val="18"/>
                <w:lang w:eastAsia="pl-PL"/>
              </w:rPr>
              <w:t xml:space="preserve"> - Bystre (kod ppk. PL03S1601_0004) </w:t>
            </w:r>
            <w:proofErr w:type="spellStart"/>
            <w:r w:rsidRPr="00846586">
              <w:rPr>
                <w:rFonts w:ascii="Calibri" w:eastAsia="Times New Roman" w:hAnsi="Calibri" w:cs="Calibri"/>
                <w:color w:val="000000"/>
                <w:sz w:val="18"/>
                <w:szCs w:val="18"/>
                <w:lang w:eastAsia="pl-PL"/>
              </w:rPr>
              <w:t>monitorwana</w:t>
            </w:r>
            <w:proofErr w:type="spellEnd"/>
            <w:r w:rsidRPr="00846586">
              <w:rPr>
                <w:rFonts w:ascii="Calibri" w:eastAsia="Times New Roman" w:hAnsi="Calibri" w:cs="Calibri"/>
                <w:color w:val="000000"/>
                <w:sz w:val="18"/>
                <w:szCs w:val="18"/>
                <w:lang w:eastAsia="pl-PL"/>
              </w:rPr>
              <w:t xml:space="preserve">  w </w:t>
            </w:r>
            <w:r w:rsidRPr="00846586">
              <w:rPr>
                <w:rFonts w:ascii="Calibri" w:eastAsia="Times New Roman" w:hAnsi="Calibri" w:cs="Calibri"/>
                <w:color w:val="000000"/>
                <w:sz w:val="18"/>
                <w:szCs w:val="18"/>
                <w:lang w:eastAsia="pl-PL"/>
              </w:rPr>
              <w:lastRenderedPageBreak/>
              <w:t>2019 roku w ramach monitoringu operacyjnego - dokonano klasyfikacji stanu ekologicznego i oceny stanu wód; 2. Strwiąż do granicy państwa o kodzie PLRW9000127691, w ppk Strwiąż - Krościenko (kod ppk. PL03S1601_0001) monitorowana w latach 2016-2021 w ramach monitoringu operacyjnego a w 2017 roku  w ramach monitoringu diagnostycznego - dokonano klasyfikacji stanu ekologicznego, klasyfikacji stanu chemicznego i oceny stanu wód</w:t>
            </w:r>
          </w:p>
        </w:tc>
        <w:tc>
          <w:tcPr>
            <w:tcW w:w="1984" w:type="dxa"/>
            <w:tcBorders>
              <w:top w:val="nil"/>
              <w:left w:val="nil"/>
              <w:bottom w:val="single" w:sz="4" w:space="0" w:color="auto"/>
              <w:right w:val="single" w:sz="4" w:space="0" w:color="auto"/>
            </w:tcBorders>
            <w:shd w:val="clear" w:color="auto" w:fill="auto"/>
            <w:hideMark/>
          </w:tcPr>
          <w:p w14:paraId="27704EDC"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w:t>
            </w:r>
          </w:p>
        </w:tc>
        <w:tc>
          <w:tcPr>
            <w:tcW w:w="2428" w:type="dxa"/>
            <w:tcBorders>
              <w:top w:val="nil"/>
              <w:left w:val="nil"/>
              <w:bottom w:val="single" w:sz="4" w:space="0" w:color="auto"/>
              <w:right w:val="single" w:sz="4" w:space="0" w:color="auto"/>
            </w:tcBorders>
            <w:shd w:val="clear" w:color="auto" w:fill="auto"/>
            <w:hideMark/>
          </w:tcPr>
          <w:p w14:paraId="1A8E0A6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56316835"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407796D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Skorygowano wskazane jcwp monitorowane zgodnie z uwagą.</w:t>
            </w:r>
          </w:p>
        </w:tc>
      </w:tr>
      <w:tr w:rsidR="00846586" w:rsidRPr="00846586" w14:paraId="47921987"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7BF8713F"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14</w:t>
            </w:r>
          </w:p>
        </w:tc>
        <w:tc>
          <w:tcPr>
            <w:tcW w:w="1354" w:type="dxa"/>
            <w:tcBorders>
              <w:top w:val="nil"/>
              <w:left w:val="nil"/>
              <w:bottom w:val="single" w:sz="4" w:space="0" w:color="auto"/>
              <w:right w:val="single" w:sz="4" w:space="0" w:color="auto"/>
            </w:tcBorders>
            <w:shd w:val="clear" w:color="auto" w:fill="auto"/>
            <w:hideMark/>
          </w:tcPr>
          <w:p w14:paraId="051D853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3E91F582"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ZAŁĄCZNIKI IIaPGW</w:t>
            </w:r>
          </w:p>
          <w:p w14:paraId="70A4534F" w14:textId="77777777" w:rsidR="004E508E" w:rsidRDefault="004E508E" w:rsidP="00AC5FB1">
            <w:pPr>
              <w:ind w:left="52" w:firstLine="0"/>
              <w:jc w:val="left"/>
              <w:rPr>
                <w:rFonts w:ascii="Calibri" w:eastAsia="Times New Roman" w:hAnsi="Calibri" w:cs="Calibri"/>
                <w:color w:val="000000"/>
                <w:sz w:val="18"/>
                <w:szCs w:val="18"/>
                <w:lang w:eastAsia="pl-PL"/>
              </w:rPr>
            </w:pPr>
          </w:p>
          <w:p w14:paraId="588C1DE4" w14:textId="4AA3E8E8" w:rsidR="004E508E" w:rsidRPr="00846586" w:rsidRDefault="004E508E" w:rsidP="00AC5FB1">
            <w:pPr>
              <w:ind w:left="52" w:firstLine="0"/>
              <w:jc w:val="left"/>
              <w:rPr>
                <w:rFonts w:ascii="Calibri" w:eastAsia="Times New Roman" w:hAnsi="Calibri" w:cs="Calibri"/>
                <w:color w:val="000000"/>
                <w:sz w:val="18"/>
                <w:szCs w:val="18"/>
                <w:lang w:eastAsia="pl-PL"/>
              </w:rPr>
            </w:pPr>
            <w:r w:rsidRPr="004E508E">
              <w:rPr>
                <w:rFonts w:ascii="Calibri" w:eastAsia="Times New Roman" w:hAnsi="Calibri" w:cs="Calibri"/>
                <w:color w:val="000000"/>
                <w:sz w:val="18"/>
                <w:szCs w:val="18"/>
                <w:lang w:eastAsia="pl-PL"/>
              </w:rPr>
              <w:t>Zał_1_ZestawienieGlowne_Dniestr</w:t>
            </w:r>
          </w:p>
        </w:tc>
        <w:tc>
          <w:tcPr>
            <w:tcW w:w="3965" w:type="dxa"/>
            <w:tcBorders>
              <w:top w:val="nil"/>
              <w:left w:val="nil"/>
              <w:bottom w:val="single" w:sz="4" w:space="0" w:color="auto"/>
              <w:right w:val="single" w:sz="4" w:space="0" w:color="auto"/>
            </w:tcBorders>
            <w:shd w:val="clear" w:color="auto" w:fill="auto"/>
            <w:hideMark/>
          </w:tcPr>
          <w:p w14:paraId="1263934A" w14:textId="2ADB30EA"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w zestawieniu dla </w:t>
            </w:r>
            <w:proofErr w:type="spellStart"/>
            <w:r w:rsidRPr="00846586">
              <w:rPr>
                <w:rFonts w:ascii="Calibri" w:eastAsia="Times New Roman" w:hAnsi="Calibri" w:cs="Calibri"/>
                <w:color w:val="000000"/>
                <w:sz w:val="18"/>
                <w:szCs w:val="18"/>
                <w:lang w:eastAsia="pl-PL"/>
              </w:rPr>
              <w:t>jcwp</w:t>
            </w:r>
            <w:proofErr w:type="spellEnd"/>
            <w:r w:rsidRPr="00846586">
              <w:rPr>
                <w:rFonts w:ascii="Calibri" w:eastAsia="Times New Roman" w:hAnsi="Calibri" w:cs="Calibri"/>
                <w:color w:val="000000"/>
                <w:sz w:val="18"/>
                <w:szCs w:val="18"/>
                <w:lang w:eastAsia="pl-PL"/>
              </w:rPr>
              <w:t xml:space="preserve"> "</w:t>
            </w:r>
            <w:proofErr w:type="spellStart"/>
            <w:r w:rsidRPr="00846586">
              <w:rPr>
                <w:rFonts w:ascii="Calibri" w:eastAsia="Times New Roman" w:hAnsi="Calibri" w:cs="Calibri"/>
                <w:color w:val="000000"/>
                <w:sz w:val="18"/>
                <w:szCs w:val="18"/>
                <w:lang w:eastAsia="pl-PL"/>
              </w:rPr>
              <w:t>Mszaniec</w:t>
            </w:r>
            <w:proofErr w:type="spellEnd"/>
            <w:r w:rsidRPr="00846586">
              <w:rPr>
                <w:rFonts w:ascii="Calibri" w:eastAsia="Times New Roman" w:hAnsi="Calibri" w:cs="Calibri"/>
                <w:color w:val="000000"/>
                <w:sz w:val="18"/>
                <w:szCs w:val="18"/>
                <w:lang w:eastAsia="pl-PL"/>
              </w:rPr>
              <w:t xml:space="preserve"> i </w:t>
            </w:r>
            <w:proofErr w:type="spellStart"/>
            <w:r w:rsidRPr="00846586">
              <w:rPr>
                <w:rFonts w:ascii="Calibri" w:eastAsia="Times New Roman" w:hAnsi="Calibri" w:cs="Calibri"/>
                <w:color w:val="000000"/>
                <w:sz w:val="18"/>
                <w:szCs w:val="18"/>
                <w:lang w:eastAsia="pl-PL"/>
              </w:rPr>
              <w:t>Lechnawa</w:t>
            </w:r>
            <w:proofErr w:type="spellEnd"/>
            <w:r w:rsidRPr="00846586">
              <w:rPr>
                <w:rFonts w:ascii="Calibri" w:eastAsia="Times New Roman" w:hAnsi="Calibri" w:cs="Calibri"/>
                <w:color w:val="000000"/>
                <w:sz w:val="18"/>
                <w:szCs w:val="18"/>
                <w:lang w:eastAsia="pl-PL"/>
              </w:rPr>
              <w:t xml:space="preserve"> do granicy państwa" w kol. "I" nie wskazano  kodu punktu pomiarowo-kontrolnego tj. PL03S1601_0004 w którym prowadzono badania monitoringowe w 2019 roku. W kol. "K" do korekty status z NM na M, w kol. "Z" do korekty Ocena </w:t>
            </w:r>
            <w:proofErr w:type="spellStart"/>
            <w:r w:rsidRPr="00846586">
              <w:rPr>
                <w:rFonts w:ascii="Calibri" w:eastAsia="Times New Roman" w:hAnsi="Calibri" w:cs="Calibri"/>
                <w:color w:val="000000"/>
                <w:sz w:val="18"/>
                <w:szCs w:val="18"/>
                <w:lang w:eastAsia="pl-PL"/>
              </w:rPr>
              <w:t>staun</w:t>
            </w:r>
            <w:proofErr w:type="spellEnd"/>
            <w:r w:rsidRPr="00846586">
              <w:rPr>
                <w:rFonts w:ascii="Calibri" w:eastAsia="Times New Roman" w:hAnsi="Calibri" w:cs="Calibri"/>
                <w:color w:val="000000"/>
                <w:sz w:val="18"/>
                <w:szCs w:val="18"/>
                <w:lang w:eastAsia="pl-PL"/>
              </w:rPr>
              <w:t xml:space="preserve"> ekologicznego z "</w:t>
            </w:r>
            <w:proofErr w:type="spellStart"/>
            <w:r w:rsidRPr="00846586">
              <w:rPr>
                <w:rFonts w:ascii="Calibri" w:eastAsia="Times New Roman" w:hAnsi="Calibri" w:cs="Calibri"/>
                <w:color w:val="000000"/>
                <w:sz w:val="18"/>
                <w:szCs w:val="18"/>
                <w:lang w:eastAsia="pl-PL"/>
              </w:rPr>
              <w:t>bd</w:t>
            </w:r>
            <w:proofErr w:type="spellEnd"/>
            <w:r w:rsidRPr="00846586">
              <w:rPr>
                <w:rFonts w:ascii="Calibri" w:eastAsia="Times New Roman" w:hAnsi="Calibri" w:cs="Calibri"/>
                <w:color w:val="000000"/>
                <w:sz w:val="18"/>
                <w:szCs w:val="18"/>
                <w:lang w:eastAsia="pl-PL"/>
              </w:rPr>
              <w:t>" na</w:t>
            </w:r>
            <w:r w:rsidR="00A7316C">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"umiarkowany stan ekologiczny", w kol. AB" do korekty Ocena sta</w:t>
            </w:r>
            <w:r w:rsidR="004E508E">
              <w:rPr>
                <w:rFonts w:ascii="Calibri" w:eastAsia="Times New Roman" w:hAnsi="Calibri" w:cs="Calibri"/>
                <w:color w:val="000000"/>
                <w:sz w:val="18"/>
                <w:szCs w:val="18"/>
                <w:lang w:eastAsia="pl-PL"/>
              </w:rPr>
              <w:t>nu wód z "</w:t>
            </w:r>
            <w:proofErr w:type="spellStart"/>
            <w:r w:rsidR="004E508E">
              <w:rPr>
                <w:rFonts w:ascii="Calibri" w:eastAsia="Times New Roman" w:hAnsi="Calibri" w:cs="Calibri"/>
                <w:color w:val="000000"/>
                <w:sz w:val="18"/>
                <w:szCs w:val="18"/>
                <w:lang w:eastAsia="pl-PL"/>
              </w:rPr>
              <w:t>bd</w:t>
            </w:r>
            <w:proofErr w:type="spellEnd"/>
            <w:r w:rsidR="004E508E">
              <w:rPr>
                <w:rFonts w:ascii="Calibri" w:eastAsia="Times New Roman" w:hAnsi="Calibri" w:cs="Calibri"/>
                <w:color w:val="000000"/>
                <w:sz w:val="18"/>
                <w:szCs w:val="18"/>
                <w:lang w:eastAsia="pl-PL"/>
              </w:rPr>
              <w:t>" na "zły stan wód"</w:t>
            </w:r>
          </w:p>
        </w:tc>
        <w:tc>
          <w:tcPr>
            <w:tcW w:w="3258" w:type="dxa"/>
            <w:tcBorders>
              <w:top w:val="nil"/>
              <w:left w:val="nil"/>
              <w:bottom w:val="single" w:sz="4" w:space="0" w:color="auto"/>
              <w:right w:val="single" w:sz="4" w:space="0" w:color="auto"/>
            </w:tcBorders>
            <w:shd w:val="clear" w:color="auto" w:fill="auto"/>
            <w:hideMark/>
          </w:tcPr>
          <w:p w14:paraId="11164119"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1984" w:type="dxa"/>
            <w:tcBorders>
              <w:top w:val="nil"/>
              <w:left w:val="nil"/>
              <w:bottom w:val="single" w:sz="4" w:space="0" w:color="auto"/>
              <w:right w:val="single" w:sz="4" w:space="0" w:color="auto"/>
            </w:tcBorders>
            <w:shd w:val="clear" w:color="auto" w:fill="auto"/>
            <w:hideMark/>
          </w:tcPr>
          <w:p w14:paraId="1DCC0CF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3819172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3599DCFB"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6ABF4A4B"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Uzupełniono i skorygowano zgodnie z uwagą.</w:t>
            </w:r>
          </w:p>
        </w:tc>
      </w:tr>
      <w:tr w:rsidR="00846586" w:rsidRPr="00846586" w14:paraId="33DBE285"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4AEA3AAA"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15</w:t>
            </w:r>
          </w:p>
        </w:tc>
        <w:tc>
          <w:tcPr>
            <w:tcW w:w="1354" w:type="dxa"/>
            <w:tcBorders>
              <w:top w:val="nil"/>
              <w:left w:val="nil"/>
              <w:bottom w:val="single" w:sz="4" w:space="0" w:color="auto"/>
              <w:right w:val="single" w:sz="4" w:space="0" w:color="auto"/>
            </w:tcBorders>
            <w:shd w:val="clear" w:color="auto" w:fill="auto"/>
            <w:hideMark/>
          </w:tcPr>
          <w:p w14:paraId="16D977CF"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5A5660CA"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36387AC8" w14:textId="77777777" w:rsidR="004E508E" w:rsidRDefault="004E508E" w:rsidP="00AC5FB1">
            <w:pPr>
              <w:ind w:left="52" w:firstLine="0"/>
              <w:jc w:val="left"/>
              <w:rPr>
                <w:rFonts w:ascii="Calibri" w:eastAsia="Times New Roman" w:hAnsi="Calibri" w:cs="Calibri"/>
                <w:color w:val="000000"/>
                <w:sz w:val="18"/>
                <w:szCs w:val="18"/>
                <w:lang w:eastAsia="pl-PL"/>
              </w:rPr>
            </w:pPr>
          </w:p>
          <w:p w14:paraId="2FD5F0D4" w14:textId="3A2636F9" w:rsidR="004E508E" w:rsidRPr="00846586" w:rsidRDefault="004E508E" w:rsidP="00AC5FB1">
            <w:pPr>
              <w:ind w:left="52" w:firstLine="0"/>
              <w:jc w:val="left"/>
              <w:rPr>
                <w:rFonts w:ascii="Calibri" w:eastAsia="Times New Roman" w:hAnsi="Calibri" w:cs="Calibri"/>
                <w:color w:val="000000"/>
                <w:sz w:val="18"/>
                <w:szCs w:val="18"/>
                <w:lang w:eastAsia="pl-PL"/>
              </w:rPr>
            </w:pPr>
            <w:r w:rsidRPr="004E508E">
              <w:rPr>
                <w:rFonts w:ascii="Calibri" w:eastAsia="Times New Roman" w:hAnsi="Calibri" w:cs="Calibri"/>
                <w:color w:val="000000"/>
                <w:sz w:val="18"/>
                <w:szCs w:val="18"/>
                <w:lang w:eastAsia="pl-PL"/>
              </w:rPr>
              <w:t>Uwaga ogólna do plików "</w:t>
            </w:r>
            <w:proofErr w:type="spellStart"/>
            <w:r w:rsidRPr="004E508E">
              <w:rPr>
                <w:rFonts w:ascii="Calibri" w:eastAsia="Times New Roman" w:hAnsi="Calibri" w:cs="Calibri"/>
                <w:color w:val="000000"/>
                <w:sz w:val="18"/>
                <w:szCs w:val="18"/>
                <w:lang w:eastAsia="pl-PL"/>
              </w:rPr>
              <w:t>Projekt_IIaPGW_OD</w:t>
            </w:r>
            <w:proofErr w:type="spellEnd"/>
            <w:r w:rsidRPr="004E508E">
              <w:rPr>
                <w:rFonts w:ascii="Calibri" w:eastAsia="Times New Roman" w:hAnsi="Calibri" w:cs="Calibri"/>
                <w:color w:val="000000"/>
                <w:sz w:val="18"/>
                <w:szCs w:val="18"/>
                <w:lang w:eastAsia="pl-PL"/>
              </w:rPr>
              <w:t>_..." oraz do plików "Wersja niespecjalistyczna projektu II aPGW dla obszaru dorzecza …"</w:t>
            </w:r>
          </w:p>
        </w:tc>
        <w:tc>
          <w:tcPr>
            <w:tcW w:w="3965" w:type="dxa"/>
            <w:tcBorders>
              <w:top w:val="nil"/>
              <w:left w:val="nil"/>
              <w:bottom w:val="single" w:sz="4" w:space="0" w:color="auto"/>
              <w:right w:val="single" w:sz="4" w:space="0" w:color="auto"/>
            </w:tcBorders>
            <w:shd w:val="clear" w:color="auto" w:fill="auto"/>
            <w:hideMark/>
          </w:tcPr>
          <w:p w14:paraId="3D84CA6F" w14:textId="57E941FD" w:rsidR="00846586" w:rsidRPr="00846586" w:rsidRDefault="00846586" w:rsidP="004E508E">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"Należy zmienić odniesienia do rozporządzeń:</w:t>
            </w:r>
            <w:r w:rsidRPr="00846586">
              <w:rPr>
                <w:rFonts w:ascii="Calibri" w:eastAsia="Times New Roman" w:hAnsi="Calibri" w:cs="Calibri"/>
                <w:color w:val="000000"/>
                <w:sz w:val="18"/>
                <w:szCs w:val="18"/>
                <w:lang w:eastAsia="pl-PL"/>
              </w:rPr>
              <w:br/>
              <w:t>- z rozporządzenia Ministra Gospodarki Morskiej i Żeglugi Śródlądowej z dnia 11 października 2019 r. w sprawie klasyfikacji stanu ekologicznego, potencjału ekologicznego i stanu chemicznego oraz sposobu klasyfikacji stanu jednolitych części wód powierzchniowych, a także środowiskowych norm jakości dla substancji priorytetowych (Dz.U. z 2019 r. poz. 2149) na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r w:rsidRPr="00846586">
              <w:rPr>
                <w:rFonts w:ascii="Calibri" w:eastAsia="Times New Roman" w:hAnsi="Calibri" w:cs="Calibri"/>
                <w:color w:val="000000"/>
                <w:sz w:val="18"/>
                <w:szCs w:val="18"/>
                <w:lang w:eastAsia="pl-PL"/>
              </w:rPr>
              <w:br/>
              <w:t>- z rozporządzenia Ministra Gospodarki Morskiej i Żeglugi Śródlądowej z dnia 9 października 2019 r. w sprawie form i sposobu prowadzenia monitoringu jednolitych części wód powierzchniowych i jednolitych części wód podziemnych (Dz.U. z 2019 r. poz. 2147) na rozporządzenie Ministra Infrastruktury z dnia 13 lipca 2021 r. w sprawie form i sposobu prowadzenia monitoringu jednolitych części wód powierzchniowych i jednolitych części wód podziemnych (Dz. U. z 2021 r. poz. 1576).</w:t>
            </w:r>
            <w:r w:rsidRPr="00846586">
              <w:rPr>
                <w:rFonts w:ascii="Calibri" w:eastAsia="Times New Roman" w:hAnsi="Calibri" w:cs="Calibri"/>
                <w:color w:val="000000"/>
                <w:sz w:val="18"/>
                <w:szCs w:val="18"/>
                <w:lang w:eastAsia="pl-PL"/>
              </w:rPr>
              <w:br/>
              <w:t xml:space="preserve">Wyjątkiem są te fragmenty dokumentów, które mówią o ocenie stanu jcwp za 2019 r. (na podstawie danych za lata 2014-2019) oraz monitoringu jcwp w latach 2020-2021 - tu </w:t>
            </w:r>
            <w:r w:rsidRPr="00846586">
              <w:rPr>
                <w:rFonts w:ascii="Calibri" w:eastAsia="Times New Roman" w:hAnsi="Calibri" w:cs="Calibri"/>
                <w:color w:val="000000"/>
                <w:sz w:val="18"/>
                <w:szCs w:val="18"/>
                <w:lang w:eastAsia="pl-PL"/>
              </w:rPr>
              <w:lastRenderedPageBreak/>
              <w:t xml:space="preserve">podstawą były rozporządzenia MGMiŻŚ z 2019 </w:t>
            </w:r>
            <w:r w:rsidR="004E508E">
              <w:rPr>
                <w:rFonts w:ascii="Calibri" w:eastAsia="Times New Roman" w:hAnsi="Calibri" w:cs="Calibri"/>
                <w:color w:val="000000"/>
                <w:sz w:val="18"/>
                <w:szCs w:val="18"/>
                <w:lang w:eastAsia="pl-PL"/>
              </w:rPr>
              <w:t>r."</w:t>
            </w:r>
          </w:p>
        </w:tc>
        <w:tc>
          <w:tcPr>
            <w:tcW w:w="3258" w:type="dxa"/>
            <w:tcBorders>
              <w:top w:val="nil"/>
              <w:left w:val="nil"/>
              <w:bottom w:val="single" w:sz="4" w:space="0" w:color="auto"/>
              <w:right w:val="single" w:sz="4" w:space="0" w:color="auto"/>
            </w:tcBorders>
            <w:shd w:val="clear" w:color="auto" w:fill="auto"/>
            <w:hideMark/>
          </w:tcPr>
          <w:p w14:paraId="2A56E0DD"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"W słowniku skrótów i w zasadniczym tekście dokumentów:</w:t>
            </w:r>
            <w:r w:rsidRPr="00846586">
              <w:rPr>
                <w:rFonts w:ascii="Calibri" w:eastAsia="Times New Roman" w:hAnsi="Calibri" w:cs="Calibri"/>
                <w:color w:val="000000"/>
                <w:sz w:val="18"/>
                <w:szCs w:val="18"/>
                <w:lang w:eastAsia="pl-PL"/>
              </w:rPr>
              <w:br/>
              <w:t>- skrót ""r.kl.jcwp"" powinien oznaczać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r w:rsidRPr="00846586">
              <w:rPr>
                <w:rFonts w:ascii="Calibri" w:eastAsia="Times New Roman" w:hAnsi="Calibri" w:cs="Calibri"/>
                <w:color w:val="000000"/>
                <w:sz w:val="18"/>
                <w:szCs w:val="18"/>
                <w:lang w:eastAsia="pl-PL"/>
              </w:rPr>
              <w:br/>
              <w:t>- skrót ""r.m.jcw"" powinien oznaczać rozporządzenie Ministra Infrastruktury z dnia 13 lipca 2021 r. w sprawie form i sposobu prowadzenia monitoringu jednolitych części wód powierzchniowych i jednolitych części wód podziemnych (Dz. U. z 2021 r. poz. 1576);</w:t>
            </w:r>
            <w:r w:rsidRPr="00846586">
              <w:rPr>
                <w:rFonts w:ascii="Calibri" w:eastAsia="Times New Roman" w:hAnsi="Calibri" w:cs="Calibri"/>
                <w:color w:val="000000"/>
                <w:sz w:val="18"/>
                <w:szCs w:val="18"/>
                <w:lang w:eastAsia="pl-PL"/>
              </w:rPr>
              <w:br/>
              <w:t>- rozporządzeniom MGMiŻŚ z 2019 r. powinny odpowiadać skróty, odpowiednio: ""</w:t>
            </w:r>
            <w:proofErr w:type="spellStart"/>
            <w:r w:rsidRPr="00846586">
              <w:rPr>
                <w:rFonts w:ascii="Calibri" w:eastAsia="Times New Roman" w:hAnsi="Calibri" w:cs="Calibri"/>
                <w:color w:val="000000"/>
                <w:sz w:val="18"/>
                <w:szCs w:val="18"/>
                <w:lang w:eastAsia="pl-PL"/>
              </w:rPr>
              <w:t>s.r.kl</w:t>
            </w:r>
            <w:proofErr w:type="spellEnd"/>
            <w:r w:rsidRPr="00846586">
              <w:rPr>
                <w:rFonts w:ascii="Calibri" w:eastAsia="Times New Roman" w:hAnsi="Calibri" w:cs="Calibri"/>
                <w:color w:val="000000"/>
                <w:sz w:val="18"/>
                <w:szCs w:val="18"/>
                <w:lang w:eastAsia="pl-PL"/>
              </w:rPr>
              <w:t>. (2019)"" i ""</w:t>
            </w:r>
            <w:proofErr w:type="spellStart"/>
            <w:r w:rsidRPr="00846586">
              <w:rPr>
                <w:rFonts w:ascii="Calibri" w:eastAsia="Times New Roman" w:hAnsi="Calibri" w:cs="Calibri"/>
                <w:color w:val="000000"/>
                <w:sz w:val="18"/>
                <w:szCs w:val="18"/>
                <w:lang w:eastAsia="pl-PL"/>
              </w:rPr>
              <w:t>s.r.m</w:t>
            </w:r>
            <w:proofErr w:type="spellEnd"/>
            <w:r w:rsidRPr="00846586">
              <w:rPr>
                <w:rFonts w:ascii="Calibri" w:eastAsia="Times New Roman" w:hAnsi="Calibri" w:cs="Calibri"/>
                <w:color w:val="000000"/>
                <w:sz w:val="18"/>
                <w:szCs w:val="18"/>
                <w:lang w:eastAsia="pl-PL"/>
              </w:rPr>
              <w:t>. jcw (2019)"".</w:t>
            </w:r>
            <w:r w:rsidRPr="00846586">
              <w:rPr>
                <w:rFonts w:ascii="Calibri" w:eastAsia="Times New Roman" w:hAnsi="Calibri" w:cs="Calibri"/>
                <w:color w:val="000000"/>
                <w:sz w:val="18"/>
                <w:szCs w:val="18"/>
                <w:lang w:eastAsia="pl-PL"/>
              </w:rPr>
              <w:br/>
              <w:t>Wszędzie tam, gdzie podaje się pełne tytuły rozporządzeń jako aktów obecnie obowiązujących, należy zmienić je z tytułów rozporządzeń MGMiŻŚ z 2019 r. na tytuły rozporządzeń MI z 2021 r.</w:t>
            </w:r>
            <w:r w:rsidRPr="00846586">
              <w:rPr>
                <w:rFonts w:ascii="Calibri" w:eastAsia="Times New Roman" w:hAnsi="Calibri" w:cs="Calibri"/>
                <w:color w:val="000000"/>
                <w:sz w:val="18"/>
                <w:szCs w:val="18"/>
                <w:lang w:eastAsia="pl-PL"/>
              </w:rPr>
              <w:br/>
              <w:t xml:space="preserve">Wyjątkiem są te fragmenty dokumentów, które mówią o ocenie </w:t>
            </w:r>
            <w:r w:rsidRPr="00846586">
              <w:rPr>
                <w:rFonts w:ascii="Calibri" w:eastAsia="Times New Roman" w:hAnsi="Calibri" w:cs="Calibri"/>
                <w:color w:val="000000"/>
                <w:sz w:val="18"/>
                <w:szCs w:val="18"/>
                <w:lang w:eastAsia="pl-PL"/>
              </w:rPr>
              <w:lastRenderedPageBreak/>
              <w:t>stanu jcwp za 2019 r. (na podstawie danych za lata 2014-2019) oraz monitoringu jcwp w latach 2020-2021 - tu podstawą były rozporządzenia MGMiŻŚ z 2019 r."</w:t>
            </w:r>
          </w:p>
        </w:tc>
        <w:tc>
          <w:tcPr>
            <w:tcW w:w="1984" w:type="dxa"/>
            <w:tcBorders>
              <w:top w:val="nil"/>
              <w:left w:val="nil"/>
              <w:bottom w:val="single" w:sz="4" w:space="0" w:color="auto"/>
              <w:right w:val="single" w:sz="4" w:space="0" w:color="auto"/>
            </w:tcBorders>
            <w:shd w:val="clear" w:color="auto" w:fill="auto"/>
            <w:hideMark/>
          </w:tcPr>
          <w:p w14:paraId="61FD3E4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Rozporządzenia: klasyfikacyjne jcwp MGMiŻŚ oraz monitoringowe MGMiŻŚ utraciły moc 24.05.2021 i zostały zastąpione przez odpowiednie rozporządzenia MI.</w:t>
            </w:r>
          </w:p>
        </w:tc>
        <w:tc>
          <w:tcPr>
            <w:tcW w:w="2428" w:type="dxa"/>
            <w:tcBorders>
              <w:top w:val="nil"/>
              <w:left w:val="nil"/>
              <w:bottom w:val="single" w:sz="4" w:space="0" w:color="auto"/>
              <w:right w:val="single" w:sz="4" w:space="0" w:color="auto"/>
            </w:tcBorders>
            <w:shd w:val="clear" w:color="auto" w:fill="auto"/>
            <w:hideMark/>
          </w:tcPr>
          <w:p w14:paraId="4B4AE1EA"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12C9A9B9"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5D80DE45"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Zmiany aktualizacyjne treści IIaPGW w zakresie wskazanym w uwadze zostały wprowadzone. Uzupełniono wykaz skrótów o </w:t>
            </w:r>
            <w:proofErr w:type="spellStart"/>
            <w:r w:rsidRPr="00846586">
              <w:rPr>
                <w:rFonts w:ascii="Calibri" w:eastAsia="Times New Roman" w:hAnsi="Calibri" w:cs="Calibri"/>
                <w:color w:val="000000"/>
                <w:sz w:val="18"/>
                <w:szCs w:val="18"/>
                <w:lang w:eastAsia="pl-PL"/>
              </w:rPr>
              <w:t>s.r.kl</w:t>
            </w:r>
            <w:proofErr w:type="spellEnd"/>
            <w:r w:rsidRPr="00846586">
              <w:rPr>
                <w:rFonts w:ascii="Calibri" w:eastAsia="Times New Roman" w:hAnsi="Calibri" w:cs="Calibri"/>
                <w:color w:val="000000"/>
                <w:sz w:val="18"/>
                <w:szCs w:val="18"/>
                <w:lang w:eastAsia="pl-PL"/>
              </w:rPr>
              <w:t xml:space="preserve"> (2019) oraz </w:t>
            </w:r>
            <w:proofErr w:type="spellStart"/>
            <w:r w:rsidRPr="00846586">
              <w:rPr>
                <w:rFonts w:ascii="Calibri" w:eastAsia="Times New Roman" w:hAnsi="Calibri" w:cs="Calibri"/>
                <w:color w:val="000000"/>
                <w:sz w:val="18"/>
                <w:szCs w:val="18"/>
                <w:lang w:eastAsia="pl-PL"/>
              </w:rPr>
              <w:t>s.r.m</w:t>
            </w:r>
            <w:proofErr w:type="spellEnd"/>
            <w:r w:rsidRPr="00846586">
              <w:rPr>
                <w:rFonts w:ascii="Calibri" w:eastAsia="Times New Roman" w:hAnsi="Calibri" w:cs="Calibri"/>
                <w:color w:val="000000"/>
                <w:sz w:val="18"/>
                <w:szCs w:val="18"/>
                <w:lang w:eastAsia="pl-PL"/>
              </w:rPr>
              <w:t xml:space="preserve"> (2019).</w:t>
            </w:r>
          </w:p>
        </w:tc>
      </w:tr>
      <w:tr w:rsidR="00846586" w:rsidRPr="00846586" w14:paraId="04F9FAD7"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158DDFE9"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16</w:t>
            </w:r>
          </w:p>
        </w:tc>
        <w:tc>
          <w:tcPr>
            <w:tcW w:w="1354" w:type="dxa"/>
            <w:tcBorders>
              <w:top w:val="nil"/>
              <w:left w:val="nil"/>
              <w:bottom w:val="single" w:sz="4" w:space="0" w:color="auto"/>
              <w:right w:val="single" w:sz="4" w:space="0" w:color="auto"/>
            </w:tcBorders>
            <w:shd w:val="clear" w:color="auto" w:fill="auto"/>
            <w:hideMark/>
          </w:tcPr>
          <w:p w14:paraId="7ED3AE1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GŁÓWNY INSPEKTORAT OCHRONY ŚRODOWISKA </w:t>
            </w:r>
          </w:p>
        </w:tc>
        <w:tc>
          <w:tcPr>
            <w:tcW w:w="1540" w:type="dxa"/>
            <w:tcBorders>
              <w:top w:val="nil"/>
              <w:left w:val="nil"/>
              <w:bottom w:val="single" w:sz="4" w:space="0" w:color="auto"/>
              <w:right w:val="single" w:sz="4" w:space="0" w:color="auto"/>
            </w:tcBorders>
            <w:shd w:val="clear" w:color="auto" w:fill="auto"/>
            <w:hideMark/>
          </w:tcPr>
          <w:p w14:paraId="06975AE8" w14:textId="77777777" w:rsid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p w14:paraId="168232DA" w14:textId="77777777" w:rsidR="00FB0FC9" w:rsidRDefault="00FB0FC9" w:rsidP="00AC5FB1">
            <w:pPr>
              <w:ind w:left="52" w:firstLine="0"/>
              <w:jc w:val="left"/>
              <w:rPr>
                <w:rFonts w:ascii="Calibri" w:eastAsia="Times New Roman" w:hAnsi="Calibri" w:cs="Calibri"/>
                <w:color w:val="000000"/>
                <w:sz w:val="18"/>
                <w:szCs w:val="18"/>
                <w:lang w:eastAsia="pl-PL"/>
              </w:rPr>
            </w:pPr>
          </w:p>
          <w:p w14:paraId="19CA3D90" w14:textId="02B79B4C" w:rsidR="00FB0FC9" w:rsidRPr="00846586" w:rsidRDefault="00FB0FC9" w:rsidP="00AC5FB1">
            <w:pPr>
              <w:ind w:left="52" w:firstLine="0"/>
              <w:jc w:val="left"/>
              <w:rPr>
                <w:rFonts w:ascii="Calibri" w:eastAsia="Times New Roman" w:hAnsi="Calibri" w:cs="Calibri"/>
                <w:color w:val="000000"/>
                <w:sz w:val="18"/>
                <w:szCs w:val="18"/>
                <w:lang w:eastAsia="pl-PL"/>
              </w:rPr>
            </w:pPr>
            <w:r w:rsidRPr="00FB0FC9">
              <w:rPr>
                <w:rFonts w:ascii="Calibri" w:eastAsia="Times New Roman" w:hAnsi="Calibri" w:cs="Calibri"/>
                <w:color w:val="000000"/>
                <w:sz w:val="18"/>
                <w:szCs w:val="18"/>
                <w:lang w:eastAsia="pl-PL"/>
              </w:rPr>
              <w:t>Uwaga do załączników graficznych - mapy stanu/potencjału ekologicznego jednolitych części wód powierzchniowych rzecznych</w:t>
            </w:r>
          </w:p>
        </w:tc>
        <w:tc>
          <w:tcPr>
            <w:tcW w:w="3965" w:type="dxa"/>
            <w:tcBorders>
              <w:top w:val="nil"/>
              <w:left w:val="nil"/>
              <w:bottom w:val="single" w:sz="4" w:space="0" w:color="auto"/>
              <w:right w:val="single" w:sz="4" w:space="0" w:color="auto"/>
            </w:tcBorders>
            <w:shd w:val="clear" w:color="auto" w:fill="auto"/>
            <w:hideMark/>
          </w:tcPr>
          <w:p w14:paraId="7EA8805F" w14:textId="54139C9D" w:rsidR="00846586" w:rsidRPr="00846586" w:rsidRDefault="00846586" w:rsidP="00FB0FC9">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Należy zmienić </w:t>
            </w:r>
            <w:proofErr w:type="spellStart"/>
            <w:r w:rsidRPr="00846586">
              <w:rPr>
                <w:rFonts w:ascii="Calibri" w:eastAsia="Times New Roman" w:hAnsi="Calibri" w:cs="Calibri"/>
                <w:color w:val="000000"/>
                <w:sz w:val="18"/>
                <w:szCs w:val="18"/>
                <w:lang w:eastAsia="pl-PL"/>
              </w:rPr>
              <w:t>szrafury</w:t>
            </w:r>
            <w:proofErr w:type="spellEnd"/>
            <w:r w:rsidRPr="00846586">
              <w:rPr>
                <w:rFonts w:ascii="Calibri" w:eastAsia="Times New Roman" w:hAnsi="Calibri" w:cs="Calibri"/>
                <w:color w:val="000000"/>
                <w:sz w:val="18"/>
                <w:szCs w:val="18"/>
                <w:lang w:eastAsia="pl-PL"/>
              </w:rPr>
              <w:t xml:space="preserve"> dla potencjału ekologicznego sztucznej jcwp RW oraz potencjału ekologicznego silnie zmienionej jcwp RW. Według załącznika 17, tabeli nr 2 </w:t>
            </w:r>
            <w:proofErr w:type="spellStart"/>
            <w:r w:rsidRPr="00846586">
              <w:rPr>
                <w:rFonts w:ascii="Calibri" w:eastAsia="Times New Roman" w:hAnsi="Calibri" w:cs="Calibri"/>
                <w:color w:val="000000"/>
                <w:sz w:val="18"/>
                <w:szCs w:val="18"/>
                <w:lang w:eastAsia="pl-PL"/>
              </w:rPr>
              <w:t>r.kl</w:t>
            </w:r>
            <w:proofErr w:type="spellEnd"/>
            <w:r w:rsidRPr="00846586">
              <w:rPr>
                <w:rFonts w:ascii="Calibri" w:eastAsia="Times New Roman" w:hAnsi="Calibri" w:cs="Calibri"/>
                <w:color w:val="000000"/>
                <w:sz w:val="18"/>
                <w:szCs w:val="18"/>
                <w:lang w:eastAsia="pl-PL"/>
              </w:rPr>
              <w:t>., maksymalny lub dobry potencjał ekologiczny dla sztucznej części wód powierzchniowych powinien zostać zaprezentowany poprzez zielono-jasnoszare pasy równej szerokości.</w:t>
            </w:r>
            <w:r w:rsidRPr="00846586">
              <w:rPr>
                <w:rFonts w:ascii="Calibri" w:eastAsia="Times New Roman" w:hAnsi="Calibri" w:cs="Calibri"/>
                <w:color w:val="000000"/>
                <w:sz w:val="18"/>
                <w:szCs w:val="18"/>
                <w:lang w:eastAsia="pl-PL"/>
              </w:rPr>
              <w:br/>
            </w:r>
          </w:p>
        </w:tc>
        <w:tc>
          <w:tcPr>
            <w:tcW w:w="3258" w:type="dxa"/>
            <w:tcBorders>
              <w:top w:val="nil"/>
              <w:left w:val="nil"/>
              <w:bottom w:val="single" w:sz="4" w:space="0" w:color="auto"/>
              <w:right w:val="single" w:sz="4" w:space="0" w:color="auto"/>
            </w:tcBorders>
            <w:shd w:val="clear" w:color="auto" w:fill="auto"/>
            <w:hideMark/>
          </w:tcPr>
          <w:p w14:paraId="2151AC28"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Zmienić </w:t>
            </w:r>
            <w:proofErr w:type="spellStart"/>
            <w:r w:rsidRPr="00846586">
              <w:rPr>
                <w:rFonts w:ascii="Calibri" w:eastAsia="Times New Roman" w:hAnsi="Calibri" w:cs="Calibri"/>
                <w:color w:val="000000"/>
                <w:sz w:val="18"/>
                <w:szCs w:val="18"/>
                <w:lang w:eastAsia="pl-PL"/>
              </w:rPr>
              <w:t>szrafury</w:t>
            </w:r>
            <w:proofErr w:type="spellEnd"/>
            <w:r w:rsidRPr="00846586">
              <w:rPr>
                <w:rFonts w:ascii="Calibri" w:eastAsia="Times New Roman" w:hAnsi="Calibri" w:cs="Calibri"/>
                <w:color w:val="000000"/>
                <w:sz w:val="18"/>
                <w:szCs w:val="18"/>
                <w:lang w:eastAsia="pl-PL"/>
              </w:rPr>
              <w:t xml:space="preserve"> dla potencjału ekologicznego sztucznej jcwp RW oraz potencjału ekologicznego silnie zmienionej jcwp RW według schematu: w przypadku maksymalnego lub dobrego potencjału ekologicznego dla sztucznej części wód powierzchniowych trzeba zmienić </w:t>
            </w:r>
            <w:proofErr w:type="spellStart"/>
            <w:r w:rsidRPr="00846586">
              <w:rPr>
                <w:rFonts w:ascii="Calibri" w:eastAsia="Times New Roman" w:hAnsi="Calibri" w:cs="Calibri"/>
                <w:color w:val="000000"/>
                <w:sz w:val="18"/>
                <w:szCs w:val="18"/>
                <w:lang w:eastAsia="pl-PL"/>
              </w:rPr>
              <w:t>szrafurę</w:t>
            </w:r>
            <w:proofErr w:type="spellEnd"/>
            <w:r w:rsidRPr="00846586">
              <w:rPr>
                <w:rFonts w:ascii="Calibri" w:eastAsia="Times New Roman" w:hAnsi="Calibri" w:cs="Calibri"/>
                <w:color w:val="000000"/>
                <w:sz w:val="18"/>
                <w:szCs w:val="18"/>
                <w:lang w:eastAsia="pl-PL"/>
              </w:rPr>
              <w:t xml:space="preserve"> z jasnoszarych linii na zielonym tle na zielono-jasnoszare pasy równej szerokości. Analogicznie dla umiarkowanego, słabego, złego potencjału.</w:t>
            </w:r>
          </w:p>
        </w:tc>
        <w:tc>
          <w:tcPr>
            <w:tcW w:w="1984" w:type="dxa"/>
            <w:tcBorders>
              <w:top w:val="nil"/>
              <w:left w:val="nil"/>
              <w:bottom w:val="single" w:sz="4" w:space="0" w:color="auto"/>
              <w:right w:val="single" w:sz="4" w:space="0" w:color="auto"/>
            </w:tcBorders>
            <w:shd w:val="clear" w:color="auto" w:fill="auto"/>
            <w:hideMark/>
          </w:tcPr>
          <w:p w14:paraId="554646E2"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Sposób prezentacji wyników klasyfikacji stanu/potencjału ekologicznego nie jest zgodny z rozporządzeniem klasyfikacyjnym jcwp MGMiŻŚ</w:t>
            </w:r>
          </w:p>
        </w:tc>
        <w:tc>
          <w:tcPr>
            <w:tcW w:w="2428" w:type="dxa"/>
            <w:tcBorders>
              <w:top w:val="nil"/>
              <w:left w:val="nil"/>
              <w:bottom w:val="single" w:sz="4" w:space="0" w:color="auto"/>
              <w:right w:val="single" w:sz="4" w:space="0" w:color="auto"/>
            </w:tcBorders>
            <w:shd w:val="clear" w:color="auto" w:fill="auto"/>
            <w:hideMark/>
          </w:tcPr>
          <w:p w14:paraId="041A297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 - </w:t>
            </w:r>
          </w:p>
        </w:tc>
        <w:tc>
          <w:tcPr>
            <w:tcW w:w="1337" w:type="dxa"/>
            <w:tcBorders>
              <w:top w:val="nil"/>
              <w:left w:val="nil"/>
              <w:bottom w:val="single" w:sz="4" w:space="0" w:color="auto"/>
              <w:right w:val="single" w:sz="4" w:space="0" w:color="auto"/>
            </w:tcBorders>
            <w:shd w:val="clear" w:color="auto" w:fill="auto"/>
            <w:hideMark/>
          </w:tcPr>
          <w:p w14:paraId="7AB57A24"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w:t>
            </w:r>
          </w:p>
        </w:tc>
        <w:tc>
          <w:tcPr>
            <w:tcW w:w="4455" w:type="dxa"/>
            <w:tcBorders>
              <w:top w:val="nil"/>
              <w:left w:val="nil"/>
              <w:bottom w:val="single" w:sz="4" w:space="0" w:color="auto"/>
              <w:right w:val="single" w:sz="4" w:space="0" w:color="auto"/>
            </w:tcBorders>
            <w:shd w:val="clear" w:color="auto" w:fill="auto"/>
            <w:hideMark/>
          </w:tcPr>
          <w:p w14:paraId="1F1BB4F6"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Wprowadzono zmianę zgodnie ze zgłoszoną uwagą.</w:t>
            </w:r>
          </w:p>
        </w:tc>
      </w:tr>
      <w:tr w:rsidR="00846586" w:rsidRPr="00846586" w14:paraId="3629E020"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0518C9CC"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17</w:t>
            </w:r>
          </w:p>
        </w:tc>
        <w:tc>
          <w:tcPr>
            <w:tcW w:w="1354" w:type="dxa"/>
            <w:tcBorders>
              <w:top w:val="nil"/>
              <w:left w:val="nil"/>
              <w:bottom w:val="single" w:sz="4" w:space="0" w:color="auto"/>
              <w:right w:val="single" w:sz="4" w:space="0" w:color="auto"/>
            </w:tcBorders>
            <w:shd w:val="clear" w:color="auto" w:fill="auto"/>
            <w:hideMark/>
          </w:tcPr>
          <w:p w14:paraId="230259B9"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Fundacja WWF Polska</w:t>
            </w:r>
          </w:p>
        </w:tc>
        <w:tc>
          <w:tcPr>
            <w:tcW w:w="1540" w:type="dxa"/>
            <w:tcBorders>
              <w:top w:val="nil"/>
              <w:left w:val="nil"/>
              <w:bottom w:val="single" w:sz="4" w:space="0" w:color="auto"/>
              <w:right w:val="single" w:sz="4" w:space="0" w:color="auto"/>
            </w:tcBorders>
            <w:shd w:val="clear" w:color="auto" w:fill="auto"/>
            <w:hideMark/>
          </w:tcPr>
          <w:p w14:paraId="2C38D40B" w14:textId="77777777" w:rsidR="00846586" w:rsidRPr="00846586" w:rsidRDefault="00846586" w:rsidP="00AC5FB1">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inne/pozostałe</w:t>
            </w:r>
          </w:p>
        </w:tc>
        <w:tc>
          <w:tcPr>
            <w:tcW w:w="3965" w:type="dxa"/>
            <w:tcBorders>
              <w:top w:val="nil"/>
              <w:left w:val="nil"/>
              <w:bottom w:val="single" w:sz="4" w:space="0" w:color="auto"/>
              <w:right w:val="single" w:sz="4" w:space="0" w:color="auto"/>
            </w:tcBorders>
            <w:shd w:val="clear" w:color="auto" w:fill="auto"/>
            <w:hideMark/>
          </w:tcPr>
          <w:p w14:paraId="1B2B689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Fundacja WWF Polska w ramach konsultacji społecznych projektów drugiej aktualizacji Planów Gospodarowania Wodami w Dorzeczach (II aPGW), w załączeniu przesyła raport wraz z dwoma załącznikami, wykonany na zlecenie Fundacji, zatytułowany „Ocena stopnia uwzględnienia Krajowego Programu Renaturyzacji Wód Powierzchniowych w projektach drugiej aktualizacji Planów Gospodarowania Wodami (II aPGW) wraz z rekomendacjami do II aPGW”, zwany dalej Raportem WWF. </w:t>
            </w:r>
            <w:r w:rsidRPr="00846586">
              <w:rPr>
                <w:rFonts w:ascii="Calibri" w:eastAsia="Times New Roman" w:hAnsi="Calibri" w:cs="Calibri"/>
                <w:color w:val="000000"/>
                <w:sz w:val="18"/>
                <w:szCs w:val="18"/>
                <w:lang w:eastAsia="pl-PL"/>
              </w:rPr>
              <w:br w:type="page"/>
              <w:t xml:space="preserve"> </w:t>
            </w:r>
            <w:r w:rsidRPr="00846586">
              <w:rPr>
                <w:rFonts w:ascii="Calibri" w:eastAsia="Times New Roman" w:hAnsi="Calibri" w:cs="Calibri"/>
                <w:color w:val="000000"/>
                <w:sz w:val="18"/>
                <w:szCs w:val="18"/>
                <w:lang w:eastAsia="pl-PL"/>
              </w:rPr>
              <w:br w:type="page"/>
              <w:t xml:space="preserve">Podsumowane w Raporcie WWF szczegółowe analizy obejmujące wszystkie 3116 JCWP rzecznych z 9 dorzeczy dobitnie wskazują, że poddane konsultacjom społecznym projekty II aPGW nie zapewnią terminowego, tj. do roku 2027, osiągnięcia celów środowiskowych Ramowej Dyrektywy Wodnej w naszym kraju, ze względu na niedostateczne uwzględnienie Krajowego Programu Renaturyzacji Wód Powierzchniowych (KPRWP) w projektach II aPGW oraz ze względu na nowe presje hydromorfologiczne, będące skutkiem planowanych inwestycji i innych przedsięwzięć hydrotechnicznych. </w:t>
            </w:r>
            <w:r w:rsidRPr="00846586">
              <w:rPr>
                <w:rFonts w:ascii="Calibri" w:eastAsia="Times New Roman" w:hAnsi="Calibri" w:cs="Calibri"/>
                <w:color w:val="000000"/>
                <w:sz w:val="18"/>
                <w:szCs w:val="18"/>
                <w:lang w:eastAsia="pl-PL"/>
              </w:rPr>
              <w:br w:type="page"/>
            </w:r>
            <w:r w:rsidRPr="00846586">
              <w:rPr>
                <w:rFonts w:ascii="Calibri" w:eastAsia="Times New Roman" w:hAnsi="Calibri" w:cs="Calibri"/>
                <w:color w:val="000000"/>
                <w:sz w:val="18"/>
                <w:szCs w:val="18"/>
                <w:lang w:eastAsia="pl-PL"/>
              </w:rPr>
              <w:br w:type="page"/>
              <w:t xml:space="preserve">Podsumowanie przeprowadzonych analiz zawiera opisowa część Raportu WWF (plik PDF). Z analiz tych wynika, że w żadnej z 3116 JCWP rzecznych nie wdrożono w projektach II aPGW wszystkich zapisów KPRWP. W 57% JCWP rzecznych zapisy KPRWP wdrożono jedynie częściowo, a w 43% JCWP rzecznych wymagających renaturyzacji dla osiągnięcia dobrego stanu/potencjału wód całkowicie brak wdrożenia zapisów KPRWP. </w:t>
            </w:r>
            <w:r w:rsidRPr="00846586">
              <w:rPr>
                <w:rFonts w:ascii="Calibri" w:eastAsia="Times New Roman" w:hAnsi="Calibri" w:cs="Calibri"/>
                <w:color w:val="000000"/>
                <w:sz w:val="18"/>
                <w:szCs w:val="18"/>
                <w:lang w:eastAsia="pl-PL"/>
              </w:rPr>
              <w:br w:type="page"/>
              <w:t xml:space="preserve"> </w:t>
            </w:r>
            <w:r w:rsidRPr="00846586">
              <w:rPr>
                <w:rFonts w:ascii="Calibri" w:eastAsia="Times New Roman" w:hAnsi="Calibri" w:cs="Calibri"/>
                <w:color w:val="000000"/>
                <w:sz w:val="18"/>
                <w:szCs w:val="18"/>
                <w:lang w:eastAsia="pl-PL"/>
              </w:rPr>
              <w:br w:type="page"/>
              <w:t xml:space="preserve">Załącznik 1 (plik Excel) do Raportu WWF zawiera wyniki szczegółowych analiz dla każdej z 3116 JCWP rzecznych, należących do 9 dorzeczy. W formie tabelarycznej zestawiono zapisy z </w:t>
            </w:r>
            <w:r w:rsidRPr="00846586">
              <w:rPr>
                <w:rFonts w:ascii="Calibri" w:eastAsia="Times New Roman" w:hAnsi="Calibri" w:cs="Calibri"/>
                <w:color w:val="000000"/>
                <w:sz w:val="18"/>
                <w:szCs w:val="18"/>
                <w:lang w:eastAsia="pl-PL"/>
              </w:rPr>
              <w:lastRenderedPageBreak/>
              <w:t xml:space="preserve">projektów II aPGW w porównaniu z zapisami KPRWP oraz z informacjami o nowych presjach (o inwestycjach i innych przedsięwzięciach wymienionych w zał. 6 do II aPGW oraz w aktualizacji Planów Zarządzania Ryzykiem Powodziowym i w Planie Przeciwdziałania Skutkom Suszy). Dla każdej z 3116 JCWP rzecznych sformułowano szczegółowe rekomendacje odnośnie do zmian, jakie powinny być wprowadzone do II aPGW, aby w danej JCWP terminowo osiągnąć stan hydromorfologiczny niezbędny dla osiągnięcia dobrego stanu/potencjału wód wymaganego przez Ramową Dyrektywę Wodną. Rekomendacje te zawiera kolumna FV pliku Excel. W związku z tym proszę traktować załącznik 1 do Raportu WWF jako zbiorcze zestawienie 3116 szczegółowych uwag obejmujących wszystkie 9 dorzeczy, które to uwagi Fundacja WWF zgłasza w ramach konsultacji społecznych projektów II aPGW.  </w:t>
            </w:r>
            <w:r w:rsidRPr="00846586">
              <w:rPr>
                <w:rFonts w:ascii="Calibri" w:eastAsia="Times New Roman" w:hAnsi="Calibri" w:cs="Calibri"/>
                <w:color w:val="000000"/>
                <w:sz w:val="18"/>
                <w:szCs w:val="18"/>
                <w:lang w:eastAsia="pl-PL"/>
              </w:rPr>
              <w:br w:type="page"/>
              <w:t xml:space="preserve"> </w:t>
            </w:r>
            <w:r w:rsidRPr="00846586">
              <w:rPr>
                <w:rFonts w:ascii="Calibri" w:eastAsia="Times New Roman" w:hAnsi="Calibri" w:cs="Calibri"/>
                <w:color w:val="000000"/>
                <w:sz w:val="18"/>
                <w:szCs w:val="18"/>
                <w:lang w:eastAsia="pl-PL"/>
              </w:rPr>
              <w:br w:type="page"/>
              <w:t xml:space="preserve">Raport WWF jest wkładem społecznym w działania na rzecz udoskonalenia projektów II aPGW. Mam nadzieję, że sposób przedstawienia szczegółowych rekomendacji dla każdej z 3116 JCWP rzecznych umożliwi łatwe usunięcie zidentyfikowanych w Raporcie WWF poważnych mankamentów projektów II aPGW – najpierw na poziomie każdej z 3116 JCWP rzecznej, a docelowo na poziomie każdego z 9 dorzeczy.  </w:t>
            </w:r>
            <w:r w:rsidRPr="00846586">
              <w:rPr>
                <w:rFonts w:ascii="Calibri" w:eastAsia="Times New Roman" w:hAnsi="Calibri" w:cs="Calibri"/>
                <w:color w:val="000000"/>
                <w:sz w:val="18"/>
                <w:szCs w:val="18"/>
                <w:lang w:eastAsia="pl-PL"/>
              </w:rPr>
              <w:br w:type="page"/>
              <w:t xml:space="preserve"> </w:t>
            </w:r>
            <w:r w:rsidRPr="00846586">
              <w:rPr>
                <w:rFonts w:ascii="Calibri" w:eastAsia="Times New Roman" w:hAnsi="Calibri" w:cs="Calibri"/>
                <w:color w:val="000000"/>
                <w:sz w:val="18"/>
                <w:szCs w:val="18"/>
                <w:lang w:eastAsia="pl-PL"/>
              </w:rPr>
              <w:br w:type="page"/>
              <w:t xml:space="preserve">Fundacja WWF Polska deklaruje współpracę w usuwaniu mankamentów projektów II aPGW, np. w postaci przekazania analiz GIS, które były podstawą sformułowania wzmiankowanych wyżej rekomendacji dla poszczególnych JCWP rzecznych. </w:t>
            </w:r>
            <w:r w:rsidRPr="00846586">
              <w:rPr>
                <w:rFonts w:ascii="Calibri" w:eastAsia="Times New Roman" w:hAnsi="Calibri" w:cs="Calibri"/>
                <w:color w:val="000000"/>
                <w:sz w:val="18"/>
                <w:szCs w:val="18"/>
                <w:lang w:eastAsia="pl-PL"/>
              </w:rPr>
              <w:br w:type="page"/>
            </w:r>
          </w:p>
        </w:tc>
        <w:tc>
          <w:tcPr>
            <w:tcW w:w="3258" w:type="dxa"/>
            <w:tcBorders>
              <w:top w:val="nil"/>
              <w:left w:val="nil"/>
              <w:bottom w:val="single" w:sz="4" w:space="0" w:color="auto"/>
              <w:right w:val="single" w:sz="4" w:space="0" w:color="auto"/>
            </w:tcBorders>
            <w:shd w:val="clear" w:color="auto" w:fill="auto"/>
            <w:hideMark/>
          </w:tcPr>
          <w:p w14:paraId="6B57297C"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w:t>
            </w:r>
          </w:p>
        </w:tc>
        <w:tc>
          <w:tcPr>
            <w:tcW w:w="1984" w:type="dxa"/>
            <w:tcBorders>
              <w:top w:val="nil"/>
              <w:left w:val="nil"/>
              <w:bottom w:val="single" w:sz="4" w:space="0" w:color="auto"/>
              <w:right w:val="single" w:sz="4" w:space="0" w:color="auto"/>
            </w:tcBorders>
            <w:shd w:val="clear" w:color="auto" w:fill="auto"/>
            <w:hideMark/>
          </w:tcPr>
          <w:p w14:paraId="09DF7DB3"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5DE5F50C" w14:textId="77777777" w:rsidR="00846586" w:rsidRPr="00846586" w:rsidRDefault="00846586" w:rsidP="00846586">
            <w:pPr>
              <w:ind w:firstLine="0"/>
              <w:jc w:val="left"/>
              <w:rPr>
                <w:rFonts w:ascii="Calibri" w:eastAsia="Times New Roman" w:hAnsi="Calibri" w:cs="Calibri"/>
                <w:color w:val="000000"/>
                <w:sz w:val="18"/>
                <w:szCs w:val="18"/>
                <w:lang w:eastAsia="pl-PL"/>
              </w:rPr>
            </w:pPr>
            <w:proofErr w:type="spellStart"/>
            <w:r w:rsidRPr="00846586">
              <w:rPr>
                <w:rFonts w:ascii="Calibri" w:eastAsia="Times New Roman" w:hAnsi="Calibri" w:cs="Calibri"/>
                <w:color w:val="000000"/>
                <w:sz w:val="18"/>
                <w:szCs w:val="18"/>
                <w:lang w:eastAsia="pl-PL"/>
              </w:rPr>
              <w:t>Raport_ocena_IIaPGW_KPRWP</w:t>
            </w:r>
            <w:proofErr w:type="spellEnd"/>
          </w:p>
        </w:tc>
        <w:tc>
          <w:tcPr>
            <w:tcW w:w="1337" w:type="dxa"/>
            <w:tcBorders>
              <w:top w:val="nil"/>
              <w:left w:val="nil"/>
              <w:bottom w:val="single" w:sz="4" w:space="0" w:color="auto"/>
              <w:right w:val="single" w:sz="4" w:space="0" w:color="auto"/>
            </w:tcBorders>
            <w:shd w:val="clear" w:color="auto" w:fill="auto"/>
            <w:hideMark/>
          </w:tcPr>
          <w:p w14:paraId="59F6AFF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uwzględniono częściowo</w:t>
            </w:r>
          </w:p>
        </w:tc>
        <w:tc>
          <w:tcPr>
            <w:tcW w:w="4455" w:type="dxa"/>
            <w:tcBorders>
              <w:top w:val="nil"/>
              <w:left w:val="nil"/>
              <w:bottom w:val="single" w:sz="4" w:space="0" w:color="auto"/>
              <w:right w:val="single" w:sz="4" w:space="0" w:color="auto"/>
            </w:tcBorders>
            <w:shd w:val="clear" w:color="auto" w:fill="auto"/>
            <w:hideMark/>
          </w:tcPr>
          <w:p w14:paraId="67C97211" w14:textId="05C0C170"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Krajowy program renaturyzacji wód powierzchniowych był punktem wyjścia do opracowania działań dla wód powierzchniowych z zakresu poprawy stanu hydromorfologicznego i biologicznego wód powierzchniowych z uwzględnieniem celów środowiskowych jcwp. KPRWP opracowany w 2019/2020 roku stanowi realizację wymagań aPWŚK, a zawarte w nim działania były odpowiedzią na zidentyfikowane presje hydromorfologiczne (na podstawie danych z 2018 roku), wskazał potrzeby poprawy stanu hydromorfologicznego wód powierzchniowych. W ramach KPRWP wskazano tzw. Obszary Wymagające Renaturyzacji oraz Obszary Priorytetowe, w których działania renaturyzacyjne powinny zostać zrealizowane w pierwszej kolejności, biorąc pod uwagę uwarunkowania środowiskowe i ekonomiczne. W Programie tym każdej jednolitej części wód powierzchniowych (jcwp), która została zaliczona do tych obszarów, przypisano potencjalne zestawy działań renaturyzacyjnych, jednak co należy podkreślić, już wówczas wskazano, że zakres działań w KPRWP, sposób wdrożenia działań, jak i sama lokalizacja działań wymagają doprecyzowania dla każdej jcwp i dalszych szczegółowych analiz w skali lokalnej.</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 xml:space="preserve">Na potrzeby </w:t>
            </w:r>
            <w:proofErr w:type="spellStart"/>
            <w:r w:rsidRPr="00846586">
              <w:rPr>
                <w:rFonts w:ascii="Calibri" w:eastAsia="Times New Roman" w:hAnsi="Calibri" w:cs="Calibri"/>
                <w:color w:val="000000"/>
                <w:sz w:val="18"/>
                <w:szCs w:val="18"/>
                <w:lang w:eastAsia="pl-PL"/>
              </w:rPr>
              <w:t>IIaPGW</w:t>
            </w:r>
            <w:proofErr w:type="spellEnd"/>
            <w:r w:rsidRPr="00846586">
              <w:rPr>
                <w:rFonts w:ascii="Calibri" w:eastAsia="Times New Roman" w:hAnsi="Calibri" w:cs="Calibri"/>
                <w:color w:val="000000"/>
                <w:sz w:val="18"/>
                <w:szCs w:val="18"/>
                <w:lang w:eastAsia="pl-PL"/>
              </w:rPr>
              <w:t xml:space="preserve"> uwzględniono najnowsze dane opracowane w ramach Analiza znaczących oddziaływań antropogenicznych wraz z oceną ich wpływu na stan wód oraz ryzykiem nieosiągnięcia celów środowiskowych, aktualne wyniki z monitoringu GIOŚ z 2019 r., wykonano aktualizację bazy danych HYMO zawierającą dane o presjach hydromorfologicznych, w tym budowli piętrzących. Dokonano weryfikacji między innymi obiektów piętrzących wpływających na ciągłość biologiczną i morfologiczną cieków, usuwając z bazy obiekty powtarzające się, uszczegółowiając na podstawie ankietyzacji informację z zakresu </w:t>
            </w:r>
            <w:r w:rsidRPr="00846586">
              <w:rPr>
                <w:rFonts w:ascii="Calibri" w:eastAsia="Times New Roman" w:hAnsi="Calibri" w:cs="Calibri"/>
                <w:color w:val="000000"/>
                <w:sz w:val="18"/>
                <w:szCs w:val="18"/>
                <w:lang w:eastAsia="pl-PL"/>
              </w:rPr>
              <w:lastRenderedPageBreak/>
              <w:t>wysokości piętrzenia, drożności, skutecz</w:t>
            </w:r>
            <w:r w:rsidR="00FA0863">
              <w:rPr>
                <w:rFonts w:ascii="Calibri" w:eastAsia="Times New Roman" w:hAnsi="Calibri" w:cs="Calibri"/>
                <w:color w:val="000000"/>
                <w:sz w:val="18"/>
                <w:szCs w:val="18"/>
                <w:lang w:eastAsia="pl-PL"/>
              </w:rPr>
              <w:t>ności przepławek itp</w:t>
            </w:r>
            <w:r w:rsidRPr="00846586">
              <w:rPr>
                <w:rFonts w:ascii="Calibri" w:eastAsia="Times New Roman" w:hAnsi="Calibri" w:cs="Calibri"/>
                <w:color w:val="000000"/>
                <w:sz w:val="18"/>
                <w:szCs w:val="18"/>
                <w:lang w:eastAsia="pl-PL"/>
              </w:rPr>
              <w:t>.</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Na podstawie pozyskanych i zweryfikowanych informacji zostały zaplanowane działania ukierunkowane na przywrócenie i określenie problemów związanych z ciągłością biologiczną, z jednoczesnym uwzględnieniem najważniejszych potrzeb ryb dwuśrodowiskowych, gatunków chronionych i klasy wskaźników ichtiologicznych oraz efektywności ekonomicznej szerokich potrzeb udrożnienia cieków. Dodatkowo bardzo szczegółowo uwzględniono działania służące spełnieniu celów środowiskowych dla obszarów chronionych. W zakresie renaturyzacji włączono do zestawu działań dla jcwp rzecznych działania służące poprawie stanu hydromorfologicznego, biologicznego i fizykochemicznego wód z uwzględnieniem możliwości likwidacji presji antropogenicznych zawarte w PZO i PO, oraz działania z tzw. testu restytucji opracowanego w ramach projektu: Przegląd i weryfikacja metodyk wyznaczania silnie zmienionych i sztucznych części wód powierzchniowych wraz ze wstępnym i ostatecznym wyznaczeniem wskazane dla SZCW, dla których na podstawie danych GIOŚ zidentyfikowano ryzyko nieosiągnięcia celów środowiskowych z uwagi na presje hydromorfologiczne. W przypadku jcwp jeziornych zespół ekspertów pracujący przy KPRWP opracował i uszczegółowił na potrzeby IIaPGW zestawy działań możliwe do wdrożenia w tych jcwp, uwzględniając czynniki dodatkowe takie jak: zagrożenie suszą, brak przepływu w ciekach zasilających, presje na wody podziemne - związane z lejami depresji, a także stan jakościowy. W wielu przypadkach wskazano konieczność realizacji indywidualnych programów naprawczych dla jezior, w tym programu Renaturyzacji i Rekultywacji. W przypadku indywidualnych programów naprawczych dla jezior należy mieć na uwadze, że poprawa warunków hydromorfologicznych, w tym w szczególności w strefie brzegowej i litoralnej, stanowi kluczowy element tych programów. Są to m.in. strefy buforowe, pozwalające z jednej strony na poprawę stanu hydromorfologicznych, z drugiej stanowiące barierę dla biogenów mogących dostawać się do jeziora że zlewni.</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KPRWP wskazywał działania potencjalne bez uwzględnienia powiązań z wodami podziemnymi, których zły stan ilościowy (presje związane np. z poborem wód i odwodnieniem) zasadniczo weryfikuje możliwość wdrożenia działań renaturyzacyjnych wskazanych w KPRWP.</w:t>
            </w:r>
            <w:r w:rsidRPr="00846586">
              <w:rPr>
                <w:rFonts w:ascii="Calibri" w:eastAsia="Times New Roman" w:hAnsi="Calibri" w:cs="Calibri"/>
                <w:color w:val="000000"/>
                <w:sz w:val="18"/>
                <w:szCs w:val="18"/>
                <w:lang w:eastAsia="pl-PL"/>
              </w:rPr>
              <w:br w:type="page"/>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 xml:space="preserve">Działania z KPRWP wymagają szczegółowej weryfikacji w zakresie zarówno zakresu jak i możliwości ich wdrożenia w danej jcwp, w tym weryfikacji wpływu wdrożenia działań renaturyzacyjnych na ryzyko powodziowe w danej jcwp, a zatem wymagać będą między innymi modelowania hydraulicznego przepływu wód, </w:t>
            </w:r>
            <w:r w:rsidRPr="00846586">
              <w:rPr>
                <w:rFonts w:ascii="Calibri" w:eastAsia="Times New Roman" w:hAnsi="Calibri" w:cs="Calibri"/>
                <w:color w:val="000000"/>
                <w:sz w:val="18"/>
                <w:szCs w:val="18"/>
                <w:lang w:eastAsia="pl-PL"/>
              </w:rPr>
              <w:lastRenderedPageBreak/>
              <w:t>uwzględnienia potencjalnych działań wpisanych w aktualizowane obecnie aPZRP, a także konsultacji z podmiotami będącymi właścicielami gruntów czy urządzeń wodnych w obrębie planowanych działań. Uwzględnienie działań dla jcwpd oraz zestawów działań aPGW wynikających z PO/PZO/ZO w celu eliminacji działań powtarzających się.</w:t>
            </w:r>
            <w:r w:rsidRPr="00846586">
              <w:rPr>
                <w:rFonts w:ascii="Calibri" w:eastAsia="Times New Roman" w:hAnsi="Calibri" w:cs="Calibri"/>
                <w:color w:val="000000"/>
                <w:sz w:val="18"/>
                <w:szCs w:val="18"/>
                <w:lang w:eastAsia="pl-PL"/>
              </w:rPr>
              <w:br w:type="page"/>
              <w:t xml:space="preserve">W wyniku dokonanej ponownej weryfikacji w zakresie działań KPRWP, zestawy działań IIaPGW uzupełnione zostały o działania renaturyzacyjne wskazane dla jcwp NAT, zagrożonych, z presją znaczącą BIO_HM inną niż ciągłość (PPH2), powodującą zły stan elementów biologicznych zależnych od hydromorfologii i ryzyko nieosiągnięcia celów środowiskowych, w tym dla obszarów chronionych, dla których wskazano cele środowiskowe w zakresie wymogów rzek </w:t>
            </w:r>
            <w:proofErr w:type="spellStart"/>
            <w:r w:rsidRPr="00846586">
              <w:rPr>
                <w:rFonts w:ascii="Calibri" w:eastAsia="Times New Roman" w:hAnsi="Calibri" w:cs="Calibri"/>
                <w:color w:val="000000"/>
                <w:sz w:val="18"/>
                <w:szCs w:val="18"/>
                <w:lang w:eastAsia="pl-PL"/>
              </w:rPr>
              <w:t>włosinicznikowych</w:t>
            </w:r>
            <w:proofErr w:type="spellEnd"/>
            <w:r w:rsidRPr="00846586">
              <w:rPr>
                <w:rFonts w:ascii="Calibri" w:eastAsia="Times New Roman" w:hAnsi="Calibri" w:cs="Calibri"/>
                <w:color w:val="000000"/>
                <w:sz w:val="18"/>
                <w:szCs w:val="18"/>
                <w:lang w:eastAsia="pl-PL"/>
              </w:rPr>
              <w:t xml:space="preserve"> i wylewów, bez działań wynikających z testu restytucji.</w:t>
            </w:r>
            <w:r w:rsidRPr="00846586">
              <w:rPr>
                <w:rFonts w:ascii="Calibri" w:eastAsia="Times New Roman" w:hAnsi="Calibri" w:cs="Calibri"/>
                <w:color w:val="000000"/>
                <w:sz w:val="18"/>
                <w:szCs w:val="18"/>
                <w:lang w:eastAsia="pl-PL"/>
              </w:rPr>
              <w:br w:type="page"/>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 xml:space="preserve">Wprowadzono działanie dla </w:t>
            </w:r>
            <w:proofErr w:type="spellStart"/>
            <w:r w:rsidRPr="00846586">
              <w:rPr>
                <w:rFonts w:ascii="Calibri" w:eastAsia="Times New Roman" w:hAnsi="Calibri" w:cs="Calibri"/>
                <w:color w:val="000000"/>
                <w:sz w:val="18"/>
                <w:szCs w:val="18"/>
                <w:lang w:eastAsia="pl-PL"/>
              </w:rPr>
              <w:t>jcwp</w:t>
            </w:r>
            <w:proofErr w:type="spellEnd"/>
            <w:r w:rsidRPr="00846586">
              <w:rPr>
                <w:rFonts w:ascii="Calibri" w:eastAsia="Times New Roman" w:hAnsi="Calibri" w:cs="Calibri"/>
                <w:color w:val="000000"/>
                <w:sz w:val="18"/>
                <w:szCs w:val="18"/>
                <w:lang w:eastAsia="pl-PL"/>
              </w:rPr>
              <w:t xml:space="preserve"> RW: Analiza sposobu przeprowadzenia renaturyzacji koryta cieku oraz realizacja działań na podstawie przeprowadzonej analizy (do 2027 r.).</w:t>
            </w:r>
            <w:r w:rsidRPr="00846586">
              <w:rPr>
                <w:rFonts w:ascii="Calibri" w:eastAsia="Times New Roman" w:hAnsi="Calibri" w:cs="Calibri"/>
                <w:color w:val="000000"/>
                <w:sz w:val="18"/>
                <w:szCs w:val="18"/>
                <w:lang w:eastAsia="pl-PL"/>
              </w:rPr>
              <w:br w:type="page"/>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Dokonane zostały również modyfikacje zestawów działań w zakresie działań ukierunkowanych na zapewnienie ciągłości biologicznej, a tym samym zapewnienie osiągnięcia celów środowiskowych w zakresie ciągłości biologicznej w perspektywie do 2027 r. Wprowadzone zmiany dotyczą m.in. działania RWHM_02.06, uzupełnionego o możliwość realizacji działania technicznego z zakresu przywrócenia drożności po wykonaniu oceny. Działanie RWHM_02.06 obecnie zawiera następujące zapisy:</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Nazwa działania:</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Ocena wpływu budowli poprzecznych na ciągłość biologiczną i cele środowiskowe jcwp.</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Opis działania:</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Ocena wpływu budowli poprzecznych na ciągłość biologiczną i cele środowiskowe jcwp. W przypadku stwierdzenia negatywnego wpływu budowli na ciągłość biologiczną i cele środowiskowe jcwp, analiza możliwości wdrożenia działań zapewniających ciągłość biologiczną i spełnienie celów środowiskowych. Realizacja działań zgodnie z przeprowadzoną analizą. Wykaz budowli objętych działaniem zamieszczono w Zał. 1 Wykaz działań dla budowli.</w:t>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br w:type="page"/>
              <w:t>Zastosowanie:</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Działania mają na celu identyfikację wpływu budowli poprzecznych na ciągłość biologiczną. Działanie dedykowane w przypadku występowania budowli, dla których brak informacji uniemożliwia ocenę wpływu na ciągłość biologiczną, w szczególności, czy obiekt jest wyposażony w urządzenia do migracji ryb lub parametry obiektu (np. wysokość piętrzenia) umożliwiają migrację ryb. Wykaz budowli objętych działaniem zamieszczono w Zał. 1 Wykaz działań dla budowli.</w:t>
            </w:r>
            <w:r w:rsidRPr="00846586">
              <w:rPr>
                <w:rFonts w:ascii="Calibri" w:eastAsia="Times New Roman" w:hAnsi="Calibri" w:cs="Calibri"/>
                <w:color w:val="000000"/>
                <w:sz w:val="18"/>
                <w:szCs w:val="18"/>
                <w:lang w:eastAsia="pl-PL"/>
              </w:rPr>
              <w:br w:type="page"/>
              <w:t>Jednocześnie zmiany dokonano również w zakresie działania RWHM_02.08, które obecnie zawiera następujące zapisy:</w:t>
            </w:r>
            <w:r w:rsidRPr="00846586">
              <w:rPr>
                <w:rFonts w:ascii="Calibri" w:eastAsia="Times New Roman" w:hAnsi="Calibri" w:cs="Calibri"/>
                <w:color w:val="000000"/>
                <w:sz w:val="18"/>
                <w:szCs w:val="18"/>
                <w:lang w:eastAsia="pl-PL"/>
              </w:rPr>
              <w:br w:type="page"/>
              <w:t xml:space="preserve">Nazwa działania: </w:t>
            </w:r>
            <w:r w:rsidRPr="00846586">
              <w:rPr>
                <w:rFonts w:ascii="Calibri" w:eastAsia="Times New Roman" w:hAnsi="Calibri" w:cs="Calibri"/>
                <w:color w:val="000000"/>
                <w:sz w:val="18"/>
                <w:szCs w:val="18"/>
                <w:lang w:eastAsia="pl-PL"/>
              </w:rPr>
              <w:lastRenderedPageBreak/>
              <w:t>Monitoring skuteczności istniejących urządzeń do migracji ryb.</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Opis działania: Monitoring skuteczności istniejących urządzeń do migracji ryb w celu weryfikacji prawidłowego funkcjonowania tych urządzeń. W przypadku stwierdzenia negatywnego wpływu budowli na ciągłość biologiczną i cele środowiskowe jcwp, analiza możliwości wdrożenia działań zapewniających ciągłość biologiczną i spełnienie celów środowiskowych. Realizacja działań zgodnie z przeprowadzoną analizą. Monitoring należy wykonać co najmniej raz w ciągu cyklu planistycznego. Wykaz budowli objętych działaniem zamieszczono w Zał. 1 Wykaz działań dla budowli.</w:t>
            </w:r>
            <w:r w:rsidRPr="00846586">
              <w:rPr>
                <w:rFonts w:ascii="Calibri" w:eastAsia="Times New Roman" w:hAnsi="Calibri" w:cs="Calibri"/>
                <w:color w:val="000000"/>
                <w:sz w:val="18"/>
                <w:szCs w:val="18"/>
                <w:lang w:eastAsia="pl-PL"/>
              </w:rPr>
              <w:br w:type="page"/>
            </w:r>
            <w:r w:rsidR="00FA0863">
              <w:rPr>
                <w:rFonts w:ascii="Calibri" w:eastAsia="Times New Roman" w:hAnsi="Calibri" w:cs="Calibri"/>
                <w:color w:val="000000"/>
                <w:sz w:val="18"/>
                <w:szCs w:val="18"/>
                <w:lang w:eastAsia="pl-PL"/>
              </w:rPr>
              <w:t xml:space="preserve"> </w:t>
            </w:r>
            <w:r w:rsidRPr="00846586">
              <w:rPr>
                <w:rFonts w:ascii="Calibri" w:eastAsia="Times New Roman" w:hAnsi="Calibri" w:cs="Calibri"/>
                <w:color w:val="000000"/>
                <w:sz w:val="18"/>
                <w:szCs w:val="18"/>
                <w:lang w:eastAsia="pl-PL"/>
              </w:rPr>
              <w:t>Zastosowanie: Działanie mające na celu zapewnienie monitoringu urządzeń do migracji ryb, w przypadku, gdy istnieje informacja, że obiekty są wyposażone w takie urządzenia. Wykaz budowli objętych działaniem zamieszczono w Zał. 1 Wykaz działań dla budowli.</w:t>
            </w:r>
          </w:p>
        </w:tc>
      </w:tr>
      <w:tr w:rsidR="00846586" w:rsidRPr="00846586" w14:paraId="26224F05" w14:textId="77777777" w:rsidTr="00B97534">
        <w:trPr>
          <w:trHeight w:val="454"/>
        </w:trPr>
        <w:tc>
          <w:tcPr>
            <w:tcW w:w="646" w:type="dxa"/>
            <w:tcBorders>
              <w:top w:val="nil"/>
              <w:left w:val="single" w:sz="4" w:space="0" w:color="auto"/>
              <w:bottom w:val="single" w:sz="4" w:space="0" w:color="auto"/>
              <w:right w:val="single" w:sz="4" w:space="0" w:color="auto"/>
            </w:tcBorders>
            <w:shd w:val="clear" w:color="auto" w:fill="auto"/>
            <w:hideMark/>
          </w:tcPr>
          <w:p w14:paraId="7F87FF51" w14:textId="77777777" w:rsidR="00846586" w:rsidRPr="00846586" w:rsidRDefault="00846586" w:rsidP="00846586">
            <w:pPr>
              <w:ind w:firstLine="0"/>
              <w:jc w:val="center"/>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18</w:t>
            </w:r>
          </w:p>
        </w:tc>
        <w:tc>
          <w:tcPr>
            <w:tcW w:w="1354" w:type="dxa"/>
            <w:tcBorders>
              <w:top w:val="nil"/>
              <w:left w:val="nil"/>
              <w:bottom w:val="single" w:sz="4" w:space="0" w:color="auto"/>
              <w:right w:val="single" w:sz="4" w:space="0" w:color="auto"/>
            </w:tcBorders>
            <w:shd w:val="clear" w:color="auto" w:fill="auto"/>
            <w:hideMark/>
          </w:tcPr>
          <w:p w14:paraId="1F5AC282"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Klub Przyrodników</w:t>
            </w:r>
          </w:p>
        </w:tc>
        <w:tc>
          <w:tcPr>
            <w:tcW w:w="1540" w:type="dxa"/>
            <w:tcBorders>
              <w:top w:val="nil"/>
              <w:left w:val="nil"/>
              <w:bottom w:val="single" w:sz="4" w:space="0" w:color="auto"/>
              <w:right w:val="single" w:sz="4" w:space="0" w:color="auto"/>
            </w:tcBorders>
            <w:shd w:val="clear" w:color="auto" w:fill="auto"/>
            <w:hideMark/>
          </w:tcPr>
          <w:p w14:paraId="77E4C745" w14:textId="7ACD97F7" w:rsidR="00846586" w:rsidRPr="00846586" w:rsidRDefault="00846586" w:rsidP="00FB0FC9">
            <w:pPr>
              <w:ind w:left="52"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 xml:space="preserve">KONSULTACJE </w:t>
            </w:r>
            <w:r w:rsidR="00FB0FC9">
              <w:rPr>
                <w:rFonts w:ascii="Calibri" w:eastAsia="Times New Roman" w:hAnsi="Calibri" w:cs="Calibri"/>
                <w:color w:val="000000"/>
                <w:sz w:val="18"/>
                <w:szCs w:val="18"/>
                <w:lang w:eastAsia="pl-PL"/>
              </w:rPr>
              <w:t>SPOŁECZNE</w:t>
            </w:r>
          </w:p>
        </w:tc>
        <w:tc>
          <w:tcPr>
            <w:tcW w:w="3965" w:type="dxa"/>
            <w:tcBorders>
              <w:top w:val="nil"/>
              <w:left w:val="nil"/>
              <w:bottom w:val="single" w:sz="4" w:space="0" w:color="auto"/>
              <w:right w:val="single" w:sz="4" w:space="0" w:color="auto"/>
            </w:tcBorders>
            <w:shd w:val="clear" w:color="auto" w:fill="auto"/>
            <w:hideMark/>
          </w:tcPr>
          <w:p w14:paraId="1EBD9E4D" w14:textId="5D1713D4"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1. Zgodnie z art 14 ust. 1c Ramowej Dyrektyw Wodnej, byli Państwo zobowiązani  udostępnić projekt planu co najmniej na rok od początku okresu, którego plan dotyczy.</w:t>
            </w:r>
            <w:r w:rsidRPr="00846586">
              <w:rPr>
                <w:rFonts w:ascii="Calibri" w:eastAsia="Times New Roman" w:hAnsi="Calibri" w:cs="Calibri"/>
                <w:color w:val="000000"/>
                <w:sz w:val="18"/>
                <w:szCs w:val="18"/>
                <w:lang w:eastAsia="pl-PL"/>
              </w:rPr>
              <w:br/>
              <w:t>2. Zgodnie z art 14 ust. 2 Ramowej Dyrektyw Wodnej, są Pastwo obowiązani przeznaczyć co najmniej 6 miesięcy na składanie pisemnych uwag do projektów planów. Termin ten biegnie od nowa w przypadku ogłoszenia „erraty” do projektów planów.</w:t>
            </w:r>
            <w:r w:rsidRPr="00846586">
              <w:rPr>
                <w:rFonts w:ascii="Calibri" w:eastAsia="Times New Roman" w:hAnsi="Calibri" w:cs="Calibri"/>
                <w:color w:val="000000"/>
                <w:sz w:val="18"/>
                <w:szCs w:val="18"/>
                <w:lang w:eastAsia="pl-PL"/>
              </w:rPr>
              <w:br/>
              <w:t>3. Wątpliwości nasuwa wyznaczenie jednolitych części wód, będących podstawowymi jednostkami planistycznymi. W planach użyto zreformowanych aJCWP, jednak:</w:t>
            </w:r>
            <w:r w:rsidRPr="00846586">
              <w:rPr>
                <w:rFonts w:ascii="Calibri" w:eastAsia="Times New Roman" w:hAnsi="Calibri" w:cs="Calibri"/>
                <w:color w:val="000000"/>
                <w:sz w:val="18"/>
                <w:szCs w:val="18"/>
                <w:lang w:eastAsia="pl-PL"/>
              </w:rPr>
              <w:br/>
              <w:t xml:space="preserve">- Wiele </w:t>
            </w:r>
            <w:proofErr w:type="spellStart"/>
            <w:r w:rsidRPr="00846586">
              <w:rPr>
                <w:rFonts w:ascii="Calibri" w:eastAsia="Times New Roman" w:hAnsi="Calibri" w:cs="Calibri"/>
                <w:color w:val="000000"/>
                <w:sz w:val="18"/>
                <w:szCs w:val="18"/>
                <w:lang w:eastAsia="pl-PL"/>
              </w:rPr>
              <w:t>aJCW</w:t>
            </w:r>
            <w:proofErr w:type="spellEnd"/>
            <w:r w:rsidRPr="00846586">
              <w:rPr>
                <w:rFonts w:ascii="Calibri" w:eastAsia="Times New Roman" w:hAnsi="Calibri" w:cs="Calibri"/>
                <w:color w:val="000000"/>
                <w:sz w:val="18"/>
                <w:szCs w:val="18"/>
                <w:lang w:eastAsia="pl-PL"/>
              </w:rPr>
              <w:t xml:space="preserve"> jest nadmiernie heterogenicznych, obejmując bardzo długie odcinki rzek o zróżnicowanym charakterze, w tym łącząc dłuższe odcinki naturalne i silnie przekształcone; łącząc w jednej aJCWP odcinki poddane zupełnie różnym presjom. Na tak wyznaczonym zbiorze </w:t>
            </w:r>
            <w:proofErr w:type="spellStart"/>
            <w:r w:rsidRPr="00846586">
              <w:rPr>
                <w:rFonts w:ascii="Calibri" w:eastAsia="Times New Roman" w:hAnsi="Calibri" w:cs="Calibri"/>
                <w:color w:val="000000"/>
                <w:sz w:val="18"/>
                <w:szCs w:val="18"/>
                <w:lang w:eastAsia="pl-PL"/>
              </w:rPr>
              <w:t>aJWCP</w:t>
            </w:r>
            <w:proofErr w:type="spellEnd"/>
            <w:r w:rsidRPr="00846586">
              <w:rPr>
                <w:rFonts w:ascii="Calibri" w:eastAsia="Times New Roman" w:hAnsi="Calibri" w:cs="Calibri"/>
                <w:color w:val="000000"/>
                <w:sz w:val="18"/>
                <w:szCs w:val="18"/>
                <w:lang w:eastAsia="pl-PL"/>
              </w:rPr>
              <w:t xml:space="preserve"> trudno prawidłowo zrealizować wyznaczenie SZCWP, jak również trudno prawidłowo ocenić przyczyny niezadowalającego stanu wód i zapobiegać presjom;</w:t>
            </w:r>
            <w:r w:rsidRPr="00846586">
              <w:rPr>
                <w:rFonts w:ascii="Calibri" w:eastAsia="Times New Roman" w:hAnsi="Calibri" w:cs="Calibri"/>
                <w:color w:val="000000"/>
                <w:sz w:val="18"/>
                <w:szCs w:val="18"/>
                <w:lang w:eastAsia="pl-PL"/>
              </w:rPr>
              <w:br/>
              <w:t>- Niektóre aJCWP łączą widlasto zbiegające się, równorzędne cieki, mające w danej aJCWP tylko jeden punkt wspólny w miejscu polaczenia, będącym końcem aJCWP. Takie wyznaczenie aJCWP jest pozbawione sensu, bo sposób zarządzania jednym z takich cieków nie będzie miał żadnego wpływu na drugi.</w:t>
            </w:r>
            <w:r w:rsidRPr="00846586">
              <w:rPr>
                <w:rFonts w:ascii="Calibri" w:eastAsia="Times New Roman" w:hAnsi="Calibri" w:cs="Calibri"/>
                <w:color w:val="000000"/>
                <w:sz w:val="18"/>
                <w:szCs w:val="18"/>
                <w:lang w:eastAsia="pl-PL"/>
              </w:rPr>
              <w:br/>
              <w:t xml:space="preserve">4. Diagnoza stanu ekologicznego wód – jako wyprowadzania ze stanu poszczególnych elementów biologicznych wg metody One Out – </w:t>
            </w:r>
            <w:proofErr w:type="spellStart"/>
            <w:r w:rsidRPr="00846586">
              <w:rPr>
                <w:rFonts w:ascii="Calibri" w:eastAsia="Times New Roman" w:hAnsi="Calibri" w:cs="Calibri"/>
                <w:color w:val="000000"/>
                <w:sz w:val="18"/>
                <w:szCs w:val="18"/>
                <w:lang w:eastAsia="pl-PL"/>
              </w:rPr>
              <w:t>All</w:t>
            </w:r>
            <w:proofErr w:type="spellEnd"/>
            <w:r w:rsidRPr="00846586">
              <w:rPr>
                <w:rFonts w:ascii="Calibri" w:eastAsia="Times New Roman" w:hAnsi="Calibri" w:cs="Calibri"/>
                <w:color w:val="000000"/>
                <w:sz w:val="18"/>
                <w:szCs w:val="18"/>
                <w:lang w:eastAsia="pl-PL"/>
              </w:rPr>
              <w:t xml:space="preserve"> Out, może być wiarygodna tylko wtedy, gdy zbadano wszystkie elementy biologiczne, charakteryzujące ten stan. W planach należy </w:t>
            </w:r>
            <w:r w:rsidRPr="00846586">
              <w:rPr>
                <w:rFonts w:ascii="Calibri" w:eastAsia="Times New Roman" w:hAnsi="Calibri" w:cs="Calibri"/>
                <w:color w:val="000000"/>
                <w:sz w:val="18"/>
                <w:szCs w:val="18"/>
                <w:lang w:eastAsia="pl-PL"/>
              </w:rPr>
              <w:lastRenderedPageBreak/>
              <w:t>wyraźnie odróżnić oceny spełniające ten warunek, od ocen, które go nie spełniają.</w:t>
            </w:r>
            <w:r w:rsidRPr="00846586">
              <w:rPr>
                <w:rFonts w:ascii="Calibri" w:eastAsia="Times New Roman" w:hAnsi="Calibri" w:cs="Calibri"/>
                <w:color w:val="000000"/>
                <w:sz w:val="18"/>
                <w:szCs w:val="18"/>
                <w:lang w:eastAsia="pl-PL"/>
              </w:rPr>
              <w:br/>
              <w:t>5. W projekcie planu brak, wymaganych Dyrektywą, indywidualnych uzasadnień dla wyznaczenia SCWP. Dyrektywa wymaga, by powód wyznaczenia każdej SZCW był „</w:t>
            </w:r>
            <w:r w:rsidR="00A7316C" w:rsidRPr="00846586">
              <w:rPr>
                <w:rFonts w:ascii="Calibri" w:eastAsia="Times New Roman" w:hAnsi="Calibri" w:cs="Calibri"/>
                <w:color w:val="000000"/>
                <w:sz w:val="18"/>
                <w:szCs w:val="18"/>
                <w:lang w:eastAsia="pl-PL"/>
              </w:rPr>
              <w:t>szczegółowo</w:t>
            </w:r>
            <w:r w:rsidRPr="00846586">
              <w:rPr>
                <w:rFonts w:ascii="Calibri" w:eastAsia="Times New Roman" w:hAnsi="Calibri" w:cs="Calibri"/>
                <w:color w:val="000000"/>
                <w:sz w:val="18"/>
                <w:szCs w:val="18"/>
                <w:lang w:eastAsia="pl-PL"/>
              </w:rPr>
              <w:t xml:space="preserve"> określony” w planie. Tymczasem w projektach planów podano tylko hasłowo „brak możliwości skutecznego odwrócenia zmian hydromorfologicznych, brak alternatyw dla pełnionych funkcji”, nie uzasadniając tych tez dla konkretnych przypadków.</w:t>
            </w:r>
            <w:r w:rsidRPr="00846586">
              <w:rPr>
                <w:rFonts w:ascii="Calibri" w:eastAsia="Times New Roman" w:hAnsi="Calibri" w:cs="Calibri"/>
                <w:color w:val="000000"/>
                <w:sz w:val="18"/>
                <w:szCs w:val="18"/>
                <w:lang w:eastAsia="pl-PL"/>
              </w:rPr>
              <w:br/>
              <w:t>6. Brak jest prawidłowych uzasadnień dla przyznanych odstępstw z art. 4.5 dyrektywy, wskutek czego odstępstwo to przyznano nadmiernie. Wielokrotnie przyznano odstępstwo 4.5 tam, gdzie wdrożenie działań prowadzących do osiągnięcia dobrego stanu wód było możliwe. Sam fakt, że takich działań nie wdrożono przez dwa dotychczasowe okresy planistyczne, nie może być argumentem za przyznaniem odstępstwa 4.5.</w:t>
            </w:r>
            <w:r w:rsidRPr="00846586">
              <w:rPr>
                <w:rFonts w:ascii="Calibri" w:eastAsia="Times New Roman" w:hAnsi="Calibri" w:cs="Calibri"/>
                <w:color w:val="000000"/>
                <w:sz w:val="18"/>
                <w:szCs w:val="18"/>
                <w:lang w:eastAsia="pl-PL"/>
              </w:rPr>
              <w:br/>
              <w:t>7. Nieprzekonujące uzasadnienia odstępstw z art 4.7 dyrektywy. W planach umieszczono informację o tej derogacji także dla wielu przedsięwzięć, dla których zasadność derogacji została zanegowana w dotychczasowym postępowaniu o decyzję środowiskową. Zamieszczone uzasadnienia często nieprzekonująco uzasadniają nadrzędny interes społeczny i nie rozważają narzucających się alternatyw.</w:t>
            </w:r>
            <w:r w:rsidRPr="00846586">
              <w:rPr>
                <w:rFonts w:ascii="Calibri" w:eastAsia="Times New Roman" w:hAnsi="Calibri" w:cs="Calibri"/>
                <w:color w:val="000000"/>
                <w:sz w:val="18"/>
                <w:szCs w:val="18"/>
                <w:lang w:eastAsia="pl-PL"/>
              </w:rPr>
              <w:br/>
              <w:t>8. Zaproponowany program środków nie zapewnia osiągnięcia celów wymaganych dyrektywą, w szczególności zbyt mało ambitnie podchodzi do zagadnienia renaturyzacji hydromorfologicznej cieków. Rozbieżność z potrzebami zidentyfikowanymi w Krajowym Programie Renaturyzacji Wód Powierzchniowych, a także wnioski stad wynikające, są szczegółowo udokumentowane w raporcie: http://www.ratujmyrzeki.pl/250-konsultacjeapgw</w:t>
            </w:r>
            <w:r w:rsidRPr="00846586">
              <w:rPr>
                <w:rFonts w:ascii="Calibri" w:eastAsia="Times New Roman" w:hAnsi="Calibri" w:cs="Calibri"/>
                <w:color w:val="000000"/>
                <w:sz w:val="18"/>
                <w:szCs w:val="18"/>
                <w:lang w:eastAsia="pl-PL"/>
              </w:rPr>
              <w:br/>
              <w:t xml:space="preserve">W szczególności, w przypadku niezadowalającego stanu wód, w aktualnym okresie planistycznym nie można już ograniczać programu działań do wykonania analiz, studiów i projektów. Ponieważ osiągnięcia celów środowiskowych nie można przedłużać do 2027r., wszystko co może być potrzebne do ich osiągniecia, musi być fizycznie wdrożone przed tym terminem, a nie tylko rozważone i zaprojektowane. </w:t>
            </w:r>
          </w:p>
        </w:tc>
        <w:tc>
          <w:tcPr>
            <w:tcW w:w="3258" w:type="dxa"/>
            <w:tcBorders>
              <w:top w:val="nil"/>
              <w:left w:val="nil"/>
              <w:bottom w:val="single" w:sz="4" w:space="0" w:color="auto"/>
              <w:right w:val="single" w:sz="4" w:space="0" w:color="auto"/>
            </w:tcBorders>
            <w:shd w:val="clear" w:color="auto" w:fill="auto"/>
            <w:hideMark/>
          </w:tcPr>
          <w:p w14:paraId="6B6EA9BD"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lastRenderedPageBreak/>
              <w:t>-</w:t>
            </w:r>
          </w:p>
        </w:tc>
        <w:tc>
          <w:tcPr>
            <w:tcW w:w="1984" w:type="dxa"/>
            <w:tcBorders>
              <w:top w:val="nil"/>
              <w:left w:val="nil"/>
              <w:bottom w:val="single" w:sz="4" w:space="0" w:color="auto"/>
              <w:right w:val="single" w:sz="4" w:space="0" w:color="auto"/>
            </w:tcBorders>
            <w:shd w:val="clear" w:color="auto" w:fill="auto"/>
            <w:hideMark/>
          </w:tcPr>
          <w:p w14:paraId="0F72B997"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t>
            </w:r>
          </w:p>
        </w:tc>
        <w:tc>
          <w:tcPr>
            <w:tcW w:w="2428" w:type="dxa"/>
            <w:tcBorders>
              <w:top w:val="nil"/>
              <w:left w:val="nil"/>
              <w:bottom w:val="single" w:sz="4" w:space="0" w:color="auto"/>
              <w:right w:val="single" w:sz="4" w:space="0" w:color="auto"/>
            </w:tcBorders>
            <w:shd w:val="clear" w:color="auto" w:fill="auto"/>
            <w:hideMark/>
          </w:tcPr>
          <w:p w14:paraId="3F468822" w14:textId="77777777" w:rsidR="00846586" w:rsidRPr="00846586" w:rsidRDefault="00846586" w:rsidP="00846586">
            <w:pPr>
              <w:ind w:firstLine="0"/>
              <w:jc w:val="left"/>
              <w:rPr>
                <w:rFonts w:ascii="Calibri" w:eastAsia="Times New Roman" w:hAnsi="Calibri" w:cs="Calibri"/>
                <w:color w:val="000000"/>
                <w:sz w:val="18"/>
                <w:szCs w:val="18"/>
                <w:lang w:eastAsia="pl-PL"/>
              </w:rPr>
            </w:pPr>
            <w:proofErr w:type="spellStart"/>
            <w:r w:rsidRPr="00846586">
              <w:rPr>
                <w:rFonts w:ascii="Calibri" w:eastAsia="Times New Roman" w:hAnsi="Calibri" w:cs="Calibri"/>
                <w:color w:val="000000"/>
                <w:sz w:val="18"/>
                <w:szCs w:val="18"/>
                <w:lang w:eastAsia="pl-PL"/>
              </w:rPr>
              <w:t>KPrzyrodników_IIaPGW</w:t>
            </w:r>
            <w:proofErr w:type="spellEnd"/>
          </w:p>
        </w:tc>
        <w:tc>
          <w:tcPr>
            <w:tcW w:w="1337" w:type="dxa"/>
            <w:tcBorders>
              <w:top w:val="nil"/>
              <w:left w:val="nil"/>
              <w:bottom w:val="single" w:sz="4" w:space="0" w:color="auto"/>
              <w:right w:val="single" w:sz="4" w:space="0" w:color="auto"/>
            </w:tcBorders>
            <w:shd w:val="clear" w:color="auto" w:fill="auto"/>
            <w:hideMark/>
          </w:tcPr>
          <w:p w14:paraId="0FE155A0" w14:textId="77777777" w:rsidR="00846586" w:rsidRPr="00846586" w:rsidRDefault="00846586" w:rsidP="00846586">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wyjaśnienie</w:t>
            </w:r>
          </w:p>
        </w:tc>
        <w:tc>
          <w:tcPr>
            <w:tcW w:w="4455" w:type="dxa"/>
            <w:tcBorders>
              <w:top w:val="nil"/>
              <w:left w:val="nil"/>
              <w:bottom w:val="single" w:sz="4" w:space="0" w:color="auto"/>
              <w:right w:val="single" w:sz="4" w:space="0" w:color="auto"/>
            </w:tcBorders>
            <w:shd w:val="clear" w:color="auto" w:fill="auto"/>
            <w:hideMark/>
          </w:tcPr>
          <w:p w14:paraId="529E835C" w14:textId="10004B7D" w:rsidR="00846586" w:rsidRPr="00846586" w:rsidRDefault="00846586" w:rsidP="00FA0863">
            <w:pPr>
              <w:ind w:firstLine="0"/>
              <w:jc w:val="left"/>
              <w:rPr>
                <w:rFonts w:ascii="Calibri" w:eastAsia="Times New Roman" w:hAnsi="Calibri" w:cs="Calibri"/>
                <w:color w:val="000000"/>
                <w:sz w:val="18"/>
                <w:szCs w:val="18"/>
                <w:lang w:eastAsia="pl-PL"/>
              </w:rPr>
            </w:pPr>
            <w:r w:rsidRPr="00846586">
              <w:rPr>
                <w:rFonts w:ascii="Calibri" w:eastAsia="Times New Roman" w:hAnsi="Calibri" w:cs="Calibri"/>
                <w:color w:val="000000"/>
                <w:sz w:val="18"/>
                <w:szCs w:val="18"/>
                <w:lang w:eastAsia="pl-PL"/>
              </w:rPr>
              <w:t>Plany gospodarowania wodami są przygotowywane zgodnie z przepisami prawa zarówno na etapie opracowania projektów tych dokumentów, jak również ich wersji ostatecz</w:t>
            </w:r>
            <w:r w:rsidR="00FA0863">
              <w:rPr>
                <w:rFonts w:ascii="Calibri" w:eastAsia="Times New Roman" w:hAnsi="Calibri" w:cs="Calibri"/>
                <w:color w:val="000000"/>
                <w:sz w:val="18"/>
                <w:szCs w:val="18"/>
                <w:lang w:eastAsia="pl-PL"/>
              </w:rPr>
              <w:t>nych. Podstawę prawną stanowią:</w:t>
            </w:r>
            <w:r w:rsidRPr="00846586">
              <w:rPr>
                <w:rFonts w:ascii="Calibri" w:eastAsia="Times New Roman" w:hAnsi="Calibri" w:cs="Calibri"/>
                <w:color w:val="000000"/>
                <w:sz w:val="18"/>
                <w:szCs w:val="18"/>
                <w:lang w:eastAsia="pl-PL"/>
              </w:rPr>
              <w:br/>
              <w:t xml:space="preserve">• Ustawa Prawo wodne (Dz.U. z 2021 roku poz. </w:t>
            </w:r>
            <w:r w:rsidR="00FA0863">
              <w:rPr>
                <w:rFonts w:ascii="Calibri" w:eastAsia="Times New Roman" w:hAnsi="Calibri" w:cs="Calibri"/>
                <w:color w:val="000000"/>
                <w:sz w:val="18"/>
                <w:szCs w:val="18"/>
                <w:lang w:eastAsia="pl-PL"/>
              </w:rPr>
              <w:t>2233</w:t>
            </w:r>
            <w:r w:rsidRPr="00846586">
              <w:rPr>
                <w:rFonts w:ascii="Calibri" w:eastAsia="Times New Roman" w:hAnsi="Calibri" w:cs="Calibri"/>
                <w:color w:val="000000"/>
                <w:sz w:val="18"/>
                <w:szCs w:val="18"/>
                <w:lang w:eastAsia="pl-PL"/>
              </w:rPr>
              <w:t xml:space="preserve"> z </w:t>
            </w:r>
            <w:proofErr w:type="spellStart"/>
            <w:r w:rsidRPr="00846586">
              <w:rPr>
                <w:rFonts w:ascii="Calibri" w:eastAsia="Times New Roman" w:hAnsi="Calibri" w:cs="Calibri"/>
                <w:color w:val="000000"/>
                <w:sz w:val="18"/>
                <w:szCs w:val="18"/>
                <w:lang w:eastAsia="pl-PL"/>
              </w:rPr>
              <w:t>późn</w:t>
            </w:r>
            <w:proofErr w:type="spellEnd"/>
            <w:r w:rsidRPr="00846586">
              <w:rPr>
                <w:rFonts w:ascii="Calibri" w:eastAsia="Times New Roman" w:hAnsi="Calibri" w:cs="Calibri"/>
                <w:color w:val="000000"/>
                <w:sz w:val="18"/>
                <w:szCs w:val="18"/>
                <w:lang w:eastAsia="pl-PL"/>
              </w:rPr>
              <w:t>. zm., dalej ustawa pr.w.): w zakresie opracowania projektów planów gospodarowania wodami wraz z przeprowadzeniem konsultacji społecznych dla umożliwienia przedłożenia uwag do projektów dokumentów;</w:t>
            </w:r>
            <w:r w:rsidRPr="00846586">
              <w:rPr>
                <w:rFonts w:ascii="Calibri" w:eastAsia="Times New Roman" w:hAnsi="Calibri" w:cs="Calibri"/>
                <w:color w:val="000000"/>
                <w:sz w:val="18"/>
                <w:szCs w:val="18"/>
                <w:lang w:eastAsia="pl-PL"/>
              </w:rPr>
              <w:br/>
              <w:t>• Ustawa o udostępnianiu informacji o środowisku i jego ochronie, udziale społeczeństwa w ochronie środowiska oraz o ocenach oddziaływania na środowisko (Dz.U. z 2021 roku poz. 247 z późn. zm., dalej u.i.o.ś) w zakresie wymaganej dla planów gospodarowania wodami strategicznej oceny oddziaływania na środowisko, w tym zapewnienia udziału społeczeństwa w procedurze strategicznej oceny oddziaływania na środowisko (dalej SOOŚ) przed przyjęciem dokumentów.</w:t>
            </w:r>
            <w:r w:rsidRPr="00846586">
              <w:rPr>
                <w:rFonts w:ascii="Calibri" w:eastAsia="Times New Roman" w:hAnsi="Calibri" w:cs="Calibri"/>
                <w:color w:val="000000"/>
                <w:sz w:val="18"/>
                <w:szCs w:val="18"/>
                <w:lang w:eastAsia="pl-PL"/>
              </w:rPr>
              <w:br/>
              <w:t>Informacje dotyczące ww. procedur zawierają zarówno same projekty IIaPGW (rozdział 20 każdego z projektów IIaPGW), jak również Prognozy oddziaływania na środowisko (rozdział 1.2 każdej z prognoz).</w:t>
            </w:r>
            <w:r w:rsidRPr="00846586">
              <w:rPr>
                <w:rFonts w:ascii="Calibri" w:eastAsia="Times New Roman" w:hAnsi="Calibri" w:cs="Calibri"/>
                <w:color w:val="000000"/>
                <w:sz w:val="18"/>
                <w:szCs w:val="18"/>
                <w:lang w:eastAsia="pl-PL"/>
              </w:rPr>
              <w:br/>
              <w:t>W związku z charakterem projektów IIaPGW istnieje obowiązek przeprowadzenia dwóch procesów konsultacji społecznych: konsultacje społeczne projektów IIaPGW oraz konsultacje społeczne w ramach SOOŚ.</w:t>
            </w:r>
            <w:r w:rsidRPr="00846586">
              <w:rPr>
                <w:rFonts w:ascii="Calibri" w:eastAsia="Times New Roman" w:hAnsi="Calibri" w:cs="Calibri"/>
                <w:color w:val="000000"/>
                <w:sz w:val="18"/>
                <w:szCs w:val="18"/>
                <w:lang w:eastAsia="pl-PL"/>
              </w:rPr>
              <w:br/>
              <w:t xml:space="preserve">Przywołane w uwadze półroczne konsultacje społeczne projektów IIaPGW wynikające z przepisów Ramowej Dyrektywy Wodnej (2000/60/WE) oraz ustawy pr.w. – mają na celu zaangażowanie wszystkich zainteresowanych stron do aktywnego udziału w opracowywaniu, przeglądzie i aktualizacji planów gospodarowania wodami. Zgodnie z art. 319 </w:t>
            </w:r>
            <w:r w:rsidRPr="00846586">
              <w:rPr>
                <w:rFonts w:ascii="Calibri" w:eastAsia="Times New Roman" w:hAnsi="Calibri" w:cs="Calibri"/>
                <w:color w:val="000000"/>
                <w:sz w:val="18"/>
                <w:szCs w:val="18"/>
                <w:lang w:eastAsia="pl-PL"/>
              </w:rPr>
              <w:lastRenderedPageBreak/>
              <w:t>ust. 5 ustawy pr.w. w terminie 6 miesięcy od dnia podania do publicznej wiadomości dokumentu projektu planu gospodarowania wodami, zainteresowani mogą składać do ministra właściwego do spraw gospodarki wodnej pisemne uwagi do ustaleń zawartych w tych dokumentach. Wypełniając ww. obowiązek prawny, projekty IIaPGW zostały opublikowane i udostępnione społeczeństwu do uwag między 14 kwietnia a 14 października 2021 r. Przez cały okres 6 miesięcy, projekty IIaPGW dla poszczególnych obszarów dorzeczy podane były do publicznej wiadomości poprzez umieszczenie ich na stronie internetowej drugiej aktualizacji planów gospodarowania wodami (https://www.apgw.gov.pl), jak również wyłożenie ich do wglądu zarówno w siedzibie Ministerstwa Infrastruktury, jak i Państwowego Gospodarstwa Wodnego Wody Polskie. Uwagi do projektów IIaPGW można było składać poprzez ankietę on-line, wiadomość e-mail na wskazany adres, pisemnie na adres MI i PGW WP, ustnie do protokołu, jak również w trakcie przeprowadzonych spotkań konsultacyjnych (łącznie 15 spotkań konsultacyjnych dotyczących poszczególnych regionów wodnych). Niezależnie od sposobu zgłoszenia uwagi, każda z nich zostaje poddana indywidualnej analizie pod kątem zasadności, a następnie w zależności od wyniku analizy, zostaje uwzględniona lub częściowo uwzględniona w ostatecznej wersji dokumentów, albo uznana jako niezasadna.</w:t>
            </w:r>
            <w:r w:rsidRPr="00846586">
              <w:rPr>
                <w:rFonts w:ascii="Calibri" w:eastAsia="Times New Roman" w:hAnsi="Calibri" w:cs="Calibri"/>
                <w:color w:val="000000"/>
                <w:sz w:val="18"/>
                <w:szCs w:val="18"/>
                <w:lang w:eastAsia="pl-PL"/>
              </w:rPr>
              <w:br/>
              <w:t xml:space="preserve">Z uwagi na dokonane w trakcie trwających konsultacji społecznych, zmiany przepisów prawa oraz istotne zmiany projektu dokumentu stanowiącego materiał źródłowy do projektów IIaPGW, których uwzględnienie nie było możliwe przed podaniem projektów IIaPGW do konsultacji społecznych, podjęte zostały działania dla zapewnienia społeczeństwu informacji o dokonywanych zmianach w projektach IIaPGW, jeszcze w okresie konsultacji społecznych. Dokonane zmiany w projekcie IIaPGW związane były z wejściem w życie rozporządzenia Ministra Rolnictwa i Rozwoju Wsi z dnia 6 maja 2021 r. w sprawie określenia gatunków zwierząt wodnych o znaczeniu gospodarczym oraz obszarów przeznaczonych do ochrony tych gatunków (Dz.U. 2021 r. poz. 896) oraz zmianach projektu szóstej aktualizacji Krajowego Programu Oczyszczania Ścieków Komunalnych (VIaKPOŚK) w wersji z dnia 30.08.2021 r. Zarówno nowy akt prawny, jak i projekt VIaKPOŚK stanowią dokumenty, których ustalenia uwzględniane są w projektach IIaPGW. Oba ww. dokumenty procedowane były niezależnie od projektów IIaPGW (tj. procedura legislacyjna przyjęcia rozporządzenia oraz konsultacje społeczne projektu VIaKPOŚK) w związku z tym nie stanowią one nowych, niedostępnych dla społeczeństwa dokumentów, w </w:t>
            </w:r>
            <w:r w:rsidRPr="00846586">
              <w:rPr>
                <w:rFonts w:ascii="Calibri" w:eastAsia="Times New Roman" w:hAnsi="Calibri" w:cs="Calibri"/>
                <w:color w:val="000000"/>
                <w:sz w:val="18"/>
                <w:szCs w:val="18"/>
                <w:lang w:eastAsia="pl-PL"/>
              </w:rPr>
              <w:lastRenderedPageBreak/>
              <w:t>rozumieniu prezentowania ich ustaleń po raz pierwszy w projektach IIaPGW. Zmiany, o których mowa powyżej włączone zostały w formie errat stanowiących element konsultowanych projektów IIaPGW (są to dokumenty wskazujące w przejrzysty sposób zmiany dokonywane w projektach IIaPGW, poprzez zdefiniowanie miejsca i rodzaju dokonywanej zmiany). Erraty podane zostały do publicznej wiadomości w dniu 30.09.2021 r.</w:t>
            </w:r>
            <w:r w:rsidRPr="00846586">
              <w:rPr>
                <w:rFonts w:ascii="Calibri" w:eastAsia="Times New Roman" w:hAnsi="Calibri" w:cs="Calibri"/>
                <w:color w:val="000000"/>
                <w:sz w:val="18"/>
                <w:szCs w:val="18"/>
                <w:lang w:eastAsia="pl-PL"/>
              </w:rPr>
              <w:br/>
              <w:t>W związku z przygotowaniem i przeprowadzeniem konsultacji społecznych zgodnie z przepisami prawa oraz przy zapewnieniu możliwie pełnego i aktywnego udziału społeczeństwa w konsultacjach społecznych (pomimo utrudnień wynikających z COVID-19) uznać należy, iż nie zaistniały przesłanki do przedłużenia przyjętego okresu konsultacji społecznych.</w:t>
            </w:r>
            <w:r w:rsidRPr="00846586">
              <w:rPr>
                <w:rFonts w:ascii="Calibri" w:eastAsia="Times New Roman" w:hAnsi="Calibri" w:cs="Calibri"/>
                <w:color w:val="000000"/>
                <w:sz w:val="18"/>
                <w:szCs w:val="18"/>
                <w:lang w:eastAsia="pl-PL"/>
              </w:rPr>
              <w:br/>
              <w:t xml:space="preserve">Jednocześnie zwracamy uwagę, iż zainteresowane strony miały możliwość zapoznania się z dokumentami projektów IIaPGW przez okres 6 pełnych miesięcy oraz przez 21 dni w przypadku Prognoz. Osoby zainteresowane projektem IIaPGW mają dostęp do bieżącej informacji o prowadzonych pracach w formie </w:t>
            </w:r>
            <w:proofErr w:type="spellStart"/>
            <w:r w:rsidRPr="00846586">
              <w:rPr>
                <w:rFonts w:ascii="Calibri" w:eastAsia="Times New Roman" w:hAnsi="Calibri" w:cs="Calibri"/>
                <w:color w:val="000000"/>
                <w:sz w:val="18"/>
                <w:szCs w:val="18"/>
                <w:lang w:eastAsia="pl-PL"/>
              </w:rPr>
              <w:t>Newslettera</w:t>
            </w:r>
            <w:proofErr w:type="spellEnd"/>
            <w:r w:rsidRPr="00846586">
              <w:rPr>
                <w:rFonts w:ascii="Calibri" w:eastAsia="Times New Roman" w:hAnsi="Calibri" w:cs="Calibri"/>
                <w:color w:val="000000"/>
                <w:sz w:val="18"/>
                <w:szCs w:val="18"/>
                <w:lang w:eastAsia="pl-PL"/>
              </w:rPr>
              <w:t>, w tym również informacji o dokonaniu koniecznych zmian wynikających ze zmian prawa oraz VIaKPOŚK i zaprezentowaniu ich w postaci errat podanych do publicznej wiadomości. Podczas prowadzonych spotkań konsultacyjnych również podkreślana była konieczność wprowadzenia korekt związanych z wejściem w życie rozporządzenia w sprawie określenia gatunków zwierząt wodnych o znaczeniu gospodarczym oraz obszarów przeznaczonych do ochrony tych gatunków.</w:t>
            </w:r>
            <w:r w:rsidRPr="00846586">
              <w:rPr>
                <w:rFonts w:ascii="Calibri" w:eastAsia="Times New Roman" w:hAnsi="Calibri" w:cs="Calibri"/>
                <w:color w:val="000000"/>
                <w:sz w:val="18"/>
                <w:szCs w:val="18"/>
                <w:lang w:eastAsia="pl-PL"/>
              </w:rPr>
              <w:br/>
              <w:t>Tym samym zachowane zostały terminy wymagane przepisami prawa oraz umożliwiające w rzetelny sposób zapoznanie się z projektami IIaPGW oraz ich prognozami oddziaływania na środowisko i zgłoszenie uwag w ramach obu wymienionych powyżej procedur.</w:t>
            </w:r>
            <w:r w:rsidRPr="00846586">
              <w:rPr>
                <w:rFonts w:ascii="Calibri" w:eastAsia="Times New Roman" w:hAnsi="Calibri" w:cs="Calibri"/>
                <w:color w:val="000000"/>
                <w:sz w:val="18"/>
                <w:szCs w:val="18"/>
                <w:lang w:eastAsia="pl-PL"/>
              </w:rPr>
              <w:br/>
              <w:t xml:space="preserve">Co do wskazanych w uwadze wątpliwości dotyczących wyznaczenia jednolitych części wód, będących podstawowymi jednostkami planistycznymi. W ramach szeregu prac realizowanych w okresie III cyklu planistycznego przeprowadzone zostały również działania dotyczące aktualizacji jednostek do planowania z uwzględnieniem MPHP10. W wyniku przeprowadzonych analiz przygotowany został nowy wykaz jcwp stanowiący materiał źródłowy dla IIaPGW. Wykaz jednostek planistycznych stanowiących materiał źródłowy do projektów IIaPGW był poddany oddzielnym konsultacjom społecznym w trakcie ich opracowywania. Projekty IIaPGW zawierają informacje wymagane w tym zakresie wskazując dokonane zmiany w okresie obowiązywania poprzedniego planu tj. aPGW. </w:t>
            </w:r>
            <w:r w:rsidRPr="00846586">
              <w:rPr>
                <w:rFonts w:ascii="Calibri" w:eastAsia="Times New Roman" w:hAnsi="Calibri" w:cs="Calibri"/>
                <w:color w:val="000000"/>
                <w:sz w:val="18"/>
                <w:szCs w:val="18"/>
                <w:lang w:eastAsia="pl-PL"/>
              </w:rPr>
              <w:lastRenderedPageBreak/>
              <w:t>Zgłoszona uwaga dotyczy materiału źródłowego do projektów IIaPGW, które dostępne są dla społeczeństwa w ramach udostępnienia informacji o środowisku - w tym metodyki realizacji przywołanych prac.</w:t>
            </w:r>
            <w:r w:rsidRPr="00846586">
              <w:rPr>
                <w:rFonts w:ascii="Calibri" w:eastAsia="Times New Roman" w:hAnsi="Calibri" w:cs="Calibri"/>
                <w:color w:val="000000"/>
                <w:sz w:val="18"/>
                <w:szCs w:val="18"/>
                <w:lang w:eastAsia="pl-PL"/>
              </w:rPr>
              <w:br/>
              <w:t>Odnosząc się do uwagi w zakresie diagnozy stanu ekologicznego wód, wskazać należy, iż IIaPGW bazuje na wynikach PMŚ wg danych 2014-2019, w tym ocenie stanu GIOŚ 2014-2019. Zgodnie z informacjami przedstawionymi w rozdziale 5 IIaPGW w związku z dokonywanymi zmianami w zakresie klasyfikacji stanu/potencjału ekologicznego oraz stanu chemicznego i oceny stanu od 2022 roku, a więc okresu obowiązywania IIaPGW, dane i informacje prezentowane w IIaPGW zostały przeniesione na nowy układ planistyczny wraz z uwzględnieniem zmian klasyfikacji dla zapewnienia możliwości wskazania prawidłowego punktu odniesienia dla rozpoczynającego się nowego cyklu planistycznego.</w:t>
            </w:r>
            <w:r w:rsidRPr="00846586">
              <w:rPr>
                <w:rFonts w:ascii="Calibri" w:eastAsia="Times New Roman" w:hAnsi="Calibri" w:cs="Calibri"/>
                <w:color w:val="000000"/>
                <w:sz w:val="18"/>
                <w:szCs w:val="18"/>
                <w:lang w:eastAsia="pl-PL"/>
              </w:rPr>
              <w:br/>
              <w:t>Odnosząc się do uwagi w zakresie uzasadnień wyznaczenia SCWP. W ramach szeregu prac realizowanych w okresie III cyklu planistycznego przeprowadzone zostały również działania dotyczące przeglądu i weryfikacji metodyk wyznaczania silnie zmienionych (SZCW) i sztucznych (SCW) części wód wraz ze wstępnym i ostatecznym ich wyznaczeniem. W wyniku przeprowadzonych analiz przygotowane zostały zaktualizowany wykaz SCW i SZCW stanowiący materiał źródłowy dla IIaPGW. Załącznik nr 1 IIaPGW przedstawia wyniki tego działania dla poszczególnych jcwp w zakresie uzasadnienia wyznaczenia, sposobu użytkowania wód oraz zmian hydromorfologicznych z nimi związanych. Załącznik nr 3.1 przedstawia wartości graniczne dobrego potencjału ekologicznego. Wartości te zostały określone indywidualnie dla poszczególnych części wód przy uwzględnieniu wdrażania planowanych działań restytucyjnych. Szczegóły metodyczne pracy dot. przeglądu i weryfikacji metodyk wyznaczania silnie zmienionych (SZCW) i sztucznych (SCW) części wód wraz ze wstępnym i ostatecznym ich wyznaczeniem stanowią element materiałów źródłowych do IIaPGW dostępnych w ramach udostępniania informacji o środowisku.</w:t>
            </w:r>
            <w:r w:rsidRPr="00846586">
              <w:rPr>
                <w:rFonts w:ascii="Calibri" w:eastAsia="Times New Roman" w:hAnsi="Calibri" w:cs="Calibri"/>
                <w:color w:val="000000"/>
                <w:sz w:val="18"/>
                <w:szCs w:val="18"/>
                <w:lang w:eastAsia="pl-PL"/>
              </w:rPr>
              <w:br/>
              <w:t>Odnosząc się do uwagi w zakresie uzasadnień odstępstw z art. 4 ust. 5 RDW, wskazać należy, iż IIaPGW przedstawia szczegółowe (wskaźnikowe) uzasadnienia odstępstw od celów środowiskowych.</w:t>
            </w:r>
            <w:r w:rsidRPr="00846586">
              <w:rPr>
                <w:rFonts w:ascii="Calibri" w:eastAsia="Times New Roman" w:hAnsi="Calibri" w:cs="Calibri"/>
                <w:color w:val="000000"/>
                <w:sz w:val="18"/>
                <w:szCs w:val="18"/>
                <w:lang w:eastAsia="pl-PL"/>
              </w:rPr>
              <w:br/>
              <w:t xml:space="preserve">Odstępstwem od celów środowiskowych RDW jest sytuacja, w której cel środowiskowy nie został osiągnięty; taka sytuacja wymaga odpowiedniego uzasadnienia i wyjaśnienia oraz podjęcia adekwatnej reakcji (podjęcia działań naprawczych). Każdy przypadek odstępstwa od osiągnięcia celów środowiskowych (czyli: każdy przypadek, w którym </w:t>
            </w:r>
            <w:r w:rsidRPr="00846586">
              <w:rPr>
                <w:rFonts w:ascii="Calibri" w:eastAsia="Times New Roman" w:hAnsi="Calibri" w:cs="Calibri"/>
                <w:color w:val="000000"/>
                <w:sz w:val="18"/>
                <w:szCs w:val="18"/>
                <w:lang w:eastAsia="pl-PL"/>
              </w:rPr>
              <w:lastRenderedPageBreak/>
              <w:t>nie zostały osiągnięte cele środowiskowe lub -w przypadku niemonitorowanego stanu/potencjału ekologicznego - stwierdzono zagrożenie ich nieosiągnięcia) jest szczegółowo uzasadniony w Wykazie Odstępstw (który należy odczytywać w połączeniu z danymi IIaPGW na temat skuteczności zestawów działań) informacjami na temat przyczyn nieosiągnięcia celów środowiskowych. Do katalogu tych przyczyn należą konkretne rodzaje presji lub warunki naturalne - szczegółowe informacje (adekwatne do współczesnego stanu wiedzy i do dostępnych danych) zostały przedstawione w Wykazie Odstępstw. Kryteria wykonalności technicznej i racjonalności kosztów są przedmiotem szerokich analiz związanych z opracowywaniem zestawów działań, stanowiących obecnie bezpośredni element IIaPGW (w odróżnieniu od poprzednich planów gospodarowania wodami, gdzie w samej treści Planu znajdowało się podsumowanie zestawów, które stanowiły przedmiot odrębnego dokumentu aPWŚK). Proces budowy zestawów działań poprzedzony został wypracowaniem metodyki opracowania zestawów działań (materiał źródłowy IIaPGW) zawierającej szczegółowe informacje dotyczące podejścia metodycznego dokonywanych analiz. Metodyka opracowania zestawów działań zakładała konieczność przeprowadzenia wielowariantowych analiz doboru działań ukierunkowanych na dobór działań odpowiednio do statusu, oceny stanu, uwarunkowań środowiskowych i prawnych, zidentyfikowanych presji antropogenicznych danej jcwp, przy zachowaniu możliwie najwyższej skuteczności całych zestawów działań. Każde działanie podlegało analizom realności, efektywności jakościowej i kosztowej na wielu poziomach, zarówno prognozy stanu wód, jak i aspektów ekonomicznych ich realności wraz z analizami skutków społeczno – gospodarczych oraz przy uwzględnieniu wyników sprawdzianu klimatycznego. W efekcie dobrane zostały, w zestawy dla każdej jcw, działania których realizacja (łącznie) skutkować ma osiągnięciem szacowanych poziomów poprawy określonych wskaźników. Zestawy działań poddane zostały szczegółowym analizom skuteczności wskazującym potencjalny szacowany poziom możliwego do uzyskania efektu przy założeniu pełnej realizacji działań wskazanych w zestawach. Każda zmiana działania, czy też niepełna realizacja zestawu przyczynia się do zmian w zakresie oszacowanej skuteczności. Wyniki analiz w odniesieniu do każdego działania zaprezentowane zostały w załączniku do IIaPGW (zestaw działań)</w:t>
            </w:r>
            <w:r w:rsidRPr="00846586">
              <w:rPr>
                <w:rFonts w:ascii="Calibri" w:eastAsia="Times New Roman" w:hAnsi="Calibri" w:cs="Calibri"/>
                <w:color w:val="000000"/>
                <w:sz w:val="18"/>
                <w:szCs w:val="18"/>
                <w:lang w:eastAsia="pl-PL"/>
              </w:rPr>
              <w:br/>
              <w:t xml:space="preserve">Odnosząc się do uwagi w zakresie odstępstw z art. 4 ust. 7 RDW wskazać należy, iż zgodnie z rolą Wykazu Inwestycji i Działań w zakresie przygotowania przedsięwzięć w nim uwzględnionych (funkcja </w:t>
            </w:r>
            <w:r w:rsidRPr="00846586">
              <w:rPr>
                <w:rFonts w:ascii="Calibri" w:eastAsia="Times New Roman" w:hAnsi="Calibri" w:cs="Calibri"/>
                <w:color w:val="000000"/>
                <w:sz w:val="18"/>
                <w:szCs w:val="18"/>
                <w:lang w:eastAsia="pl-PL"/>
              </w:rPr>
              <w:lastRenderedPageBreak/>
              <w:t>sprawozdawcza Wykazu o wydanych w przeszłości zgodach administracyjnych na realizację przedsięwzięć w nim uwzględnionych, nie mająca na celu potwierdzenia negatywnego oddziaływania poszczególnych przedsięwzięć) stanowi on wyłącznie zestawienie przedsięwzięć, które w przeszłości były objęte (gdy było to wymagane) SOOŚ oraz postępowaniami w sprawie oceny oddziaływania planowanego przedsięwzięcia na środowisko przed wydaniem przez właściwy organ decyzji o środowiskowych uwarunkowaniach lub innej. W Wykazie Inwestycji i Działań mogą być ujęte (i zostały ujęte) wyłącznie takie planowane działania i przedsięwzięcia co do których już potwierdzono (w aPGW z 2016 r. lub w formie decyzji o środowiskowych uwarunkowaniach/oceny wodnoprawnej), że mogą one spowodować zagrożenie dla celów środowiskowych oraz potwierdzono dopuszczalność tego zagrożenia w formie przypisania odstępstwa w trybie art. 4 ust. 7 Ramowej Dyrektywy Wodnej w formie wpisu do aPGW z 2016 r. lub/oraz wydania decyzji (oceny wodnoprawnej lub decyzji o środowiskowych uwarunkowaniach) z zastosowaniem art. 68 ustawy Prawo wodne. Metodyka wykonania Wykazów Inwestycji i Działań zakłada, że inwestycje bez decyzji wydanej z zastosowaniem art. 68 ustawy Prawo wodne, co do których stwierdzono (w aPGW z 2016 r.) ryzyko pogorszenia stanu wód (lub uniemożliwienia osiągnięcia celów środowiskowych JCWP), zostały wpisane do Wykazów Inwestycji i Działań z tego powodu, że analiza przesłanek wynikających z art. 4.7 RDW została wykonana dla tych przedsięwzięć w poprzednim PGW (z 2016 r.). Przyjęto, że odstępstwa w trybie art. 4.7 RDW zawarte w aPGW z 2016 r. nie powinny pozostać niezauważone i potraktowane jako nieistniejące.</w:t>
            </w:r>
            <w:r w:rsidRPr="00846586">
              <w:rPr>
                <w:rFonts w:ascii="Calibri" w:eastAsia="Times New Roman" w:hAnsi="Calibri" w:cs="Calibri"/>
                <w:color w:val="000000"/>
                <w:sz w:val="18"/>
                <w:szCs w:val="18"/>
                <w:lang w:eastAsia="pl-PL"/>
              </w:rPr>
              <w:br/>
              <w:t xml:space="preserve">W odniesieniu do uwagi w zakresie zagadnień renaturyzacji hydromorfologicznej wskazać należy, iż na potrzeby IIaPGW uwzględniono najnowsze dane opracowane w ramach Analizy znaczących oddziaływań antropogenicznych wraz z oceną ich wpływu na stan jcwp, aktualne wyniki z monitoringu GIOŚ z 2019 r., wykonano aktualizację bazy danych HYMO zawierającą dane o presjach hydromorfologicznych, w tym budowli piętrzących. Dokonano weryfikacji między innymi obiektów piętrzących wpływających na ciągłość biologiczną i morfologiczną cieków, usuwając z bazy obiekty powtarzające się, uszczegółowiając na podstawie ankietyzacji informację z zakresu wysokości piętrzenia, drożności, skuteczności przepławek itp. Na podstawie pozyskanych i zweryfikowanych informacji zostały zaplanowane działania ukierunkowane na przywrócenie i określenie problemów związanych z ciągłością biologiczną, z jednoczesnym uwzględnieniem najważniejszych </w:t>
            </w:r>
            <w:r w:rsidRPr="00846586">
              <w:rPr>
                <w:rFonts w:ascii="Calibri" w:eastAsia="Times New Roman" w:hAnsi="Calibri" w:cs="Calibri"/>
                <w:color w:val="000000"/>
                <w:sz w:val="18"/>
                <w:szCs w:val="18"/>
                <w:lang w:eastAsia="pl-PL"/>
              </w:rPr>
              <w:lastRenderedPageBreak/>
              <w:t>potrzeb ryb dwuśrodowiskowych, gatunków chronionych i klasy wskaźników ichtiologicznych oraz efektywności ekonomicznej szerokich potrzeb udrożnienia cieków. Dodatkowo bardzo szczegółowo uwzględniono działania służące spełnieniu celów środowiskowych dla obszarów chronionych. W zakresie renaturyzacji włączono do zestawu działań dla jcwp rzecznych działania służące poprawie stanu hydromorfologicznego, biologicznego i fizykochemicznego wód z uwzględnieniem możliwości likwidacji presji antropogenicznych zawarte w PZO i PO, oraz działania z tzw. testu restytucji opracowanego w ramach projektu: Przegląd i weryfikacja metodyk wyznaczania silnie zmienionych i sztucznych części wód powierzchniowych wraz ze wstępnym i ostatecznym wyznaczeniem wskazane dla SZCW, dla których na podstawie danych GIOŚ zidentyfikowano ryzyko nieosiągnięcia celów środowiskowych z uwagi na presje hydromorfologiczne. W przypadku jcwp jeziornych zespół ekspertów pracujący przy KPRWP opracował i uszczegółowił na potrzeby IIaPGW zestawy działań możliwe do wdrożenia w tych jcwp, uwzględniając czynniki dodatkowe takie jak: zagrożenie suszą, brak przepływu w ciekach zasilających, presje na wody podziemne - związane z lejami depresji, a także stan jakościowy. W wielu przypadkach wskazano konieczność realizacji indywidualnych programów naprawczych dla jezior, w tym programu Renaturyzacji i Rekultywacji. W przypadku indywidualnych programów naprawczych dla jezior należy mieć na uwadze, że poprawa warunków hydromorfologicznych, w tym w szczególności w strefie brzegowej i litoralnej, stanowi kluczowy element tych programów. Są to m.in. strefy buforowe, pozwalające z jednej strony na poprawę stanu hydromorfologicznych, z drugiej stanowiące barierę dla biogenów mo</w:t>
            </w:r>
            <w:r w:rsidR="00B06EF6">
              <w:rPr>
                <w:rFonts w:ascii="Calibri" w:eastAsia="Times New Roman" w:hAnsi="Calibri" w:cs="Calibri"/>
                <w:color w:val="000000"/>
                <w:sz w:val="18"/>
                <w:szCs w:val="18"/>
                <w:lang w:eastAsia="pl-PL"/>
              </w:rPr>
              <w:t>gących dostawać się do jeziora z</w:t>
            </w:r>
            <w:r w:rsidRPr="00846586">
              <w:rPr>
                <w:rFonts w:ascii="Calibri" w:eastAsia="Times New Roman" w:hAnsi="Calibri" w:cs="Calibri"/>
                <w:color w:val="000000"/>
                <w:sz w:val="18"/>
                <w:szCs w:val="18"/>
                <w:lang w:eastAsia="pl-PL"/>
              </w:rPr>
              <w:t xml:space="preserve">e zlewni. KPRWP (będący punktem wyjścia dla budowy działań z zakresu poprawy stanu hydromorfologicznego) wskazywał działania potencjalne bez uwzględnienia powiązań z wodami podziemnymi, których zły stan ilościowy (presje związane np. z poborem wód i odwodnieniem) zasadniczo weryfikuje możliwość wdrożenia działań renaturyzacyjnych wskazanych w KPRWP. Działania z KPRWP wymagają szczegółowej weryfikacji w zakresie zarówno zakresu jak i możliwości ich wdrożenia w danej jcwp, w tym weryfikacji wpływu wdrożenia działań renaturyzacyjnych na ryzyko powodziowe w danej jcwp, a zatem wymagać będą między innymi modelowania hydraulicznego przepływu wód, uwzględnienia potencjalnych działań wpisanych w aktualizowane obecnie aPZRP, a także konsultacji z podmiotami będącymi właścicielami gruntów czy urządzeń wodnych w obrębie planowanych działań. </w:t>
            </w:r>
            <w:r w:rsidRPr="00846586">
              <w:rPr>
                <w:rFonts w:ascii="Calibri" w:eastAsia="Times New Roman" w:hAnsi="Calibri" w:cs="Calibri"/>
                <w:color w:val="000000"/>
                <w:sz w:val="18"/>
                <w:szCs w:val="18"/>
                <w:lang w:eastAsia="pl-PL"/>
              </w:rPr>
              <w:lastRenderedPageBreak/>
              <w:t>Uwzględnienia działań dla jcwpd oraz zestawów działań aPGW wynikających z PO/PZO/ZO w celu eliminacji działań powtarzających się.</w:t>
            </w:r>
            <w:r w:rsidRPr="00846586">
              <w:rPr>
                <w:rFonts w:ascii="Calibri" w:eastAsia="Times New Roman" w:hAnsi="Calibri" w:cs="Calibri"/>
                <w:color w:val="000000"/>
                <w:sz w:val="18"/>
                <w:szCs w:val="18"/>
                <w:lang w:eastAsia="pl-PL"/>
              </w:rPr>
              <w:br/>
              <w:t xml:space="preserve">W wyniku dokonanej ponownej weryfikacji w zakresie działań KPRWP, zestawy działań IIaPGW uzupełnione zostały o działania renaturyzacyjne wskazane dla jcwp NAT, zagrożonych, z presją znaczącą BIO_HM inną niż ciągłość (PPH2), powodującą zły stan elementów biologicznych zależnych od hydromorfologii i ryzyko nieosiągnięcia celów środowiskowych, w tym dla obszarów chronionych, dla których wskazano cele środowiskowe w zakresie wymogów rzek </w:t>
            </w:r>
            <w:proofErr w:type="spellStart"/>
            <w:r w:rsidRPr="00846586">
              <w:rPr>
                <w:rFonts w:ascii="Calibri" w:eastAsia="Times New Roman" w:hAnsi="Calibri" w:cs="Calibri"/>
                <w:color w:val="000000"/>
                <w:sz w:val="18"/>
                <w:szCs w:val="18"/>
                <w:lang w:eastAsia="pl-PL"/>
              </w:rPr>
              <w:t>włosinicznikowych</w:t>
            </w:r>
            <w:proofErr w:type="spellEnd"/>
            <w:r w:rsidRPr="00846586">
              <w:rPr>
                <w:rFonts w:ascii="Calibri" w:eastAsia="Times New Roman" w:hAnsi="Calibri" w:cs="Calibri"/>
                <w:color w:val="000000"/>
                <w:sz w:val="18"/>
                <w:szCs w:val="18"/>
                <w:lang w:eastAsia="pl-PL"/>
              </w:rPr>
              <w:t xml:space="preserve"> i wylewów, bez działań wynikających z testu restytucji. Wprowadzono działanie dla jcwp RW: Analiza sposobu przeprowadzenia renaturyzacji koryta cieku oraz realizacja działań na podstawie przeprowadzonej analizy (do 2027 r.). Dokonane zostały również modyfikacje zestawów działań w zakresie działań ukierunkowanych na zapewnienie ciągłości biologicznej, a tym samym zapewnienie osiągnięcia celów środowiskowych w zakresie ciągłości biologicznej w perspektywie do 2027 r. Wprowadzone zmiany dotyczą m.in. działania RWHM_02.06, uzupełnionego o możliwość realizacji działania technicznego z zakresu przywrócenia drożności po wykonaniu oceny. Działanie RWHM_02.06 obecnie zawiera następujące zapisy: Nazwa działania: Ocena wpływu budowli poprzecznych na ciągłość biologiczną i cele środowiskowe jcwp. Opis działania: Ocena wpływu budowli poprzecznych na ciągłość biologiczną i cele środowiskowe jcwp. W przypadku stwierdzenia negatywnego wpływu budowli na ciągłość biologiczną i cele środowiskowe jcwp, analiza możliwości wdrożenia działań zapewniających ciągłość biologiczną i spełnienie celów środowiskowych. Realizacja działań zgodnie z przeprowadzoną analizą. Wykaz budowli objętych działaniem zamieszczono w Zał. 1 Wykaz działań dla budowli. Zastosowanie: Działania mają na celu identyfikację wpływu budowli poprzecznych na ciągłość biologiczną. Działanie dedykowane w przypadku występowania budowli, dla których brak informacji uniemożliwia ocenę wpływu na ciągłość biologiczną, w szczególności, czy obiekt jest wyposażony w urządzenia do migracji ryb lub parametry obiektu (np. wysokość piętrzenia) umożliwiają migrację ryb. Wykaz budowli objętych działaniem zamieszczono w Zał. 1 Wykaz działań dla budowli.</w:t>
            </w:r>
            <w:r w:rsidRPr="00846586">
              <w:rPr>
                <w:rFonts w:ascii="Calibri" w:eastAsia="Times New Roman" w:hAnsi="Calibri" w:cs="Calibri"/>
                <w:color w:val="000000"/>
                <w:sz w:val="18"/>
                <w:szCs w:val="18"/>
                <w:lang w:eastAsia="pl-PL"/>
              </w:rPr>
              <w:br/>
              <w:t xml:space="preserve">Jednocześnie zmiany dokonano również w zakresie działania RWHM_02.08, które obecnie zawiera następujące zapisy: Nazwa działania: Monitoring skuteczności istniejących urządzeń do migracji ryb. Opis działania: Monitoring skuteczności istniejących </w:t>
            </w:r>
            <w:r w:rsidRPr="00846586">
              <w:rPr>
                <w:rFonts w:ascii="Calibri" w:eastAsia="Times New Roman" w:hAnsi="Calibri" w:cs="Calibri"/>
                <w:color w:val="000000"/>
                <w:sz w:val="18"/>
                <w:szCs w:val="18"/>
                <w:lang w:eastAsia="pl-PL"/>
              </w:rPr>
              <w:lastRenderedPageBreak/>
              <w:t>urządzeń do migracji ryb w celu weryfikacji prawidłowego funkcjonowania tych urządzeń. W przypadku stwierdzenia negatywnego wpływu budowli na ciągłość biologiczną i cele środowiskowe jcwp, analiza możliwości wdrożenia działań zapewniających ciągłość biologiczną i spełnienie celów środowiskowych. Realizacja działań zgodnie z przeprowadzoną analizą. Monitoring należy wykonać co najmniej raz w ciągu cyklu planistycznego. Wykaz budowli objętych działaniem zamieszczono w Zał. 1 Wykaz działań dla budowli. Zastosowanie: Działanie mające na celu zapewnienie monitoringu urządzeń do migracji ryb, w przypadku, gdy istnieje informacja, że obiekty są wyposażone w takie urządzenia. Wykaz budowli objętych działaniem zamieszczono w Zał. 1 Wykaz działań dla budowli.</w:t>
            </w:r>
          </w:p>
        </w:tc>
      </w:tr>
      <w:tr w:rsidR="00B97534" w:rsidRPr="00846586" w14:paraId="0D50F436" w14:textId="77777777" w:rsidTr="006E2985">
        <w:trPr>
          <w:trHeight w:val="454"/>
        </w:trPr>
        <w:tc>
          <w:tcPr>
            <w:tcW w:w="646" w:type="dxa"/>
            <w:tcBorders>
              <w:top w:val="single" w:sz="4" w:space="0" w:color="auto"/>
              <w:left w:val="single" w:sz="4" w:space="0" w:color="auto"/>
              <w:bottom w:val="single" w:sz="4" w:space="0" w:color="auto"/>
              <w:right w:val="single" w:sz="4" w:space="0" w:color="auto"/>
            </w:tcBorders>
            <w:shd w:val="clear" w:color="auto" w:fill="auto"/>
          </w:tcPr>
          <w:p w14:paraId="7C64F321" w14:textId="530B695F" w:rsidR="00B97534" w:rsidRPr="00846586" w:rsidRDefault="00B97534" w:rsidP="00B97534">
            <w:pPr>
              <w:ind w:firstLine="0"/>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19.</w:t>
            </w:r>
          </w:p>
        </w:tc>
        <w:tc>
          <w:tcPr>
            <w:tcW w:w="1354" w:type="dxa"/>
            <w:tcBorders>
              <w:top w:val="nil"/>
              <w:left w:val="nil"/>
              <w:bottom w:val="single" w:sz="4" w:space="0" w:color="auto"/>
              <w:right w:val="single" w:sz="4" w:space="0" w:color="auto"/>
            </w:tcBorders>
            <w:shd w:val="clear" w:color="auto" w:fill="auto"/>
          </w:tcPr>
          <w:p w14:paraId="47D0385E" w14:textId="23CF7EC5"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Gmina Radomyśl Wielki</w:t>
            </w:r>
          </w:p>
        </w:tc>
        <w:tc>
          <w:tcPr>
            <w:tcW w:w="1540" w:type="dxa"/>
            <w:tcBorders>
              <w:top w:val="single" w:sz="4" w:space="0" w:color="auto"/>
              <w:left w:val="nil"/>
              <w:bottom w:val="single" w:sz="4" w:space="0" w:color="auto"/>
              <w:right w:val="single" w:sz="4" w:space="0" w:color="auto"/>
            </w:tcBorders>
            <w:shd w:val="clear" w:color="auto" w:fill="auto"/>
          </w:tcPr>
          <w:p w14:paraId="1A0F3FE6" w14:textId="378D05F4" w:rsidR="00B97534" w:rsidRPr="00846586" w:rsidRDefault="00B97534" w:rsidP="00B97534">
            <w:pPr>
              <w:ind w:left="52"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Inne/pozostałe</w:t>
            </w:r>
          </w:p>
        </w:tc>
        <w:tc>
          <w:tcPr>
            <w:tcW w:w="3965" w:type="dxa"/>
            <w:tcBorders>
              <w:top w:val="nil"/>
              <w:left w:val="nil"/>
              <w:bottom w:val="single" w:sz="4" w:space="0" w:color="auto"/>
              <w:right w:val="single" w:sz="4" w:space="0" w:color="auto"/>
            </w:tcBorders>
            <w:shd w:val="clear" w:color="auto" w:fill="auto"/>
          </w:tcPr>
          <w:p w14:paraId="5613148C" w14:textId="06574F50"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Pytanie dotyczące możliwości budowy zbiornika retencyjnego Zgórsko Podborze na potoku Zgórsko w gm. Radomyśl Wielki (województwo podkarpackie, obszar dorzecza: Wisły, ciek wodny : Zgórsko).</w:t>
            </w:r>
            <w:r w:rsidRPr="00696F49">
              <w:rPr>
                <w:rFonts w:ascii="Calibri" w:eastAsia="Times New Roman" w:hAnsi="Calibri" w:cs="Calibri"/>
                <w:color w:val="000000"/>
                <w:sz w:val="18"/>
                <w:szCs w:val="18"/>
                <w:lang w:eastAsia="pl-PL"/>
              </w:rPr>
              <w:br/>
              <w:t>Gmina Radomyśl Wielki (jak również cały powiat mielecki) w wykazie klas zagrożenia suszą hydrologiczną zaliczany jest do klasy III, czyli bardzo zagrożony. Stąd istnieje potrzeba pilnej budowy zbiornika retencyjnego. Każda tego typu inwestycja na obszarze gminy Radomyśl Wielki ma bardzo duże znaczenie, gdyż nasze tereny są ubogie w zasoby wody powierzchniowej (w gminie nie ma większych rzek, a niektóre potoki w okresie letnim przy dłuższych upałach częściowo wysychają) i głębinowej.</w:t>
            </w:r>
            <w:r w:rsidRPr="00696F49">
              <w:rPr>
                <w:rFonts w:ascii="Calibri" w:eastAsia="Times New Roman" w:hAnsi="Calibri" w:cs="Calibri"/>
                <w:color w:val="000000"/>
                <w:sz w:val="18"/>
                <w:szCs w:val="18"/>
                <w:lang w:eastAsia="pl-PL"/>
              </w:rPr>
              <w:br/>
              <w:t>Potwierdzeniem tego jest fakt braku własnego ujęcia wody na terenie gminy (korzystamy z ujęć zlokalizowanych w sąsiednich gminach). W aktualnej sytuacji hydrologicznej na terenie gminy muszą być gromadzone zasoby wodne na wypadek suszy. W okresie letnim, w czasie długotrwałych upałów powodujących duże pobory wody przez mieszkańców, w gminie występują przypadki braku przesyła wody przez wodociągi. Z problemem suszy i braku wody zmagają się także rolnicy.</w:t>
            </w:r>
            <w:r w:rsidRPr="00696F49">
              <w:rPr>
                <w:rFonts w:ascii="Calibri" w:eastAsia="Times New Roman" w:hAnsi="Calibri" w:cs="Calibri"/>
                <w:color w:val="000000"/>
                <w:sz w:val="18"/>
                <w:szCs w:val="18"/>
                <w:lang w:eastAsia="pl-PL"/>
              </w:rPr>
              <w:br/>
              <w:t>Sytuacja w Gminie jest na tyle poważna, że w 2020 roku Burmistrz Radomyśla Wielkiego wydał zarządzenie porządkowe w sprawie zakazu podlewania trawników oraz napełniania basenów rekreacyjnych i innych zbiorników na terenie Gminy Radomyśl Wielki od 4 maja do 31 sierpnia, które zostało zatwierdzone przez Radę Miejską</w:t>
            </w:r>
            <w:r w:rsidRPr="00696F49">
              <w:rPr>
                <w:rFonts w:ascii="Calibri" w:eastAsia="Times New Roman" w:hAnsi="Calibri" w:cs="Calibri"/>
                <w:color w:val="000000"/>
                <w:sz w:val="18"/>
                <w:szCs w:val="18"/>
                <w:lang w:eastAsia="pl-PL"/>
              </w:rPr>
              <w:br/>
              <w:t xml:space="preserve">Gmina Radomyśl Wielki widząc szansę poprawy sytuacji uczestniczyła w konsultacjach programu „STOP SUSZY” i zgłosiła wówczas następującą propozycję w sferze planowanych zadań w </w:t>
            </w:r>
            <w:r w:rsidRPr="00696F49">
              <w:rPr>
                <w:rFonts w:ascii="Calibri" w:eastAsia="Times New Roman" w:hAnsi="Calibri" w:cs="Calibri"/>
                <w:color w:val="000000"/>
                <w:sz w:val="18"/>
                <w:szCs w:val="18"/>
                <w:lang w:eastAsia="pl-PL"/>
              </w:rPr>
              <w:lastRenderedPageBreak/>
              <w:t>zakresie budowy lub przebudowy urządzeń wodnych służących przeciwdziałaniu skutkom suszy tj.</w:t>
            </w:r>
            <w:r w:rsidRPr="00696F49">
              <w:rPr>
                <w:rFonts w:ascii="Calibri" w:eastAsia="Times New Roman" w:hAnsi="Calibri" w:cs="Calibri"/>
                <w:color w:val="000000"/>
                <w:sz w:val="18"/>
                <w:szCs w:val="18"/>
                <w:lang w:eastAsia="pl-PL"/>
              </w:rPr>
              <w:br/>
              <w:t>Budowa zbiornika retencyjnego Zgórsko Podborze na potoku Zgórsko w gm. Radomyśl Wielki (województwo podkarpackie, obszar dorzecza : Wisły, ciek wodny : Zgórsko). Jest to przedsięwzięcie niezwykle istotne z w/w względów.</w:t>
            </w:r>
          </w:p>
        </w:tc>
        <w:tc>
          <w:tcPr>
            <w:tcW w:w="3258" w:type="dxa"/>
            <w:tcBorders>
              <w:top w:val="single" w:sz="4" w:space="0" w:color="auto"/>
              <w:left w:val="nil"/>
              <w:bottom w:val="single" w:sz="4" w:space="0" w:color="auto"/>
              <w:right w:val="single" w:sz="4" w:space="0" w:color="auto"/>
            </w:tcBorders>
            <w:shd w:val="clear" w:color="auto" w:fill="auto"/>
          </w:tcPr>
          <w:p w14:paraId="35082F54" w14:textId="104633AB"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w:t>
            </w:r>
          </w:p>
        </w:tc>
        <w:tc>
          <w:tcPr>
            <w:tcW w:w="1984" w:type="dxa"/>
            <w:tcBorders>
              <w:top w:val="single" w:sz="4" w:space="0" w:color="auto"/>
              <w:left w:val="nil"/>
              <w:bottom w:val="single" w:sz="4" w:space="0" w:color="auto"/>
              <w:right w:val="single" w:sz="4" w:space="0" w:color="auto"/>
            </w:tcBorders>
            <w:shd w:val="clear" w:color="auto" w:fill="auto"/>
          </w:tcPr>
          <w:p w14:paraId="160C75A5" w14:textId="7038DABE"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2428" w:type="dxa"/>
            <w:tcBorders>
              <w:top w:val="single" w:sz="4" w:space="0" w:color="auto"/>
              <w:left w:val="nil"/>
              <w:bottom w:val="single" w:sz="4" w:space="0" w:color="auto"/>
              <w:right w:val="single" w:sz="4" w:space="0" w:color="auto"/>
            </w:tcBorders>
            <w:shd w:val="clear" w:color="auto" w:fill="auto"/>
          </w:tcPr>
          <w:p w14:paraId="770A0365" w14:textId="502CB0FF"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337" w:type="dxa"/>
            <w:tcBorders>
              <w:top w:val="nil"/>
              <w:left w:val="nil"/>
              <w:bottom w:val="single" w:sz="4" w:space="0" w:color="auto"/>
              <w:right w:val="single" w:sz="4" w:space="0" w:color="auto"/>
            </w:tcBorders>
            <w:shd w:val="clear" w:color="auto" w:fill="auto"/>
          </w:tcPr>
          <w:p w14:paraId="56312C55" w14:textId="02901BDF"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wyjaśnienie</w:t>
            </w:r>
          </w:p>
        </w:tc>
        <w:tc>
          <w:tcPr>
            <w:tcW w:w="4455" w:type="dxa"/>
            <w:tcBorders>
              <w:top w:val="nil"/>
              <w:left w:val="nil"/>
              <w:bottom w:val="single" w:sz="4" w:space="0" w:color="auto"/>
              <w:right w:val="single" w:sz="4" w:space="0" w:color="auto"/>
            </w:tcBorders>
            <w:shd w:val="clear" w:color="auto" w:fill="auto"/>
          </w:tcPr>
          <w:p w14:paraId="377E8F6C" w14:textId="17D81AE2"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Odpowiedzi udzielono na spotkaniu konsultacyjnym.</w:t>
            </w:r>
            <w:r w:rsidRPr="00696F49">
              <w:rPr>
                <w:rFonts w:ascii="Calibri" w:eastAsia="Times New Roman" w:hAnsi="Calibri" w:cs="Calibri"/>
                <w:color w:val="000000"/>
                <w:sz w:val="18"/>
                <w:szCs w:val="18"/>
                <w:lang w:eastAsia="pl-PL"/>
              </w:rPr>
              <w:br/>
            </w:r>
            <w:r w:rsidRPr="00696F49">
              <w:rPr>
                <w:rFonts w:ascii="Calibri" w:eastAsia="Times New Roman" w:hAnsi="Calibri" w:cs="Calibri"/>
                <w:color w:val="000000"/>
                <w:sz w:val="18"/>
                <w:szCs w:val="18"/>
                <w:lang w:eastAsia="pl-PL"/>
              </w:rPr>
              <w:br/>
              <w:t>Zbiornik może, ale nie musi być wpisany do planów gospodarowania wodami. Plan gospodarowania wodami nie rozstrzyga o realizacji inwestycji. W przypadku działań mających na celu ograniczenie skutków suszy, właściwym dokumentów do rozważenia co do zasadności takiego czy innego przedsięwzięcia jest Plan przeciwdziałania skutkom suszy. Konsultacje społeczne tych dokumentów już są za nami. W ramach tego dokumentu odbywa się analiza pod względem skuteczności, tak jak w Planach zarządzania ryzykiem powodziowym działań odnoszących się do powodzi, to w Planach przeciwdziałania skutkom suszy do tych, które mają ograniczać negatywne skutki tego zjawiska. Natomiast zapisanie danego przedsięwzięcia w Planach przeciwdziałania skutkom suszy jest tylko sygnałem, który ułatwia w procedurze oceny wodnoprawnej stwierdzenie, czy jest nadrzędny interes społeczny czy nie, czy ten cel, którym jest ograniczanie skutków suszy poprzez takie przedsięwzięcie jest rzeczywiście zapewniony.</w:t>
            </w:r>
            <w:r w:rsidRPr="00696F49">
              <w:rPr>
                <w:rFonts w:ascii="Calibri" w:eastAsia="Times New Roman" w:hAnsi="Calibri" w:cs="Calibri"/>
                <w:color w:val="000000"/>
                <w:sz w:val="18"/>
                <w:szCs w:val="18"/>
                <w:lang w:eastAsia="pl-PL"/>
              </w:rPr>
              <w:br/>
            </w:r>
            <w:r w:rsidRPr="00696F49">
              <w:rPr>
                <w:rFonts w:ascii="Calibri" w:eastAsia="Times New Roman" w:hAnsi="Calibri" w:cs="Calibri"/>
                <w:color w:val="000000"/>
                <w:sz w:val="18"/>
                <w:szCs w:val="18"/>
                <w:lang w:eastAsia="pl-PL"/>
              </w:rPr>
              <w:br/>
              <w:t>Natomiast jeżeli tego przedsięwzięcia, czy innego, w Planach przeciwdziałania skutkom suszy nie ma, to też nie ma przesłanek, które blokowałyby jego realizację, ponieważ ocena pod kątem ewentualnego odstępstwa od celów śr</w:t>
            </w:r>
            <w:r w:rsidR="00565994">
              <w:rPr>
                <w:rFonts w:ascii="Calibri" w:eastAsia="Times New Roman" w:hAnsi="Calibri" w:cs="Calibri"/>
                <w:color w:val="000000"/>
                <w:sz w:val="18"/>
                <w:szCs w:val="18"/>
                <w:lang w:eastAsia="pl-PL"/>
              </w:rPr>
              <w:t>odowiskowych (czyli ocena pod ką</w:t>
            </w:r>
            <w:r w:rsidRPr="00696F49">
              <w:rPr>
                <w:rFonts w:ascii="Calibri" w:eastAsia="Times New Roman" w:hAnsi="Calibri" w:cs="Calibri"/>
                <w:color w:val="000000"/>
                <w:sz w:val="18"/>
                <w:szCs w:val="18"/>
                <w:lang w:eastAsia="pl-PL"/>
              </w:rPr>
              <w:t xml:space="preserve">tem oddziaływania na jednolite części wód) odbywa się w procedurze oceny wodnoprawnej, zastępowanej w określonych w prawie przypadkach przez decyzje o środowiskowych uwarunkowaniach. Dopiero tam ta ocena i sprawdzenie, czy istnieje ryzyko, że dane przedsięwzięcie zagrozi osiągnięciu celów środowiskowych, czy wprowadzi nowe zmiany fizyczne – tam ta ocena jest przeprowadzana i jest rozstrzygnięcie czy spełnione są przesłanki do odstępstwa z art. 68 ustawy Prawo wodne i art.4.7 z </w:t>
            </w:r>
            <w:r w:rsidRPr="00696F49">
              <w:rPr>
                <w:rFonts w:ascii="Calibri" w:eastAsia="Times New Roman" w:hAnsi="Calibri" w:cs="Calibri"/>
                <w:color w:val="000000"/>
                <w:sz w:val="18"/>
                <w:szCs w:val="18"/>
                <w:lang w:eastAsia="pl-PL"/>
              </w:rPr>
              <w:lastRenderedPageBreak/>
              <w:t>Ramowej Dyrektywy Wodnej. Plan gospodarowania wodami zawiera listę tych przedsięwzięć, które taką ocenę już przeszły. Wobec czego brak wpisania tej konkretnej inwestycji do drugiej aktualizacji Planów gospodarowania wodami w żaden sposób nie uniemożliwia jej realizacji.</w:t>
            </w:r>
          </w:p>
        </w:tc>
      </w:tr>
      <w:tr w:rsidR="00B97534" w:rsidRPr="00846586" w14:paraId="1E032D59" w14:textId="77777777" w:rsidTr="006E2985">
        <w:trPr>
          <w:trHeight w:val="454"/>
        </w:trPr>
        <w:tc>
          <w:tcPr>
            <w:tcW w:w="646" w:type="dxa"/>
            <w:tcBorders>
              <w:top w:val="single" w:sz="4" w:space="0" w:color="auto"/>
              <w:left w:val="single" w:sz="4" w:space="0" w:color="auto"/>
              <w:bottom w:val="single" w:sz="4" w:space="0" w:color="auto"/>
              <w:right w:val="single" w:sz="4" w:space="0" w:color="auto"/>
            </w:tcBorders>
            <w:shd w:val="clear" w:color="auto" w:fill="auto"/>
          </w:tcPr>
          <w:p w14:paraId="08EE316E" w14:textId="187536F9" w:rsidR="00B97534" w:rsidRPr="00846586" w:rsidRDefault="00B97534" w:rsidP="00B97534">
            <w:pPr>
              <w:ind w:firstLine="0"/>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20.</w:t>
            </w:r>
          </w:p>
        </w:tc>
        <w:tc>
          <w:tcPr>
            <w:tcW w:w="1354" w:type="dxa"/>
            <w:tcBorders>
              <w:top w:val="nil"/>
              <w:left w:val="nil"/>
              <w:bottom w:val="single" w:sz="4" w:space="0" w:color="auto"/>
              <w:right w:val="single" w:sz="4" w:space="0" w:color="auto"/>
            </w:tcBorders>
            <w:shd w:val="clear" w:color="auto" w:fill="auto"/>
          </w:tcPr>
          <w:p w14:paraId="34EAEEF3" w14:textId="6A3F09E8"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Stowarzyszenie Inżynierów i Techników Przemysłu Chemicznego (</w:t>
            </w:r>
            <w:proofErr w:type="spellStart"/>
            <w:r w:rsidRPr="00696F49">
              <w:rPr>
                <w:rFonts w:ascii="Calibri" w:eastAsia="Times New Roman" w:hAnsi="Calibri" w:cs="Calibri"/>
                <w:color w:val="000000"/>
                <w:sz w:val="18"/>
                <w:szCs w:val="18"/>
                <w:lang w:eastAsia="pl-PL"/>
              </w:rPr>
              <w:t>SITPChem</w:t>
            </w:r>
            <w:proofErr w:type="spellEnd"/>
            <w:r w:rsidRPr="00696F49">
              <w:rPr>
                <w:rFonts w:ascii="Calibri" w:eastAsia="Times New Roman" w:hAnsi="Calibri" w:cs="Calibri"/>
                <w:color w:val="000000"/>
                <w:sz w:val="18"/>
                <w:szCs w:val="18"/>
                <w:lang w:eastAsia="pl-PL"/>
              </w:rPr>
              <w:t>)- NOT- Oddział Rzeszów</w:t>
            </w:r>
          </w:p>
        </w:tc>
        <w:tc>
          <w:tcPr>
            <w:tcW w:w="1540" w:type="dxa"/>
            <w:tcBorders>
              <w:top w:val="single" w:sz="4" w:space="0" w:color="auto"/>
              <w:left w:val="nil"/>
              <w:bottom w:val="single" w:sz="4" w:space="0" w:color="auto"/>
              <w:right w:val="single" w:sz="4" w:space="0" w:color="auto"/>
            </w:tcBorders>
            <w:shd w:val="clear" w:color="auto" w:fill="auto"/>
          </w:tcPr>
          <w:p w14:paraId="33DDBDA4" w14:textId="6EDF351C" w:rsidR="00B97534" w:rsidRPr="00846586" w:rsidRDefault="00B97534" w:rsidP="00B97534">
            <w:pPr>
              <w:ind w:left="52" w:firstLine="0"/>
              <w:jc w:val="left"/>
              <w:rPr>
                <w:rFonts w:ascii="Calibri" w:eastAsia="Times New Roman" w:hAnsi="Calibri" w:cs="Calibri"/>
                <w:color w:val="000000"/>
                <w:sz w:val="18"/>
                <w:szCs w:val="18"/>
                <w:lang w:eastAsia="pl-PL"/>
              </w:rPr>
            </w:pPr>
            <w:r w:rsidRPr="00B97534">
              <w:rPr>
                <w:rFonts w:ascii="Calibri" w:eastAsia="Times New Roman" w:hAnsi="Calibri" w:cs="Calibri"/>
                <w:color w:val="000000"/>
                <w:sz w:val="18"/>
                <w:szCs w:val="18"/>
                <w:lang w:eastAsia="pl-PL"/>
              </w:rPr>
              <w:t>Inne/pozostałe</w:t>
            </w:r>
          </w:p>
        </w:tc>
        <w:tc>
          <w:tcPr>
            <w:tcW w:w="3965" w:type="dxa"/>
            <w:tcBorders>
              <w:top w:val="nil"/>
              <w:left w:val="nil"/>
              <w:bottom w:val="single" w:sz="4" w:space="0" w:color="auto"/>
              <w:right w:val="single" w:sz="4" w:space="0" w:color="auto"/>
            </w:tcBorders>
            <w:shd w:val="clear" w:color="auto" w:fill="auto"/>
          </w:tcPr>
          <w:p w14:paraId="5CC0FC7E" w14:textId="5E8A523A"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W formie jakiego aktu prawnego wydany będzie w 2022r. IIaPGW, czy w formie rozporządzenia Rady Ministrów jak dotychczas? Jaka jest przewidywana struktura tego PGW łącznie z załącznikami dla łatwego posługiwania się dokumentem i sprawnego dotarcia do potrzebnych danych i informacji? Czy będzie rozkład jazdy po tym nowym obszernym dokumencie?</w:t>
            </w:r>
            <w:r w:rsidRPr="00696F49">
              <w:rPr>
                <w:rFonts w:ascii="Calibri" w:eastAsia="Times New Roman" w:hAnsi="Calibri" w:cs="Calibri"/>
                <w:color w:val="000000"/>
                <w:sz w:val="18"/>
                <w:szCs w:val="18"/>
                <w:lang w:eastAsia="pl-PL"/>
              </w:rPr>
              <w:br/>
              <w:t>Czy w IIaPGW w ramach dorzecza Wisły będą wydzielone odrębne regiony, w tym np. region wodny Górnej- Wschodniej Wisły?</w:t>
            </w:r>
          </w:p>
        </w:tc>
        <w:tc>
          <w:tcPr>
            <w:tcW w:w="3258" w:type="dxa"/>
            <w:tcBorders>
              <w:top w:val="single" w:sz="4" w:space="0" w:color="auto"/>
              <w:left w:val="nil"/>
              <w:bottom w:val="single" w:sz="4" w:space="0" w:color="auto"/>
              <w:right w:val="single" w:sz="4" w:space="0" w:color="auto"/>
            </w:tcBorders>
            <w:shd w:val="clear" w:color="auto" w:fill="auto"/>
          </w:tcPr>
          <w:p w14:paraId="72A34549" w14:textId="5D8EF7C8"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984" w:type="dxa"/>
            <w:tcBorders>
              <w:top w:val="single" w:sz="4" w:space="0" w:color="auto"/>
              <w:left w:val="nil"/>
              <w:bottom w:val="single" w:sz="4" w:space="0" w:color="auto"/>
              <w:right w:val="single" w:sz="4" w:space="0" w:color="auto"/>
            </w:tcBorders>
            <w:shd w:val="clear" w:color="auto" w:fill="auto"/>
          </w:tcPr>
          <w:p w14:paraId="7CA607B6" w14:textId="50C4A8FE"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2428" w:type="dxa"/>
            <w:tcBorders>
              <w:top w:val="single" w:sz="4" w:space="0" w:color="auto"/>
              <w:left w:val="nil"/>
              <w:bottom w:val="single" w:sz="4" w:space="0" w:color="auto"/>
              <w:right w:val="single" w:sz="4" w:space="0" w:color="auto"/>
            </w:tcBorders>
            <w:shd w:val="clear" w:color="auto" w:fill="auto"/>
          </w:tcPr>
          <w:p w14:paraId="0882DD9D" w14:textId="23940359"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337" w:type="dxa"/>
            <w:tcBorders>
              <w:top w:val="nil"/>
              <w:left w:val="nil"/>
              <w:bottom w:val="single" w:sz="4" w:space="0" w:color="auto"/>
              <w:right w:val="single" w:sz="4" w:space="0" w:color="auto"/>
            </w:tcBorders>
            <w:shd w:val="clear" w:color="auto" w:fill="auto"/>
          </w:tcPr>
          <w:p w14:paraId="1F7C7354" w14:textId="5E82B06E"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wyjaśnienie</w:t>
            </w:r>
          </w:p>
        </w:tc>
        <w:tc>
          <w:tcPr>
            <w:tcW w:w="4455" w:type="dxa"/>
            <w:tcBorders>
              <w:top w:val="nil"/>
              <w:left w:val="nil"/>
              <w:bottom w:val="single" w:sz="4" w:space="0" w:color="auto"/>
              <w:right w:val="single" w:sz="4" w:space="0" w:color="auto"/>
            </w:tcBorders>
            <w:shd w:val="clear" w:color="auto" w:fill="auto"/>
          </w:tcPr>
          <w:p w14:paraId="61758AF4" w14:textId="66BD7E9C" w:rsidR="00914D8C" w:rsidRDefault="00B97534" w:rsidP="00914D8C">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Odpowiedzi udzielono na spotkaniu konsultacyjnym.</w:t>
            </w:r>
            <w:r w:rsidRPr="00696F49">
              <w:rPr>
                <w:rFonts w:ascii="Calibri" w:eastAsia="Times New Roman" w:hAnsi="Calibri" w:cs="Calibri"/>
                <w:color w:val="000000"/>
                <w:sz w:val="18"/>
                <w:szCs w:val="18"/>
                <w:lang w:eastAsia="pl-PL"/>
              </w:rPr>
              <w:br/>
            </w:r>
            <w:r w:rsidRPr="00696F49">
              <w:rPr>
                <w:rFonts w:ascii="Calibri" w:eastAsia="Times New Roman" w:hAnsi="Calibri" w:cs="Calibri"/>
                <w:color w:val="000000"/>
                <w:sz w:val="18"/>
                <w:szCs w:val="18"/>
                <w:lang w:eastAsia="pl-PL"/>
              </w:rPr>
              <w:br/>
              <w:t>Jeżeli chodzi o projekty rozporządzeń, to w porównaniu do aktualnego cyklu mamy zmianę</w:t>
            </w:r>
            <w:r w:rsidR="00565994">
              <w:rPr>
                <w:rFonts w:ascii="Calibri" w:eastAsia="Times New Roman" w:hAnsi="Calibri" w:cs="Calibri"/>
                <w:color w:val="000000"/>
                <w:sz w:val="18"/>
                <w:szCs w:val="18"/>
                <w:lang w:eastAsia="pl-PL"/>
              </w:rPr>
              <w:t xml:space="preserve"> w zakresie formy przyjęcia w drodze aktu wykonawczego. A</w:t>
            </w:r>
            <w:r w:rsidRPr="00696F49">
              <w:rPr>
                <w:rFonts w:ascii="Calibri" w:eastAsia="Times New Roman" w:hAnsi="Calibri" w:cs="Calibri"/>
                <w:color w:val="000000"/>
                <w:sz w:val="18"/>
                <w:szCs w:val="18"/>
                <w:lang w:eastAsia="pl-PL"/>
              </w:rPr>
              <w:t xml:space="preserve">ktualizowane projekty Planów gospodarowania wodami będą przyjęte w drodze rozporządzenia </w:t>
            </w:r>
            <w:r w:rsidR="00565994">
              <w:rPr>
                <w:rFonts w:ascii="Calibri" w:eastAsia="Times New Roman" w:hAnsi="Calibri" w:cs="Calibri"/>
                <w:color w:val="000000"/>
                <w:sz w:val="18"/>
                <w:szCs w:val="18"/>
                <w:lang w:eastAsia="pl-PL"/>
              </w:rPr>
              <w:t>m</w:t>
            </w:r>
            <w:r w:rsidRPr="00696F49">
              <w:rPr>
                <w:rFonts w:ascii="Calibri" w:eastAsia="Times New Roman" w:hAnsi="Calibri" w:cs="Calibri"/>
                <w:color w:val="000000"/>
                <w:sz w:val="18"/>
                <w:szCs w:val="18"/>
                <w:lang w:eastAsia="pl-PL"/>
              </w:rPr>
              <w:t xml:space="preserve">inistra właściwego do spraw gospodarki wodnej, czyli będą to rozporządzenia Ministra Infrastruktury. </w:t>
            </w:r>
            <w:r w:rsidR="00565994">
              <w:rPr>
                <w:rFonts w:ascii="Calibri" w:eastAsia="Times New Roman" w:hAnsi="Calibri" w:cs="Calibri"/>
                <w:color w:val="000000"/>
                <w:sz w:val="18"/>
                <w:szCs w:val="18"/>
                <w:lang w:eastAsia="pl-PL"/>
              </w:rPr>
              <w:t>Natomiast o</w:t>
            </w:r>
            <w:r w:rsidRPr="00696F49">
              <w:rPr>
                <w:rFonts w:ascii="Calibri" w:eastAsia="Times New Roman" w:hAnsi="Calibri" w:cs="Calibri"/>
                <w:color w:val="000000"/>
                <w:sz w:val="18"/>
                <w:szCs w:val="18"/>
                <w:lang w:eastAsia="pl-PL"/>
              </w:rPr>
              <w:t xml:space="preserve">bowiązujące </w:t>
            </w:r>
            <w:r w:rsidR="00565994">
              <w:rPr>
                <w:rFonts w:ascii="Calibri" w:eastAsia="Times New Roman" w:hAnsi="Calibri" w:cs="Calibri"/>
                <w:color w:val="000000"/>
                <w:sz w:val="18"/>
                <w:szCs w:val="18"/>
                <w:lang w:eastAsia="pl-PL"/>
              </w:rPr>
              <w:t>Plany gospodarowania wodami</w:t>
            </w:r>
            <w:r w:rsidRPr="00696F49">
              <w:rPr>
                <w:rFonts w:ascii="Calibri" w:eastAsia="Times New Roman" w:hAnsi="Calibri" w:cs="Calibri"/>
                <w:color w:val="000000"/>
                <w:sz w:val="18"/>
                <w:szCs w:val="18"/>
                <w:lang w:eastAsia="pl-PL"/>
              </w:rPr>
              <w:t xml:space="preserve"> są przyjęte w drodze rozporządzenia Rady Ministrów</w:t>
            </w:r>
            <w:r w:rsidR="00565994">
              <w:rPr>
                <w:rFonts w:ascii="Calibri" w:eastAsia="Times New Roman" w:hAnsi="Calibri" w:cs="Calibri"/>
                <w:color w:val="000000"/>
                <w:sz w:val="18"/>
                <w:szCs w:val="18"/>
                <w:lang w:eastAsia="pl-PL"/>
              </w:rPr>
              <w:t>.</w:t>
            </w:r>
            <w:r w:rsidRPr="00696F49">
              <w:rPr>
                <w:rFonts w:ascii="Calibri" w:eastAsia="Times New Roman" w:hAnsi="Calibri" w:cs="Calibri"/>
                <w:color w:val="000000"/>
                <w:sz w:val="18"/>
                <w:szCs w:val="18"/>
                <w:lang w:eastAsia="pl-PL"/>
              </w:rPr>
              <w:t xml:space="preserve"> </w:t>
            </w:r>
            <w:r w:rsidR="00565994">
              <w:rPr>
                <w:rFonts w:ascii="Calibri" w:eastAsia="Times New Roman" w:hAnsi="Calibri" w:cs="Calibri"/>
                <w:color w:val="000000"/>
                <w:sz w:val="18"/>
                <w:szCs w:val="18"/>
                <w:lang w:eastAsia="pl-PL"/>
              </w:rPr>
              <w:t>Są</w:t>
            </w:r>
            <w:r w:rsidRPr="00696F49">
              <w:rPr>
                <w:rFonts w:ascii="Calibri" w:eastAsia="Times New Roman" w:hAnsi="Calibri" w:cs="Calibri"/>
                <w:color w:val="000000"/>
                <w:sz w:val="18"/>
                <w:szCs w:val="18"/>
                <w:lang w:eastAsia="pl-PL"/>
              </w:rPr>
              <w:t xml:space="preserve"> to akty powszechnie obowiązujące, które będą publikowane w </w:t>
            </w:r>
            <w:r w:rsidR="00565994">
              <w:rPr>
                <w:rFonts w:ascii="Calibri" w:eastAsia="Times New Roman" w:hAnsi="Calibri" w:cs="Calibri"/>
                <w:color w:val="000000"/>
                <w:sz w:val="18"/>
                <w:szCs w:val="18"/>
                <w:lang w:eastAsia="pl-PL"/>
              </w:rPr>
              <w:t>Dzienniku Ustaw RP</w:t>
            </w:r>
            <w:r w:rsidRPr="00696F49">
              <w:rPr>
                <w:rFonts w:ascii="Calibri" w:eastAsia="Times New Roman" w:hAnsi="Calibri" w:cs="Calibri"/>
                <w:color w:val="000000"/>
                <w:sz w:val="18"/>
                <w:szCs w:val="18"/>
                <w:lang w:eastAsia="pl-PL"/>
              </w:rPr>
              <w:t>.</w:t>
            </w:r>
            <w:r w:rsidRPr="00696F49">
              <w:rPr>
                <w:rFonts w:ascii="Calibri" w:eastAsia="Times New Roman" w:hAnsi="Calibri" w:cs="Calibri"/>
                <w:color w:val="000000"/>
                <w:sz w:val="18"/>
                <w:szCs w:val="18"/>
                <w:lang w:eastAsia="pl-PL"/>
              </w:rPr>
              <w:br/>
            </w:r>
            <w:r w:rsidRPr="00696F49">
              <w:rPr>
                <w:rFonts w:ascii="Calibri" w:eastAsia="Times New Roman" w:hAnsi="Calibri" w:cs="Calibri"/>
                <w:color w:val="000000"/>
                <w:sz w:val="18"/>
                <w:szCs w:val="18"/>
                <w:lang w:eastAsia="pl-PL"/>
              </w:rPr>
              <w:br/>
              <w:t>Jeżeli chodzi o kształt dokumentów, to technika legislacyjna d</w:t>
            </w:r>
            <w:r w:rsidR="00565994">
              <w:rPr>
                <w:rFonts w:ascii="Calibri" w:eastAsia="Times New Roman" w:hAnsi="Calibri" w:cs="Calibri"/>
                <w:color w:val="000000"/>
                <w:sz w:val="18"/>
                <w:szCs w:val="18"/>
                <w:lang w:eastAsia="pl-PL"/>
              </w:rPr>
              <w:t>eterminuje ich kształt. S</w:t>
            </w:r>
            <w:r w:rsidRPr="00696F49">
              <w:rPr>
                <w:rFonts w:ascii="Calibri" w:eastAsia="Times New Roman" w:hAnsi="Calibri" w:cs="Calibri"/>
                <w:color w:val="000000"/>
                <w:sz w:val="18"/>
                <w:szCs w:val="18"/>
                <w:lang w:eastAsia="pl-PL"/>
              </w:rPr>
              <w:t xml:space="preserve">ą to projekty rozporządzeń więc kształt dokumentów będzie modyfikowany w zależności od uwag legislatorów, w tym oczywiście Rządowego Centrum Legislacji. Poprzednie, obowiązujące Plany gospodarowania wodami, w wyniku uwag </w:t>
            </w:r>
            <w:r w:rsidR="00565994">
              <w:rPr>
                <w:rFonts w:ascii="Calibri" w:eastAsia="Times New Roman" w:hAnsi="Calibri" w:cs="Calibri"/>
                <w:color w:val="000000"/>
                <w:sz w:val="18"/>
                <w:szCs w:val="18"/>
                <w:lang w:eastAsia="pl-PL"/>
              </w:rPr>
              <w:t xml:space="preserve">RCL </w:t>
            </w:r>
            <w:r w:rsidRPr="00696F49">
              <w:rPr>
                <w:rFonts w:ascii="Calibri" w:eastAsia="Times New Roman" w:hAnsi="Calibri" w:cs="Calibri"/>
                <w:color w:val="000000"/>
                <w:sz w:val="18"/>
                <w:szCs w:val="18"/>
                <w:lang w:eastAsia="pl-PL"/>
              </w:rPr>
              <w:t xml:space="preserve">bardzo mocno zostały przebudowane. Zawartość Planów gospodarowania wodami wynika wprost z </w:t>
            </w:r>
            <w:r w:rsidR="00565994">
              <w:rPr>
                <w:rFonts w:ascii="Calibri" w:eastAsia="Times New Roman" w:hAnsi="Calibri" w:cs="Calibri"/>
                <w:color w:val="000000"/>
                <w:sz w:val="18"/>
                <w:szCs w:val="18"/>
                <w:lang w:eastAsia="pl-PL"/>
              </w:rPr>
              <w:t xml:space="preserve">przepisów </w:t>
            </w:r>
            <w:r w:rsidRPr="00696F49">
              <w:rPr>
                <w:rFonts w:ascii="Calibri" w:eastAsia="Times New Roman" w:hAnsi="Calibri" w:cs="Calibri"/>
                <w:color w:val="000000"/>
                <w:sz w:val="18"/>
                <w:szCs w:val="18"/>
                <w:lang w:eastAsia="pl-PL"/>
              </w:rPr>
              <w:t>ustawy Prawo wodne</w:t>
            </w:r>
            <w:r w:rsidR="00565994">
              <w:rPr>
                <w:rFonts w:ascii="Calibri" w:eastAsia="Times New Roman" w:hAnsi="Calibri" w:cs="Calibri"/>
                <w:color w:val="000000"/>
                <w:sz w:val="18"/>
                <w:szCs w:val="18"/>
                <w:lang w:eastAsia="pl-PL"/>
              </w:rPr>
              <w:t>. W</w:t>
            </w:r>
            <w:r w:rsidRPr="00696F49">
              <w:rPr>
                <w:rFonts w:ascii="Calibri" w:eastAsia="Times New Roman" w:hAnsi="Calibri" w:cs="Calibri"/>
                <w:color w:val="000000"/>
                <w:sz w:val="18"/>
                <w:szCs w:val="18"/>
                <w:lang w:eastAsia="pl-PL"/>
              </w:rPr>
              <w:t>szystkie elementy, które są wskazane w ustawie Prawo wodne, muszą być odzwierciedlone w Planach gospodarowania wodami. Czy będą załączniki w rozporządzeniu? Jest taka możliwość</w:t>
            </w:r>
            <w:r w:rsidR="00565994">
              <w:rPr>
                <w:rFonts w:ascii="Calibri" w:eastAsia="Times New Roman" w:hAnsi="Calibri" w:cs="Calibri"/>
                <w:color w:val="000000"/>
                <w:sz w:val="18"/>
                <w:szCs w:val="18"/>
                <w:lang w:eastAsia="pl-PL"/>
              </w:rPr>
              <w:t>.</w:t>
            </w:r>
            <w:r w:rsidRPr="00696F49">
              <w:rPr>
                <w:rFonts w:ascii="Calibri" w:eastAsia="Times New Roman" w:hAnsi="Calibri" w:cs="Calibri"/>
                <w:color w:val="000000"/>
                <w:sz w:val="18"/>
                <w:szCs w:val="18"/>
                <w:lang w:eastAsia="pl-PL"/>
              </w:rPr>
              <w:t xml:space="preserve"> </w:t>
            </w:r>
            <w:r w:rsidR="00565994">
              <w:rPr>
                <w:rFonts w:ascii="Calibri" w:eastAsia="Times New Roman" w:hAnsi="Calibri" w:cs="Calibri"/>
                <w:color w:val="000000"/>
                <w:sz w:val="18"/>
                <w:szCs w:val="18"/>
                <w:lang w:eastAsia="pl-PL"/>
              </w:rPr>
              <w:t>W</w:t>
            </w:r>
            <w:r w:rsidRPr="00696F49">
              <w:rPr>
                <w:rFonts w:ascii="Calibri" w:eastAsia="Times New Roman" w:hAnsi="Calibri" w:cs="Calibri"/>
                <w:color w:val="000000"/>
                <w:sz w:val="18"/>
                <w:szCs w:val="18"/>
                <w:lang w:eastAsia="pl-PL"/>
              </w:rPr>
              <w:t xml:space="preserve"> rozporządzeniach, które obecnie obowiązują, </w:t>
            </w:r>
            <w:r w:rsidR="00565994">
              <w:rPr>
                <w:rFonts w:ascii="Calibri" w:eastAsia="Times New Roman" w:hAnsi="Calibri" w:cs="Calibri"/>
                <w:color w:val="000000"/>
                <w:sz w:val="18"/>
                <w:szCs w:val="18"/>
                <w:lang w:eastAsia="pl-PL"/>
              </w:rPr>
              <w:t>również</w:t>
            </w:r>
            <w:r w:rsidRPr="00696F49">
              <w:rPr>
                <w:rFonts w:ascii="Calibri" w:eastAsia="Times New Roman" w:hAnsi="Calibri" w:cs="Calibri"/>
                <w:color w:val="000000"/>
                <w:sz w:val="18"/>
                <w:szCs w:val="18"/>
                <w:lang w:eastAsia="pl-PL"/>
              </w:rPr>
              <w:t xml:space="preserve"> są załączniki</w:t>
            </w:r>
            <w:r w:rsidR="00565994">
              <w:rPr>
                <w:rFonts w:ascii="Calibri" w:eastAsia="Times New Roman" w:hAnsi="Calibri" w:cs="Calibri"/>
                <w:color w:val="000000"/>
                <w:sz w:val="18"/>
                <w:szCs w:val="18"/>
                <w:lang w:eastAsia="pl-PL"/>
              </w:rPr>
              <w:t>.</w:t>
            </w:r>
            <w:r w:rsidRPr="00696F49">
              <w:rPr>
                <w:rFonts w:ascii="Calibri" w:eastAsia="Times New Roman" w:hAnsi="Calibri" w:cs="Calibri"/>
                <w:color w:val="000000"/>
                <w:sz w:val="18"/>
                <w:szCs w:val="18"/>
                <w:lang w:eastAsia="pl-PL"/>
              </w:rPr>
              <w:t xml:space="preserve"> </w:t>
            </w:r>
            <w:r w:rsidR="00565994">
              <w:rPr>
                <w:rFonts w:ascii="Calibri" w:eastAsia="Times New Roman" w:hAnsi="Calibri" w:cs="Calibri"/>
                <w:color w:val="000000"/>
                <w:sz w:val="18"/>
                <w:szCs w:val="18"/>
                <w:lang w:eastAsia="pl-PL"/>
              </w:rPr>
              <w:t>D</w:t>
            </w:r>
            <w:r w:rsidRPr="00696F49">
              <w:rPr>
                <w:rFonts w:ascii="Calibri" w:eastAsia="Times New Roman" w:hAnsi="Calibri" w:cs="Calibri"/>
                <w:color w:val="000000"/>
                <w:sz w:val="18"/>
                <w:szCs w:val="18"/>
                <w:lang w:eastAsia="pl-PL"/>
              </w:rPr>
              <w:t>okumentem, który jest przyjmowany, jest rozporządzenie</w:t>
            </w:r>
            <w:r w:rsidR="00565994">
              <w:rPr>
                <w:rFonts w:ascii="Calibri" w:eastAsia="Times New Roman" w:hAnsi="Calibri" w:cs="Calibri"/>
                <w:color w:val="000000"/>
                <w:sz w:val="18"/>
                <w:szCs w:val="18"/>
                <w:lang w:eastAsia="pl-PL"/>
              </w:rPr>
              <w:t xml:space="preserve">. Załącznikiem do rozporządzenia jest </w:t>
            </w:r>
            <w:r w:rsidRPr="00696F49">
              <w:rPr>
                <w:rFonts w:ascii="Calibri" w:eastAsia="Times New Roman" w:hAnsi="Calibri" w:cs="Calibri"/>
                <w:color w:val="000000"/>
                <w:sz w:val="18"/>
                <w:szCs w:val="18"/>
                <w:lang w:eastAsia="pl-PL"/>
              </w:rPr>
              <w:t xml:space="preserve">Plan gospodarowania wodami. </w:t>
            </w:r>
            <w:r w:rsidR="00914D8C">
              <w:rPr>
                <w:rFonts w:ascii="Calibri" w:eastAsia="Times New Roman" w:hAnsi="Calibri" w:cs="Calibri"/>
                <w:color w:val="000000"/>
                <w:sz w:val="18"/>
                <w:szCs w:val="18"/>
                <w:lang w:eastAsia="pl-PL"/>
              </w:rPr>
              <w:t>Dopuszcza się możliwość załączenia załączników do Planów gospodarowania wodami.</w:t>
            </w:r>
          </w:p>
          <w:p w14:paraId="04612633" w14:textId="0EAF1F9C" w:rsidR="00B97534" w:rsidRPr="00846586" w:rsidRDefault="00B97534" w:rsidP="00914D8C">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Podsumowując, ostateczny kształt struktury przyjętych Planów gospodarowana wodami będzie wynikał z całego procesu legislacyjnego, z podejścia Rządowego Centrum Legislacyjnego, które ostatecznie nadaje kształt techniczny tym rozporządzeniom.</w:t>
            </w:r>
          </w:p>
        </w:tc>
      </w:tr>
      <w:tr w:rsidR="00B97534" w:rsidRPr="00846586" w14:paraId="08DFF36E" w14:textId="77777777" w:rsidTr="006E2985">
        <w:trPr>
          <w:trHeight w:val="454"/>
        </w:trPr>
        <w:tc>
          <w:tcPr>
            <w:tcW w:w="646" w:type="dxa"/>
            <w:tcBorders>
              <w:top w:val="single" w:sz="4" w:space="0" w:color="auto"/>
              <w:left w:val="single" w:sz="4" w:space="0" w:color="auto"/>
              <w:bottom w:val="single" w:sz="4" w:space="0" w:color="auto"/>
              <w:right w:val="single" w:sz="4" w:space="0" w:color="auto"/>
            </w:tcBorders>
            <w:shd w:val="clear" w:color="auto" w:fill="auto"/>
          </w:tcPr>
          <w:p w14:paraId="3D5093C6" w14:textId="43E54076" w:rsidR="00B97534" w:rsidRPr="00846586" w:rsidRDefault="00B97534" w:rsidP="00B97534">
            <w:pPr>
              <w:ind w:firstLine="0"/>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w:t>
            </w:r>
          </w:p>
        </w:tc>
        <w:tc>
          <w:tcPr>
            <w:tcW w:w="1354" w:type="dxa"/>
            <w:tcBorders>
              <w:top w:val="nil"/>
              <w:left w:val="nil"/>
              <w:bottom w:val="single" w:sz="4" w:space="0" w:color="auto"/>
              <w:right w:val="single" w:sz="4" w:space="0" w:color="auto"/>
            </w:tcBorders>
            <w:shd w:val="clear" w:color="auto" w:fill="auto"/>
          </w:tcPr>
          <w:p w14:paraId="5741DB62" w14:textId="0F6BE7EB"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Stowarzyszenie Inżynierów i Techników Przemysłu Chemicznego (</w:t>
            </w:r>
            <w:proofErr w:type="spellStart"/>
            <w:r w:rsidRPr="00696F49">
              <w:rPr>
                <w:rFonts w:ascii="Calibri" w:eastAsia="Times New Roman" w:hAnsi="Calibri" w:cs="Calibri"/>
                <w:color w:val="000000"/>
                <w:sz w:val="18"/>
                <w:szCs w:val="18"/>
                <w:lang w:eastAsia="pl-PL"/>
              </w:rPr>
              <w:t>SITPChem</w:t>
            </w:r>
            <w:proofErr w:type="spellEnd"/>
            <w:r w:rsidRPr="00696F49">
              <w:rPr>
                <w:rFonts w:ascii="Calibri" w:eastAsia="Times New Roman" w:hAnsi="Calibri" w:cs="Calibri"/>
                <w:color w:val="000000"/>
                <w:sz w:val="18"/>
                <w:szCs w:val="18"/>
                <w:lang w:eastAsia="pl-PL"/>
              </w:rPr>
              <w:t>)- NOT- Oddział Rzeszów</w:t>
            </w:r>
          </w:p>
        </w:tc>
        <w:tc>
          <w:tcPr>
            <w:tcW w:w="1540" w:type="dxa"/>
            <w:tcBorders>
              <w:top w:val="single" w:sz="4" w:space="0" w:color="auto"/>
              <w:left w:val="nil"/>
              <w:bottom w:val="single" w:sz="4" w:space="0" w:color="auto"/>
              <w:right w:val="single" w:sz="4" w:space="0" w:color="auto"/>
            </w:tcBorders>
            <w:shd w:val="clear" w:color="auto" w:fill="auto"/>
          </w:tcPr>
          <w:p w14:paraId="148A313F" w14:textId="42C6F6CD" w:rsidR="00B97534" w:rsidRPr="00846586" w:rsidRDefault="00B97534" w:rsidP="00B97534">
            <w:pPr>
              <w:ind w:left="52" w:firstLine="0"/>
              <w:jc w:val="left"/>
              <w:rPr>
                <w:rFonts w:ascii="Calibri" w:eastAsia="Times New Roman" w:hAnsi="Calibri" w:cs="Calibri"/>
                <w:color w:val="000000"/>
                <w:sz w:val="18"/>
                <w:szCs w:val="18"/>
                <w:lang w:eastAsia="pl-PL"/>
              </w:rPr>
            </w:pPr>
            <w:r w:rsidRPr="00B97534">
              <w:rPr>
                <w:rFonts w:ascii="Calibri" w:eastAsia="Times New Roman" w:hAnsi="Calibri" w:cs="Calibri"/>
                <w:color w:val="000000"/>
                <w:sz w:val="18"/>
                <w:szCs w:val="18"/>
                <w:lang w:eastAsia="pl-PL"/>
              </w:rPr>
              <w:t>Inne/pozostałe</w:t>
            </w:r>
          </w:p>
        </w:tc>
        <w:tc>
          <w:tcPr>
            <w:tcW w:w="3965" w:type="dxa"/>
            <w:tcBorders>
              <w:top w:val="nil"/>
              <w:left w:val="nil"/>
              <w:bottom w:val="single" w:sz="4" w:space="0" w:color="auto"/>
              <w:right w:val="single" w:sz="4" w:space="0" w:color="auto"/>
            </w:tcBorders>
            <w:shd w:val="clear" w:color="auto" w:fill="auto"/>
          </w:tcPr>
          <w:p w14:paraId="148FEDEB" w14:textId="7B8174AD"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 xml:space="preserve">Czy w związku z opublikowaniem IIaPGW przewidywana jest rewizja- przegląd wydanych i obowiązujących pozwoleń wodnoprawnych na pobory wód lub odprowadzanie ścieków do wód lub do ziemi? Jaki w związku z tym będzie los pozwoleń wodnoprawnych wydanych pod warunkami lub też bez warunków w związku z </w:t>
            </w:r>
            <w:r w:rsidRPr="00696F49">
              <w:rPr>
                <w:rFonts w:ascii="Calibri" w:eastAsia="Times New Roman" w:hAnsi="Calibri" w:cs="Calibri"/>
                <w:color w:val="000000"/>
                <w:sz w:val="18"/>
                <w:szCs w:val="18"/>
                <w:lang w:eastAsia="pl-PL"/>
              </w:rPr>
              <w:lastRenderedPageBreak/>
              <w:t>występującymi odstępstwami- ogólnie ujmując od przepisów i norm?</w:t>
            </w:r>
          </w:p>
        </w:tc>
        <w:tc>
          <w:tcPr>
            <w:tcW w:w="3258" w:type="dxa"/>
            <w:tcBorders>
              <w:top w:val="single" w:sz="4" w:space="0" w:color="auto"/>
              <w:left w:val="nil"/>
              <w:bottom w:val="single" w:sz="4" w:space="0" w:color="auto"/>
              <w:right w:val="single" w:sz="4" w:space="0" w:color="auto"/>
            </w:tcBorders>
            <w:shd w:val="clear" w:color="auto" w:fill="auto"/>
          </w:tcPr>
          <w:p w14:paraId="70A71467" w14:textId="00513677"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w:t>
            </w:r>
          </w:p>
        </w:tc>
        <w:tc>
          <w:tcPr>
            <w:tcW w:w="1984" w:type="dxa"/>
            <w:tcBorders>
              <w:top w:val="single" w:sz="4" w:space="0" w:color="auto"/>
              <w:left w:val="nil"/>
              <w:bottom w:val="single" w:sz="4" w:space="0" w:color="auto"/>
              <w:right w:val="single" w:sz="4" w:space="0" w:color="auto"/>
            </w:tcBorders>
            <w:shd w:val="clear" w:color="auto" w:fill="auto"/>
          </w:tcPr>
          <w:p w14:paraId="54C6B0EC" w14:textId="46A3317F"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2428" w:type="dxa"/>
            <w:tcBorders>
              <w:top w:val="single" w:sz="4" w:space="0" w:color="auto"/>
              <w:left w:val="nil"/>
              <w:bottom w:val="single" w:sz="4" w:space="0" w:color="auto"/>
              <w:right w:val="single" w:sz="4" w:space="0" w:color="auto"/>
            </w:tcBorders>
            <w:shd w:val="clear" w:color="auto" w:fill="auto"/>
          </w:tcPr>
          <w:p w14:paraId="657E312A" w14:textId="7DAEACCD" w:rsidR="00B97534" w:rsidRPr="00846586" w:rsidRDefault="00B97534" w:rsidP="00B97534">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337" w:type="dxa"/>
            <w:tcBorders>
              <w:top w:val="nil"/>
              <w:left w:val="nil"/>
              <w:bottom w:val="single" w:sz="4" w:space="0" w:color="auto"/>
              <w:right w:val="single" w:sz="4" w:space="0" w:color="auto"/>
            </w:tcBorders>
            <w:shd w:val="clear" w:color="auto" w:fill="auto"/>
          </w:tcPr>
          <w:p w14:paraId="3530F385" w14:textId="510BCEFD" w:rsidR="00B97534" w:rsidRPr="00846586" w:rsidRDefault="00B97534" w:rsidP="00B97534">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wyjaśnienie</w:t>
            </w:r>
          </w:p>
        </w:tc>
        <w:tc>
          <w:tcPr>
            <w:tcW w:w="4455" w:type="dxa"/>
            <w:tcBorders>
              <w:top w:val="nil"/>
              <w:left w:val="nil"/>
              <w:bottom w:val="single" w:sz="4" w:space="0" w:color="auto"/>
              <w:right w:val="single" w:sz="4" w:space="0" w:color="auto"/>
            </w:tcBorders>
            <w:shd w:val="clear" w:color="auto" w:fill="auto"/>
          </w:tcPr>
          <w:p w14:paraId="31FB184C" w14:textId="73000EF6" w:rsidR="00B97534" w:rsidRPr="00846586" w:rsidRDefault="00B97534" w:rsidP="008C6B81">
            <w:pPr>
              <w:ind w:firstLine="0"/>
              <w:jc w:val="left"/>
              <w:rPr>
                <w:rFonts w:ascii="Calibri" w:eastAsia="Times New Roman" w:hAnsi="Calibri" w:cs="Calibri"/>
                <w:color w:val="000000"/>
                <w:sz w:val="18"/>
                <w:szCs w:val="18"/>
                <w:lang w:eastAsia="pl-PL"/>
              </w:rPr>
            </w:pPr>
            <w:r w:rsidRPr="00696F49">
              <w:rPr>
                <w:rFonts w:ascii="Calibri" w:eastAsia="Times New Roman" w:hAnsi="Calibri" w:cs="Calibri"/>
                <w:color w:val="000000"/>
                <w:sz w:val="18"/>
                <w:szCs w:val="18"/>
                <w:lang w:eastAsia="pl-PL"/>
              </w:rPr>
              <w:t>Odpowiedzi udzielono na spotkaniu konsultacyjnym.</w:t>
            </w:r>
            <w:r w:rsidRPr="00696F49">
              <w:rPr>
                <w:rFonts w:ascii="Calibri" w:eastAsia="Times New Roman" w:hAnsi="Calibri" w:cs="Calibri"/>
                <w:color w:val="000000"/>
                <w:sz w:val="18"/>
                <w:szCs w:val="18"/>
                <w:lang w:eastAsia="pl-PL"/>
              </w:rPr>
              <w:br/>
            </w:r>
            <w:r w:rsidRPr="00696F49">
              <w:rPr>
                <w:rFonts w:ascii="Calibri" w:eastAsia="Times New Roman" w:hAnsi="Calibri" w:cs="Calibri"/>
                <w:color w:val="000000"/>
                <w:sz w:val="18"/>
                <w:szCs w:val="18"/>
                <w:lang w:eastAsia="pl-PL"/>
              </w:rPr>
              <w:br/>
              <w:t>Pozwolenia wodnoprawne jest element</w:t>
            </w:r>
            <w:r w:rsidR="00914D8C">
              <w:rPr>
                <w:rFonts w:ascii="Calibri" w:eastAsia="Times New Roman" w:hAnsi="Calibri" w:cs="Calibri"/>
                <w:color w:val="000000"/>
                <w:sz w:val="18"/>
                <w:szCs w:val="18"/>
                <w:lang w:eastAsia="pl-PL"/>
              </w:rPr>
              <w:t>em</w:t>
            </w:r>
            <w:r w:rsidRPr="00696F49">
              <w:rPr>
                <w:rFonts w:ascii="Calibri" w:eastAsia="Times New Roman" w:hAnsi="Calibri" w:cs="Calibri"/>
                <w:color w:val="000000"/>
                <w:sz w:val="18"/>
                <w:szCs w:val="18"/>
                <w:lang w:eastAsia="pl-PL"/>
              </w:rPr>
              <w:t xml:space="preserve">, który użytkowników wód interesuje w szczególności, </w:t>
            </w:r>
            <w:r w:rsidR="00914D8C">
              <w:rPr>
                <w:rFonts w:ascii="Calibri" w:eastAsia="Times New Roman" w:hAnsi="Calibri" w:cs="Calibri"/>
                <w:color w:val="000000"/>
                <w:sz w:val="18"/>
                <w:szCs w:val="18"/>
                <w:lang w:eastAsia="pl-PL"/>
              </w:rPr>
              <w:t>gdyż</w:t>
            </w:r>
            <w:r w:rsidRPr="00696F49">
              <w:rPr>
                <w:rFonts w:ascii="Calibri" w:eastAsia="Times New Roman" w:hAnsi="Calibri" w:cs="Calibri"/>
                <w:color w:val="000000"/>
                <w:sz w:val="18"/>
                <w:szCs w:val="18"/>
                <w:lang w:eastAsia="pl-PL"/>
              </w:rPr>
              <w:t xml:space="preserve"> są te decyzje administracyjne pozwalające na korzystanie z wód. Samo dokonywanie przeglądów, jeżeli chodzi o wydane pozwolenia wodnoprawne, realizowane jest w wyniku </w:t>
            </w:r>
            <w:r w:rsidR="00914D8C">
              <w:rPr>
                <w:rFonts w:ascii="Calibri" w:eastAsia="Times New Roman" w:hAnsi="Calibri" w:cs="Calibri"/>
                <w:color w:val="000000"/>
                <w:sz w:val="18"/>
                <w:szCs w:val="18"/>
                <w:lang w:eastAsia="pl-PL"/>
              </w:rPr>
              <w:t xml:space="preserve">przepisów </w:t>
            </w:r>
            <w:r w:rsidRPr="00696F49">
              <w:rPr>
                <w:rFonts w:ascii="Calibri" w:eastAsia="Times New Roman" w:hAnsi="Calibri" w:cs="Calibri"/>
                <w:color w:val="000000"/>
                <w:sz w:val="18"/>
                <w:szCs w:val="18"/>
                <w:lang w:eastAsia="pl-PL"/>
              </w:rPr>
              <w:t xml:space="preserve">ustawy Prawo </w:t>
            </w:r>
            <w:r w:rsidRPr="00696F49">
              <w:rPr>
                <w:rFonts w:ascii="Calibri" w:eastAsia="Times New Roman" w:hAnsi="Calibri" w:cs="Calibri"/>
                <w:color w:val="000000"/>
                <w:sz w:val="18"/>
                <w:szCs w:val="18"/>
                <w:lang w:eastAsia="pl-PL"/>
              </w:rPr>
              <w:lastRenderedPageBreak/>
              <w:t xml:space="preserve">wodne. To nie sama aktualizacja Planu nakazuje czy determinuje to działanie. W Planach gospodarowania wodami i w drugich aktualizacjach wskazujemy zarówno w katalogu działań krajowych, jak i w przypisanych do poszczególnych jednolitych części wód działania dotyczące przeglądu pozwoleń wodnoprawnych jak i dodatkowe przeglądy pozwoleń wodnoprawnych. To ma na celu przeglądy w tych jednolitych częściach wód, w których zidentyfikowane są problemy presji po to, żeby w pewien sposób móc zadziałać czy zareagować. </w:t>
            </w:r>
          </w:p>
        </w:tc>
      </w:tr>
    </w:tbl>
    <w:p w14:paraId="6697B628" w14:textId="77777777" w:rsidR="00EE278A" w:rsidRDefault="002D6BE2"/>
    <w:sectPr w:rsidR="00EE278A" w:rsidSect="000602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843"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2DC24" w14:textId="77777777" w:rsidR="002D6BE2" w:rsidRDefault="002D6BE2" w:rsidP="000602F3">
      <w:r>
        <w:separator/>
      </w:r>
    </w:p>
  </w:endnote>
  <w:endnote w:type="continuationSeparator" w:id="0">
    <w:p w14:paraId="61A399E6" w14:textId="77777777" w:rsidR="002D6BE2" w:rsidRDefault="002D6BE2" w:rsidP="0006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30D4" w14:textId="77777777" w:rsidR="00597DF3" w:rsidRDefault="00597D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DA74" w14:textId="77777777" w:rsidR="00597DF3" w:rsidRDefault="00597DF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BD7B" w14:textId="77777777" w:rsidR="00597DF3" w:rsidRDefault="00597D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AFCBA" w14:textId="77777777" w:rsidR="002D6BE2" w:rsidRDefault="002D6BE2" w:rsidP="000602F3">
      <w:r>
        <w:separator/>
      </w:r>
    </w:p>
  </w:footnote>
  <w:footnote w:type="continuationSeparator" w:id="0">
    <w:p w14:paraId="079AC93D" w14:textId="77777777" w:rsidR="002D6BE2" w:rsidRDefault="002D6BE2" w:rsidP="0006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98D7" w14:textId="77777777" w:rsidR="00597DF3" w:rsidRDefault="00597DF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A1A8" w14:textId="7D5F8CA7" w:rsidR="000602F3" w:rsidRDefault="000602F3">
    <w:pPr>
      <w:pStyle w:val="Nagwek"/>
      <w:rPr>
        <w:rFonts w:ascii="Calibri" w:eastAsia="Times New Roman" w:hAnsi="Calibri" w:cs="Calibri"/>
        <w:b/>
        <w:bCs/>
        <w:color w:val="000000"/>
        <w:lang w:eastAsia="pl-PL"/>
      </w:rPr>
    </w:pPr>
  </w:p>
  <w:p w14:paraId="2F5DE94D" w14:textId="5ED645CC" w:rsidR="000602F3" w:rsidRDefault="000602F3">
    <w:pPr>
      <w:pStyle w:val="Nagwek"/>
      <w:rPr>
        <w:rFonts w:ascii="Calibri" w:eastAsia="Times New Roman" w:hAnsi="Calibri" w:cs="Calibri"/>
        <w:b/>
        <w:bCs/>
        <w:color w:val="000000"/>
        <w:lang w:eastAsia="pl-PL"/>
      </w:rPr>
    </w:pPr>
  </w:p>
  <w:p w14:paraId="6CC31905" w14:textId="77777777" w:rsidR="000602F3" w:rsidRDefault="000602F3">
    <w:pPr>
      <w:pStyle w:val="Nagwek"/>
      <w:rPr>
        <w:rFonts w:ascii="Calibri" w:eastAsia="Times New Roman" w:hAnsi="Calibri" w:cs="Calibri"/>
        <w:b/>
        <w:bCs/>
        <w:color w:val="000000"/>
        <w:lang w:eastAsia="pl-PL"/>
      </w:rPr>
    </w:pPr>
  </w:p>
  <w:p w14:paraId="0BDFF8A5" w14:textId="77777777" w:rsidR="000602F3" w:rsidRDefault="000602F3">
    <w:pPr>
      <w:pStyle w:val="Nagwek"/>
      <w:rPr>
        <w:rFonts w:ascii="Calibri" w:eastAsia="Times New Roman" w:hAnsi="Calibri" w:cs="Calibri"/>
        <w:b/>
        <w:bCs/>
        <w:color w:val="000000"/>
        <w:lang w:eastAsia="pl-PL"/>
      </w:rPr>
    </w:pPr>
  </w:p>
  <w:p w14:paraId="38FAE0E2" w14:textId="77777777" w:rsidR="000602F3" w:rsidRDefault="000602F3">
    <w:pPr>
      <w:pStyle w:val="Nagwek"/>
      <w:rPr>
        <w:rFonts w:ascii="Calibri" w:eastAsia="Times New Roman" w:hAnsi="Calibri" w:cs="Calibri"/>
        <w:b/>
        <w:bCs/>
        <w:color w:val="000000"/>
        <w:lang w:eastAsia="pl-PL"/>
      </w:rPr>
    </w:pPr>
  </w:p>
  <w:p w14:paraId="27B6A494" w14:textId="30124655" w:rsidR="000602F3" w:rsidRDefault="000602F3">
    <w:pPr>
      <w:pStyle w:val="Nagwek"/>
      <w:rPr>
        <w:rFonts w:ascii="Calibri" w:eastAsia="Times New Roman" w:hAnsi="Calibri" w:cs="Calibri"/>
        <w:b/>
        <w:bCs/>
        <w:color w:val="000000"/>
        <w:lang w:eastAsia="pl-PL"/>
      </w:rPr>
    </w:pPr>
    <w:r w:rsidRPr="000602F3">
      <w:rPr>
        <w:rFonts w:ascii="Calibri" w:eastAsia="Times New Roman" w:hAnsi="Calibri" w:cs="Calibri"/>
        <w:b/>
        <w:bCs/>
        <w:color w:val="000000"/>
        <w:lang w:eastAsia="pl-PL"/>
      </w:rPr>
      <w:t xml:space="preserve">ZESTAWIENIE UWAG ZGŁOSZONYCH W TRAKCIE KONSULTACJI SPOŁECZNYCH PROJEKTU </w:t>
    </w:r>
    <w:r w:rsidR="000A14DC">
      <w:rPr>
        <w:rFonts w:ascii="Calibri" w:eastAsia="Times New Roman" w:hAnsi="Calibri" w:cs="Calibri"/>
        <w:b/>
        <w:bCs/>
        <w:color w:val="000000"/>
        <w:lang w:eastAsia="pl-PL"/>
      </w:rPr>
      <w:t>DRUGIEJ AKTUALIZACJI PLANU GOSPODAROWANIA WODAMI (</w:t>
    </w:r>
    <w:proofErr w:type="spellStart"/>
    <w:r w:rsidRPr="000602F3">
      <w:rPr>
        <w:rFonts w:ascii="Calibri" w:eastAsia="Times New Roman" w:hAnsi="Calibri" w:cs="Calibri"/>
        <w:b/>
        <w:bCs/>
        <w:color w:val="000000"/>
        <w:lang w:eastAsia="pl-PL"/>
      </w:rPr>
      <w:t>IIaPGW</w:t>
    </w:r>
    <w:proofErr w:type="spellEnd"/>
    <w:r w:rsidR="000A14DC">
      <w:rPr>
        <w:rFonts w:ascii="Calibri" w:eastAsia="Times New Roman" w:hAnsi="Calibri" w:cs="Calibri"/>
        <w:b/>
        <w:bCs/>
        <w:color w:val="000000"/>
        <w:lang w:eastAsia="pl-PL"/>
      </w:rPr>
      <w:t>)</w:t>
    </w:r>
    <w:r w:rsidRPr="000602F3">
      <w:rPr>
        <w:rFonts w:ascii="Calibri" w:eastAsia="Times New Roman" w:hAnsi="Calibri" w:cs="Calibri"/>
        <w:b/>
        <w:bCs/>
        <w:color w:val="000000"/>
        <w:lang w:eastAsia="pl-PL"/>
      </w:rPr>
      <w:t xml:space="preserve"> </w:t>
    </w:r>
    <w:r w:rsidR="000A14DC">
      <w:rPr>
        <w:rFonts w:ascii="Calibri" w:eastAsia="Times New Roman" w:hAnsi="Calibri" w:cs="Calibri"/>
        <w:b/>
        <w:bCs/>
        <w:color w:val="000000"/>
        <w:lang w:eastAsia="pl-PL"/>
      </w:rPr>
      <w:t>NA</w:t>
    </w:r>
    <w:r w:rsidRPr="000602F3">
      <w:rPr>
        <w:rFonts w:ascii="Calibri" w:eastAsia="Times New Roman" w:hAnsi="Calibri" w:cs="Calibri"/>
        <w:b/>
        <w:bCs/>
        <w:color w:val="000000"/>
        <w:lang w:eastAsia="pl-PL"/>
      </w:rPr>
      <w:t xml:space="preserve"> OBSZAR</w:t>
    </w:r>
    <w:r w:rsidR="000A14DC">
      <w:rPr>
        <w:rFonts w:ascii="Calibri" w:eastAsia="Times New Roman" w:hAnsi="Calibri" w:cs="Calibri"/>
        <w:b/>
        <w:bCs/>
        <w:color w:val="000000"/>
        <w:lang w:eastAsia="pl-PL"/>
      </w:rPr>
      <w:t>ZE</w:t>
    </w:r>
    <w:r w:rsidRPr="000602F3">
      <w:rPr>
        <w:rFonts w:ascii="Calibri" w:eastAsia="Times New Roman" w:hAnsi="Calibri" w:cs="Calibri"/>
        <w:b/>
        <w:bCs/>
        <w:color w:val="000000"/>
        <w:lang w:eastAsia="pl-PL"/>
      </w:rPr>
      <w:t xml:space="preserve"> DORZECZA </w:t>
    </w:r>
    <w:r w:rsidR="00846586">
      <w:rPr>
        <w:rFonts w:ascii="Calibri" w:eastAsia="Times New Roman" w:hAnsi="Calibri" w:cs="Calibri"/>
        <w:b/>
        <w:bCs/>
        <w:color w:val="000000"/>
        <w:lang w:eastAsia="pl-PL"/>
      </w:rPr>
      <w:t xml:space="preserve">DNIESTRU </w:t>
    </w:r>
    <w:r w:rsidRPr="000602F3">
      <w:rPr>
        <w:rFonts w:ascii="Calibri" w:eastAsia="Times New Roman" w:hAnsi="Calibri" w:cs="Calibri"/>
        <w:b/>
        <w:bCs/>
        <w:color w:val="000000"/>
        <w:lang w:eastAsia="pl-PL"/>
      </w:rPr>
      <w:t>(14.04.2021 - 14.10.2021)</w:t>
    </w:r>
  </w:p>
  <w:p w14:paraId="054983D0" w14:textId="77777777" w:rsidR="00D86E84" w:rsidRDefault="00D86E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2E23" w14:textId="77777777" w:rsidR="00597DF3" w:rsidRDefault="00597DF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F3"/>
    <w:rsid w:val="00044721"/>
    <w:rsid w:val="000602F3"/>
    <w:rsid w:val="00061EC9"/>
    <w:rsid w:val="00096BC6"/>
    <w:rsid w:val="000A14DC"/>
    <w:rsid w:val="000D6B96"/>
    <w:rsid w:val="00161CC7"/>
    <w:rsid w:val="00197698"/>
    <w:rsid w:val="001A18D8"/>
    <w:rsid w:val="001E404E"/>
    <w:rsid w:val="00206924"/>
    <w:rsid w:val="00211E44"/>
    <w:rsid w:val="00222141"/>
    <w:rsid w:val="00232B2A"/>
    <w:rsid w:val="002D6BE2"/>
    <w:rsid w:val="00340B03"/>
    <w:rsid w:val="00344386"/>
    <w:rsid w:val="0035458C"/>
    <w:rsid w:val="003B1AF2"/>
    <w:rsid w:val="003C7318"/>
    <w:rsid w:val="003D25C3"/>
    <w:rsid w:val="003E0FE7"/>
    <w:rsid w:val="00425C9F"/>
    <w:rsid w:val="004744CC"/>
    <w:rsid w:val="004A68B1"/>
    <w:rsid w:val="004E508E"/>
    <w:rsid w:val="004F619D"/>
    <w:rsid w:val="004F7363"/>
    <w:rsid w:val="00565994"/>
    <w:rsid w:val="00597DF3"/>
    <w:rsid w:val="005A7C7F"/>
    <w:rsid w:val="005B6DCF"/>
    <w:rsid w:val="005D5368"/>
    <w:rsid w:val="005E462C"/>
    <w:rsid w:val="00601A0F"/>
    <w:rsid w:val="00623E83"/>
    <w:rsid w:val="00625F9B"/>
    <w:rsid w:val="0067266D"/>
    <w:rsid w:val="006F4C50"/>
    <w:rsid w:val="00717F77"/>
    <w:rsid w:val="00721E63"/>
    <w:rsid w:val="00737B63"/>
    <w:rsid w:val="007F01F8"/>
    <w:rsid w:val="00826E23"/>
    <w:rsid w:val="00846586"/>
    <w:rsid w:val="008C6B81"/>
    <w:rsid w:val="008D428E"/>
    <w:rsid w:val="00914D8C"/>
    <w:rsid w:val="009357AB"/>
    <w:rsid w:val="0094031E"/>
    <w:rsid w:val="009F49C7"/>
    <w:rsid w:val="00A355B5"/>
    <w:rsid w:val="00A7316C"/>
    <w:rsid w:val="00AA651C"/>
    <w:rsid w:val="00AB1F90"/>
    <w:rsid w:val="00AC5FB1"/>
    <w:rsid w:val="00AE4E62"/>
    <w:rsid w:val="00B00FB6"/>
    <w:rsid w:val="00B06EF6"/>
    <w:rsid w:val="00B166AC"/>
    <w:rsid w:val="00B65162"/>
    <w:rsid w:val="00B83E36"/>
    <w:rsid w:val="00B9401E"/>
    <w:rsid w:val="00B97534"/>
    <w:rsid w:val="00BA63E1"/>
    <w:rsid w:val="00C02B07"/>
    <w:rsid w:val="00CD5FC4"/>
    <w:rsid w:val="00D22D78"/>
    <w:rsid w:val="00D32B2A"/>
    <w:rsid w:val="00D761E7"/>
    <w:rsid w:val="00D86E84"/>
    <w:rsid w:val="00D91057"/>
    <w:rsid w:val="00E05515"/>
    <w:rsid w:val="00E4392B"/>
    <w:rsid w:val="00E47ABC"/>
    <w:rsid w:val="00E52001"/>
    <w:rsid w:val="00EA6A36"/>
    <w:rsid w:val="00F36F5C"/>
    <w:rsid w:val="00F4097F"/>
    <w:rsid w:val="00F71813"/>
    <w:rsid w:val="00F86078"/>
    <w:rsid w:val="00F91712"/>
    <w:rsid w:val="00FA0863"/>
    <w:rsid w:val="00FB0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16427"/>
  <w15:chartTrackingRefBased/>
  <w15:docId w15:val="{20F35EFD-B412-4565-97B9-8A1C993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02F3"/>
    <w:pPr>
      <w:tabs>
        <w:tab w:val="center" w:pos="4536"/>
        <w:tab w:val="right" w:pos="9072"/>
      </w:tabs>
    </w:pPr>
  </w:style>
  <w:style w:type="character" w:customStyle="1" w:styleId="NagwekZnak">
    <w:name w:val="Nagłówek Znak"/>
    <w:basedOn w:val="Domylnaczcionkaakapitu"/>
    <w:link w:val="Nagwek"/>
    <w:uiPriority w:val="99"/>
    <w:rsid w:val="000602F3"/>
  </w:style>
  <w:style w:type="paragraph" w:styleId="Stopka">
    <w:name w:val="footer"/>
    <w:basedOn w:val="Normalny"/>
    <w:link w:val="StopkaZnak"/>
    <w:uiPriority w:val="99"/>
    <w:unhideWhenUsed/>
    <w:rsid w:val="000602F3"/>
    <w:pPr>
      <w:tabs>
        <w:tab w:val="center" w:pos="4536"/>
        <w:tab w:val="right" w:pos="9072"/>
      </w:tabs>
    </w:pPr>
  </w:style>
  <w:style w:type="character" w:customStyle="1" w:styleId="StopkaZnak">
    <w:name w:val="Stopka Znak"/>
    <w:basedOn w:val="Domylnaczcionkaakapitu"/>
    <w:link w:val="Stopka"/>
    <w:uiPriority w:val="99"/>
    <w:rsid w:val="0006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231729">
      <w:bodyDiv w:val="1"/>
      <w:marLeft w:val="0"/>
      <w:marRight w:val="0"/>
      <w:marTop w:val="0"/>
      <w:marBottom w:val="0"/>
      <w:divBdr>
        <w:top w:val="none" w:sz="0" w:space="0" w:color="auto"/>
        <w:left w:val="none" w:sz="0" w:space="0" w:color="auto"/>
        <w:bottom w:val="none" w:sz="0" w:space="0" w:color="auto"/>
        <w:right w:val="none" w:sz="0" w:space="0" w:color="auto"/>
      </w:divBdr>
    </w:div>
    <w:div w:id="16728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B5C08652FC1429372B5E78D97DA0F" ma:contentTypeVersion="17" ma:contentTypeDescription="Create a new document." ma:contentTypeScope="" ma:versionID="bf66800e650fe6e143d83133fe6441a8">
  <xsd:schema xmlns:xsd="http://www.w3.org/2001/XMLSchema" xmlns:xs="http://www.w3.org/2001/XMLSchema" xmlns:p="http://schemas.microsoft.com/office/2006/metadata/properties" xmlns:ns1="http://schemas.microsoft.com/sharepoint/v3" xmlns:ns2="6f613be0-efef-4148-8d6c-4c6445522e24" xmlns:ns3="c947fafa-9138-486d-ae8b-4def84560bfe" targetNamespace="http://schemas.microsoft.com/office/2006/metadata/properties" ma:root="true" ma:fieldsID="f0e0d7444d301a371ed9d96034491d78" ns1:_="" ns2:_="" ns3:_="">
    <xsd:import namespace="http://schemas.microsoft.com/sharepoint/v3"/>
    <xsd:import namespace="6f613be0-efef-4148-8d6c-4c6445522e24"/>
    <xsd:import namespace="c947fafa-9138-486d-ae8b-4def84560bf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_x0067_m02" minOccurs="0"/>
                <xsd:element ref="ns2:Godzina_x0020_Dodania" minOccurs="0"/>
                <xsd:element ref="ns1:TranslationStateStartTim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StartTime" ma:index="21" nillable="true" ma:displayName="Submission Time" ma:description="" ma:indexed="true" ma:internalName="TranslationStateStart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613be0-efef-4148-8d6c-4c6445522e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67_m02" ma:index="19" nillable="true" ma:displayName="Data i godzina" ma:default="[today]" ma:format="DateTime" ma:internalName="_x0067_m02">
      <xsd:simpleType>
        <xsd:restriction base="dms:DateTime"/>
      </xsd:simpleType>
    </xsd:element>
    <xsd:element name="Godzina_x0020_Dodania" ma:index="20" nillable="true" ma:displayName="Godzina Dodania" ma:default="[today]" ma:format="DateTime" ma:internalName="Godzina_x0020_Dodania">
      <xsd:simpleType>
        <xsd:restriction base="dms:DateTime"/>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47fafa-9138-486d-ae8b-4def84560bf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0f259f9-296d-45ec-b40f-2b565e2e2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7_m02 xmlns="6f613be0-efef-4148-8d6c-4c6445522e24">2022-01-13T18:57:58+00:00</_x0067_m02>
    <PublishingExpirationDate xmlns="http://schemas.microsoft.com/sharepoint/v3" xsi:nil="true"/>
    <TranslationStateStartTime xmlns="http://schemas.microsoft.com/sharepoint/v3" xsi:nil="true"/>
    <PublishingStartDate xmlns="http://schemas.microsoft.com/sharepoint/v3" xsi:nil="true"/>
    <Godzina_x0020_Dodania xmlns="6f613be0-efef-4148-8d6c-4c6445522e24">2022-01-13T18:57:58+00:00</Godzina_x0020_Dodani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3FD8-B170-4327-85F2-754EA91C3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613be0-efef-4148-8d6c-4c6445522e24"/>
    <ds:schemaRef ds:uri="c947fafa-9138-486d-ae8b-4def84560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F3881-E9C0-4EDD-8C41-D64BCE193601}">
  <ds:schemaRefs>
    <ds:schemaRef ds:uri="Microsoft.SharePoint.Taxonomy.ContentTypeSync"/>
  </ds:schemaRefs>
</ds:datastoreItem>
</file>

<file path=customXml/itemProps3.xml><?xml version="1.0" encoding="utf-8"?>
<ds:datastoreItem xmlns:ds="http://schemas.openxmlformats.org/officeDocument/2006/customXml" ds:itemID="{2FE2FD36-E954-41E8-B440-01C359994F02}">
  <ds:schemaRefs>
    <ds:schemaRef ds:uri="http://schemas.microsoft.com/sharepoint/v3/contenttype/forms"/>
  </ds:schemaRefs>
</ds:datastoreItem>
</file>

<file path=customXml/itemProps4.xml><?xml version="1.0" encoding="utf-8"?>
<ds:datastoreItem xmlns:ds="http://schemas.openxmlformats.org/officeDocument/2006/customXml" ds:itemID="{D342F35E-F4E5-411E-A06F-CEDC33AA7F2B}">
  <ds:schemaRefs>
    <ds:schemaRef ds:uri="http://schemas.microsoft.com/office/2006/metadata/properties"/>
    <ds:schemaRef ds:uri="http://schemas.microsoft.com/office/infopath/2007/PartnerControls"/>
    <ds:schemaRef ds:uri="6f613be0-efef-4148-8d6c-4c6445522e24"/>
    <ds:schemaRef ds:uri="http://schemas.microsoft.com/sharepoint/v3"/>
  </ds:schemaRefs>
</ds:datastoreItem>
</file>

<file path=customXml/itemProps5.xml><?xml version="1.0" encoding="utf-8"?>
<ds:datastoreItem xmlns:ds="http://schemas.openxmlformats.org/officeDocument/2006/customXml" ds:itemID="{9C8C6E09-63BF-4B8E-9497-5BDD3F44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8376</Words>
  <Characters>50259</Characters>
  <Application>Microsoft Office Word</Application>
  <DocSecurity>0</DocSecurity>
  <Lines>418</Lines>
  <Paragraphs>117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Klukowska, Katarzyna</dc:creator>
  <cp:keywords/>
  <dc:description/>
  <cp:lastModifiedBy>Brzozowska Patrycja</cp:lastModifiedBy>
  <cp:revision>2</cp:revision>
  <cp:lastPrinted>2021-12-17T10:31:00Z</cp:lastPrinted>
  <dcterms:created xsi:type="dcterms:W3CDTF">2022-05-06T10:33:00Z</dcterms:created>
  <dcterms:modified xsi:type="dcterms:W3CDTF">2022-05-06T10:33:00Z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0x010100931B5C08652FC1429372B5E78D97DA0F</vt:lpwstr>
  </property>
  <property fmtid="{D5CDD505-2E9C-101B-9397-08002B2CF9AE}" pid="3" name="DataiGodzina">
    <vt:filetime>2021-12-17T10:32:36Z</vt:filetime>
  </property>
</Properties>
</file>